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99316898" w:displacedByCustomXml="next"/>
    <w:bookmarkStart w:id="1" w:name="_Toc426617386" w:displacedByCustomXml="next"/>
    <w:sdt>
      <w:sdtPr>
        <w:id w:val="-1352792723"/>
        <w:docPartObj>
          <w:docPartGallery w:val="Cover Pages"/>
          <w:docPartUnique/>
        </w:docPartObj>
      </w:sdtPr>
      <w:sdtEndPr>
        <w:rPr>
          <w:noProof/>
          <w:lang w:eastAsia="en-AU"/>
        </w:rPr>
      </w:sdtEndPr>
      <w:sdtContent>
        <w:p w14:paraId="21671509" w14:textId="47C0BE9B" w:rsidR="0098709D" w:rsidRPr="00A465E6" w:rsidRDefault="00A465E6" w:rsidP="00A465E6">
          <w:pPr>
            <w:keepLines w:val="0"/>
            <w:spacing w:after="0" w:line="240" w:lineRule="auto"/>
            <w:rPr>
              <w:lang w:eastAsia="en-AU"/>
            </w:rPr>
            <w:sectPr w:rsidR="0098709D" w:rsidRPr="00A465E6" w:rsidSect="00BC6984">
              <w:headerReference w:type="default" r:id="rId8"/>
              <w:footerReference w:type="even" r:id="rId9"/>
              <w:footerReference w:type="default" r:id="rId10"/>
              <w:headerReference w:type="first" r:id="rId11"/>
              <w:footerReference w:type="first" r:id="rId12"/>
              <w:pgSz w:w="11906" w:h="16838" w:code="9"/>
              <w:pgMar w:top="720" w:right="720" w:bottom="720" w:left="720" w:header="680" w:footer="0" w:gutter="0"/>
              <w:pgNumType w:start="1"/>
              <w:cols w:space="708"/>
              <w:titlePg/>
              <w:docGrid w:linePitch="360"/>
            </w:sectPr>
          </w:pPr>
          <w:r>
            <w:rPr>
              <w:noProof/>
              <w:lang w:eastAsia="en-AU"/>
            </w:rPr>
            <w:drawing>
              <wp:inline distT="0" distB="0" distL="0" distR="0" wp14:anchorId="485D1700" wp14:editId="23E75357">
                <wp:extent cx="6645910" cy="9400540"/>
                <wp:effectExtent l="0" t="0" r="2540" b="0"/>
                <wp:docPr id="22" name="Picture 22" descr="Annual report cover page "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Cover.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2903ED3" w14:textId="48BB7ABC" w:rsidR="00487959" w:rsidRDefault="0029111E">
          <w:pPr>
            <w:keepLines w:val="0"/>
            <w:spacing w:after="0" w:line="240" w:lineRule="auto"/>
            <w:rPr>
              <w:noProof/>
              <w:lang w:eastAsia="en-AU"/>
            </w:rPr>
          </w:pPr>
        </w:p>
      </w:sdtContent>
    </w:sdt>
    <w:sdt>
      <w:sdtPr>
        <w:rPr>
          <w:rFonts w:ascii="Arial" w:eastAsia="Times New Roman" w:hAnsi="Arial"/>
          <w:b w:val="0"/>
          <w:bCs w:val="0"/>
          <w:color w:val="auto"/>
          <w:sz w:val="24"/>
          <w:szCs w:val="24"/>
        </w:rPr>
        <w:id w:val="1551654515"/>
        <w:docPartObj>
          <w:docPartGallery w:val="Table of Contents"/>
          <w:docPartUnique/>
        </w:docPartObj>
      </w:sdtPr>
      <w:sdtEndPr>
        <w:rPr>
          <w:noProof/>
        </w:rPr>
      </w:sdtEndPr>
      <w:sdtContent>
        <w:p w14:paraId="383E7FA6" w14:textId="7B0BAECF" w:rsidR="00CB6B28" w:rsidRDefault="00CB6B28">
          <w:pPr>
            <w:pStyle w:val="TOCHeading"/>
          </w:pPr>
          <w:r>
            <w:t>Contents</w:t>
          </w:r>
        </w:p>
        <w:p w14:paraId="0262460E" w14:textId="77777777" w:rsidR="009D498A" w:rsidRDefault="00CB6B28">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525121892" w:history="1">
            <w:r w:rsidR="009D498A" w:rsidRPr="00C46616">
              <w:rPr>
                <w:rStyle w:val="Hyperlink"/>
              </w:rPr>
              <w:t>About this report</w:t>
            </w:r>
            <w:r w:rsidR="009D498A">
              <w:rPr>
                <w:webHidden/>
              </w:rPr>
              <w:tab/>
            </w:r>
            <w:r w:rsidR="009D498A">
              <w:rPr>
                <w:webHidden/>
              </w:rPr>
              <w:fldChar w:fldCharType="begin"/>
            </w:r>
            <w:r w:rsidR="009D498A">
              <w:rPr>
                <w:webHidden/>
              </w:rPr>
              <w:instrText xml:space="preserve"> PAGEREF _Toc525121892 \h </w:instrText>
            </w:r>
            <w:r w:rsidR="009D498A">
              <w:rPr>
                <w:webHidden/>
              </w:rPr>
            </w:r>
            <w:r w:rsidR="009D498A">
              <w:rPr>
                <w:webHidden/>
              </w:rPr>
              <w:fldChar w:fldCharType="separate"/>
            </w:r>
            <w:r w:rsidR="00C817BE">
              <w:rPr>
                <w:webHidden/>
              </w:rPr>
              <w:t>12</w:t>
            </w:r>
            <w:r w:rsidR="009D498A">
              <w:rPr>
                <w:webHidden/>
              </w:rPr>
              <w:fldChar w:fldCharType="end"/>
            </w:r>
          </w:hyperlink>
        </w:p>
        <w:p w14:paraId="0F263B9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893" w:history="1">
            <w:r w:rsidR="009D498A" w:rsidRPr="00C46616">
              <w:rPr>
                <w:rStyle w:val="Hyperlink"/>
                <w:noProof/>
              </w:rPr>
              <w:t>Welcome to our 2017/18 Annual Report</w:t>
            </w:r>
            <w:r w:rsidR="009D498A">
              <w:rPr>
                <w:noProof/>
                <w:webHidden/>
              </w:rPr>
              <w:tab/>
            </w:r>
            <w:r w:rsidR="009D498A">
              <w:rPr>
                <w:noProof/>
                <w:webHidden/>
              </w:rPr>
              <w:fldChar w:fldCharType="begin"/>
            </w:r>
            <w:r w:rsidR="009D498A">
              <w:rPr>
                <w:noProof/>
                <w:webHidden/>
              </w:rPr>
              <w:instrText xml:space="preserve"> PAGEREF _Toc525121893 \h </w:instrText>
            </w:r>
            <w:r w:rsidR="009D498A">
              <w:rPr>
                <w:noProof/>
                <w:webHidden/>
              </w:rPr>
            </w:r>
            <w:r w:rsidR="009D498A">
              <w:rPr>
                <w:noProof/>
                <w:webHidden/>
              </w:rPr>
              <w:fldChar w:fldCharType="separate"/>
            </w:r>
            <w:r w:rsidR="00C817BE">
              <w:rPr>
                <w:noProof/>
                <w:webHidden/>
              </w:rPr>
              <w:t>12</w:t>
            </w:r>
            <w:r w:rsidR="009D498A">
              <w:rPr>
                <w:noProof/>
                <w:webHidden/>
              </w:rPr>
              <w:fldChar w:fldCharType="end"/>
            </w:r>
          </w:hyperlink>
        </w:p>
        <w:p w14:paraId="48C9B62D" w14:textId="77777777" w:rsidR="009D498A" w:rsidRDefault="0029111E">
          <w:pPr>
            <w:pStyle w:val="TOC1"/>
            <w:rPr>
              <w:rFonts w:asciiTheme="minorHAnsi" w:eastAsiaTheme="minorEastAsia" w:hAnsiTheme="minorHAnsi" w:cstheme="minorBidi"/>
              <w:sz w:val="22"/>
              <w:szCs w:val="22"/>
              <w:lang w:eastAsia="en-AU"/>
            </w:rPr>
          </w:pPr>
          <w:hyperlink w:anchor="_Toc525121894" w:history="1">
            <w:r w:rsidR="009D498A" w:rsidRPr="00C46616">
              <w:rPr>
                <w:rStyle w:val="Hyperlink"/>
              </w:rPr>
              <w:t>Statement of compliance</w:t>
            </w:r>
            <w:r w:rsidR="009D498A">
              <w:rPr>
                <w:webHidden/>
              </w:rPr>
              <w:tab/>
            </w:r>
            <w:r w:rsidR="009D498A">
              <w:rPr>
                <w:webHidden/>
              </w:rPr>
              <w:fldChar w:fldCharType="begin"/>
            </w:r>
            <w:r w:rsidR="009D498A">
              <w:rPr>
                <w:webHidden/>
              </w:rPr>
              <w:instrText xml:space="preserve"> PAGEREF _Toc525121894 \h </w:instrText>
            </w:r>
            <w:r w:rsidR="009D498A">
              <w:rPr>
                <w:webHidden/>
              </w:rPr>
            </w:r>
            <w:r w:rsidR="009D498A">
              <w:rPr>
                <w:webHidden/>
              </w:rPr>
              <w:fldChar w:fldCharType="separate"/>
            </w:r>
            <w:r w:rsidR="00C817BE">
              <w:rPr>
                <w:webHidden/>
              </w:rPr>
              <w:t>13</w:t>
            </w:r>
            <w:r w:rsidR="009D498A">
              <w:rPr>
                <w:webHidden/>
              </w:rPr>
              <w:fldChar w:fldCharType="end"/>
            </w:r>
          </w:hyperlink>
        </w:p>
        <w:p w14:paraId="7D5EB968" w14:textId="77777777" w:rsidR="009D498A" w:rsidRDefault="0029111E">
          <w:pPr>
            <w:pStyle w:val="TOC1"/>
            <w:rPr>
              <w:rFonts w:asciiTheme="minorHAnsi" w:eastAsiaTheme="minorEastAsia" w:hAnsiTheme="minorHAnsi" w:cstheme="minorBidi"/>
              <w:sz w:val="22"/>
              <w:szCs w:val="22"/>
              <w:lang w:eastAsia="en-AU"/>
            </w:rPr>
          </w:pPr>
          <w:hyperlink w:anchor="_Toc525121895" w:history="1">
            <w:r w:rsidR="009D498A" w:rsidRPr="00C46616">
              <w:rPr>
                <w:rStyle w:val="Hyperlink"/>
              </w:rPr>
              <w:t>About us</w:t>
            </w:r>
            <w:r w:rsidR="009D498A">
              <w:rPr>
                <w:webHidden/>
              </w:rPr>
              <w:tab/>
            </w:r>
            <w:r w:rsidR="009D498A">
              <w:rPr>
                <w:webHidden/>
              </w:rPr>
              <w:fldChar w:fldCharType="begin"/>
            </w:r>
            <w:r w:rsidR="009D498A">
              <w:rPr>
                <w:webHidden/>
              </w:rPr>
              <w:instrText xml:space="preserve"> PAGEREF _Toc525121895 \h </w:instrText>
            </w:r>
            <w:r w:rsidR="009D498A">
              <w:rPr>
                <w:webHidden/>
              </w:rPr>
            </w:r>
            <w:r w:rsidR="009D498A">
              <w:rPr>
                <w:webHidden/>
              </w:rPr>
              <w:fldChar w:fldCharType="separate"/>
            </w:r>
            <w:r w:rsidR="00C817BE">
              <w:rPr>
                <w:webHidden/>
              </w:rPr>
              <w:t>14</w:t>
            </w:r>
            <w:r w:rsidR="009D498A">
              <w:rPr>
                <w:webHidden/>
              </w:rPr>
              <w:fldChar w:fldCharType="end"/>
            </w:r>
          </w:hyperlink>
        </w:p>
        <w:p w14:paraId="35FBBB8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896" w:history="1">
            <w:r w:rsidR="009D498A" w:rsidRPr="00C46616">
              <w:rPr>
                <w:rStyle w:val="Hyperlink"/>
                <w:noProof/>
              </w:rPr>
              <w:t>Our profile</w:t>
            </w:r>
            <w:r w:rsidR="009D498A">
              <w:rPr>
                <w:noProof/>
                <w:webHidden/>
              </w:rPr>
              <w:tab/>
            </w:r>
            <w:r w:rsidR="009D498A">
              <w:rPr>
                <w:noProof/>
                <w:webHidden/>
              </w:rPr>
              <w:fldChar w:fldCharType="begin"/>
            </w:r>
            <w:r w:rsidR="009D498A">
              <w:rPr>
                <w:noProof/>
                <w:webHidden/>
              </w:rPr>
              <w:instrText xml:space="preserve"> PAGEREF _Toc525121896 \h </w:instrText>
            </w:r>
            <w:r w:rsidR="009D498A">
              <w:rPr>
                <w:noProof/>
                <w:webHidden/>
              </w:rPr>
            </w:r>
            <w:r w:rsidR="009D498A">
              <w:rPr>
                <w:noProof/>
                <w:webHidden/>
              </w:rPr>
              <w:fldChar w:fldCharType="separate"/>
            </w:r>
            <w:r w:rsidR="00C817BE">
              <w:rPr>
                <w:noProof/>
                <w:webHidden/>
              </w:rPr>
              <w:t>14</w:t>
            </w:r>
            <w:r w:rsidR="009D498A">
              <w:rPr>
                <w:noProof/>
                <w:webHidden/>
              </w:rPr>
              <w:fldChar w:fldCharType="end"/>
            </w:r>
          </w:hyperlink>
        </w:p>
        <w:p w14:paraId="1556D1F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897" w:history="1">
            <w:r w:rsidR="009D498A" w:rsidRPr="00C46616">
              <w:rPr>
                <w:rStyle w:val="Hyperlink"/>
                <w:noProof/>
              </w:rPr>
              <w:t>Our purpose</w:t>
            </w:r>
            <w:r w:rsidR="009D498A">
              <w:rPr>
                <w:noProof/>
                <w:webHidden/>
              </w:rPr>
              <w:tab/>
            </w:r>
            <w:r w:rsidR="009D498A">
              <w:rPr>
                <w:noProof/>
                <w:webHidden/>
              </w:rPr>
              <w:fldChar w:fldCharType="begin"/>
            </w:r>
            <w:r w:rsidR="009D498A">
              <w:rPr>
                <w:noProof/>
                <w:webHidden/>
              </w:rPr>
              <w:instrText xml:space="preserve"> PAGEREF _Toc525121897 \h </w:instrText>
            </w:r>
            <w:r w:rsidR="009D498A">
              <w:rPr>
                <w:noProof/>
                <w:webHidden/>
              </w:rPr>
            </w:r>
            <w:r w:rsidR="009D498A">
              <w:rPr>
                <w:noProof/>
                <w:webHidden/>
              </w:rPr>
              <w:fldChar w:fldCharType="separate"/>
            </w:r>
            <w:r w:rsidR="00C817BE">
              <w:rPr>
                <w:noProof/>
                <w:webHidden/>
              </w:rPr>
              <w:t>14</w:t>
            </w:r>
            <w:r w:rsidR="009D498A">
              <w:rPr>
                <w:noProof/>
                <w:webHidden/>
              </w:rPr>
              <w:fldChar w:fldCharType="end"/>
            </w:r>
          </w:hyperlink>
        </w:p>
        <w:p w14:paraId="3EC0A32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898" w:history="1">
            <w:r w:rsidR="009D498A" w:rsidRPr="00C46616">
              <w:rPr>
                <w:rStyle w:val="Hyperlink"/>
                <w:noProof/>
              </w:rPr>
              <w:t>Our strategic direction</w:t>
            </w:r>
            <w:r w:rsidR="009D498A">
              <w:rPr>
                <w:noProof/>
                <w:webHidden/>
              </w:rPr>
              <w:tab/>
            </w:r>
            <w:r w:rsidR="009D498A">
              <w:rPr>
                <w:noProof/>
                <w:webHidden/>
              </w:rPr>
              <w:fldChar w:fldCharType="begin"/>
            </w:r>
            <w:r w:rsidR="009D498A">
              <w:rPr>
                <w:noProof/>
                <w:webHidden/>
              </w:rPr>
              <w:instrText xml:space="preserve"> PAGEREF _Toc525121898 \h </w:instrText>
            </w:r>
            <w:r w:rsidR="009D498A">
              <w:rPr>
                <w:noProof/>
                <w:webHidden/>
              </w:rPr>
            </w:r>
            <w:r w:rsidR="009D498A">
              <w:rPr>
                <w:noProof/>
                <w:webHidden/>
              </w:rPr>
              <w:fldChar w:fldCharType="separate"/>
            </w:r>
            <w:r w:rsidR="00C817BE">
              <w:rPr>
                <w:noProof/>
                <w:webHidden/>
              </w:rPr>
              <w:t>14</w:t>
            </w:r>
            <w:r w:rsidR="009D498A">
              <w:rPr>
                <w:noProof/>
                <w:webHidden/>
              </w:rPr>
              <w:fldChar w:fldCharType="end"/>
            </w:r>
          </w:hyperlink>
        </w:p>
        <w:p w14:paraId="7F3EF2A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899" w:history="1">
            <w:r w:rsidR="009D498A" w:rsidRPr="00C46616">
              <w:rPr>
                <w:rStyle w:val="Hyperlink"/>
                <w:noProof/>
              </w:rPr>
              <w:t>Our values</w:t>
            </w:r>
            <w:r w:rsidR="009D498A">
              <w:rPr>
                <w:noProof/>
                <w:webHidden/>
              </w:rPr>
              <w:tab/>
            </w:r>
            <w:r w:rsidR="009D498A">
              <w:rPr>
                <w:noProof/>
                <w:webHidden/>
              </w:rPr>
              <w:fldChar w:fldCharType="begin"/>
            </w:r>
            <w:r w:rsidR="009D498A">
              <w:rPr>
                <w:noProof/>
                <w:webHidden/>
              </w:rPr>
              <w:instrText xml:space="preserve"> PAGEREF _Toc525121899 \h </w:instrText>
            </w:r>
            <w:r w:rsidR="009D498A">
              <w:rPr>
                <w:noProof/>
                <w:webHidden/>
              </w:rPr>
            </w:r>
            <w:r w:rsidR="009D498A">
              <w:rPr>
                <w:noProof/>
                <w:webHidden/>
              </w:rPr>
              <w:fldChar w:fldCharType="separate"/>
            </w:r>
            <w:r w:rsidR="00C817BE">
              <w:rPr>
                <w:noProof/>
                <w:webHidden/>
              </w:rPr>
              <w:t>15</w:t>
            </w:r>
            <w:r w:rsidR="009D498A">
              <w:rPr>
                <w:noProof/>
                <w:webHidden/>
              </w:rPr>
              <w:fldChar w:fldCharType="end"/>
            </w:r>
          </w:hyperlink>
        </w:p>
        <w:p w14:paraId="2CEF6CA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0" w:history="1">
            <w:r w:rsidR="009D498A" w:rsidRPr="00C46616">
              <w:rPr>
                <w:rStyle w:val="Hyperlink"/>
                <w:noProof/>
              </w:rPr>
              <w:t>Our vision</w:t>
            </w:r>
            <w:r w:rsidR="009D498A">
              <w:rPr>
                <w:noProof/>
                <w:webHidden/>
              </w:rPr>
              <w:tab/>
            </w:r>
            <w:r w:rsidR="009D498A">
              <w:rPr>
                <w:noProof/>
                <w:webHidden/>
              </w:rPr>
              <w:fldChar w:fldCharType="begin"/>
            </w:r>
            <w:r w:rsidR="009D498A">
              <w:rPr>
                <w:noProof/>
                <w:webHidden/>
              </w:rPr>
              <w:instrText xml:space="preserve"> PAGEREF _Toc525121900 \h </w:instrText>
            </w:r>
            <w:r w:rsidR="009D498A">
              <w:rPr>
                <w:noProof/>
                <w:webHidden/>
              </w:rPr>
            </w:r>
            <w:r w:rsidR="009D498A">
              <w:rPr>
                <w:noProof/>
                <w:webHidden/>
              </w:rPr>
              <w:fldChar w:fldCharType="separate"/>
            </w:r>
            <w:r w:rsidR="00C817BE">
              <w:rPr>
                <w:noProof/>
                <w:webHidden/>
              </w:rPr>
              <w:t>16</w:t>
            </w:r>
            <w:r w:rsidR="009D498A">
              <w:rPr>
                <w:noProof/>
                <w:webHidden/>
              </w:rPr>
              <w:fldChar w:fldCharType="end"/>
            </w:r>
          </w:hyperlink>
        </w:p>
        <w:p w14:paraId="7826F11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1" w:history="1">
            <w:r w:rsidR="009D498A" w:rsidRPr="00C46616">
              <w:rPr>
                <w:rStyle w:val="Hyperlink"/>
                <w:noProof/>
              </w:rPr>
              <w:t>Our stakeholders</w:t>
            </w:r>
            <w:r w:rsidR="009D498A">
              <w:rPr>
                <w:noProof/>
                <w:webHidden/>
              </w:rPr>
              <w:tab/>
            </w:r>
            <w:r w:rsidR="009D498A">
              <w:rPr>
                <w:noProof/>
                <w:webHidden/>
              </w:rPr>
              <w:fldChar w:fldCharType="begin"/>
            </w:r>
            <w:r w:rsidR="009D498A">
              <w:rPr>
                <w:noProof/>
                <w:webHidden/>
              </w:rPr>
              <w:instrText xml:space="preserve"> PAGEREF _Toc525121901 \h </w:instrText>
            </w:r>
            <w:r w:rsidR="009D498A">
              <w:rPr>
                <w:noProof/>
                <w:webHidden/>
              </w:rPr>
            </w:r>
            <w:r w:rsidR="009D498A">
              <w:rPr>
                <w:noProof/>
                <w:webHidden/>
              </w:rPr>
              <w:fldChar w:fldCharType="separate"/>
            </w:r>
            <w:r w:rsidR="00C817BE">
              <w:rPr>
                <w:noProof/>
                <w:webHidden/>
              </w:rPr>
              <w:t>16</w:t>
            </w:r>
            <w:r w:rsidR="009D498A">
              <w:rPr>
                <w:noProof/>
                <w:webHidden/>
              </w:rPr>
              <w:fldChar w:fldCharType="end"/>
            </w:r>
          </w:hyperlink>
        </w:p>
        <w:p w14:paraId="08FBFDB0" w14:textId="77777777" w:rsidR="009D498A" w:rsidRDefault="0029111E">
          <w:pPr>
            <w:pStyle w:val="TOC1"/>
            <w:rPr>
              <w:rFonts w:asciiTheme="minorHAnsi" w:eastAsiaTheme="minorEastAsia" w:hAnsiTheme="minorHAnsi" w:cstheme="minorBidi"/>
              <w:sz w:val="22"/>
              <w:szCs w:val="22"/>
              <w:lang w:eastAsia="en-AU"/>
            </w:rPr>
          </w:pPr>
          <w:hyperlink w:anchor="_Toc525121902" w:history="1">
            <w:r w:rsidR="009D498A" w:rsidRPr="00C46616">
              <w:rPr>
                <w:rStyle w:val="Hyperlink"/>
              </w:rPr>
              <w:t>Year in review</w:t>
            </w:r>
            <w:r w:rsidR="009D498A">
              <w:rPr>
                <w:webHidden/>
              </w:rPr>
              <w:tab/>
            </w:r>
            <w:r w:rsidR="009D498A">
              <w:rPr>
                <w:webHidden/>
              </w:rPr>
              <w:fldChar w:fldCharType="begin"/>
            </w:r>
            <w:r w:rsidR="009D498A">
              <w:rPr>
                <w:webHidden/>
              </w:rPr>
              <w:instrText xml:space="preserve"> PAGEREF _Toc525121902 \h </w:instrText>
            </w:r>
            <w:r w:rsidR="009D498A">
              <w:rPr>
                <w:webHidden/>
              </w:rPr>
            </w:r>
            <w:r w:rsidR="009D498A">
              <w:rPr>
                <w:webHidden/>
              </w:rPr>
              <w:fldChar w:fldCharType="separate"/>
            </w:r>
            <w:r w:rsidR="00C817BE">
              <w:rPr>
                <w:webHidden/>
              </w:rPr>
              <w:t>17</w:t>
            </w:r>
            <w:r w:rsidR="009D498A">
              <w:rPr>
                <w:webHidden/>
              </w:rPr>
              <w:fldChar w:fldCharType="end"/>
            </w:r>
          </w:hyperlink>
        </w:p>
        <w:p w14:paraId="4640060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3" w:history="1">
            <w:r w:rsidR="009D498A" w:rsidRPr="00C46616">
              <w:rPr>
                <w:rStyle w:val="Hyperlink"/>
                <w:noProof/>
              </w:rPr>
              <w:t>WorkCover WA Chairman and CEO report</w:t>
            </w:r>
            <w:r w:rsidR="009D498A">
              <w:rPr>
                <w:noProof/>
                <w:webHidden/>
              </w:rPr>
              <w:tab/>
            </w:r>
            <w:r w:rsidR="009D498A">
              <w:rPr>
                <w:noProof/>
                <w:webHidden/>
              </w:rPr>
              <w:fldChar w:fldCharType="begin"/>
            </w:r>
            <w:r w:rsidR="009D498A">
              <w:rPr>
                <w:noProof/>
                <w:webHidden/>
              </w:rPr>
              <w:instrText xml:space="preserve"> PAGEREF _Toc525121903 \h </w:instrText>
            </w:r>
            <w:r w:rsidR="009D498A">
              <w:rPr>
                <w:noProof/>
                <w:webHidden/>
              </w:rPr>
            </w:r>
            <w:r w:rsidR="009D498A">
              <w:rPr>
                <w:noProof/>
                <w:webHidden/>
              </w:rPr>
              <w:fldChar w:fldCharType="separate"/>
            </w:r>
            <w:r w:rsidR="00C817BE">
              <w:rPr>
                <w:noProof/>
                <w:webHidden/>
              </w:rPr>
              <w:t>17</w:t>
            </w:r>
            <w:r w:rsidR="009D498A">
              <w:rPr>
                <w:noProof/>
                <w:webHidden/>
              </w:rPr>
              <w:fldChar w:fldCharType="end"/>
            </w:r>
          </w:hyperlink>
        </w:p>
        <w:p w14:paraId="21332FA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4" w:history="1">
            <w:r w:rsidR="009D498A" w:rsidRPr="00C46616">
              <w:rPr>
                <w:rStyle w:val="Hyperlink"/>
                <w:noProof/>
              </w:rPr>
              <w:t>Year in numbers</w:t>
            </w:r>
            <w:r w:rsidR="009D498A">
              <w:rPr>
                <w:noProof/>
                <w:webHidden/>
              </w:rPr>
              <w:tab/>
            </w:r>
            <w:r w:rsidR="009D498A">
              <w:rPr>
                <w:noProof/>
                <w:webHidden/>
              </w:rPr>
              <w:fldChar w:fldCharType="begin"/>
            </w:r>
            <w:r w:rsidR="009D498A">
              <w:rPr>
                <w:noProof/>
                <w:webHidden/>
              </w:rPr>
              <w:instrText xml:space="preserve"> PAGEREF _Toc525121904 \h </w:instrText>
            </w:r>
            <w:r w:rsidR="009D498A">
              <w:rPr>
                <w:noProof/>
                <w:webHidden/>
              </w:rPr>
            </w:r>
            <w:r w:rsidR="009D498A">
              <w:rPr>
                <w:noProof/>
                <w:webHidden/>
              </w:rPr>
              <w:fldChar w:fldCharType="separate"/>
            </w:r>
            <w:r w:rsidR="00C817BE">
              <w:rPr>
                <w:noProof/>
                <w:webHidden/>
              </w:rPr>
              <w:t>19</w:t>
            </w:r>
            <w:r w:rsidR="009D498A">
              <w:rPr>
                <w:noProof/>
                <w:webHidden/>
              </w:rPr>
              <w:fldChar w:fldCharType="end"/>
            </w:r>
          </w:hyperlink>
        </w:p>
        <w:p w14:paraId="43B6F01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5" w:history="1">
            <w:r w:rsidR="009D498A" w:rsidRPr="00C46616">
              <w:rPr>
                <w:rStyle w:val="Hyperlink"/>
                <w:noProof/>
              </w:rPr>
              <w:t>Year in dollars</w:t>
            </w:r>
            <w:r w:rsidR="009D498A">
              <w:rPr>
                <w:noProof/>
                <w:webHidden/>
              </w:rPr>
              <w:tab/>
            </w:r>
            <w:r w:rsidR="009D498A">
              <w:rPr>
                <w:noProof/>
                <w:webHidden/>
              </w:rPr>
              <w:fldChar w:fldCharType="begin"/>
            </w:r>
            <w:r w:rsidR="009D498A">
              <w:rPr>
                <w:noProof/>
                <w:webHidden/>
              </w:rPr>
              <w:instrText xml:space="preserve"> PAGEREF _Toc525121905 \h </w:instrText>
            </w:r>
            <w:r w:rsidR="009D498A">
              <w:rPr>
                <w:noProof/>
                <w:webHidden/>
              </w:rPr>
            </w:r>
            <w:r w:rsidR="009D498A">
              <w:rPr>
                <w:noProof/>
                <w:webHidden/>
              </w:rPr>
              <w:fldChar w:fldCharType="separate"/>
            </w:r>
            <w:r w:rsidR="00C817BE">
              <w:rPr>
                <w:noProof/>
                <w:webHidden/>
              </w:rPr>
              <w:t>20</w:t>
            </w:r>
            <w:r w:rsidR="009D498A">
              <w:rPr>
                <w:noProof/>
                <w:webHidden/>
              </w:rPr>
              <w:fldChar w:fldCharType="end"/>
            </w:r>
          </w:hyperlink>
        </w:p>
        <w:p w14:paraId="5C2613A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6" w:history="1">
            <w:r w:rsidR="009D498A" w:rsidRPr="00C46616">
              <w:rPr>
                <w:rStyle w:val="Hyperlink"/>
                <w:noProof/>
              </w:rPr>
              <w:t>Year scorecard</w:t>
            </w:r>
            <w:r w:rsidR="009D498A">
              <w:rPr>
                <w:noProof/>
                <w:webHidden/>
              </w:rPr>
              <w:tab/>
            </w:r>
            <w:r w:rsidR="009D498A">
              <w:rPr>
                <w:noProof/>
                <w:webHidden/>
              </w:rPr>
              <w:fldChar w:fldCharType="begin"/>
            </w:r>
            <w:r w:rsidR="009D498A">
              <w:rPr>
                <w:noProof/>
                <w:webHidden/>
              </w:rPr>
              <w:instrText xml:space="preserve"> PAGEREF _Toc525121906 \h </w:instrText>
            </w:r>
            <w:r w:rsidR="009D498A">
              <w:rPr>
                <w:noProof/>
                <w:webHidden/>
              </w:rPr>
            </w:r>
            <w:r w:rsidR="009D498A">
              <w:rPr>
                <w:noProof/>
                <w:webHidden/>
              </w:rPr>
              <w:fldChar w:fldCharType="separate"/>
            </w:r>
            <w:r w:rsidR="00C817BE">
              <w:rPr>
                <w:noProof/>
                <w:webHidden/>
              </w:rPr>
              <w:t>21</w:t>
            </w:r>
            <w:r w:rsidR="009D498A">
              <w:rPr>
                <w:noProof/>
                <w:webHidden/>
              </w:rPr>
              <w:fldChar w:fldCharType="end"/>
            </w:r>
          </w:hyperlink>
        </w:p>
        <w:p w14:paraId="3BCBB678" w14:textId="77777777" w:rsidR="009D498A" w:rsidRDefault="0029111E">
          <w:pPr>
            <w:pStyle w:val="TOC3"/>
            <w:rPr>
              <w:rFonts w:asciiTheme="minorHAnsi" w:eastAsiaTheme="minorEastAsia" w:hAnsiTheme="minorHAnsi" w:cstheme="minorBidi"/>
              <w:noProof/>
              <w:sz w:val="22"/>
              <w:szCs w:val="22"/>
              <w:lang w:eastAsia="en-AU"/>
            </w:rPr>
          </w:pPr>
          <w:hyperlink w:anchor="_Toc525121907" w:history="1">
            <w:r w:rsidR="009D498A" w:rsidRPr="00C46616">
              <w:rPr>
                <w:rStyle w:val="Hyperlink"/>
                <w:noProof/>
              </w:rPr>
              <w:t>2017/18 performance snapshot</w:t>
            </w:r>
            <w:r w:rsidR="009D498A">
              <w:rPr>
                <w:noProof/>
                <w:webHidden/>
              </w:rPr>
              <w:tab/>
            </w:r>
            <w:r w:rsidR="009D498A">
              <w:rPr>
                <w:noProof/>
                <w:webHidden/>
              </w:rPr>
              <w:fldChar w:fldCharType="begin"/>
            </w:r>
            <w:r w:rsidR="009D498A">
              <w:rPr>
                <w:noProof/>
                <w:webHidden/>
              </w:rPr>
              <w:instrText xml:space="preserve"> PAGEREF _Toc525121907 \h </w:instrText>
            </w:r>
            <w:r w:rsidR="009D498A">
              <w:rPr>
                <w:noProof/>
                <w:webHidden/>
              </w:rPr>
            </w:r>
            <w:r w:rsidR="009D498A">
              <w:rPr>
                <w:noProof/>
                <w:webHidden/>
              </w:rPr>
              <w:fldChar w:fldCharType="separate"/>
            </w:r>
            <w:r w:rsidR="00C817BE">
              <w:rPr>
                <w:noProof/>
                <w:webHidden/>
              </w:rPr>
              <w:t>21</w:t>
            </w:r>
            <w:r w:rsidR="009D498A">
              <w:rPr>
                <w:noProof/>
                <w:webHidden/>
              </w:rPr>
              <w:fldChar w:fldCharType="end"/>
            </w:r>
          </w:hyperlink>
        </w:p>
        <w:p w14:paraId="1123EF2A" w14:textId="77777777" w:rsidR="009D498A" w:rsidRDefault="0029111E">
          <w:pPr>
            <w:pStyle w:val="TOC1"/>
            <w:rPr>
              <w:rFonts w:asciiTheme="minorHAnsi" w:eastAsiaTheme="minorEastAsia" w:hAnsiTheme="minorHAnsi" w:cstheme="minorBidi"/>
              <w:sz w:val="22"/>
              <w:szCs w:val="22"/>
              <w:lang w:eastAsia="en-AU"/>
            </w:rPr>
          </w:pPr>
          <w:hyperlink w:anchor="_Toc525121908" w:history="1">
            <w:r w:rsidR="009D498A" w:rsidRPr="00C46616">
              <w:rPr>
                <w:rStyle w:val="Hyperlink"/>
              </w:rPr>
              <w:t>Agency brief</w:t>
            </w:r>
            <w:r w:rsidR="009D498A">
              <w:rPr>
                <w:webHidden/>
              </w:rPr>
              <w:tab/>
            </w:r>
            <w:r w:rsidR="009D498A">
              <w:rPr>
                <w:webHidden/>
              </w:rPr>
              <w:fldChar w:fldCharType="begin"/>
            </w:r>
            <w:r w:rsidR="009D498A">
              <w:rPr>
                <w:webHidden/>
              </w:rPr>
              <w:instrText xml:space="preserve"> PAGEREF _Toc525121908 \h </w:instrText>
            </w:r>
            <w:r w:rsidR="009D498A">
              <w:rPr>
                <w:webHidden/>
              </w:rPr>
            </w:r>
            <w:r w:rsidR="009D498A">
              <w:rPr>
                <w:webHidden/>
              </w:rPr>
              <w:fldChar w:fldCharType="separate"/>
            </w:r>
            <w:r w:rsidR="00C817BE">
              <w:rPr>
                <w:webHidden/>
              </w:rPr>
              <w:t>24</w:t>
            </w:r>
            <w:r w:rsidR="009D498A">
              <w:rPr>
                <w:webHidden/>
              </w:rPr>
              <w:fldChar w:fldCharType="end"/>
            </w:r>
          </w:hyperlink>
        </w:p>
        <w:p w14:paraId="2A9AE25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09" w:history="1">
            <w:r w:rsidR="009D498A" w:rsidRPr="00C46616">
              <w:rPr>
                <w:rStyle w:val="Hyperlink"/>
                <w:noProof/>
              </w:rPr>
              <w:t>The Western Australian context</w:t>
            </w:r>
            <w:r w:rsidR="009D498A">
              <w:rPr>
                <w:noProof/>
                <w:webHidden/>
              </w:rPr>
              <w:tab/>
            </w:r>
            <w:r w:rsidR="009D498A">
              <w:rPr>
                <w:noProof/>
                <w:webHidden/>
              </w:rPr>
              <w:fldChar w:fldCharType="begin"/>
            </w:r>
            <w:r w:rsidR="009D498A">
              <w:rPr>
                <w:noProof/>
                <w:webHidden/>
              </w:rPr>
              <w:instrText xml:space="preserve"> PAGEREF _Toc525121909 \h </w:instrText>
            </w:r>
            <w:r w:rsidR="009D498A">
              <w:rPr>
                <w:noProof/>
                <w:webHidden/>
              </w:rPr>
            </w:r>
            <w:r w:rsidR="009D498A">
              <w:rPr>
                <w:noProof/>
                <w:webHidden/>
              </w:rPr>
              <w:fldChar w:fldCharType="separate"/>
            </w:r>
            <w:r w:rsidR="00C817BE">
              <w:rPr>
                <w:noProof/>
                <w:webHidden/>
              </w:rPr>
              <w:t>24</w:t>
            </w:r>
            <w:r w:rsidR="009D498A">
              <w:rPr>
                <w:noProof/>
                <w:webHidden/>
              </w:rPr>
              <w:fldChar w:fldCharType="end"/>
            </w:r>
          </w:hyperlink>
        </w:p>
        <w:p w14:paraId="12EB0E43" w14:textId="77777777" w:rsidR="009D498A" w:rsidRDefault="0029111E">
          <w:pPr>
            <w:pStyle w:val="TOC1"/>
            <w:rPr>
              <w:rFonts w:asciiTheme="minorHAnsi" w:eastAsiaTheme="minorEastAsia" w:hAnsiTheme="minorHAnsi" w:cstheme="minorBidi"/>
              <w:sz w:val="22"/>
              <w:szCs w:val="22"/>
              <w:lang w:eastAsia="en-AU"/>
            </w:rPr>
          </w:pPr>
          <w:hyperlink w:anchor="_Toc525121910" w:history="1">
            <w:r w:rsidR="009D498A" w:rsidRPr="00C46616">
              <w:rPr>
                <w:rStyle w:val="Hyperlink"/>
              </w:rPr>
              <w:t>Organisational structure</w:t>
            </w:r>
            <w:r w:rsidR="009D498A">
              <w:rPr>
                <w:webHidden/>
              </w:rPr>
              <w:tab/>
            </w:r>
            <w:r w:rsidR="009D498A">
              <w:rPr>
                <w:webHidden/>
              </w:rPr>
              <w:fldChar w:fldCharType="begin"/>
            </w:r>
            <w:r w:rsidR="009D498A">
              <w:rPr>
                <w:webHidden/>
              </w:rPr>
              <w:instrText xml:space="preserve"> PAGEREF _Toc525121910 \h </w:instrText>
            </w:r>
            <w:r w:rsidR="009D498A">
              <w:rPr>
                <w:webHidden/>
              </w:rPr>
            </w:r>
            <w:r w:rsidR="009D498A">
              <w:rPr>
                <w:webHidden/>
              </w:rPr>
              <w:fldChar w:fldCharType="separate"/>
            </w:r>
            <w:r w:rsidR="00C817BE">
              <w:rPr>
                <w:webHidden/>
              </w:rPr>
              <w:t>25</w:t>
            </w:r>
            <w:r w:rsidR="009D498A">
              <w:rPr>
                <w:webHidden/>
              </w:rPr>
              <w:fldChar w:fldCharType="end"/>
            </w:r>
          </w:hyperlink>
        </w:p>
        <w:p w14:paraId="5E8ED935"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1" w:history="1">
            <w:r w:rsidR="009D498A" w:rsidRPr="00C46616">
              <w:rPr>
                <w:rStyle w:val="Hyperlink"/>
                <w:noProof/>
              </w:rPr>
              <w:t>Agency overview</w:t>
            </w:r>
            <w:r w:rsidR="009D498A">
              <w:rPr>
                <w:noProof/>
                <w:webHidden/>
              </w:rPr>
              <w:tab/>
            </w:r>
            <w:r w:rsidR="009D498A">
              <w:rPr>
                <w:noProof/>
                <w:webHidden/>
              </w:rPr>
              <w:fldChar w:fldCharType="begin"/>
            </w:r>
            <w:r w:rsidR="009D498A">
              <w:rPr>
                <w:noProof/>
                <w:webHidden/>
              </w:rPr>
              <w:instrText xml:space="preserve"> PAGEREF _Toc525121911 \h </w:instrText>
            </w:r>
            <w:r w:rsidR="009D498A">
              <w:rPr>
                <w:noProof/>
                <w:webHidden/>
              </w:rPr>
            </w:r>
            <w:r w:rsidR="009D498A">
              <w:rPr>
                <w:noProof/>
                <w:webHidden/>
              </w:rPr>
              <w:fldChar w:fldCharType="separate"/>
            </w:r>
            <w:r w:rsidR="00C817BE">
              <w:rPr>
                <w:noProof/>
                <w:webHidden/>
              </w:rPr>
              <w:t>25</w:t>
            </w:r>
            <w:r w:rsidR="009D498A">
              <w:rPr>
                <w:noProof/>
                <w:webHidden/>
              </w:rPr>
              <w:fldChar w:fldCharType="end"/>
            </w:r>
          </w:hyperlink>
        </w:p>
        <w:p w14:paraId="292FC14A"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2" w:history="1">
            <w:r w:rsidR="009D498A" w:rsidRPr="00C46616">
              <w:rPr>
                <w:rStyle w:val="Hyperlink"/>
                <w:noProof/>
              </w:rPr>
              <w:t>Divisions</w:t>
            </w:r>
            <w:r w:rsidR="009D498A">
              <w:rPr>
                <w:noProof/>
                <w:webHidden/>
              </w:rPr>
              <w:tab/>
            </w:r>
            <w:r w:rsidR="009D498A">
              <w:rPr>
                <w:noProof/>
                <w:webHidden/>
              </w:rPr>
              <w:fldChar w:fldCharType="begin"/>
            </w:r>
            <w:r w:rsidR="009D498A">
              <w:rPr>
                <w:noProof/>
                <w:webHidden/>
              </w:rPr>
              <w:instrText xml:space="preserve"> PAGEREF _Toc525121912 \h </w:instrText>
            </w:r>
            <w:r w:rsidR="009D498A">
              <w:rPr>
                <w:noProof/>
                <w:webHidden/>
              </w:rPr>
            </w:r>
            <w:r w:rsidR="009D498A">
              <w:rPr>
                <w:noProof/>
                <w:webHidden/>
              </w:rPr>
              <w:fldChar w:fldCharType="separate"/>
            </w:r>
            <w:r w:rsidR="00C817BE">
              <w:rPr>
                <w:noProof/>
                <w:webHidden/>
              </w:rPr>
              <w:t>26</w:t>
            </w:r>
            <w:r w:rsidR="009D498A">
              <w:rPr>
                <w:noProof/>
                <w:webHidden/>
              </w:rPr>
              <w:fldChar w:fldCharType="end"/>
            </w:r>
          </w:hyperlink>
        </w:p>
        <w:p w14:paraId="2816F11A"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3" w:history="1">
            <w:r w:rsidR="009D498A" w:rsidRPr="00C46616">
              <w:rPr>
                <w:rStyle w:val="Hyperlink"/>
                <w:noProof/>
              </w:rPr>
              <w:t>Organisational chart</w:t>
            </w:r>
            <w:r w:rsidR="009D498A">
              <w:rPr>
                <w:noProof/>
                <w:webHidden/>
              </w:rPr>
              <w:tab/>
            </w:r>
            <w:r w:rsidR="009D498A">
              <w:rPr>
                <w:noProof/>
                <w:webHidden/>
              </w:rPr>
              <w:fldChar w:fldCharType="begin"/>
            </w:r>
            <w:r w:rsidR="009D498A">
              <w:rPr>
                <w:noProof/>
                <w:webHidden/>
              </w:rPr>
              <w:instrText xml:space="preserve"> PAGEREF _Toc525121913 \h </w:instrText>
            </w:r>
            <w:r w:rsidR="009D498A">
              <w:rPr>
                <w:noProof/>
                <w:webHidden/>
              </w:rPr>
            </w:r>
            <w:r w:rsidR="009D498A">
              <w:rPr>
                <w:noProof/>
                <w:webHidden/>
              </w:rPr>
              <w:fldChar w:fldCharType="separate"/>
            </w:r>
            <w:r w:rsidR="00C817BE">
              <w:rPr>
                <w:noProof/>
                <w:webHidden/>
              </w:rPr>
              <w:t>27</w:t>
            </w:r>
            <w:r w:rsidR="009D498A">
              <w:rPr>
                <w:noProof/>
                <w:webHidden/>
              </w:rPr>
              <w:fldChar w:fldCharType="end"/>
            </w:r>
          </w:hyperlink>
        </w:p>
        <w:p w14:paraId="132C3549" w14:textId="329F14B0" w:rsidR="009D498A" w:rsidRDefault="0029111E">
          <w:pPr>
            <w:pStyle w:val="TOC1"/>
            <w:rPr>
              <w:rFonts w:asciiTheme="minorHAnsi" w:eastAsiaTheme="minorEastAsia" w:hAnsiTheme="minorHAnsi" w:cstheme="minorBidi"/>
              <w:sz w:val="22"/>
              <w:szCs w:val="22"/>
              <w:lang w:eastAsia="en-AU"/>
            </w:rPr>
          </w:pPr>
          <w:hyperlink w:anchor="_Toc525121914" w:history="1">
            <w:r w:rsidR="009D498A" w:rsidRPr="00C46616">
              <w:rPr>
                <w:rStyle w:val="Hyperlink"/>
                <w:rFonts w:eastAsiaTheme="minorHAnsi"/>
                <w:lang w:val="en-US"/>
              </w:rPr>
              <w:t>Leadership</w:t>
            </w:r>
            <w:r w:rsidR="009D498A">
              <w:rPr>
                <w:webHidden/>
              </w:rPr>
              <w:tab/>
            </w:r>
            <w:r w:rsidR="009D498A">
              <w:rPr>
                <w:webHidden/>
              </w:rPr>
              <w:fldChar w:fldCharType="begin"/>
            </w:r>
            <w:r w:rsidR="009D498A">
              <w:rPr>
                <w:webHidden/>
              </w:rPr>
              <w:instrText xml:space="preserve"> PAGEREF _Toc525121914 \h </w:instrText>
            </w:r>
            <w:r w:rsidR="009D498A">
              <w:rPr>
                <w:webHidden/>
              </w:rPr>
            </w:r>
            <w:r w:rsidR="009D498A">
              <w:rPr>
                <w:webHidden/>
              </w:rPr>
              <w:fldChar w:fldCharType="separate"/>
            </w:r>
            <w:r w:rsidR="00C817BE">
              <w:rPr>
                <w:webHidden/>
              </w:rPr>
              <w:t>27</w:t>
            </w:r>
            <w:r w:rsidR="009D498A">
              <w:rPr>
                <w:webHidden/>
              </w:rPr>
              <w:fldChar w:fldCharType="end"/>
            </w:r>
          </w:hyperlink>
        </w:p>
        <w:p w14:paraId="2204E5E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5" w:history="1">
            <w:r w:rsidR="009D498A" w:rsidRPr="00C46616">
              <w:rPr>
                <w:rStyle w:val="Hyperlink"/>
                <w:noProof/>
              </w:rPr>
              <w:t>WorkCover WA Board</w:t>
            </w:r>
            <w:r w:rsidR="009D498A">
              <w:rPr>
                <w:noProof/>
                <w:webHidden/>
              </w:rPr>
              <w:tab/>
            </w:r>
            <w:r w:rsidR="009D498A">
              <w:rPr>
                <w:noProof/>
                <w:webHidden/>
              </w:rPr>
              <w:fldChar w:fldCharType="begin"/>
            </w:r>
            <w:r w:rsidR="009D498A">
              <w:rPr>
                <w:noProof/>
                <w:webHidden/>
              </w:rPr>
              <w:instrText xml:space="preserve"> PAGEREF _Toc525121915 \h </w:instrText>
            </w:r>
            <w:r w:rsidR="009D498A">
              <w:rPr>
                <w:noProof/>
                <w:webHidden/>
              </w:rPr>
            </w:r>
            <w:r w:rsidR="009D498A">
              <w:rPr>
                <w:noProof/>
                <w:webHidden/>
              </w:rPr>
              <w:fldChar w:fldCharType="separate"/>
            </w:r>
            <w:r w:rsidR="00C817BE">
              <w:rPr>
                <w:noProof/>
                <w:webHidden/>
              </w:rPr>
              <w:t>27</w:t>
            </w:r>
            <w:r w:rsidR="009D498A">
              <w:rPr>
                <w:noProof/>
                <w:webHidden/>
              </w:rPr>
              <w:fldChar w:fldCharType="end"/>
            </w:r>
          </w:hyperlink>
        </w:p>
        <w:p w14:paraId="30F45AC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6" w:history="1">
            <w:r w:rsidR="009D498A" w:rsidRPr="00C46616">
              <w:rPr>
                <w:rStyle w:val="Hyperlink"/>
                <w:noProof/>
                <w:lang w:val="en-US"/>
              </w:rPr>
              <w:t>Senior officers</w:t>
            </w:r>
            <w:r w:rsidR="009D498A">
              <w:rPr>
                <w:noProof/>
                <w:webHidden/>
              </w:rPr>
              <w:tab/>
            </w:r>
            <w:r w:rsidR="009D498A">
              <w:rPr>
                <w:noProof/>
                <w:webHidden/>
              </w:rPr>
              <w:fldChar w:fldCharType="begin"/>
            </w:r>
            <w:r w:rsidR="009D498A">
              <w:rPr>
                <w:noProof/>
                <w:webHidden/>
              </w:rPr>
              <w:instrText xml:space="preserve"> PAGEREF _Toc525121916 \h </w:instrText>
            </w:r>
            <w:r w:rsidR="009D498A">
              <w:rPr>
                <w:noProof/>
                <w:webHidden/>
              </w:rPr>
            </w:r>
            <w:r w:rsidR="009D498A">
              <w:rPr>
                <w:noProof/>
                <w:webHidden/>
              </w:rPr>
              <w:fldChar w:fldCharType="separate"/>
            </w:r>
            <w:r w:rsidR="00C817BE">
              <w:rPr>
                <w:noProof/>
                <w:webHidden/>
              </w:rPr>
              <w:t>30</w:t>
            </w:r>
            <w:r w:rsidR="009D498A">
              <w:rPr>
                <w:noProof/>
                <w:webHidden/>
              </w:rPr>
              <w:fldChar w:fldCharType="end"/>
            </w:r>
          </w:hyperlink>
        </w:p>
        <w:p w14:paraId="294A92C7" w14:textId="77777777" w:rsidR="009D498A" w:rsidRDefault="0029111E">
          <w:pPr>
            <w:pStyle w:val="TOC1"/>
            <w:rPr>
              <w:rFonts w:asciiTheme="minorHAnsi" w:eastAsiaTheme="minorEastAsia" w:hAnsiTheme="minorHAnsi" w:cstheme="minorBidi"/>
              <w:sz w:val="22"/>
              <w:szCs w:val="22"/>
              <w:lang w:eastAsia="en-AU"/>
            </w:rPr>
          </w:pPr>
          <w:hyperlink w:anchor="_Toc525121917" w:history="1">
            <w:r w:rsidR="009D498A" w:rsidRPr="00C46616">
              <w:rPr>
                <w:rStyle w:val="Hyperlink"/>
              </w:rPr>
              <w:t>Strategic planning</w:t>
            </w:r>
            <w:r w:rsidR="009D498A">
              <w:rPr>
                <w:webHidden/>
              </w:rPr>
              <w:tab/>
            </w:r>
            <w:r w:rsidR="009D498A">
              <w:rPr>
                <w:webHidden/>
              </w:rPr>
              <w:fldChar w:fldCharType="begin"/>
            </w:r>
            <w:r w:rsidR="009D498A">
              <w:rPr>
                <w:webHidden/>
              </w:rPr>
              <w:instrText xml:space="preserve"> PAGEREF _Toc525121917 \h </w:instrText>
            </w:r>
            <w:r w:rsidR="009D498A">
              <w:rPr>
                <w:webHidden/>
              </w:rPr>
            </w:r>
            <w:r w:rsidR="009D498A">
              <w:rPr>
                <w:webHidden/>
              </w:rPr>
              <w:fldChar w:fldCharType="separate"/>
            </w:r>
            <w:r w:rsidR="00C817BE">
              <w:rPr>
                <w:webHidden/>
              </w:rPr>
              <w:t>32</w:t>
            </w:r>
            <w:r w:rsidR="009D498A">
              <w:rPr>
                <w:webHidden/>
              </w:rPr>
              <w:fldChar w:fldCharType="end"/>
            </w:r>
          </w:hyperlink>
        </w:p>
        <w:p w14:paraId="2CEDAF0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18" w:history="1">
            <w:r w:rsidR="009D498A" w:rsidRPr="00C46616">
              <w:rPr>
                <w:rStyle w:val="Hyperlink"/>
                <w:noProof/>
              </w:rPr>
              <w:t>Report against 2017/18 Strategic Initiatives</w:t>
            </w:r>
            <w:r w:rsidR="009D498A">
              <w:rPr>
                <w:noProof/>
                <w:webHidden/>
              </w:rPr>
              <w:tab/>
            </w:r>
            <w:r w:rsidR="009D498A">
              <w:rPr>
                <w:noProof/>
                <w:webHidden/>
              </w:rPr>
              <w:fldChar w:fldCharType="begin"/>
            </w:r>
            <w:r w:rsidR="009D498A">
              <w:rPr>
                <w:noProof/>
                <w:webHidden/>
              </w:rPr>
              <w:instrText xml:space="preserve"> PAGEREF _Toc525121918 \h </w:instrText>
            </w:r>
            <w:r w:rsidR="009D498A">
              <w:rPr>
                <w:noProof/>
                <w:webHidden/>
              </w:rPr>
            </w:r>
            <w:r w:rsidR="009D498A">
              <w:rPr>
                <w:noProof/>
                <w:webHidden/>
              </w:rPr>
              <w:fldChar w:fldCharType="separate"/>
            </w:r>
            <w:r w:rsidR="00C817BE">
              <w:rPr>
                <w:noProof/>
                <w:webHidden/>
              </w:rPr>
              <w:t>34</w:t>
            </w:r>
            <w:r w:rsidR="009D498A">
              <w:rPr>
                <w:noProof/>
                <w:webHidden/>
              </w:rPr>
              <w:fldChar w:fldCharType="end"/>
            </w:r>
          </w:hyperlink>
        </w:p>
        <w:p w14:paraId="355FF44F" w14:textId="77777777" w:rsidR="009D498A" w:rsidRDefault="0029111E">
          <w:pPr>
            <w:pStyle w:val="TOC3"/>
            <w:rPr>
              <w:rFonts w:asciiTheme="minorHAnsi" w:eastAsiaTheme="minorEastAsia" w:hAnsiTheme="minorHAnsi" w:cstheme="minorBidi"/>
              <w:noProof/>
              <w:sz w:val="22"/>
              <w:szCs w:val="22"/>
              <w:lang w:eastAsia="en-AU"/>
            </w:rPr>
          </w:pPr>
          <w:hyperlink w:anchor="_Toc525121919" w:history="1">
            <w:r w:rsidR="009D498A" w:rsidRPr="00C46616">
              <w:rPr>
                <w:rStyle w:val="Hyperlink"/>
                <w:noProof/>
              </w:rPr>
              <w:t xml:space="preserve">Initiative 1: </w:t>
            </w:r>
            <w:r w:rsidR="009D498A" w:rsidRPr="00C46616">
              <w:rPr>
                <w:rStyle w:val="Hyperlink"/>
                <w:rFonts w:eastAsia="Calibri"/>
                <w:noProof/>
              </w:rPr>
              <w:t>Legislative Review</w:t>
            </w:r>
            <w:r w:rsidR="009D498A">
              <w:rPr>
                <w:noProof/>
                <w:webHidden/>
              </w:rPr>
              <w:tab/>
            </w:r>
            <w:r w:rsidR="009D498A">
              <w:rPr>
                <w:noProof/>
                <w:webHidden/>
              </w:rPr>
              <w:fldChar w:fldCharType="begin"/>
            </w:r>
            <w:r w:rsidR="009D498A">
              <w:rPr>
                <w:noProof/>
                <w:webHidden/>
              </w:rPr>
              <w:instrText xml:space="preserve"> PAGEREF _Toc525121919 \h </w:instrText>
            </w:r>
            <w:r w:rsidR="009D498A">
              <w:rPr>
                <w:noProof/>
                <w:webHidden/>
              </w:rPr>
            </w:r>
            <w:r w:rsidR="009D498A">
              <w:rPr>
                <w:noProof/>
                <w:webHidden/>
              </w:rPr>
              <w:fldChar w:fldCharType="separate"/>
            </w:r>
            <w:r w:rsidR="00C817BE">
              <w:rPr>
                <w:noProof/>
                <w:webHidden/>
              </w:rPr>
              <w:t>34</w:t>
            </w:r>
            <w:r w:rsidR="009D498A">
              <w:rPr>
                <w:noProof/>
                <w:webHidden/>
              </w:rPr>
              <w:fldChar w:fldCharType="end"/>
            </w:r>
          </w:hyperlink>
        </w:p>
        <w:p w14:paraId="3D2C5BF5" w14:textId="77777777" w:rsidR="009D498A" w:rsidRDefault="0029111E">
          <w:pPr>
            <w:pStyle w:val="TOC3"/>
            <w:rPr>
              <w:rFonts w:asciiTheme="minorHAnsi" w:eastAsiaTheme="minorEastAsia" w:hAnsiTheme="minorHAnsi" w:cstheme="minorBidi"/>
              <w:noProof/>
              <w:sz w:val="22"/>
              <w:szCs w:val="22"/>
              <w:lang w:eastAsia="en-AU"/>
            </w:rPr>
          </w:pPr>
          <w:hyperlink w:anchor="_Toc525121920" w:history="1">
            <w:r w:rsidR="009D498A" w:rsidRPr="00C46616">
              <w:rPr>
                <w:rStyle w:val="Hyperlink"/>
                <w:noProof/>
              </w:rPr>
              <w:t>Initiative 2: Digital First Program</w:t>
            </w:r>
            <w:r w:rsidR="009D498A">
              <w:rPr>
                <w:noProof/>
                <w:webHidden/>
              </w:rPr>
              <w:tab/>
            </w:r>
            <w:r w:rsidR="009D498A">
              <w:rPr>
                <w:noProof/>
                <w:webHidden/>
              </w:rPr>
              <w:fldChar w:fldCharType="begin"/>
            </w:r>
            <w:r w:rsidR="009D498A">
              <w:rPr>
                <w:noProof/>
                <w:webHidden/>
              </w:rPr>
              <w:instrText xml:space="preserve"> PAGEREF _Toc525121920 \h </w:instrText>
            </w:r>
            <w:r w:rsidR="009D498A">
              <w:rPr>
                <w:noProof/>
                <w:webHidden/>
              </w:rPr>
            </w:r>
            <w:r w:rsidR="009D498A">
              <w:rPr>
                <w:noProof/>
                <w:webHidden/>
              </w:rPr>
              <w:fldChar w:fldCharType="separate"/>
            </w:r>
            <w:r w:rsidR="00C817BE">
              <w:rPr>
                <w:noProof/>
                <w:webHidden/>
              </w:rPr>
              <w:t>35</w:t>
            </w:r>
            <w:r w:rsidR="009D498A">
              <w:rPr>
                <w:noProof/>
                <w:webHidden/>
              </w:rPr>
              <w:fldChar w:fldCharType="end"/>
            </w:r>
          </w:hyperlink>
        </w:p>
        <w:p w14:paraId="69D09700" w14:textId="77777777" w:rsidR="009D498A" w:rsidRDefault="0029111E">
          <w:pPr>
            <w:pStyle w:val="TOC3"/>
            <w:rPr>
              <w:rFonts w:asciiTheme="minorHAnsi" w:eastAsiaTheme="minorEastAsia" w:hAnsiTheme="minorHAnsi" w:cstheme="minorBidi"/>
              <w:noProof/>
              <w:sz w:val="22"/>
              <w:szCs w:val="22"/>
              <w:lang w:eastAsia="en-AU"/>
            </w:rPr>
          </w:pPr>
          <w:hyperlink w:anchor="_Toc525121921" w:history="1">
            <w:r w:rsidR="009D498A" w:rsidRPr="00C46616">
              <w:rPr>
                <w:rStyle w:val="Hyperlink"/>
                <w:noProof/>
              </w:rPr>
              <w:t xml:space="preserve">Initiative 3: </w:t>
            </w:r>
            <w:r w:rsidR="009D498A" w:rsidRPr="00C46616">
              <w:rPr>
                <w:rStyle w:val="Hyperlink"/>
                <w:rFonts w:eastAsia="Calibri"/>
                <w:noProof/>
              </w:rPr>
              <w:t>2018–2021 Strategic Plan</w:t>
            </w:r>
            <w:r w:rsidR="009D498A">
              <w:rPr>
                <w:noProof/>
                <w:webHidden/>
              </w:rPr>
              <w:tab/>
            </w:r>
            <w:r w:rsidR="009D498A">
              <w:rPr>
                <w:noProof/>
                <w:webHidden/>
              </w:rPr>
              <w:fldChar w:fldCharType="begin"/>
            </w:r>
            <w:r w:rsidR="009D498A">
              <w:rPr>
                <w:noProof/>
                <w:webHidden/>
              </w:rPr>
              <w:instrText xml:space="preserve"> PAGEREF _Toc525121921 \h </w:instrText>
            </w:r>
            <w:r w:rsidR="009D498A">
              <w:rPr>
                <w:noProof/>
                <w:webHidden/>
              </w:rPr>
            </w:r>
            <w:r w:rsidR="009D498A">
              <w:rPr>
                <w:noProof/>
                <w:webHidden/>
              </w:rPr>
              <w:fldChar w:fldCharType="separate"/>
            </w:r>
            <w:r w:rsidR="00C817BE">
              <w:rPr>
                <w:noProof/>
                <w:webHidden/>
              </w:rPr>
              <w:t>36</w:t>
            </w:r>
            <w:r w:rsidR="009D498A">
              <w:rPr>
                <w:noProof/>
                <w:webHidden/>
              </w:rPr>
              <w:fldChar w:fldCharType="end"/>
            </w:r>
          </w:hyperlink>
        </w:p>
        <w:p w14:paraId="023DC268"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22" w:history="1">
            <w:r w:rsidR="009D498A" w:rsidRPr="00C46616">
              <w:rPr>
                <w:rStyle w:val="Hyperlink"/>
                <w:noProof/>
              </w:rPr>
              <w:t>Outlook for the future</w:t>
            </w:r>
            <w:r w:rsidR="009D498A">
              <w:rPr>
                <w:noProof/>
                <w:webHidden/>
              </w:rPr>
              <w:tab/>
            </w:r>
            <w:r w:rsidR="009D498A">
              <w:rPr>
                <w:noProof/>
                <w:webHidden/>
              </w:rPr>
              <w:fldChar w:fldCharType="begin"/>
            </w:r>
            <w:r w:rsidR="009D498A">
              <w:rPr>
                <w:noProof/>
                <w:webHidden/>
              </w:rPr>
              <w:instrText xml:space="preserve"> PAGEREF _Toc525121922 \h </w:instrText>
            </w:r>
            <w:r w:rsidR="009D498A">
              <w:rPr>
                <w:noProof/>
                <w:webHidden/>
              </w:rPr>
            </w:r>
            <w:r w:rsidR="009D498A">
              <w:rPr>
                <w:noProof/>
                <w:webHidden/>
              </w:rPr>
              <w:fldChar w:fldCharType="separate"/>
            </w:r>
            <w:r w:rsidR="00C817BE">
              <w:rPr>
                <w:noProof/>
                <w:webHidden/>
              </w:rPr>
              <w:t>37</w:t>
            </w:r>
            <w:r w:rsidR="009D498A">
              <w:rPr>
                <w:noProof/>
                <w:webHidden/>
              </w:rPr>
              <w:fldChar w:fldCharType="end"/>
            </w:r>
          </w:hyperlink>
        </w:p>
        <w:p w14:paraId="1657B65F" w14:textId="77777777" w:rsidR="009D498A" w:rsidRDefault="0029111E">
          <w:pPr>
            <w:pStyle w:val="TOC1"/>
            <w:rPr>
              <w:rFonts w:asciiTheme="minorHAnsi" w:eastAsiaTheme="minorEastAsia" w:hAnsiTheme="minorHAnsi" w:cstheme="minorBidi"/>
              <w:sz w:val="22"/>
              <w:szCs w:val="22"/>
              <w:lang w:eastAsia="en-AU"/>
            </w:rPr>
          </w:pPr>
          <w:hyperlink w:anchor="_Toc525121923" w:history="1">
            <w:r w:rsidR="009D498A" w:rsidRPr="00C46616">
              <w:rPr>
                <w:rStyle w:val="Hyperlink"/>
              </w:rPr>
              <w:t>Enabling legislation</w:t>
            </w:r>
            <w:r w:rsidR="009D498A">
              <w:rPr>
                <w:webHidden/>
              </w:rPr>
              <w:tab/>
            </w:r>
            <w:r w:rsidR="009D498A">
              <w:rPr>
                <w:webHidden/>
              </w:rPr>
              <w:fldChar w:fldCharType="begin"/>
            </w:r>
            <w:r w:rsidR="009D498A">
              <w:rPr>
                <w:webHidden/>
              </w:rPr>
              <w:instrText xml:space="preserve"> PAGEREF _Toc525121923 \h </w:instrText>
            </w:r>
            <w:r w:rsidR="009D498A">
              <w:rPr>
                <w:webHidden/>
              </w:rPr>
            </w:r>
            <w:r w:rsidR="009D498A">
              <w:rPr>
                <w:webHidden/>
              </w:rPr>
              <w:fldChar w:fldCharType="separate"/>
            </w:r>
            <w:r w:rsidR="00C817BE">
              <w:rPr>
                <w:webHidden/>
              </w:rPr>
              <w:t>38</w:t>
            </w:r>
            <w:r w:rsidR="009D498A">
              <w:rPr>
                <w:webHidden/>
              </w:rPr>
              <w:fldChar w:fldCharType="end"/>
            </w:r>
          </w:hyperlink>
        </w:p>
        <w:p w14:paraId="3DFC22E5" w14:textId="77777777" w:rsidR="009D498A" w:rsidRDefault="0029111E">
          <w:pPr>
            <w:pStyle w:val="TOC1"/>
            <w:rPr>
              <w:rFonts w:asciiTheme="minorHAnsi" w:eastAsiaTheme="minorEastAsia" w:hAnsiTheme="minorHAnsi" w:cstheme="minorBidi"/>
              <w:sz w:val="22"/>
              <w:szCs w:val="22"/>
              <w:lang w:eastAsia="en-AU"/>
            </w:rPr>
          </w:pPr>
          <w:hyperlink w:anchor="_Toc525121924" w:history="1">
            <w:r w:rsidR="009D498A" w:rsidRPr="00C46616">
              <w:rPr>
                <w:rStyle w:val="Hyperlink"/>
              </w:rPr>
              <w:t>Governance</w:t>
            </w:r>
            <w:r w:rsidR="009D498A">
              <w:rPr>
                <w:webHidden/>
              </w:rPr>
              <w:tab/>
            </w:r>
            <w:r w:rsidR="009D498A">
              <w:rPr>
                <w:webHidden/>
              </w:rPr>
              <w:fldChar w:fldCharType="begin"/>
            </w:r>
            <w:r w:rsidR="009D498A">
              <w:rPr>
                <w:webHidden/>
              </w:rPr>
              <w:instrText xml:space="preserve"> PAGEREF _Toc525121924 \h </w:instrText>
            </w:r>
            <w:r w:rsidR="009D498A">
              <w:rPr>
                <w:webHidden/>
              </w:rPr>
            </w:r>
            <w:r w:rsidR="009D498A">
              <w:rPr>
                <w:webHidden/>
              </w:rPr>
              <w:fldChar w:fldCharType="separate"/>
            </w:r>
            <w:r w:rsidR="00C817BE">
              <w:rPr>
                <w:webHidden/>
              </w:rPr>
              <w:t>39</w:t>
            </w:r>
            <w:r w:rsidR="009D498A">
              <w:rPr>
                <w:webHidden/>
              </w:rPr>
              <w:fldChar w:fldCharType="end"/>
            </w:r>
          </w:hyperlink>
        </w:p>
        <w:p w14:paraId="0CD3878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25" w:history="1">
            <w:r w:rsidR="009D498A" w:rsidRPr="00C46616">
              <w:rPr>
                <w:rStyle w:val="Hyperlink"/>
                <w:noProof/>
              </w:rPr>
              <w:t>Governance framework</w:t>
            </w:r>
            <w:r w:rsidR="009D498A">
              <w:rPr>
                <w:noProof/>
                <w:webHidden/>
              </w:rPr>
              <w:tab/>
            </w:r>
            <w:r w:rsidR="009D498A">
              <w:rPr>
                <w:noProof/>
                <w:webHidden/>
              </w:rPr>
              <w:fldChar w:fldCharType="begin"/>
            </w:r>
            <w:r w:rsidR="009D498A">
              <w:rPr>
                <w:noProof/>
                <w:webHidden/>
              </w:rPr>
              <w:instrText xml:space="preserve"> PAGEREF _Toc525121925 \h </w:instrText>
            </w:r>
            <w:r w:rsidR="009D498A">
              <w:rPr>
                <w:noProof/>
                <w:webHidden/>
              </w:rPr>
            </w:r>
            <w:r w:rsidR="009D498A">
              <w:rPr>
                <w:noProof/>
                <w:webHidden/>
              </w:rPr>
              <w:fldChar w:fldCharType="separate"/>
            </w:r>
            <w:r w:rsidR="00C817BE">
              <w:rPr>
                <w:noProof/>
                <w:webHidden/>
              </w:rPr>
              <w:t>39</w:t>
            </w:r>
            <w:r w:rsidR="009D498A">
              <w:rPr>
                <w:noProof/>
                <w:webHidden/>
              </w:rPr>
              <w:fldChar w:fldCharType="end"/>
            </w:r>
          </w:hyperlink>
        </w:p>
        <w:p w14:paraId="2A02315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26" w:history="1">
            <w:r w:rsidR="009D498A" w:rsidRPr="00C46616">
              <w:rPr>
                <w:rStyle w:val="Hyperlink"/>
                <w:noProof/>
              </w:rPr>
              <w:t>Delegation of authority</w:t>
            </w:r>
            <w:r w:rsidR="009D498A">
              <w:rPr>
                <w:noProof/>
                <w:webHidden/>
              </w:rPr>
              <w:tab/>
            </w:r>
            <w:r w:rsidR="009D498A">
              <w:rPr>
                <w:noProof/>
                <w:webHidden/>
              </w:rPr>
              <w:fldChar w:fldCharType="begin"/>
            </w:r>
            <w:r w:rsidR="009D498A">
              <w:rPr>
                <w:noProof/>
                <w:webHidden/>
              </w:rPr>
              <w:instrText xml:space="preserve"> PAGEREF _Toc525121926 \h </w:instrText>
            </w:r>
            <w:r w:rsidR="009D498A">
              <w:rPr>
                <w:noProof/>
                <w:webHidden/>
              </w:rPr>
            </w:r>
            <w:r w:rsidR="009D498A">
              <w:rPr>
                <w:noProof/>
                <w:webHidden/>
              </w:rPr>
              <w:fldChar w:fldCharType="separate"/>
            </w:r>
            <w:r w:rsidR="00C817BE">
              <w:rPr>
                <w:noProof/>
                <w:webHidden/>
              </w:rPr>
              <w:t>39</w:t>
            </w:r>
            <w:r w:rsidR="009D498A">
              <w:rPr>
                <w:noProof/>
                <w:webHidden/>
              </w:rPr>
              <w:fldChar w:fldCharType="end"/>
            </w:r>
          </w:hyperlink>
        </w:p>
        <w:p w14:paraId="312A8E8C" w14:textId="77777777" w:rsidR="009D498A" w:rsidRDefault="0029111E">
          <w:pPr>
            <w:pStyle w:val="TOC3"/>
            <w:rPr>
              <w:rFonts w:asciiTheme="minorHAnsi" w:eastAsiaTheme="minorEastAsia" w:hAnsiTheme="minorHAnsi" w:cstheme="minorBidi"/>
              <w:noProof/>
              <w:sz w:val="22"/>
              <w:szCs w:val="22"/>
              <w:lang w:eastAsia="en-AU"/>
            </w:rPr>
          </w:pPr>
          <w:hyperlink w:anchor="_Toc525121927" w:history="1">
            <w:r w:rsidR="009D498A" w:rsidRPr="00C46616">
              <w:rPr>
                <w:rStyle w:val="Hyperlink"/>
                <w:noProof/>
              </w:rPr>
              <w:t>Audit and Risk Management Committee</w:t>
            </w:r>
            <w:r w:rsidR="009D498A">
              <w:rPr>
                <w:noProof/>
                <w:webHidden/>
              </w:rPr>
              <w:tab/>
            </w:r>
            <w:r w:rsidR="009D498A">
              <w:rPr>
                <w:noProof/>
                <w:webHidden/>
              </w:rPr>
              <w:fldChar w:fldCharType="begin"/>
            </w:r>
            <w:r w:rsidR="009D498A">
              <w:rPr>
                <w:noProof/>
                <w:webHidden/>
              </w:rPr>
              <w:instrText xml:space="preserve"> PAGEREF _Toc525121927 \h </w:instrText>
            </w:r>
            <w:r w:rsidR="009D498A">
              <w:rPr>
                <w:noProof/>
                <w:webHidden/>
              </w:rPr>
            </w:r>
            <w:r w:rsidR="009D498A">
              <w:rPr>
                <w:noProof/>
                <w:webHidden/>
              </w:rPr>
              <w:fldChar w:fldCharType="separate"/>
            </w:r>
            <w:r w:rsidR="00C817BE">
              <w:rPr>
                <w:noProof/>
                <w:webHidden/>
              </w:rPr>
              <w:t>40</w:t>
            </w:r>
            <w:r w:rsidR="009D498A">
              <w:rPr>
                <w:noProof/>
                <w:webHidden/>
              </w:rPr>
              <w:fldChar w:fldCharType="end"/>
            </w:r>
          </w:hyperlink>
        </w:p>
        <w:p w14:paraId="48AB6B73" w14:textId="77777777" w:rsidR="009D498A" w:rsidRDefault="0029111E">
          <w:pPr>
            <w:pStyle w:val="TOC3"/>
            <w:rPr>
              <w:rFonts w:asciiTheme="minorHAnsi" w:eastAsiaTheme="minorEastAsia" w:hAnsiTheme="minorHAnsi" w:cstheme="minorBidi"/>
              <w:noProof/>
              <w:sz w:val="22"/>
              <w:szCs w:val="22"/>
              <w:lang w:eastAsia="en-AU"/>
            </w:rPr>
          </w:pPr>
          <w:hyperlink w:anchor="_Toc525121928" w:history="1">
            <w:r w:rsidR="009D498A" w:rsidRPr="00C46616">
              <w:rPr>
                <w:rStyle w:val="Hyperlink"/>
                <w:noProof/>
              </w:rPr>
              <w:t>Costs Committee</w:t>
            </w:r>
            <w:r w:rsidR="009D498A">
              <w:rPr>
                <w:noProof/>
                <w:webHidden/>
              </w:rPr>
              <w:tab/>
            </w:r>
            <w:r w:rsidR="009D498A">
              <w:rPr>
                <w:noProof/>
                <w:webHidden/>
              </w:rPr>
              <w:fldChar w:fldCharType="begin"/>
            </w:r>
            <w:r w:rsidR="009D498A">
              <w:rPr>
                <w:noProof/>
                <w:webHidden/>
              </w:rPr>
              <w:instrText xml:space="preserve"> PAGEREF _Toc525121928 \h </w:instrText>
            </w:r>
            <w:r w:rsidR="009D498A">
              <w:rPr>
                <w:noProof/>
                <w:webHidden/>
              </w:rPr>
            </w:r>
            <w:r w:rsidR="009D498A">
              <w:rPr>
                <w:noProof/>
                <w:webHidden/>
              </w:rPr>
              <w:fldChar w:fldCharType="separate"/>
            </w:r>
            <w:r w:rsidR="00C817BE">
              <w:rPr>
                <w:noProof/>
                <w:webHidden/>
              </w:rPr>
              <w:t>40</w:t>
            </w:r>
            <w:r w:rsidR="009D498A">
              <w:rPr>
                <w:noProof/>
                <w:webHidden/>
              </w:rPr>
              <w:fldChar w:fldCharType="end"/>
            </w:r>
          </w:hyperlink>
        </w:p>
        <w:p w14:paraId="7345E567" w14:textId="77777777" w:rsidR="009D498A" w:rsidRDefault="0029111E">
          <w:pPr>
            <w:pStyle w:val="TOC3"/>
            <w:rPr>
              <w:rFonts w:asciiTheme="minorHAnsi" w:eastAsiaTheme="minorEastAsia" w:hAnsiTheme="minorHAnsi" w:cstheme="minorBidi"/>
              <w:noProof/>
              <w:sz w:val="22"/>
              <w:szCs w:val="22"/>
              <w:lang w:eastAsia="en-AU"/>
            </w:rPr>
          </w:pPr>
          <w:hyperlink w:anchor="_Toc525121929" w:history="1">
            <w:r w:rsidR="009D498A" w:rsidRPr="00C46616">
              <w:rPr>
                <w:rStyle w:val="Hyperlink"/>
                <w:noProof/>
              </w:rPr>
              <w:t>Medical Committee</w:t>
            </w:r>
            <w:r w:rsidR="009D498A">
              <w:rPr>
                <w:noProof/>
                <w:webHidden/>
              </w:rPr>
              <w:tab/>
            </w:r>
            <w:r w:rsidR="009D498A">
              <w:rPr>
                <w:noProof/>
                <w:webHidden/>
              </w:rPr>
              <w:fldChar w:fldCharType="begin"/>
            </w:r>
            <w:r w:rsidR="009D498A">
              <w:rPr>
                <w:noProof/>
                <w:webHidden/>
              </w:rPr>
              <w:instrText xml:space="preserve"> PAGEREF _Toc525121929 \h </w:instrText>
            </w:r>
            <w:r w:rsidR="009D498A">
              <w:rPr>
                <w:noProof/>
                <w:webHidden/>
              </w:rPr>
            </w:r>
            <w:r w:rsidR="009D498A">
              <w:rPr>
                <w:noProof/>
                <w:webHidden/>
              </w:rPr>
              <w:fldChar w:fldCharType="separate"/>
            </w:r>
            <w:r w:rsidR="00C817BE">
              <w:rPr>
                <w:noProof/>
                <w:webHidden/>
              </w:rPr>
              <w:t>40</w:t>
            </w:r>
            <w:r w:rsidR="009D498A">
              <w:rPr>
                <w:noProof/>
                <w:webHidden/>
              </w:rPr>
              <w:fldChar w:fldCharType="end"/>
            </w:r>
          </w:hyperlink>
        </w:p>
        <w:p w14:paraId="5B7E9D5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30" w:history="1">
            <w:r w:rsidR="009D498A" w:rsidRPr="00C46616">
              <w:rPr>
                <w:rStyle w:val="Hyperlink"/>
                <w:noProof/>
              </w:rPr>
              <w:t>Workplace consultation</w:t>
            </w:r>
            <w:r w:rsidR="009D498A">
              <w:rPr>
                <w:noProof/>
                <w:webHidden/>
              </w:rPr>
              <w:tab/>
            </w:r>
            <w:r w:rsidR="009D498A">
              <w:rPr>
                <w:noProof/>
                <w:webHidden/>
              </w:rPr>
              <w:fldChar w:fldCharType="begin"/>
            </w:r>
            <w:r w:rsidR="009D498A">
              <w:rPr>
                <w:noProof/>
                <w:webHidden/>
              </w:rPr>
              <w:instrText xml:space="preserve"> PAGEREF _Toc525121930 \h </w:instrText>
            </w:r>
            <w:r w:rsidR="009D498A">
              <w:rPr>
                <w:noProof/>
                <w:webHidden/>
              </w:rPr>
            </w:r>
            <w:r w:rsidR="009D498A">
              <w:rPr>
                <w:noProof/>
                <w:webHidden/>
              </w:rPr>
              <w:fldChar w:fldCharType="separate"/>
            </w:r>
            <w:r w:rsidR="00C817BE">
              <w:rPr>
                <w:noProof/>
                <w:webHidden/>
              </w:rPr>
              <w:t>40</w:t>
            </w:r>
            <w:r w:rsidR="009D498A">
              <w:rPr>
                <w:noProof/>
                <w:webHidden/>
              </w:rPr>
              <w:fldChar w:fldCharType="end"/>
            </w:r>
          </w:hyperlink>
        </w:p>
        <w:p w14:paraId="23664B33" w14:textId="77777777" w:rsidR="009D498A" w:rsidRDefault="0029111E">
          <w:pPr>
            <w:pStyle w:val="TOC3"/>
            <w:rPr>
              <w:rFonts w:asciiTheme="minorHAnsi" w:eastAsiaTheme="minorEastAsia" w:hAnsiTheme="minorHAnsi" w:cstheme="minorBidi"/>
              <w:noProof/>
              <w:sz w:val="22"/>
              <w:szCs w:val="22"/>
              <w:lang w:eastAsia="en-AU"/>
            </w:rPr>
          </w:pPr>
          <w:hyperlink w:anchor="_Toc525121931" w:history="1">
            <w:r w:rsidR="009D498A" w:rsidRPr="00C46616">
              <w:rPr>
                <w:rStyle w:val="Hyperlink"/>
                <w:noProof/>
              </w:rPr>
              <w:t>Equity and Diversity Committee</w:t>
            </w:r>
            <w:r w:rsidR="009D498A">
              <w:rPr>
                <w:noProof/>
                <w:webHidden/>
              </w:rPr>
              <w:tab/>
            </w:r>
            <w:r w:rsidR="009D498A">
              <w:rPr>
                <w:noProof/>
                <w:webHidden/>
              </w:rPr>
              <w:fldChar w:fldCharType="begin"/>
            </w:r>
            <w:r w:rsidR="009D498A">
              <w:rPr>
                <w:noProof/>
                <w:webHidden/>
              </w:rPr>
              <w:instrText xml:space="preserve"> PAGEREF _Toc525121931 \h </w:instrText>
            </w:r>
            <w:r w:rsidR="009D498A">
              <w:rPr>
                <w:noProof/>
                <w:webHidden/>
              </w:rPr>
            </w:r>
            <w:r w:rsidR="009D498A">
              <w:rPr>
                <w:noProof/>
                <w:webHidden/>
              </w:rPr>
              <w:fldChar w:fldCharType="separate"/>
            </w:r>
            <w:r w:rsidR="00C817BE">
              <w:rPr>
                <w:noProof/>
                <w:webHidden/>
              </w:rPr>
              <w:t>41</w:t>
            </w:r>
            <w:r w:rsidR="009D498A">
              <w:rPr>
                <w:noProof/>
                <w:webHidden/>
              </w:rPr>
              <w:fldChar w:fldCharType="end"/>
            </w:r>
          </w:hyperlink>
        </w:p>
        <w:p w14:paraId="265FB966" w14:textId="77777777" w:rsidR="009D498A" w:rsidRDefault="0029111E">
          <w:pPr>
            <w:pStyle w:val="TOC3"/>
            <w:rPr>
              <w:rFonts w:asciiTheme="minorHAnsi" w:eastAsiaTheme="minorEastAsia" w:hAnsiTheme="minorHAnsi" w:cstheme="minorBidi"/>
              <w:noProof/>
              <w:sz w:val="22"/>
              <w:szCs w:val="22"/>
              <w:lang w:eastAsia="en-AU"/>
            </w:rPr>
          </w:pPr>
          <w:hyperlink w:anchor="_Toc525121932" w:history="1">
            <w:r w:rsidR="009D498A" w:rsidRPr="00C46616">
              <w:rPr>
                <w:rStyle w:val="Hyperlink"/>
                <w:noProof/>
              </w:rPr>
              <w:t>Emergency Planning Committee</w:t>
            </w:r>
            <w:r w:rsidR="009D498A">
              <w:rPr>
                <w:noProof/>
                <w:webHidden/>
              </w:rPr>
              <w:tab/>
            </w:r>
            <w:r w:rsidR="009D498A">
              <w:rPr>
                <w:noProof/>
                <w:webHidden/>
              </w:rPr>
              <w:fldChar w:fldCharType="begin"/>
            </w:r>
            <w:r w:rsidR="009D498A">
              <w:rPr>
                <w:noProof/>
                <w:webHidden/>
              </w:rPr>
              <w:instrText xml:space="preserve"> PAGEREF _Toc525121932 \h </w:instrText>
            </w:r>
            <w:r w:rsidR="009D498A">
              <w:rPr>
                <w:noProof/>
                <w:webHidden/>
              </w:rPr>
            </w:r>
            <w:r w:rsidR="009D498A">
              <w:rPr>
                <w:noProof/>
                <w:webHidden/>
              </w:rPr>
              <w:fldChar w:fldCharType="separate"/>
            </w:r>
            <w:r w:rsidR="00C817BE">
              <w:rPr>
                <w:noProof/>
                <w:webHidden/>
              </w:rPr>
              <w:t>42</w:t>
            </w:r>
            <w:r w:rsidR="009D498A">
              <w:rPr>
                <w:noProof/>
                <w:webHidden/>
              </w:rPr>
              <w:fldChar w:fldCharType="end"/>
            </w:r>
          </w:hyperlink>
        </w:p>
        <w:p w14:paraId="415837AD" w14:textId="77777777" w:rsidR="009D498A" w:rsidRDefault="0029111E">
          <w:pPr>
            <w:pStyle w:val="TOC3"/>
            <w:rPr>
              <w:rFonts w:asciiTheme="minorHAnsi" w:eastAsiaTheme="minorEastAsia" w:hAnsiTheme="minorHAnsi" w:cstheme="minorBidi"/>
              <w:noProof/>
              <w:sz w:val="22"/>
              <w:szCs w:val="22"/>
              <w:lang w:eastAsia="en-AU"/>
            </w:rPr>
          </w:pPr>
          <w:hyperlink w:anchor="_Toc525121933" w:history="1">
            <w:r w:rsidR="009D498A" w:rsidRPr="00C46616">
              <w:rPr>
                <w:rStyle w:val="Hyperlink"/>
                <w:noProof/>
              </w:rPr>
              <w:t>Joint Consultative Committee</w:t>
            </w:r>
            <w:r w:rsidR="009D498A">
              <w:rPr>
                <w:noProof/>
                <w:webHidden/>
              </w:rPr>
              <w:tab/>
            </w:r>
            <w:r w:rsidR="009D498A">
              <w:rPr>
                <w:noProof/>
                <w:webHidden/>
              </w:rPr>
              <w:fldChar w:fldCharType="begin"/>
            </w:r>
            <w:r w:rsidR="009D498A">
              <w:rPr>
                <w:noProof/>
                <w:webHidden/>
              </w:rPr>
              <w:instrText xml:space="preserve"> PAGEREF _Toc525121933 \h </w:instrText>
            </w:r>
            <w:r w:rsidR="009D498A">
              <w:rPr>
                <w:noProof/>
                <w:webHidden/>
              </w:rPr>
            </w:r>
            <w:r w:rsidR="009D498A">
              <w:rPr>
                <w:noProof/>
                <w:webHidden/>
              </w:rPr>
              <w:fldChar w:fldCharType="separate"/>
            </w:r>
            <w:r w:rsidR="00C817BE">
              <w:rPr>
                <w:noProof/>
                <w:webHidden/>
              </w:rPr>
              <w:t>42</w:t>
            </w:r>
            <w:r w:rsidR="009D498A">
              <w:rPr>
                <w:noProof/>
                <w:webHidden/>
              </w:rPr>
              <w:fldChar w:fldCharType="end"/>
            </w:r>
          </w:hyperlink>
        </w:p>
        <w:p w14:paraId="705CB579" w14:textId="77777777" w:rsidR="009D498A" w:rsidRDefault="0029111E">
          <w:pPr>
            <w:pStyle w:val="TOC3"/>
            <w:rPr>
              <w:rFonts w:asciiTheme="minorHAnsi" w:eastAsiaTheme="minorEastAsia" w:hAnsiTheme="minorHAnsi" w:cstheme="minorBidi"/>
              <w:noProof/>
              <w:sz w:val="22"/>
              <w:szCs w:val="22"/>
              <w:lang w:eastAsia="en-AU"/>
            </w:rPr>
          </w:pPr>
          <w:hyperlink w:anchor="_Toc525121934" w:history="1">
            <w:r w:rsidR="009D498A" w:rsidRPr="00C46616">
              <w:rPr>
                <w:rStyle w:val="Hyperlink"/>
                <w:noProof/>
              </w:rPr>
              <w:t>Occupational Safety and Health Committee</w:t>
            </w:r>
            <w:r w:rsidR="009D498A">
              <w:rPr>
                <w:noProof/>
                <w:webHidden/>
              </w:rPr>
              <w:tab/>
            </w:r>
            <w:r w:rsidR="009D498A">
              <w:rPr>
                <w:noProof/>
                <w:webHidden/>
              </w:rPr>
              <w:fldChar w:fldCharType="begin"/>
            </w:r>
            <w:r w:rsidR="009D498A">
              <w:rPr>
                <w:noProof/>
                <w:webHidden/>
              </w:rPr>
              <w:instrText xml:space="preserve"> PAGEREF _Toc525121934 \h </w:instrText>
            </w:r>
            <w:r w:rsidR="009D498A">
              <w:rPr>
                <w:noProof/>
                <w:webHidden/>
              </w:rPr>
            </w:r>
            <w:r w:rsidR="009D498A">
              <w:rPr>
                <w:noProof/>
                <w:webHidden/>
              </w:rPr>
              <w:fldChar w:fldCharType="separate"/>
            </w:r>
            <w:r w:rsidR="00C817BE">
              <w:rPr>
                <w:noProof/>
                <w:webHidden/>
              </w:rPr>
              <w:t>42</w:t>
            </w:r>
            <w:r w:rsidR="009D498A">
              <w:rPr>
                <w:noProof/>
                <w:webHidden/>
              </w:rPr>
              <w:fldChar w:fldCharType="end"/>
            </w:r>
          </w:hyperlink>
        </w:p>
        <w:p w14:paraId="2FAAC3B1" w14:textId="77777777" w:rsidR="009D498A" w:rsidRDefault="0029111E">
          <w:pPr>
            <w:pStyle w:val="TOC3"/>
            <w:rPr>
              <w:rFonts w:asciiTheme="minorHAnsi" w:eastAsiaTheme="minorEastAsia" w:hAnsiTheme="minorHAnsi" w:cstheme="minorBidi"/>
              <w:noProof/>
              <w:sz w:val="22"/>
              <w:szCs w:val="22"/>
              <w:lang w:eastAsia="en-AU"/>
            </w:rPr>
          </w:pPr>
          <w:hyperlink w:anchor="_Toc525121935" w:history="1">
            <w:r w:rsidR="009D498A" w:rsidRPr="00C46616">
              <w:rPr>
                <w:rStyle w:val="Hyperlink"/>
                <w:noProof/>
              </w:rPr>
              <w:t>KPI Performance Reporting Committee</w:t>
            </w:r>
            <w:r w:rsidR="009D498A">
              <w:rPr>
                <w:noProof/>
                <w:webHidden/>
              </w:rPr>
              <w:tab/>
            </w:r>
            <w:r w:rsidR="009D498A">
              <w:rPr>
                <w:noProof/>
                <w:webHidden/>
              </w:rPr>
              <w:fldChar w:fldCharType="begin"/>
            </w:r>
            <w:r w:rsidR="009D498A">
              <w:rPr>
                <w:noProof/>
                <w:webHidden/>
              </w:rPr>
              <w:instrText xml:space="preserve"> PAGEREF _Toc525121935 \h </w:instrText>
            </w:r>
            <w:r w:rsidR="009D498A">
              <w:rPr>
                <w:noProof/>
                <w:webHidden/>
              </w:rPr>
            </w:r>
            <w:r w:rsidR="009D498A">
              <w:rPr>
                <w:noProof/>
                <w:webHidden/>
              </w:rPr>
              <w:fldChar w:fldCharType="separate"/>
            </w:r>
            <w:r w:rsidR="00C817BE">
              <w:rPr>
                <w:noProof/>
                <w:webHidden/>
              </w:rPr>
              <w:t>43</w:t>
            </w:r>
            <w:r w:rsidR="009D498A">
              <w:rPr>
                <w:noProof/>
                <w:webHidden/>
              </w:rPr>
              <w:fldChar w:fldCharType="end"/>
            </w:r>
          </w:hyperlink>
        </w:p>
        <w:p w14:paraId="452223F5" w14:textId="77777777" w:rsidR="009D498A" w:rsidRDefault="0029111E">
          <w:pPr>
            <w:pStyle w:val="TOC3"/>
            <w:rPr>
              <w:rFonts w:asciiTheme="minorHAnsi" w:eastAsiaTheme="minorEastAsia" w:hAnsiTheme="minorHAnsi" w:cstheme="minorBidi"/>
              <w:noProof/>
              <w:sz w:val="22"/>
              <w:szCs w:val="22"/>
              <w:lang w:eastAsia="en-AU"/>
            </w:rPr>
          </w:pPr>
          <w:hyperlink w:anchor="_Toc525121936" w:history="1">
            <w:r w:rsidR="009D498A" w:rsidRPr="00C46616">
              <w:rPr>
                <w:rStyle w:val="Hyperlink"/>
                <w:noProof/>
              </w:rPr>
              <w:t>Risk Management Review Group</w:t>
            </w:r>
            <w:r w:rsidR="009D498A">
              <w:rPr>
                <w:noProof/>
                <w:webHidden/>
              </w:rPr>
              <w:tab/>
            </w:r>
            <w:r w:rsidR="009D498A">
              <w:rPr>
                <w:noProof/>
                <w:webHidden/>
              </w:rPr>
              <w:fldChar w:fldCharType="begin"/>
            </w:r>
            <w:r w:rsidR="009D498A">
              <w:rPr>
                <w:noProof/>
                <w:webHidden/>
              </w:rPr>
              <w:instrText xml:space="preserve"> PAGEREF _Toc525121936 \h </w:instrText>
            </w:r>
            <w:r w:rsidR="009D498A">
              <w:rPr>
                <w:noProof/>
                <w:webHidden/>
              </w:rPr>
            </w:r>
            <w:r w:rsidR="009D498A">
              <w:rPr>
                <w:noProof/>
                <w:webHidden/>
              </w:rPr>
              <w:fldChar w:fldCharType="separate"/>
            </w:r>
            <w:r w:rsidR="00C817BE">
              <w:rPr>
                <w:noProof/>
                <w:webHidden/>
              </w:rPr>
              <w:t>44</w:t>
            </w:r>
            <w:r w:rsidR="009D498A">
              <w:rPr>
                <w:noProof/>
                <w:webHidden/>
              </w:rPr>
              <w:fldChar w:fldCharType="end"/>
            </w:r>
          </w:hyperlink>
        </w:p>
        <w:p w14:paraId="49CA52D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37" w:history="1">
            <w:r w:rsidR="009D498A" w:rsidRPr="00C46616">
              <w:rPr>
                <w:rStyle w:val="Hyperlink"/>
                <w:noProof/>
              </w:rPr>
              <w:t>Complaints handling</w:t>
            </w:r>
            <w:r w:rsidR="009D498A">
              <w:rPr>
                <w:noProof/>
                <w:webHidden/>
              </w:rPr>
              <w:tab/>
            </w:r>
            <w:r w:rsidR="009D498A">
              <w:rPr>
                <w:noProof/>
                <w:webHidden/>
              </w:rPr>
              <w:fldChar w:fldCharType="begin"/>
            </w:r>
            <w:r w:rsidR="009D498A">
              <w:rPr>
                <w:noProof/>
                <w:webHidden/>
              </w:rPr>
              <w:instrText xml:space="preserve"> PAGEREF _Toc525121937 \h </w:instrText>
            </w:r>
            <w:r w:rsidR="009D498A">
              <w:rPr>
                <w:noProof/>
                <w:webHidden/>
              </w:rPr>
            </w:r>
            <w:r w:rsidR="009D498A">
              <w:rPr>
                <w:noProof/>
                <w:webHidden/>
              </w:rPr>
              <w:fldChar w:fldCharType="separate"/>
            </w:r>
            <w:r w:rsidR="00C817BE">
              <w:rPr>
                <w:noProof/>
                <w:webHidden/>
              </w:rPr>
              <w:t>45</w:t>
            </w:r>
            <w:r w:rsidR="009D498A">
              <w:rPr>
                <w:noProof/>
                <w:webHidden/>
              </w:rPr>
              <w:fldChar w:fldCharType="end"/>
            </w:r>
          </w:hyperlink>
        </w:p>
        <w:p w14:paraId="71D98821" w14:textId="77777777" w:rsidR="009D498A" w:rsidRDefault="0029111E">
          <w:pPr>
            <w:pStyle w:val="TOC3"/>
            <w:rPr>
              <w:rFonts w:asciiTheme="minorHAnsi" w:eastAsiaTheme="minorEastAsia" w:hAnsiTheme="minorHAnsi" w:cstheme="minorBidi"/>
              <w:noProof/>
              <w:sz w:val="22"/>
              <w:szCs w:val="22"/>
              <w:lang w:eastAsia="en-AU"/>
            </w:rPr>
          </w:pPr>
          <w:hyperlink w:anchor="_Toc525121938" w:history="1">
            <w:r w:rsidR="009D498A" w:rsidRPr="00C46616">
              <w:rPr>
                <w:rStyle w:val="Hyperlink"/>
                <w:noProof/>
              </w:rPr>
              <w:t>Customer First Feedback policy and procedures</w:t>
            </w:r>
            <w:r w:rsidR="009D498A">
              <w:rPr>
                <w:noProof/>
                <w:webHidden/>
              </w:rPr>
              <w:tab/>
            </w:r>
            <w:r w:rsidR="009D498A">
              <w:rPr>
                <w:noProof/>
                <w:webHidden/>
              </w:rPr>
              <w:fldChar w:fldCharType="begin"/>
            </w:r>
            <w:r w:rsidR="009D498A">
              <w:rPr>
                <w:noProof/>
                <w:webHidden/>
              </w:rPr>
              <w:instrText xml:space="preserve"> PAGEREF _Toc525121938 \h </w:instrText>
            </w:r>
            <w:r w:rsidR="009D498A">
              <w:rPr>
                <w:noProof/>
                <w:webHidden/>
              </w:rPr>
            </w:r>
            <w:r w:rsidR="009D498A">
              <w:rPr>
                <w:noProof/>
                <w:webHidden/>
              </w:rPr>
              <w:fldChar w:fldCharType="separate"/>
            </w:r>
            <w:r w:rsidR="00C817BE">
              <w:rPr>
                <w:noProof/>
                <w:webHidden/>
              </w:rPr>
              <w:t>45</w:t>
            </w:r>
            <w:r w:rsidR="009D498A">
              <w:rPr>
                <w:noProof/>
                <w:webHidden/>
              </w:rPr>
              <w:fldChar w:fldCharType="end"/>
            </w:r>
          </w:hyperlink>
        </w:p>
        <w:p w14:paraId="41483B65" w14:textId="77777777" w:rsidR="009D498A" w:rsidRDefault="0029111E">
          <w:pPr>
            <w:pStyle w:val="TOC3"/>
            <w:rPr>
              <w:rFonts w:asciiTheme="minorHAnsi" w:eastAsiaTheme="minorEastAsia" w:hAnsiTheme="minorHAnsi" w:cstheme="minorBidi"/>
              <w:noProof/>
              <w:sz w:val="22"/>
              <w:szCs w:val="22"/>
              <w:lang w:eastAsia="en-AU"/>
            </w:rPr>
          </w:pPr>
          <w:hyperlink w:anchor="_Toc525121939" w:history="1">
            <w:r w:rsidR="009D498A" w:rsidRPr="00C46616">
              <w:rPr>
                <w:rStyle w:val="Hyperlink"/>
                <w:noProof/>
              </w:rPr>
              <w:t>Complaints against service providers</w:t>
            </w:r>
            <w:r w:rsidR="009D498A">
              <w:rPr>
                <w:noProof/>
                <w:webHidden/>
              </w:rPr>
              <w:tab/>
            </w:r>
            <w:r w:rsidR="009D498A">
              <w:rPr>
                <w:noProof/>
                <w:webHidden/>
              </w:rPr>
              <w:fldChar w:fldCharType="begin"/>
            </w:r>
            <w:r w:rsidR="009D498A">
              <w:rPr>
                <w:noProof/>
                <w:webHidden/>
              </w:rPr>
              <w:instrText xml:space="preserve"> PAGEREF _Toc525121939 \h </w:instrText>
            </w:r>
            <w:r w:rsidR="009D498A">
              <w:rPr>
                <w:noProof/>
                <w:webHidden/>
              </w:rPr>
            </w:r>
            <w:r w:rsidR="009D498A">
              <w:rPr>
                <w:noProof/>
                <w:webHidden/>
              </w:rPr>
              <w:fldChar w:fldCharType="separate"/>
            </w:r>
            <w:r w:rsidR="00C817BE">
              <w:rPr>
                <w:noProof/>
                <w:webHidden/>
              </w:rPr>
              <w:t>45</w:t>
            </w:r>
            <w:r w:rsidR="009D498A">
              <w:rPr>
                <w:noProof/>
                <w:webHidden/>
              </w:rPr>
              <w:fldChar w:fldCharType="end"/>
            </w:r>
          </w:hyperlink>
        </w:p>
        <w:p w14:paraId="0B1B70A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40" w:history="1">
            <w:r w:rsidR="009D498A" w:rsidRPr="00C46616">
              <w:rPr>
                <w:rStyle w:val="Hyperlink"/>
                <w:noProof/>
              </w:rPr>
              <w:t>Communications policies</w:t>
            </w:r>
            <w:r w:rsidR="009D498A">
              <w:rPr>
                <w:noProof/>
                <w:webHidden/>
              </w:rPr>
              <w:tab/>
            </w:r>
            <w:r w:rsidR="009D498A">
              <w:rPr>
                <w:noProof/>
                <w:webHidden/>
              </w:rPr>
              <w:fldChar w:fldCharType="begin"/>
            </w:r>
            <w:r w:rsidR="009D498A">
              <w:rPr>
                <w:noProof/>
                <w:webHidden/>
              </w:rPr>
              <w:instrText xml:space="preserve"> PAGEREF _Toc525121940 \h </w:instrText>
            </w:r>
            <w:r w:rsidR="009D498A">
              <w:rPr>
                <w:noProof/>
                <w:webHidden/>
              </w:rPr>
            </w:r>
            <w:r w:rsidR="009D498A">
              <w:rPr>
                <w:noProof/>
                <w:webHidden/>
              </w:rPr>
              <w:fldChar w:fldCharType="separate"/>
            </w:r>
            <w:r w:rsidR="00C817BE">
              <w:rPr>
                <w:noProof/>
                <w:webHidden/>
              </w:rPr>
              <w:t>46</w:t>
            </w:r>
            <w:r w:rsidR="009D498A">
              <w:rPr>
                <w:noProof/>
                <w:webHidden/>
              </w:rPr>
              <w:fldChar w:fldCharType="end"/>
            </w:r>
          </w:hyperlink>
        </w:p>
        <w:p w14:paraId="36BC8949" w14:textId="77777777" w:rsidR="009D498A" w:rsidRDefault="0029111E">
          <w:pPr>
            <w:pStyle w:val="TOC3"/>
            <w:rPr>
              <w:rFonts w:asciiTheme="minorHAnsi" w:eastAsiaTheme="minorEastAsia" w:hAnsiTheme="minorHAnsi" w:cstheme="minorBidi"/>
              <w:noProof/>
              <w:sz w:val="22"/>
              <w:szCs w:val="22"/>
              <w:lang w:eastAsia="en-AU"/>
            </w:rPr>
          </w:pPr>
          <w:hyperlink w:anchor="_Toc525121941" w:history="1">
            <w:r w:rsidR="009D498A" w:rsidRPr="00C46616">
              <w:rPr>
                <w:rStyle w:val="Hyperlink"/>
                <w:noProof/>
              </w:rPr>
              <w:t>Customer Service Charter</w:t>
            </w:r>
            <w:r w:rsidR="009D498A">
              <w:rPr>
                <w:noProof/>
                <w:webHidden/>
              </w:rPr>
              <w:tab/>
            </w:r>
            <w:r w:rsidR="009D498A">
              <w:rPr>
                <w:noProof/>
                <w:webHidden/>
              </w:rPr>
              <w:fldChar w:fldCharType="begin"/>
            </w:r>
            <w:r w:rsidR="009D498A">
              <w:rPr>
                <w:noProof/>
                <w:webHidden/>
              </w:rPr>
              <w:instrText xml:space="preserve"> PAGEREF _Toc525121941 \h </w:instrText>
            </w:r>
            <w:r w:rsidR="009D498A">
              <w:rPr>
                <w:noProof/>
                <w:webHidden/>
              </w:rPr>
            </w:r>
            <w:r w:rsidR="009D498A">
              <w:rPr>
                <w:noProof/>
                <w:webHidden/>
              </w:rPr>
              <w:fldChar w:fldCharType="separate"/>
            </w:r>
            <w:r w:rsidR="00C817BE">
              <w:rPr>
                <w:noProof/>
                <w:webHidden/>
              </w:rPr>
              <w:t>46</w:t>
            </w:r>
            <w:r w:rsidR="009D498A">
              <w:rPr>
                <w:noProof/>
                <w:webHidden/>
              </w:rPr>
              <w:fldChar w:fldCharType="end"/>
            </w:r>
          </w:hyperlink>
        </w:p>
        <w:p w14:paraId="79EB8338" w14:textId="77777777" w:rsidR="009D498A" w:rsidRDefault="0029111E">
          <w:pPr>
            <w:pStyle w:val="TOC3"/>
            <w:rPr>
              <w:rFonts w:asciiTheme="minorHAnsi" w:eastAsiaTheme="minorEastAsia" w:hAnsiTheme="minorHAnsi" w:cstheme="minorBidi"/>
              <w:noProof/>
              <w:sz w:val="22"/>
              <w:szCs w:val="22"/>
              <w:lang w:eastAsia="en-AU"/>
            </w:rPr>
          </w:pPr>
          <w:hyperlink w:anchor="_Toc525121942" w:history="1">
            <w:r w:rsidR="009D498A" w:rsidRPr="00C46616">
              <w:rPr>
                <w:rStyle w:val="Hyperlink"/>
                <w:rFonts w:eastAsiaTheme="majorEastAsia"/>
                <w:noProof/>
              </w:rPr>
              <w:t>Communications Protocol</w:t>
            </w:r>
            <w:r w:rsidR="009D498A">
              <w:rPr>
                <w:noProof/>
                <w:webHidden/>
              </w:rPr>
              <w:tab/>
            </w:r>
            <w:r w:rsidR="009D498A">
              <w:rPr>
                <w:noProof/>
                <w:webHidden/>
              </w:rPr>
              <w:fldChar w:fldCharType="begin"/>
            </w:r>
            <w:r w:rsidR="009D498A">
              <w:rPr>
                <w:noProof/>
                <w:webHidden/>
              </w:rPr>
              <w:instrText xml:space="preserve"> PAGEREF _Toc525121942 \h </w:instrText>
            </w:r>
            <w:r w:rsidR="009D498A">
              <w:rPr>
                <w:noProof/>
                <w:webHidden/>
              </w:rPr>
            </w:r>
            <w:r w:rsidR="009D498A">
              <w:rPr>
                <w:noProof/>
                <w:webHidden/>
              </w:rPr>
              <w:fldChar w:fldCharType="separate"/>
            </w:r>
            <w:r w:rsidR="00C817BE">
              <w:rPr>
                <w:noProof/>
                <w:webHidden/>
              </w:rPr>
              <w:t>46</w:t>
            </w:r>
            <w:r w:rsidR="009D498A">
              <w:rPr>
                <w:noProof/>
                <w:webHidden/>
              </w:rPr>
              <w:fldChar w:fldCharType="end"/>
            </w:r>
          </w:hyperlink>
        </w:p>
        <w:p w14:paraId="5B15E30B" w14:textId="77777777" w:rsidR="009D498A" w:rsidRDefault="0029111E">
          <w:pPr>
            <w:pStyle w:val="TOC3"/>
            <w:rPr>
              <w:rFonts w:asciiTheme="minorHAnsi" w:eastAsiaTheme="minorEastAsia" w:hAnsiTheme="minorHAnsi" w:cstheme="minorBidi"/>
              <w:noProof/>
              <w:sz w:val="22"/>
              <w:szCs w:val="22"/>
              <w:lang w:eastAsia="en-AU"/>
            </w:rPr>
          </w:pPr>
          <w:hyperlink w:anchor="_Toc525121943" w:history="1">
            <w:r w:rsidR="009D498A" w:rsidRPr="00C46616">
              <w:rPr>
                <w:rStyle w:val="Hyperlink"/>
                <w:noProof/>
                <w:lang w:val="en-GB" w:eastAsia="en-AU"/>
              </w:rPr>
              <w:t>Ministerial correspondence</w:t>
            </w:r>
            <w:r w:rsidR="009D498A">
              <w:rPr>
                <w:noProof/>
                <w:webHidden/>
              </w:rPr>
              <w:tab/>
            </w:r>
            <w:r w:rsidR="009D498A">
              <w:rPr>
                <w:noProof/>
                <w:webHidden/>
              </w:rPr>
              <w:fldChar w:fldCharType="begin"/>
            </w:r>
            <w:r w:rsidR="009D498A">
              <w:rPr>
                <w:noProof/>
                <w:webHidden/>
              </w:rPr>
              <w:instrText xml:space="preserve"> PAGEREF _Toc525121943 \h </w:instrText>
            </w:r>
            <w:r w:rsidR="009D498A">
              <w:rPr>
                <w:noProof/>
                <w:webHidden/>
              </w:rPr>
            </w:r>
            <w:r w:rsidR="009D498A">
              <w:rPr>
                <w:noProof/>
                <w:webHidden/>
              </w:rPr>
              <w:fldChar w:fldCharType="separate"/>
            </w:r>
            <w:r w:rsidR="00C817BE">
              <w:rPr>
                <w:noProof/>
                <w:webHidden/>
              </w:rPr>
              <w:t>46</w:t>
            </w:r>
            <w:r w:rsidR="009D498A">
              <w:rPr>
                <w:noProof/>
                <w:webHidden/>
              </w:rPr>
              <w:fldChar w:fldCharType="end"/>
            </w:r>
          </w:hyperlink>
        </w:p>
        <w:p w14:paraId="71B405D1" w14:textId="77777777" w:rsidR="009D498A" w:rsidRDefault="0029111E">
          <w:pPr>
            <w:pStyle w:val="TOC3"/>
            <w:rPr>
              <w:rFonts w:asciiTheme="minorHAnsi" w:eastAsiaTheme="minorEastAsia" w:hAnsiTheme="minorHAnsi" w:cstheme="minorBidi"/>
              <w:noProof/>
              <w:sz w:val="22"/>
              <w:szCs w:val="22"/>
              <w:lang w:eastAsia="en-AU"/>
            </w:rPr>
          </w:pPr>
          <w:hyperlink w:anchor="_Toc525121944" w:history="1">
            <w:r w:rsidR="009D498A" w:rsidRPr="00C46616">
              <w:rPr>
                <w:rStyle w:val="Hyperlink"/>
                <w:noProof/>
              </w:rPr>
              <w:t>Board Governance Policy: Official Communication</w:t>
            </w:r>
            <w:r w:rsidR="009D498A">
              <w:rPr>
                <w:noProof/>
                <w:webHidden/>
              </w:rPr>
              <w:tab/>
            </w:r>
            <w:r w:rsidR="009D498A">
              <w:rPr>
                <w:noProof/>
                <w:webHidden/>
              </w:rPr>
              <w:fldChar w:fldCharType="begin"/>
            </w:r>
            <w:r w:rsidR="009D498A">
              <w:rPr>
                <w:noProof/>
                <w:webHidden/>
              </w:rPr>
              <w:instrText xml:space="preserve"> PAGEREF _Toc525121944 \h </w:instrText>
            </w:r>
            <w:r w:rsidR="009D498A">
              <w:rPr>
                <w:noProof/>
                <w:webHidden/>
              </w:rPr>
            </w:r>
            <w:r w:rsidR="009D498A">
              <w:rPr>
                <w:noProof/>
                <w:webHidden/>
              </w:rPr>
              <w:fldChar w:fldCharType="separate"/>
            </w:r>
            <w:r w:rsidR="00C817BE">
              <w:rPr>
                <w:noProof/>
                <w:webHidden/>
              </w:rPr>
              <w:t>47</w:t>
            </w:r>
            <w:r w:rsidR="009D498A">
              <w:rPr>
                <w:noProof/>
                <w:webHidden/>
              </w:rPr>
              <w:fldChar w:fldCharType="end"/>
            </w:r>
          </w:hyperlink>
        </w:p>
        <w:p w14:paraId="2250278D" w14:textId="77777777" w:rsidR="009D498A" w:rsidRDefault="0029111E">
          <w:pPr>
            <w:pStyle w:val="TOC3"/>
            <w:rPr>
              <w:rFonts w:asciiTheme="minorHAnsi" w:eastAsiaTheme="minorEastAsia" w:hAnsiTheme="minorHAnsi" w:cstheme="minorBidi"/>
              <w:noProof/>
              <w:sz w:val="22"/>
              <w:szCs w:val="22"/>
              <w:lang w:eastAsia="en-AU"/>
            </w:rPr>
          </w:pPr>
          <w:hyperlink w:anchor="_Toc525121945" w:history="1">
            <w:r w:rsidR="009D498A" w:rsidRPr="00C46616">
              <w:rPr>
                <w:rStyle w:val="Hyperlink"/>
                <w:noProof/>
              </w:rPr>
              <w:t>Public Interest Disclosure</w:t>
            </w:r>
            <w:r w:rsidR="009D498A">
              <w:rPr>
                <w:noProof/>
                <w:webHidden/>
              </w:rPr>
              <w:tab/>
            </w:r>
            <w:r w:rsidR="009D498A">
              <w:rPr>
                <w:noProof/>
                <w:webHidden/>
              </w:rPr>
              <w:fldChar w:fldCharType="begin"/>
            </w:r>
            <w:r w:rsidR="009D498A">
              <w:rPr>
                <w:noProof/>
                <w:webHidden/>
              </w:rPr>
              <w:instrText xml:space="preserve"> PAGEREF _Toc525121945 \h </w:instrText>
            </w:r>
            <w:r w:rsidR="009D498A">
              <w:rPr>
                <w:noProof/>
                <w:webHidden/>
              </w:rPr>
            </w:r>
            <w:r w:rsidR="009D498A">
              <w:rPr>
                <w:noProof/>
                <w:webHidden/>
              </w:rPr>
              <w:fldChar w:fldCharType="separate"/>
            </w:r>
            <w:r w:rsidR="00C817BE">
              <w:rPr>
                <w:noProof/>
                <w:webHidden/>
              </w:rPr>
              <w:t>47</w:t>
            </w:r>
            <w:r w:rsidR="009D498A">
              <w:rPr>
                <w:noProof/>
                <w:webHidden/>
              </w:rPr>
              <w:fldChar w:fldCharType="end"/>
            </w:r>
          </w:hyperlink>
        </w:p>
        <w:p w14:paraId="780A132D" w14:textId="77777777" w:rsidR="009D498A" w:rsidRDefault="0029111E">
          <w:pPr>
            <w:pStyle w:val="TOC3"/>
            <w:rPr>
              <w:rFonts w:asciiTheme="minorHAnsi" w:eastAsiaTheme="minorEastAsia" w:hAnsiTheme="minorHAnsi" w:cstheme="minorBidi"/>
              <w:noProof/>
              <w:sz w:val="22"/>
              <w:szCs w:val="22"/>
              <w:lang w:eastAsia="en-AU"/>
            </w:rPr>
          </w:pPr>
          <w:hyperlink w:anchor="_Toc525121946" w:history="1">
            <w:r w:rsidR="009D498A" w:rsidRPr="00C46616">
              <w:rPr>
                <w:rStyle w:val="Hyperlink"/>
                <w:noProof/>
              </w:rPr>
              <w:t>Freedom of Information</w:t>
            </w:r>
            <w:r w:rsidR="009D498A">
              <w:rPr>
                <w:noProof/>
                <w:webHidden/>
              </w:rPr>
              <w:tab/>
            </w:r>
            <w:r w:rsidR="009D498A">
              <w:rPr>
                <w:noProof/>
                <w:webHidden/>
              </w:rPr>
              <w:fldChar w:fldCharType="begin"/>
            </w:r>
            <w:r w:rsidR="009D498A">
              <w:rPr>
                <w:noProof/>
                <w:webHidden/>
              </w:rPr>
              <w:instrText xml:space="preserve"> PAGEREF _Toc525121946 \h </w:instrText>
            </w:r>
            <w:r w:rsidR="009D498A">
              <w:rPr>
                <w:noProof/>
                <w:webHidden/>
              </w:rPr>
            </w:r>
            <w:r w:rsidR="009D498A">
              <w:rPr>
                <w:noProof/>
                <w:webHidden/>
              </w:rPr>
              <w:fldChar w:fldCharType="separate"/>
            </w:r>
            <w:r w:rsidR="00C817BE">
              <w:rPr>
                <w:noProof/>
                <w:webHidden/>
              </w:rPr>
              <w:t>47</w:t>
            </w:r>
            <w:r w:rsidR="009D498A">
              <w:rPr>
                <w:noProof/>
                <w:webHidden/>
              </w:rPr>
              <w:fldChar w:fldCharType="end"/>
            </w:r>
          </w:hyperlink>
        </w:p>
        <w:p w14:paraId="358EA613" w14:textId="77777777" w:rsidR="009D498A" w:rsidRDefault="0029111E">
          <w:pPr>
            <w:pStyle w:val="TOC3"/>
            <w:rPr>
              <w:rFonts w:asciiTheme="minorHAnsi" w:eastAsiaTheme="minorEastAsia" w:hAnsiTheme="minorHAnsi" w:cstheme="minorBidi"/>
              <w:noProof/>
              <w:sz w:val="22"/>
              <w:szCs w:val="22"/>
              <w:lang w:eastAsia="en-AU"/>
            </w:rPr>
          </w:pPr>
          <w:hyperlink w:anchor="_Toc525121947" w:history="1">
            <w:r w:rsidR="009D498A" w:rsidRPr="00C46616">
              <w:rPr>
                <w:rStyle w:val="Hyperlink"/>
                <w:noProof/>
              </w:rPr>
              <w:t>Additional communications policies</w:t>
            </w:r>
            <w:r w:rsidR="009D498A">
              <w:rPr>
                <w:noProof/>
                <w:webHidden/>
              </w:rPr>
              <w:tab/>
            </w:r>
            <w:r w:rsidR="009D498A">
              <w:rPr>
                <w:noProof/>
                <w:webHidden/>
              </w:rPr>
              <w:fldChar w:fldCharType="begin"/>
            </w:r>
            <w:r w:rsidR="009D498A">
              <w:rPr>
                <w:noProof/>
                <w:webHidden/>
              </w:rPr>
              <w:instrText xml:space="preserve"> PAGEREF _Toc525121947 \h </w:instrText>
            </w:r>
            <w:r w:rsidR="009D498A">
              <w:rPr>
                <w:noProof/>
                <w:webHidden/>
              </w:rPr>
            </w:r>
            <w:r w:rsidR="009D498A">
              <w:rPr>
                <w:noProof/>
                <w:webHidden/>
              </w:rPr>
              <w:fldChar w:fldCharType="separate"/>
            </w:r>
            <w:r w:rsidR="00C817BE">
              <w:rPr>
                <w:noProof/>
                <w:webHidden/>
              </w:rPr>
              <w:t>47</w:t>
            </w:r>
            <w:r w:rsidR="009D498A">
              <w:rPr>
                <w:noProof/>
                <w:webHidden/>
              </w:rPr>
              <w:fldChar w:fldCharType="end"/>
            </w:r>
          </w:hyperlink>
        </w:p>
        <w:p w14:paraId="3C86032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48" w:history="1">
            <w:r w:rsidR="009D498A" w:rsidRPr="00C46616">
              <w:rPr>
                <w:rStyle w:val="Hyperlink"/>
                <w:noProof/>
              </w:rPr>
              <w:t>Risk management policies</w:t>
            </w:r>
            <w:r w:rsidR="009D498A">
              <w:rPr>
                <w:noProof/>
                <w:webHidden/>
              </w:rPr>
              <w:tab/>
            </w:r>
            <w:r w:rsidR="009D498A">
              <w:rPr>
                <w:noProof/>
                <w:webHidden/>
              </w:rPr>
              <w:fldChar w:fldCharType="begin"/>
            </w:r>
            <w:r w:rsidR="009D498A">
              <w:rPr>
                <w:noProof/>
                <w:webHidden/>
              </w:rPr>
              <w:instrText xml:space="preserve"> PAGEREF _Toc525121948 \h </w:instrText>
            </w:r>
            <w:r w:rsidR="009D498A">
              <w:rPr>
                <w:noProof/>
                <w:webHidden/>
              </w:rPr>
            </w:r>
            <w:r w:rsidR="009D498A">
              <w:rPr>
                <w:noProof/>
                <w:webHidden/>
              </w:rPr>
              <w:fldChar w:fldCharType="separate"/>
            </w:r>
            <w:r w:rsidR="00C817BE">
              <w:rPr>
                <w:noProof/>
                <w:webHidden/>
              </w:rPr>
              <w:t>48</w:t>
            </w:r>
            <w:r w:rsidR="009D498A">
              <w:rPr>
                <w:noProof/>
                <w:webHidden/>
              </w:rPr>
              <w:fldChar w:fldCharType="end"/>
            </w:r>
          </w:hyperlink>
        </w:p>
        <w:p w14:paraId="7C33468E" w14:textId="77777777" w:rsidR="009D498A" w:rsidRDefault="0029111E">
          <w:pPr>
            <w:pStyle w:val="TOC3"/>
            <w:rPr>
              <w:rFonts w:asciiTheme="minorHAnsi" w:eastAsiaTheme="minorEastAsia" w:hAnsiTheme="minorHAnsi" w:cstheme="minorBidi"/>
              <w:noProof/>
              <w:sz w:val="22"/>
              <w:szCs w:val="22"/>
              <w:lang w:eastAsia="en-AU"/>
            </w:rPr>
          </w:pPr>
          <w:hyperlink w:anchor="_Toc525121949" w:history="1">
            <w:r w:rsidR="009D498A" w:rsidRPr="00C46616">
              <w:rPr>
                <w:rStyle w:val="Hyperlink"/>
                <w:noProof/>
              </w:rPr>
              <w:t>Enterprise Risk Management Framework</w:t>
            </w:r>
            <w:r w:rsidR="009D498A">
              <w:rPr>
                <w:noProof/>
                <w:webHidden/>
              </w:rPr>
              <w:tab/>
            </w:r>
            <w:r w:rsidR="009D498A">
              <w:rPr>
                <w:noProof/>
                <w:webHidden/>
              </w:rPr>
              <w:fldChar w:fldCharType="begin"/>
            </w:r>
            <w:r w:rsidR="009D498A">
              <w:rPr>
                <w:noProof/>
                <w:webHidden/>
              </w:rPr>
              <w:instrText xml:space="preserve"> PAGEREF _Toc525121949 \h </w:instrText>
            </w:r>
            <w:r w:rsidR="009D498A">
              <w:rPr>
                <w:noProof/>
                <w:webHidden/>
              </w:rPr>
            </w:r>
            <w:r w:rsidR="009D498A">
              <w:rPr>
                <w:noProof/>
                <w:webHidden/>
              </w:rPr>
              <w:fldChar w:fldCharType="separate"/>
            </w:r>
            <w:r w:rsidR="00C817BE">
              <w:rPr>
                <w:noProof/>
                <w:webHidden/>
              </w:rPr>
              <w:t>48</w:t>
            </w:r>
            <w:r w:rsidR="009D498A">
              <w:rPr>
                <w:noProof/>
                <w:webHidden/>
              </w:rPr>
              <w:fldChar w:fldCharType="end"/>
            </w:r>
          </w:hyperlink>
        </w:p>
        <w:p w14:paraId="5626A48E" w14:textId="77777777" w:rsidR="009D498A" w:rsidRDefault="0029111E">
          <w:pPr>
            <w:pStyle w:val="TOC3"/>
            <w:rPr>
              <w:rFonts w:asciiTheme="minorHAnsi" w:eastAsiaTheme="minorEastAsia" w:hAnsiTheme="minorHAnsi" w:cstheme="minorBidi"/>
              <w:noProof/>
              <w:sz w:val="22"/>
              <w:szCs w:val="22"/>
              <w:lang w:eastAsia="en-AU"/>
            </w:rPr>
          </w:pPr>
          <w:hyperlink w:anchor="_Toc525121950" w:history="1">
            <w:r w:rsidR="009D498A" w:rsidRPr="00C46616">
              <w:rPr>
                <w:rStyle w:val="Hyperlink"/>
                <w:noProof/>
              </w:rPr>
              <w:t>Other policies and procedures</w:t>
            </w:r>
            <w:r w:rsidR="009D498A">
              <w:rPr>
                <w:noProof/>
                <w:webHidden/>
              </w:rPr>
              <w:tab/>
            </w:r>
            <w:r w:rsidR="009D498A">
              <w:rPr>
                <w:noProof/>
                <w:webHidden/>
              </w:rPr>
              <w:fldChar w:fldCharType="begin"/>
            </w:r>
            <w:r w:rsidR="009D498A">
              <w:rPr>
                <w:noProof/>
                <w:webHidden/>
              </w:rPr>
              <w:instrText xml:space="preserve"> PAGEREF _Toc525121950 \h </w:instrText>
            </w:r>
            <w:r w:rsidR="009D498A">
              <w:rPr>
                <w:noProof/>
                <w:webHidden/>
              </w:rPr>
            </w:r>
            <w:r w:rsidR="009D498A">
              <w:rPr>
                <w:noProof/>
                <w:webHidden/>
              </w:rPr>
              <w:fldChar w:fldCharType="separate"/>
            </w:r>
            <w:r w:rsidR="00C817BE">
              <w:rPr>
                <w:noProof/>
                <w:webHidden/>
              </w:rPr>
              <w:t>48</w:t>
            </w:r>
            <w:r w:rsidR="009D498A">
              <w:rPr>
                <w:noProof/>
                <w:webHidden/>
              </w:rPr>
              <w:fldChar w:fldCharType="end"/>
            </w:r>
          </w:hyperlink>
        </w:p>
        <w:p w14:paraId="2383B5E0" w14:textId="77777777" w:rsidR="009D498A" w:rsidRDefault="0029111E">
          <w:pPr>
            <w:pStyle w:val="TOC1"/>
            <w:rPr>
              <w:rFonts w:asciiTheme="minorHAnsi" w:eastAsiaTheme="minorEastAsia" w:hAnsiTheme="minorHAnsi" w:cstheme="minorBidi"/>
              <w:sz w:val="22"/>
              <w:szCs w:val="22"/>
              <w:lang w:eastAsia="en-AU"/>
            </w:rPr>
          </w:pPr>
          <w:hyperlink w:anchor="_Toc525121951" w:history="1">
            <w:r w:rsidR="009D498A" w:rsidRPr="00C46616">
              <w:rPr>
                <w:rStyle w:val="Hyperlink"/>
              </w:rPr>
              <w:t>Performance Management Framework</w:t>
            </w:r>
            <w:r w:rsidR="009D498A">
              <w:rPr>
                <w:webHidden/>
              </w:rPr>
              <w:tab/>
            </w:r>
            <w:r w:rsidR="009D498A">
              <w:rPr>
                <w:webHidden/>
              </w:rPr>
              <w:fldChar w:fldCharType="begin"/>
            </w:r>
            <w:r w:rsidR="009D498A">
              <w:rPr>
                <w:webHidden/>
              </w:rPr>
              <w:instrText xml:space="preserve"> PAGEREF _Toc525121951 \h </w:instrText>
            </w:r>
            <w:r w:rsidR="009D498A">
              <w:rPr>
                <w:webHidden/>
              </w:rPr>
            </w:r>
            <w:r w:rsidR="009D498A">
              <w:rPr>
                <w:webHidden/>
              </w:rPr>
              <w:fldChar w:fldCharType="separate"/>
            </w:r>
            <w:r w:rsidR="00C817BE">
              <w:rPr>
                <w:webHidden/>
              </w:rPr>
              <w:t>49</w:t>
            </w:r>
            <w:r w:rsidR="009D498A">
              <w:rPr>
                <w:webHidden/>
              </w:rPr>
              <w:fldChar w:fldCharType="end"/>
            </w:r>
          </w:hyperlink>
        </w:p>
        <w:p w14:paraId="0EE5277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52" w:history="1">
            <w:r w:rsidR="009D498A" w:rsidRPr="00C46616">
              <w:rPr>
                <w:rStyle w:val="Hyperlink"/>
                <w:noProof/>
              </w:rPr>
              <w:t>Outcome Based Management structure</w:t>
            </w:r>
            <w:r w:rsidR="009D498A">
              <w:rPr>
                <w:noProof/>
                <w:webHidden/>
              </w:rPr>
              <w:tab/>
            </w:r>
            <w:r w:rsidR="009D498A">
              <w:rPr>
                <w:noProof/>
                <w:webHidden/>
              </w:rPr>
              <w:fldChar w:fldCharType="begin"/>
            </w:r>
            <w:r w:rsidR="009D498A">
              <w:rPr>
                <w:noProof/>
                <w:webHidden/>
              </w:rPr>
              <w:instrText xml:space="preserve"> PAGEREF _Toc525121952 \h </w:instrText>
            </w:r>
            <w:r w:rsidR="009D498A">
              <w:rPr>
                <w:noProof/>
                <w:webHidden/>
              </w:rPr>
            </w:r>
            <w:r w:rsidR="009D498A">
              <w:rPr>
                <w:noProof/>
                <w:webHidden/>
              </w:rPr>
              <w:fldChar w:fldCharType="separate"/>
            </w:r>
            <w:r w:rsidR="00C817BE">
              <w:rPr>
                <w:noProof/>
                <w:webHidden/>
              </w:rPr>
              <w:t>49</w:t>
            </w:r>
            <w:r w:rsidR="009D498A">
              <w:rPr>
                <w:noProof/>
                <w:webHidden/>
              </w:rPr>
              <w:fldChar w:fldCharType="end"/>
            </w:r>
          </w:hyperlink>
        </w:p>
        <w:p w14:paraId="0828F3CE" w14:textId="77777777" w:rsidR="009D498A" w:rsidRDefault="0029111E">
          <w:pPr>
            <w:pStyle w:val="TOC3"/>
            <w:rPr>
              <w:rFonts w:asciiTheme="minorHAnsi" w:eastAsiaTheme="minorEastAsia" w:hAnsiTheme="minorHAnsi" w:cstheme="minorBidi"/>
              <w:noProof/>
              <w:sz w:val="22"/>
              <w:szCs w:val="22"/>
              <w:lang w:eastAsia="en-AU"/>
            </w:rPr>
          </w:pPr>
          <w:hyperlink w:anchor="_Toc525121953" w:history="1">
            <w:r w:rsidR="009D498A" w:rsidRPr="00C46616">
              <w:rPr>
                <w:rStyle w:val="Hyperlink"/>
                <w:noProof/>
              </w:rPr>
              <w:t>Other government goals</w:t>
            </w:r>
            <w:r w:rsidR="009D498A">
              <w:rPr>
                <w:noProof/>
                <w:webHidden/>
              </w:rPr>
              <w:tab/>
            </w:r>
            <w:r w:rsidR="009D498A">
              <w:rPr>
                <w:noProof/>
                <w:webHidden/>
              </w:rPr>
              <w:fldChar w:fldCharType="begin"/>
            </w:r>
            <w:r w:rsidR="009D498A">
              <w:rPr>
                <w:noProof/>
                <w:webHidden/>
              </w:rPr>
              <w:instrText xml:space="preserve"> PAGEREF _Toc525121953 \h </w:instrText>
            </w:r>
            <w:r w:rsidR="009D498A">
              <w:rPr>
                <w:noProof/>
                <w:webHidden/>
              </w:rPr>
            </w:r>
            <w:r w:rsidR="009D498A">
              <w:rPr>
                <w:noProof/>
                <w:webHidden/>
              </w:rPr>
              <w:fldChar w:fldCharType="separate"/>
            </w:r>
            <w:r w:rsidR="00C817BE">
              <w:rPr>
                <w:noProof/>
                <w:webHidden/>
              </w:rPr>
              <w:t>50</w:t>
            </w:r>
            <w:r w:rsidR="009D498A">
              <w:rPr>
                <w:noProof/>
                <w:webHidden/>
              </w:rPr>
              <w:fldChar w:fldCharType="end"/>
            </w:r>
          </w:hyperlink>
        </w:p>
        <w:p w14:paraId="261DCFF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54" w:history="1">
            <w:r w:rsidR="009D498A" w:rsidRPr="00C46616">
              <w:rPr>
                <w:rStyle w:val="Hyperlink"/>
                <w:noProof/>
              </w:rPr>
              <w:t>Shared responsibilities with other agencies</w:t>
            </w:r>
            <w:r w:rsidR="009D498A">
              <w:rPr>
                <w:noProof/>
                <w:webHidden/>
              </w:rPr>
              <w:tab/>
            </w:r>
            <w:r w:rsidR="009D498A">
              <w:rPr>
                <w:noProof/>
                <w:webHidden/>
              </w:rPr>
              <w:fldChar w:fldCharType="begin"/>
            </w:r>
            <w:r w:rsidR="009D498A">
              <w:rPr>
                <w:noProof/>
                <w:webHidden/>
              </w:rPr>
              <w:instrText xml:space="preserve"> PAGEREF _Toc525121954 \h </w:instrText>
            </w:r>
            <w:r w:rsidR="009D498A">
              <w:rPr>
                <w:noProof/>
                <w:webHidden/>
              </w:rPr>
            </w:r>
            <w:r w:rsidR="009D498A">
              <w:rPr>
                <w:noProof/>
                <w:webHidden/>
              </w:rPr>
              <w:fldChar w:fldCharType="separate"/>
            </w:r>
            <w:r w:rsidR="00C817BE">
              <w:rPr>
                <w:noProof/>
                <w:webHidden/>
              </w:rPr>
              <w:t>53</w:t>
            </w:r>
            <w:r w:rsidR="009D498A">
              <w:rPr>
                <w:noProof/>
                <w:webHidden/>
              </w:rPr>
              <w:fldChar w:fldCharType="end"/>
            </w:r>
          </w:hyperlink>
        </w:p>
        <w:p w14:paraId="60BF53E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55" w:history="1">
            <w:r w:rsidR="009D498A" w:rsidRPr="00C46616">
              <w:rPr>
                <w:rStyle w:val="Hyperlink"/>
                <w:noProof/>
              </w:rPr>
              <w:t>How we measure our performance</w:t>
            </w:r>
            <w:r w:rsidR="009D498A">
              <w:rPr>
                <w:noProof/>
                <w:webHidden/>
              </w:rPr>
              <w:tab/>
            </w:r>
            <w:r w:rsidR="009D498A">
              <w:rPr>
                <w:noProof/>
                <w:webHidden/>
              </w:rPr>
              <w:fldChar w:fldCharType="begin"/>
            </w:r>
            <w:r w:rsidR="009D498A">
              <w:rPr>
                <w:noProof/>
                <w:webHidden/>
              </w:rPr>
              <w:instrText xml:space="preserve"> PAGEREF _Toc525121955 \h </w:instrText>
            </w:r>
            <w:r w:rsidR="009D498A">
              <w:rPr>
                <w:noProof/>
                <w:webHidden/>
              </w:rPr>
            </w:r>
            <w:r w:rsidR="009D498A">
              <w:rPr>
                <w:noProof/>
                <w:webHidden/>
              </w:rPr>
              <w:fldChar w:fldCharType="separate"/>
            </w:r>
            <w:r w:rsidR="00C817BE">
              <w:rPr>
                <w:noProof/>
                <w:webHidden/>
              </w:rPr>
              <w:t>53</w:t>
            </w:r>
            <w:r w:rsidR="009D498A">
              <w:rPr>
                <w:noProof/>
                <w:webHidden/>
              </w:rPr>
              <w:fldChar w:fldCharType="end"/>
            </w:r>
          </w:hyperlink>
        </w:p>
        <w:p w14:paraId="2702885B" w14:textId="77777777" w:rsidR="009D498A" w:rsidRDefault="0029111E">
          <w:pPr>
            <w:pStyle w:val="TOC3"/>
            <w:rPr>
              <w:rFonts w:asciiTheme="minorHAnsi" w:eastAsiaTheme="minorEastAsia" w:hAnsiTheme="minorHAnsi" w:cstheme="minorBidi"/>
              <w:noProof/>
              <w:sz w:val="22"/>
              <w:szCs w:val="22"/>
              <w:lang w:eastAsia="en-AU"/>
            </w:rPr>
          </w:pPr>
          <w:hyperlink w:anchor="_Toc525121956" w:history="1">
            <w:r w:rsidR="009D498A" w:rsidRPr="00C46616">
              <w:rPr>
                <w:rStyle w:val="Hyperlink"/>
                <w:noProof/>
              </w:rPr>
              <w:t>Key Performance Indicators</w:t>
            </w:r>
            <w:r w:rsidR="009D498A">
              <w:rPr>
                <w:noProof/>
                <w:webHidden/>
              </w:rPr>
              <w:tab/>
            </w:r>
            <w:r w:rsidR="009D498A">
              <w:rPr>
                <w:noProof/>
                <w:webHidden/>
              </w:rPr>
              <w:fldChar w:fldCharType="begin"/>
            </w:r>
            <w:r w:rsidR="009D498A">
              <w:rPr>
                <w:noProof/>
                <w:webHidden/>
              </w:rPr>
              <w:instrText xml:space="preserve"> PAGEREF _Toc525121956 \h </w:instrText>
            </w:r>
            <w:r w:rsidR="009D498A">
              <w:rPr>
                <w:noProof/>
                <w:webHidden/>
              </w:rPr>
            </w:r>
            <w:r w:rsidR="009D498A">
              <w:rPr>
                <w:noProof/>
                <w:webHidden/>
              </w:rPr>
              <w:fldChar w:fldCharType="separate"/>
            </w:r>
            <w:r w:rsidR="00C817BE">
              <w:rPr>
                <w:noProof/>
                <w:webHidden/>
              </w:rPr>
              <w:t>53</w:t>
            </w:r>
            <w:r w:rsidR="009D498A">
              <w:rPr>
                <w:noProof/>
                <w:webHidden/>
              </w:rPr>
              <w:fldChar w:fldCharType="end"/>
            </w:r>
          </w:hyperlink>
        </w:p>
        <w:p w14:paraId="2735D0D2" w14:textId="77777777" w:rsidR="009D498A" w:rsidRDefault="0029111E">
          <w:pPr>
            <w:pStyle w:val="TOC1"/>
            <w:rPr>
              <w:rFonts w:asciiTheme="minorHAnsi" w:eastAsiaTheme="minorEastAsia" w:hAnsiTheme="minorHAnsi" w:cstheme="minorBidi"/>
              <w:sz w:val="22"/>
              <w:szCs w:val="22"/>
              <w:lang w:eastAsia="en-AU"/>
            </w:rPr>
          </w:pPr>
          <w:hyperlink w:anchor="_Toc525121957" w:history="1">
            <w:r w:rsidR="009D498A" w:rsidRPr="00C46616">
              <w:rPr>
                <w:rStyle w:val="Hyperlink"/>
              </w:rPr>
              <w:t>People</w:t>
            </w:r>
            <w:r w:rsidR="009D498A">
              <w:rPr>
                <w:webHidden/>
              </w:rPr>
              <w:tab/>
            </w:r>
            <w:r w:rsidR="009D498A">
              <w:rPr>
                <w:webHidden/>
              </w:rPr>
              <w:fldChar w:fldCharType="begin"/>
            </w:r>
            <w:r w:rsidR="009D498A">
              <w:rPr>
                <w:webHidden/>
              </w:rPr>
              <w:instrText xml:space="preserve"> PAGEREF _Toc525121957 \h </w:instrText>
            </w:r>
            <w:r w:rsidR="009D498A">
              <w:rPr>
                <w:webHidden/>
              </w:rPr>
            </w:r>
            <w:r w:rsidR="009D498A">
              <w:rPr>
                <w:webHidden/>
              </w:rPr>
              <w:fldChar w:fldCharType="separate"/>
            </w:r>
            <w:r w:rsidR="00C817BE">
              <w:rPr>
                <w:webHidden/>
              </w:rPr>
              <w:t>54</w:t>
            </w:r>
            <w:r w:rsidR="009D498A">
              <w:rPr>
                <w:webHidden/>
              </w:rPr>
              <w:fldChar w:fldCharType="end"/>
            </w:r>
          </w:hyperlink>
        </w:p>
        <w:p w14:paraId="5698BFE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58" w:history="1">
            <w:r w:rsidR="009D498A" w:rsidRPr="00C46616">
              <w:rPr>
                <w:rStyle w:val="Hyperlink"/>
                <w:noProof/>
              </w:rPr>
              <w:t>Workforce profile</w:t>
            </w:r>
            <w:r w:rsidR="009D498A">
              <w:rPr>
                <w:noProof/>
                <w:webHidden/>
              </w:rPr>
              <w:tab/>
            </w:r>
            <w:r w:rsidR="009D498A">
              <w:rPr>
                <w:noProof/>
                <w:webHidden/>
              </w:rPr>
              <w:fldChar w:fldCharType="begin"/>
            </w:r>
            <w:r w:rsidR="009D498A">
              <w:rPr>
                <w:noProof/>
                <w:webHidden/>
              </w:rPr>
              <w:instrText xml:space="preserve"> PAGEREF _Toc525121958 \h </w:instrText>
            </w:r>
            <w:r w:rsidR="009D498A">
              <w:rPr>
                <w:noProof/>
                <w:webHidden/>
              </w:rPr>
            </w:r>
            <w:r w:rsidR="009D498A">
              <w:rPr>
                <w:noProof/>
                <w:webHidden/>
              </w:rPr>
              <w:fldChar w:fldCharType="separate"/>
            </w:r>
            <w:r w:rsidR="00C817BE">
              <w:rPr>
                <w:noProof/>
                <w:webHidden/>
              </w:rPr>
              <w:t>54</w:t>
            </w:r>
            <w:r w:rsidR="009D498A">
              <w:rPr>
                <w:noProof/>
                <w:webHidden/>
              </w:rPr>
              <w:fldChar w:fldCharType="end"/>
            </w:r>
          </w:hyperlink>
        </w:p>
        <w:p w14:paraId="3D0638C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59" w:history="1">
            <w:r w:rsidR="009D498A" w:rsidRPr="00C46616">
              <w:rPr>
                <w:rStyle w:val="Hyperlink"/>
                <w:noProof/>
              </w:rPr>
              <w:t>Workforce policies</w:t>
            </w:r>
            <w:r w:rsidR="009D498A">
              <w:rPr>
                <w:noProof/>
                <w:webHidden/>
              </w:rPr>
              <w:tab/>
            </w:r>
            <w:r w:rsidR="009D498A">
              <w:rPr>
                <w:noProof/>
                <w:webHidden/>
              </w:rPr>
              <w:fldChar w:fldCharType="begin"/>
            </w:r>
            <w:r w:rsidR="009D498A">
              <w:rPr>
                <w:noProof/>
                <w:webHidden/>
              </w:rPr>
              <w:instrText xml:space="preserve"> PAGEREF _Toc525121959 \h </w:instrText>
            </w:r>
            <w:r w:rsidR="009D498A">
              <w:rPr>
                <w:noProof/>
                <w:webHidden/>
              </w:rPr>
            </w:r>
            <w:r w:rsidR="009D498A">
              <w:rPr>
                <w:noProof/>
                <w:webHidden/>
              </w:rPr>
              <w:fldChar w:fldCharType="separate"/>
            </w:r>
            <w:r w:rsidR="00C817BE">
              <w:rPr>
                <w:noProof/>
                <w:webHidden/>
              </w:rPr>
              <w:t>55</w:t>
            </w:r>
            <w:r w:rsidR="009D498A">
              <w:rPr>
                <w:noProof/>
                <w:webHidden/>
              </w:rPr>
              <w:fldChar w:fldCharType="end"/>
            </w:r>
          </w:hyperlink>
        </w:p>
        <w:p w14:paraId="32BC6DC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0" w:history="1">
            <w:r w:rsidR="009D498A" w:rsidRPr="00C46616">
              <w:rPr>
                <w:rStyle w:val="Hyperlink"/>
                <w:noProof/>
              </w:rPr>
              <w:t>Strategic Workforce and Diversity Plan 2015-2018</w:t>
            </w:r>
            <w:r w:rsidR="009D498A">
              <w:rPr>
                <w:noProof/>
                <w:webHidden/>
              </w:rPr>
              <w:tab/>
            </w:r>
            <w:r w:rsidR="009D498A">
              <w:rPr>
                <w:noProof/>
                <w:webHidden/>
              </w:rPr>
              <w:fldChar w:fldCharType="begin"/>
            </w:r>
            <w:r w:rsidR="009D498A">
              <w:rPr>
                <w:noProof/>
                <w:webHidden/>
              </w:rPr>
              <w:instrText xml:space="preserve"> PAGEREF _Toc525121960 \h </w:instrText>
            </w:r>
            <w:r w:rsidR="009D498A">
              <w:rPr>
                <w:noProof/>
                <w:webHidden/>
              </w:rPr>
            </w:r>
            <w:r w:rsidR="009D498A">
              <w:rPr>
                <w:noProof/>
                <w:webHidden/>
              </w:rPr>
              <w:fldChar w:fldCharType="separate"/>
            </w:r>
            <w:r w:rsidR="00C817BE">
              <w:rPr>
                <w:noProof/>
                <w:webHidden/>
              </w:rPr>
              <w:t>55</w:t>
            </w:r>
            <w:r w:rsidR="009D498A">
              <w:rPr>
                <w:noProof/>
                <w:webHidden/>
              </w:rPr>
              <w:fldChar w:fldCharType="end"/>
            </w:r>
          </w:hyperlink>
        </w:p>
        <w:p w14:paraId="01CB419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1" w:history="1">
            <w:r w:rsidR="009D498A" w:rsidRPr="00C46616">
              <w:rPr>
                <w:rStyle w:val="Hyperlink"/>
                <w:noProof/>
              </w:rPr>
              <w:t>Staff engagement</w:t>
            </w:r>
            <w:r w:rsidR="009D498A">
              <w:rPr>
                <w:noProof/>
                <w:webHidden/>
              </w:rPr>
              <w:tab/>
            </w:r>
            <w:r w:rsidR="009D498A">
              <w:rPr>
                <w:noProof/>
                <w:webHidden/>
              </w:rPr>
              <w:fldChar w:fldCharType="begin"/>
            </w:r>
            <w:r w:rsidR="009D498A">
              <w:rPr>
                <w:noProof/>
                <w:webHidden/>
              </w:rPr>
              <w:instrText xml:space="preserve"> PAGEREF _Toc525121961 \h </w:instrText>
            </w:r>
            <w:r w:rsidR="009D498A">
              <w:rPr>
                <w:noProof/>
                <w:webHidden/>
              </w:rPr>
            </w:r>
            <w:r w:rsidR="009D498A">
              <w:rPr>
                <w:noProof/>
                <w:webHidden/>
              </w:rPr>
              <w:fldChar w:fldCharType="separate"/>
            </w:r>
            <w:r w:rsidR="00C817BE">
              <w:rPr>
                <w:noProof/>
                <w:webHidden/>
              </w:rPr>
              <w:t>56</w:t>
            </w:r>
            <w:r w:rsidR="009D498A">
              <w:rPr>
                <w:noProof/>
                <w:webHidden/>
              </w:rPr>
              <w:fldChar w:fldCharType="end"/>
            </w:r>
          </w:hyperlink>
        </w:p>
        <w:p w14:paraId="6D9FBB01" w14:textId="77777777" w:rsidR="009D498A" w:rsidRDefault="0029111E">
          <w:pPr>
            <w:pStyle w:val="TOC3"/>
            <w:rPr>
              <w:rFonts w:asciiTheme="minorHAnsi" w:eastAsiaTheme="minorEastAsia" w:hAnsiTheme="minorHAnsi" w:cstheme="minorBidi"/>
              <w:noProof/>
              <w:sz w:val="22"/>
              <w:szCs w:val="22"/>
              <w:lang w:eastAsia="en-AU"/>
            </w:rPr>
          </w:pPr>
          <w:hyperlink w:anchor="_Toc525121962" w:history="1">
            <w:r w:rsidR="009D498A" w:rsidRPr="00C46616">
              <w:rPr>
                <w:rStyle w:val="Hyperlink"/>
                <w:noProof/>
              </w:rPr>
              <w:t>Staff perceptions</w:t>
            </w:r>
            <w:r w:rsidR="009D498A">
              <w:rPr>
                <w:noProof/>
                <w:webHidden/>
              </w:rPr>
              <w:tab/>
            </w:r>
            <w:r w:rsidR="009D498A">
              <w:rPr>
                <w:noProof/>
                <w:webHidden/>
              </w:rPr>
              <w:fldChar w:fldCharType="begin"/>
            </w:r>
            <w:r w:rsidR="009D498A">
              <w:rPr>
                <w:noProof/>
                <w:webHidden/>
              </w:rPr>
              <w:instrText xml:space="preserve"> PAGEREF _Toc525121962 \h </w:instrText>
            </w:r>
            <w:r w:rsidR="009D498A">
              <w:rPr>
                <w:noProof/>
                <w:webHidden/>
              </w:rPr>
            </w:r>
            <w:r w:rsidR="009D498A">
              <w:rPr>
                <w:noProof/>
                <w:webHidden/>
              </w:rPr>
              <w:fldChar w:fldCharType="separate"/>
            </w:r>
            <w:r w:rsidR="00C817BE">
              <w:rPr>
                <w:noProof/>
                <w:webHidden/>
              </w:rPr>
              <w:t>56</w:t>
            </w:r>
            <w:r w:rsidR="009D498A">
              <w:rPr>
                <w:noProof/>
                <w:webHidden/>
              </w:rPr>
              <w:fldChar w:fldCharType="end"/>
            </w:r>
          </w:hyperlink>
        </w:p>
        <w:p w14:paraId="23D6195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3" w:history="1">
            <w:r w:rsidR="009D498A" w:rsidRPr="00C46616">
              <w:rPr>
                <w:rStyle w:val="Hyperlink"/>
                <w:noProof/>
              </w:rPr>
              <w:t>Structural changes</w:t>
            </w:r>
            <w:r w:rsidR="009D498A">
              <w:rPr>
                <w:noProof/>
                <w:webHidden/>
              </w:rPr>
              <w:tab/>
            </w:r>
            <w:r w:rsidR="009D498A">
              <w:rPr>
                <w:noProof/>
                <w:webHidden/>
              </w:rPr>
              <w:fldChar w:fldCharType="begin"/>
            </w:r>
            <w:r w:rsidR="009D498A">
              <w:rPr>
                <w:noProof/>
                <w:webHidden/>
              </w:rPr>
              <w:instrText xml:space="preserve"> PAGEREF _Toc525121963 \h </w:instrText>
            </w:r>
            <w:r w:rsidR="009D498A">
              <w:rPr>
                <w:noProof/>
                <w:webHidden/>
              </w:rPr>
            </w:r>
            <w:r w:rsidR="009D498A">
              <w:rPr>
                <w:noProof/>
                <w:webHidden/>
              </w:rPr>
              <w:fldChar w:fldCharType="separate"/>
            </w:r>
            <w:r w:rsidR="00C817BE">
              <w:rPr>
                <w:noProof/>
                <w:webHidden/>
              </w:rPr>
              <w:t>56</w:t>
            </w:r>
            <w:r w:rsidR="009D498A">
              <w:rPr>
                <w:noProof/>
                <w:webHidden/>
              </w:rPr>
              <w:fldChar w:fldCharType="end"/>
            </w:r>
          </w:hyperlink>
        </w:p>
        <w:p w14:paraId="6795FDE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4" w:history="1">
            <w:r w:rsidR="009D498A" w:rsidRPr="00C46616">
              <w:rPr>
                <w:rStyle w:val="Hyperlink"/>
                <w:noProof/>
              </w:rPr>
              <w:t>Voluntary Targeted Separation Scheme Summary</w:t>
            </w:r>
            <w:r w:rsidR="009D498A">
              <w:rPr>
                <w:noProof/>
                <w:webHidden/>
              </w:rPr>
              <w:tab/>
            </w:r>
            <w:r w:rsidR="009D498A">
              <w:rPr>
                <w:noProof/>
                <w:webHidden/>
              </w:rPr>
              <w:fldChar w:fldCharType="begin"/>
            </w:r>
            <w:r w:rsidR="009D498A">
              <w:rPr>
                <w:noProof/>
                <w:webHidden/>
              </w:rPr>
              <w:instrText xml:space="preserve"> PAGEREF _Toc525121964 \h </w:instrText>
            </w:r>
            <w:r w:rsidR="009D498A">
              <w:rPr>
                <w:noProof/>
                <w:webHidden/>
              </w:rPr>
            </w:r>
            <w:r w:rsidR="009D498A">
              <w:rPr>
                <w:noProof/>
                <w:webHidden/>
              </w:rPr>
              <w:fldChar w:fldCharType="separate"/>
            </w:r>
            <w:r w:rsidR="00C817BE">
              <w:rPr>
                <w:noProof/>
                <w:webHidden/>
              </w:rPr>
              <w:t>57</w:t>
            </w:r>
            <w:r w:rsidR="009D498A">
              <w:rPr>
                <w:noProof/>
                <w:webHidden/>
              </w:rPr>
              <w:fldChar w:fldCharType="end"/>
            </w:r>
          </w:hyperlink>
        </w:p>
        <w:p w14:paraId="0039AF8E" w14:textId="77777777" w:rsidR="009D498A" w:rsidRDefault="0029111E">
          <w:pPr>
            <w:pStyle w:val="TOC1"/>
            <w:rPr>
              <w:rFonts w:asciiTheme="minorHAnsi" w:eastAsiaTheme="minorEastAsia" w:hAnsiTheme="minorHAnsi" w:cstheme="minorBidi"/>
              <w:sz w:val="22"/>
              <w:szCs w:val="22"/>
              <w:lang w:eastAsia="en-AU"/>
            </w:rPr>
          </w:pPr>
          <w:hyperlink w:anchor="_Toc525121965" w:history="1">
            <w:r w:rsidR="009D498A" w:rsidRPr="00C46616">
              <w:rPr>
                <w:rStyle w:val="Hyperlink"/>
              </w:rPr>
              <w:t>Open and transparent reporting</w:t>
            </w:r>
            <w:r w:rsidR="009D498A">
              <w:rPr>
                <w:webHidden/>
              </w:rPr>
              <w:tab/>
            </w:r>
            <w:r w:rsidR="009D498A">
              <w:rPr>
                <w:webHidden/>
              </w:rPr>
              <w:fldChar w:fldCharType="begin"/>
            </w:r>
            <w:r w:rsidR="009D498A">
              <w:rPr>
                <w:webHidden/>
              </w:rPr>
              <w:instrText xml:space="preserve"> PAGEREF _Toc525121965 \h </w:instrText>
            </w:r>
            <w:r w:rsidR="009D498A">
              <w:rPr>
                <w:webHidden/>
              </w:rPr>
            </w:r>
            <w:r w:rsidR="009D498A">
              <w:rPr>
                <w:webHidden/>
              </w:rPr>
              <w:fldChar w:fldCharType="separate"/>
            </w:r>
            <w:r w:rsidR="00C817BE">
              <w:rPr>
                <w:webHidden/>
              </w:rPr>
              <w:t>58</w:t>
            </w:r>
            <w:r w:rsidR="009D498A">
              <w:rPr>
                <w:webHidden/>
              </w:rPr>
              <w:fldChar w:fldCharType="end"/>
            </w:r>
          </w:hyperlink>
        </w:p>
        <w:p w14:paraId="40109601" w14:textId="77777777" w:rsidR="009D498A" w:rsidRDefault="0029111E">
          <w:pPr>
            <w:pStyle w:val="TOC1"/>
            <w:rPr>
              <w:rFonts w:asciiTheme="minorHAnsi" w:eastAsiaTheme="minorEastAsia" w:hAnsiTheme="minorHAnsi" w:cstheme="minorBidi"/>
              <w:sz w:val="22"/>
              <w:szCs w:val="22"/>
              <w:lang w:eastAsia="en-AU"/>
            </w:rPr>
          </w:pPr>
          <w:hyperlink w:anchor="_Toc525121966" w:history="1">
            <w:r w:rsidR="009D498A" w:rsidRPr="00C46616">
              <w:rPr>
                <w:rStyle w:val="Hyperlink"/>
              </w:rPr>
              <w:t>Comparative overview</w:t>
            </w:r>
            <w:r w:rsidR="009D498A">
              <w:rPr>
                <w:webHidden/>
              </w:rPr>
              <w:tab/>
            </w:r>
            <w:r w:rsidR="009D498A">
              <w:rPr>
                <w:webHidden/>
              </w:rPr>
              <w:fldChar w:fldCharType="begin"/>
            </w:r>
            <w:r w:rsidR="009D498A">
              <w:rPr>
                <w:webHidden/>
              </w:rPr>
              <w:instrText xml:space="preserve"> PAGEREF _Toc525121966 \h </w:instrText>
            </w:r>
            <w:r w:rsidR="009D498A">
              <w:rPr>
                <w:webHidden/>
              </w:rPr>
            </w:r>
            <w:r w:rsidR="009D498A">
              <w:rPr>
                <w:webHidden/>
              </w:rPr>
              <w:fldChar w:fldCharType="separate"/>
            </w:r>
            <w:r w:rsidR="00C817BE">
              <w:rPr>
                <w:webHidden/>
              </w:rPr>
              <w:t>59</w:t>
            </w:r>
            <w:r w:rsidR="009D498A">
              <w:rPr>
                <w:webHidden/>
              </w:rPr>
              <w:fldChar w:fldCharType="end"/>
            </w:r>
          </w:hyperlink>
        </w:p>
        <w:p w14:paraId="57577FC7" w14:textId="77777777" w:rsidR="009D498A" w:rsidRDefault="0029111E">
          <w:pPr>
            <w:pStyle w:val="TOC1"/>
            <w:rPr>
              <w:rFonts w:asciiTheme="minorHAnsi" w:eastAsiaTheme="minorEastAsia" w:hAnsiTheme="minorHAnsi" w:cstheme="minorBidi"/>
              <w:sz w:val="22"/>
              <w:szCs w:val="22"/>
              <w:lang w:eastAsia="en-AU"/>
            </w:rPr>
          </w:pPr>
          <w:hyperlink w:anchor="_Toc525121967" w:history="1">
            <w:r w:rsidR="009D498A" w:rsidRPr="00C46616">
              <w:rPr>
                <w:rStyle w:val="Hyperlink"/>
              </w:rPr>
              <w:t>Scheme performance report</w:t>
            </w:r>
            <w:r w:rsidR="009D498A">
              <w:rPr>
                <w:webHidden/>
              </w:rPr>
              <w:tab/>
            </w:r>
            <w:r w:rsidR="009D498A">
              <w:rPr>
                <w:webHidden/>
              </w:rPr>
              <w:fldChar w:fldCharType="begin"/>
            </w:r>
            <w:r w:rsidR="009D498A">
              <w:rPr>
                <w:webHidden/>
              </w:rPr>
              <w:instrText xml:space="preserve"> PAGEREF _Toc525121967 \h </w:instrText>
            </w:r>
            <w:r w:rsidR="009D498A">
              <w:rPr>
                <w:webHidden/>
              </w:rPr>
            </w:r>
            <w:r w:rsidR="009D498A">
              <w:rPr>
                <w:webHidden/>
              </w:rPr>
              <w:fldChar w:fldCharType="separate"/>
            </w:r>
            <w:r w:rsidR="00C817BE">
              <w:rPr>
                <w:webHidden/>
              </w:rPr>
              <w:t>59</w:t>
            </w:r>
            <w:r w:rsidR="009D498A">
              <w:rPr>
                <w:webHidden/>
              </w:rPr>
              <w:fldChar w:fldCharType="end"/>
            </w:r>
          </w:hyperlink>
        </w:p>
        <w:p w14:paraId="52CDCE3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8" w:history="1">
            <w:r w:rsidR="009D498A" w:rsidRPr="00C46616">
              <w:rPr>
                <w:rStyle w:val="Hyperlink"/>
                <w:noProof/>
                <w:lang w:val="en-US"/>
              </w:rPr>
              <w:t>Claim numbers</w:t>
            </w:r>
            <w:r w:rsidR="009D498A">
              <w:rPr>
                <w:noProof/>
                <w:webHidden/>
              </w:rPr>
              <w:tab/>
            </w:r>
            <w:r w:rsidR="009D498A">
              <w:rPr>
                <w:noProof/>
                <w:webHidden/>
              </w:rPr>
              <w:fldChar w:fldCharType="begin"/>
            </w:r>
            <w:r w:rsidR="009D498A">
              <w:rPr>
                <w:noProof/>
                <w:webHidden/>
              </w:rPr>
              <w:instrText xml:space="preserve"> PAGEREF _Toc525121968 \h </w:instrText>
            </w:r>
            <w:r w:rsidR="009D498A">
              <w:rPr>
                <w:noProof/>
                <w:webHidden/>
              </w:rPr>
            </w:r>
            <w:r w:rsidR="009D498A">
              <w:rPr>
                <w:noProof/>
                <w:webHidden/>
              </w:rPr>
              <w:fldChar w:fldCharType="separate"/>
            </w:r>
            <w:r w:rsidR="00C817BE">
              <w:rPr>
                <w:noProof/>
                <w:webHidden/>
              </w:rPr>
              <w:t>59</w:t>
            </w:r>
            <w:r w:rsidR="009D498A">
              <w:rPr>
                <w:noProof/>
                <w:webHidden/>
              </w:rPr>
              <w:fldChar w:fldCharType="end"/>
            </w:r>
          </w:hyperlink>
        </w:p>
        <w:p w14:paraId="3C6D9E9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69" w:history="1">
            <w:r w:rsidR="009D498A" w:rsidRPr="00C46616">
              <w:rPr>
                <w:rStyle w:val="Hyperlink"/>
                <w:noProof/>
                <w:lang w:val="en-US"/>
              </w:rPr>
              <w:t>Claim trends</w:t>
            </w:r>
            <w:r w:rsidR="009D498A">
              <w:rPr>
                <w:noProof/>
                <w:webHidden/>
              </w:rPr>
              <w:tab/>
            </w:r>
            <w:r w:rsidR="009D498A">
              <w:rPr>
                <w:noProof/>
                <w:webHidden/>
              </w:rPr>
              <w:fldChar w:fldCharType="begin"/>
            </w:r>
            <w:r w:rsidR="009D498A">
              <w:rPr>
                <w:noProof/>
                <w:webHidden/>
              </w:rPr>
              <w:instrText xml:space="preserve"> PAGEREF _Toc525121969 \h </w:instrText>
            </w:r>
            <w:r w:rsidR="009D498A">
              <w:rPr>
                <w:noProof/>
                <w:webHidden/>
              </w:rPr>
            </w:r>
            <w:r w:rsidR="009D498A">
              <w:rPr>
                <w:noProof/>
                <w:webHidden/>
              </w:rPr>
              <w:fldChar w:fldCharType="separate"/>
            </w:r>
            <w:r w:rsidR="00C817BE">
              <w:rPr>
                <w:noProof/>
                <w:webHidden/>
              </w:rPr>
              <w:t>60</w:t>
            </w:r>
            <w:r w:rsidR="009D498A">
              <w:rPr>
                <w:noProof/>
                <w:webHidden/>
              </w:rPr>
              <w:fldChar w:fldCharType="end"/>
            </w:r>
          </w:hyperlink>
        </w:p>
        <w:p w14:paraId="546951E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70" w:history="1">
            <w:r w:rsidR="009D498A" w:rsidRPr="00C46616">
              <w:rPr>
                <w:rStyle w:val="Hyperlink"/>
                <w:noProof/>
                <w:lang w:val="en-US"/>
              </w:rPr>
              <w:t>Frequency rates</w:t>
            </w:r>
            <w:r w:rsidR="009D498A">
              <w:rPr>
                <w:noProof/>
                <w:webHidden/>
              </w:rPr>
              <w:tab/>
            </w:r>
            <w:r w:rsidR="009D498A">
              <w:rPr>
                <w:noProof/>
                <w:webHidden/>
              </w:rPr>
              <w:fldChar w:fldCharType="begin"/>
            </w:r>
            <w:r w:rsidR="009D498A">
              <w:rPr>
                <w:noProof/>
                <w:webHidden/>
              </w:rPr>
              <w:instrText xml:space="preserve"> PAGEREF _Toc525121970 \h </w:instrText>
            </w:r>
            <w:r w:rsidR="009D498A">
              <w:rPr>
                <w:noProof/>
                <w:webHidden/>
              </w:rPr>
            </w:r>
            <w:r w:rsidR="009D498A">
              <w:rPr>
                <w:noProof/>
                <w:webHidden/>
              </w:rPr>
              <w:fldChar w:fldCharType="separate"/>
            </w:r>
            <w:r w:rsidR="00C817BE">
              <w:rPr>
                <w:noProof/>
                <w:webHidden/>
              </w:rPr>
              <w:t>62</w:t>
            </w:r>
            <w:r w:rsidR="009D498A">
              <w:rPr>
                <w:noProof/>
                <w:webHidden/>
              </w:rPr>
              <w:fldChar w:fldCharType="end"/>
            </w:r>
          </w:hyperlink>
        </w:p>
        <w:p w14:paraId="5E66FF07" w14:textId="77777777" w:rsidR="009D498A" w:rsidRDefault="0029111E">
          <w:pPr>
            <w:pStyle w:val="TOC3"/>
            <w:rPr>
              <w:rFonts w:asciiTheme="minorHAnsi" w:eastAsiaTheme="minorEastAsia" w:hAnsiTheme="minorHAnsi" w:cstheme="minorBidi"/>
              <w:noProof/>
              <w:sz w:val="22"/>
              <w:szCs w:val="22"/>
              <w:lang w:eastAsia="en-AU"/>
            </w:rPr>
          </w:pPr>
          <w:hyperlink w:anchor="_Toc525121972" w:history="1">
            <w:r w:rsidR="009D498A" w:rsidRPr="00C46616">
              <w:rPr>
                <w:rStyle w:val="Hyperlink"/>
                <w:noProof/>
                <w:lang w:val="en-US"/>
              </w:rPr>
              <w:t>Frequency of lost-time claims by industry</w:t>
            </w:r>
            <w:r w:rsidR="009D498A">
              <w:rPr>
                <w:noProof/>
                <w:webHidden/>
              </w:rPr>
              <w:tab/>
            </w:r>
            <w:r w:rsidR="009D498A">
              <w:rPr>
                <w:noProof/>
                <w:webHidden/>
              </w:rPr>
              <w:fldChar w:fldCharType="begin"/>
            </w:r>
            <w:r w:rsidR="009D498A">
              <w:rPr>
                <w:noProof/>
                <w:webHidden/>
              </w:rPr>
              <w:instrText xml:space="preserve"> PAGEREF _Toc525121972 \h </w:instrText>
            </w:r>
            <w:r w:rsidR="009D498A">
              <w:rPr>
                <w:noProof/>
                <w:webHidden/>
              </w:rPr>
            </w:r>
            <w:r w:rsidR="009D498A">
              <w:rPr>
                <w:noProof/>
                <w:webHidden/>
              </w:rPr>
              <w:fldChar w:fldCharType="separate"/>
            </w:r>
            <w:r w:rsidR="00C817BE">
              <w:rPr>
                <w:noProof/>
                <w:webHidden/>
              </w:rPr>
              <w:t>63</w:t>
            </w:r>
            <w:r w:rsidR="009D498A">
              <w:rPr>
                <w:noProof/>
                <w:webHidden/>
              </w:rPr>
              <w:fldChar w:fldCharType="end"/>
            </w:r>
          </w:hyperlink>
        </w:p>
        <w:p w14:paraId="69E8E0B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74" w:history="1">
            <w:r w:rsidR="009D498A" w:rsidRPr="00C46616">
              <w:rPr>
                <w:rStyle w:val="Hyperlink"/>
                <w:noProof/>
                <w:lang w:val="en-US"/>
              </w:rPr>
              <w:t>Scheme payments 2017/18</w:t>
            </w:r>
            <w:r w:rsidR="009D498A">
              <w:rPr>
                <w:noProof/>
                <w:webHidden/>
              </w:rPr>
              <w:tab/>
            </w:r>
            <w:r w:rsidR="009D498A">
              <w:rPr>
                <w:noProof/>
                <w:webHidden/>
              </w:rPr>
              <w:fldChar w:fldCharType="begin"/>
            </w:r>
            <w:r w:rsidR="009D498A">
              <w:rPr>
                <w:noProof/>
                <w:webHidden/>
              </w:rPr>
              <w:instrText xml:space="preserve"> PAGEREF _Toc525121974 \h </w:instrText>
            </w:r>
            <w:r w:rsidR="009D498A">
              <w:rPr>
                <w:noProof/>
                <w:webHidden/>
              </w:rPr>
            </w:r>
            <w:r w:rsidR="009D498A">
              <w:rPr>
                <w:noProof/>
                <w:webHidden/>
              </w:rPr>
              <w:fldChar w:fldCharType="separate"/>
            </w:r>
            <w:r w:rsidR="00C817BE">
              <w:rPr>
                <w:noProof/>
                <w:webHidden/>
              </w:rPr>
              <w:t>65</w:t>
            </w:r>
            <w:r w:rsidR="009D498A">
              <w:rPr>
                <w:noProof/>
                <w:webHidden/>
              </w:rPr>
              <w:fldChar w:fldCharType="end"/>
            </w:r>
          </w:hyperlink>
        </w:p>
        <w:p w14:paraId="24B5F33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76" w:history="1">
            <w:r w:rsidR="009D498A" w:rsidRPr="00C46616">
              <w:rPr>
                <w:rStyle w:val="Hyperlink"/>
                <w:noProof/>
              </w:rPr>
              <w:t>Average recommended premium rates</w:t>
            </w:r>
            <w:r w:rsidR="009D498A">
              <w:rPr>
                <w:noProof/>
                <w:webHidden/>
              </w:rPr>
              <w:tab/>
            </w:r>
            <w:r w:rsidR="009D498A">
              <w:rPr>
                <w:noProof/>
                <w:webHidden/>
              </w:rPr>
              <w:fldChar w:fldCharType="begin"/>
            </w:r>
            <w:r w:rsidR="009D498A">
              <w:rPr>
                <w:noProof/>
                <w:webHidden/>
              </w:rPr>
              <w:instrText xml:space="preserve"> PAGEREF _Toc525121976 \h </w:instrText>
            </w:r>
            <w:r w:rsidR="009D498A">
              <w:rPr>
                <w:noProof/>
                <w:webHidden/>
              </w:rPr>
            </w:r>
            <w:r w:rsidR="009D498A">
              <w:rPr>
                <w:noProof/>
                <w:webHidden/>
              </w:rPr>
              <w:fldChar w:fldCharType="separate"/>
            </w:r>
            <w:r w:rsidR="00C817BE">
              <w:rPr>
                <w:noProof/>
                <w:webHidden/>
              </w:rPr>
              <w:t>66</w:t>
            </w:r>
            <w:r w:rsidR="009D498A">
              <w:rPr>
                <w:noProof/>
                <w:webHidden/>
              </w:rPr>
              <w:fldChar w:fldCharType="end"/>
            </w:r>
          </w:hyperlink>
        </w:p>
        <w:p w14:paraId="7341129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77" w:history="1">
            <w:r w:rsidR="009D498A" w:rsidRPr="00C46616">
              <w:rPr>
                <w:rStyle w:val="Hyperlink"/>
                <w:noProof/>
              </w:rPr>
              <w:t>Scheme payments and premium income</w:t>
            </w:r>
            <w:r w:rsidR="009D498A">
              <w:rPr>
                <w:noProof/>
                <w:webHidden/>
              </w:rPr>
              <w:tab/>
            </w:r>
            <w:r w:rsidR="009D498A">
              <w:rPr>
                <w:noProof/>
                <w:webHidden/>
              </w:rPr>
              <w:fldChar w:fldCharType="begin"/>
            </w:r>
            <w:r w:rsidR="009D498A">
              <w:rPr>
                <w:noProof/>
                <w:webHidden/>
              </w:rPr>
              <w:instrText xml:space="preserve"> PAGEREF _Toc525121977 \h </w:instrText>
            </w:r>
            <w:r w:rsidR="009D498A">
              <w:rPr>
                <w:noProof/>
                <w:webHidden/>
              </w:rPr>
            </w:r>
            <w:r w:rsidR="009D498A">
              <w:rPr>
                <w:noProof/>
                <w:webHidden/>
              </w:rPr>
              <w:fldChar w:fldCharType="separate"/>
            </w:r>
            <w:r w:rsidR="00C817BE">
              <w:rPr>
                <w:noProof/>
                <w:webHidden/>
              </w:rPr>
              <w:t>67</w:t>
            </w:r>
            <w:r w:rsidR="009D498A">
              <w:rPr>
                <w:noProof/>
                <w:webHidden/>
              </w:rPr>
              <w:fldChar w:fldCharType="end"/>
            </w:r>
          </w:hyperlink>
        </w:p>
        <w:p w14:paraId="227259B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78" w:history="1">
            <w:r w:rsidR="009D498A" w:rsidRPr="00C46616">
              <w:rPr>
                <w:rStyle w:val="Hyperlink"/>
                <w:noProof/>
                <w:lang w:val="en-US"/>
              </w:rPr>
              <w:t>Settlements</w:t>
            </w:r>
            <w:r w:rsidR="009D498A">
              <w:rPr>
                <w:noProof/>
                <w:webHidden/>
              </w:rPr>
              <w:tab/>
            </w:r>
            <w:r w:rsidR="009D498A">
              <w:rPr>
                <w:noProof/>
                <w:webHidden/>
              </w:rPr>
              <w:fldChar w:fldCharType="begin"/>
            </w:r>
            <w:r w:rsidR="009D498A">
              <w:rPr>
                <w:noProof/>
                <w:webHidden/>
              </w:rPr>
              <w:instrText xml:space="preserve"> PAGEREF _Toc525121978 \h </w:instrText>
            </w:r>
            <w:r w:rsidR="009D498A">
              <w:rPr>
                <w:noProof/>
                <w:webHidden/>
              </w:rPr>
            </w:r>
            <w:r w:rsidR="009D498A">
              <w:rPr>
                <w:noProof/>
                <w:webHidden/>
              </w:rPr>
              <w:fldChar w:fldCharType="separate"/>
            </w:r>
            <w:r w:rsidR="00C817BE">
              <w:rPr>
                <w:noProof/>
                <w:webHidden/>
              </w:rPr>
              <w:t>69</w:t>
            </w:r>
            <w:r w:rsidR="009D498A">
              <w:rPr>
                <w:noProof/>
                <w:webHidden/>
              </w:rPr>
              <w:fldChar w:fldCharType="end"/>
            </w:r>
          </w:hyperlink>
        </w:p>
        <w:p w14:paraId="17E85989" w14:textId="77777777" w:rsidR="009D498A" w:rsidRDefault="0029111E">
          <w:pPr>
            <w:pStyle w:val="TOC1"/>
            <w:rPr>
              <w:rFonts w:asciiTheme="minorHAnsi" w:eastAsiaTheme="minorEastAsia" w:hAnsiTheme="minorHAnsi" w:cstheme="minorBidi"/>
              <w:sz w:val="22"/>
              <w:szCs w:val="22"/>
              <w:lang w:eastAsia="en-AU"/>
            </w:rPr>
          </w:pPr>
          <w:hyperlink w:anchor="_Toc525121979" w:history="1">
            <w:r w:rsidR="009D498A" w:rsidRPr="00C46616">
              <w:rPr>
                <w:rStyle w:val="Hyperlink"/>
              </w:rPr>
              <w:t>Service 1: Scheme Regulation</w:t>
            </w:r>
            <w:r w:rsidR="009D498A">
              <w:rPr>
                <w:webHidden/>
              </w:rPr>
              <w:tab/>
            </w:r>
            <w:r w:rsidR="009D498A">
              <w:rPr>
                <w:webHidden/>
              </w:rPr>
              <w:fldChar w:fldCharType="begin"/>
            </w:r>
            <w:r w:rsidR="009D498A">
              <w:rPr>
                <w:webHidden/>
              </w:rPr>
              <w:instrText xml:space="preserve"> PAGEREF _Toc525121979 \h </w:instrText>
            </w:r>
            <w:r w:rsidR="009D498A">
              <w:rPr>
                <w:webHidden/>
              </w:rPr>
            </w:r>
            <w:r w:rsidR="009D498A">
              <w:rPr>
                <w:webHidden/>
              </w:rPr>
              <w:fldChar w:fldCharType="separate"/>
            </w:r>
            <w:r w:rsidR="00C817BE">
              <w:rPr>
                <w:webHidden/>
              </w:rPr>
              <w:t>70</w:t>
            </w:r>
            <w:r w:rsidR="009D498A">
              <w:rPr>
                <w:webHidden/>
              </w:rPr>
              <w:fldChar w:fldCharType="end"/>
            </w:r>
          </w:hyperlink>
        </w:p>
        <w:p w14:paraId="47BF9C02" w14:textId="77777777" w:rsidR="009D498A" w:rsidRDefault="0029111E">
          <w:pPr>
            <w:pStyle w:val="TOC1"/>
            <w:rPr>
              <w:rFonts w:asciiTheme="minorHAnsi" w:eastAsiaTheme="minorEastAsia" w:hAnsiTheme="minorHAnsi" w:cstheme="minorBidi"/>
              <w:sz w:val="22"/>
              <w:szCs w:val="22"/>
              <w:lang w:eastAsia="en-AU"/>
            </w:rPr>
          </w:pPr>
          <w:hyperlink w:anchor="_Toc525121980" w:history="1">
            <w:r w:rsidR="009D498A" w:rsidRPr="00C46616">
              <w:rPr>
                <w:rStyle w:val="Hyperlink"/>
              </w:rPr>
              <w:t>Workers’ Compensation Regulatory Framework</w:t>
            </w:r>
            <w:r w:rsidR="009D498A">
              <w:rPr>
                <w:webHidden/>
              </w:rPr>
              <w:tab/>
            </w:r>
            <w:r w:rsidR="009D498A">
              <w:rPr>
                <w:webHidden/>
              </w:rPr>
              <w:fldChar w:fldCharType="begin"/>
            </w:r>
            <w:r w:rsidR="009D498A">
              <w:rPr>
                <w:webHidden/>
              </w:rPr>
              <w:instrText xml:space="preserve"> PAGEREF _Toc525121980 \h </w:instrText>
            </w:r>
            <w:r w:rsidR="009D498A">
              <w:rPr>
                <w:webHidden/>
              </w:rPr>
            </w:r>
            <w:r w:rsidR="009D498A">
              <w:rPr>
                <w:webHidden/>
              </w:rPr>
              <w:fldChar w:fldCharType="separate"/>
            </w:r>
            <w:r w:rsidR="00C817BE">
              <w:rPr>
                <w:webHidden/>
              </w:rPr>
              <w:t>70</w:t>
            </w:r>
            <w:r w:rsidR="009D498A">
              <w:rPr>
                <w:webHidden/>
              </w:rPr>
              <w:fldChar w:fldCharType="end"/>
            </w:r>
          </w:hyperlink>
        </w:p>
        <w:p w14:paraId="1CD0DE42" w14:textId="77777777" w:rsidR="009D498A" w:rsidRDefault="0029111E">
          <w:pPr>
            <w:pStyle w:val="TOC1"/>
            <w:rPr>
              <w:rFonts w:asciiTheme="minorHAnsi" w:eastAsiaTheme="minorEastAsia" w:hAnsiTheme="minorHAnsi" w:cstheme="minorBidi"/>
              <w:sz w:val="22"/>
              <w:szCs w:val="22"/>
              <w:lang w:eastAsia="en-AU"/>
            </w:rPr>
          </w:pPr>
          <w:hyperlink w:anchor="_Toc525121981" w:history="1">
            <w:r w:rsidR="009D498A" w:rsidRPr="00C46616">
              <w:rPr>
                <w:rStyle w:val="Hyperlink"/>
              </w:rPr>
              <w:t>Regulating employers</w:t>
            </w:r>
            <w:r w:rsidR="009D498A">
              <w:rPr>
                <w:webHidden/>
              </w:rPr>
              <w:tab/>
            </w:r>
            <w:r w:rsidR="009D498A">
              <w:rPr>
                <w:webHidden/>
              </w:rPr>
              <w:fldChar w:fldCharType="begin"/>
            </w:r>
            <w:r w:rsidR="009D498A">
              <w:rPr>
                <w:webHidden/>
              </w:rPr>
              <w:instrText xml:space="preserve"> PAGEREF _Toc525121981 \h </w:instrText>
            </w:r>
            <w:r w:rsidR="009D498A">
              <w:rPr>
                <w:webHidden/>
              </w:rPr>
            </w:r>
            <w:r w:rsidR="009D498A">
              <w:rPr>
                <w:webHidden/>
              </w:rPr>
              <w:fldChar w:fldCharType="separate"/>
            </w:r>
            <w:r w:rsidR="00C817BE">
              <w:rPr>
                <w:webHidden/>
              </w:rPr>
              <w:t>70</w:t>
            </w:r>
            <w:r w:rsidR="009D498A">
              <w:rPr>
                <w:webHidden/>
              </w:rPr>
              <w:fldChar w:fldCharType="end"/>
            </w:r>
          </w:hyperlink>
        </w:p>
        <w:p w14:paraId="13EB422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82" w:history="1">
            <w:r w:rsidR="009D498A" w:rsidRPr="00C46616">
              <w:rPr>
                <w:rStyle w:val="Hyperlink"/>
                <w:noProof/>
              </w:rPr>
              <w:t>Implementation of a new investigation model</w:t>
            </w:r>
            <w:r w:rsidR="009D498A">
              <w:rPr>
                <w:noProof/>
                <w:webHidden/>
              </w:rPr>
              <w:tab/>
            </w:r>
            <w:r w:rsidR="009D498A">
              <w:rPr>
                <w:noProof/>
                <w:webHidden/>
              </w:rPr>
              <w:fldChar w:fldCharType="begin"/>
            </w:r>
            <w:r w:rsidR="009D498A">
              <w:rPr>
                <w:noProof/>
                <w:webHidden/>
              </w:rPr>
              <w:instrText xml:space="preserve"> PAGEREF _Toc525121982 \h </w:instrText>
            </w:r>
            <w:r w:rsidR="009D498A">
              <w:rPr>
                <w:noProof/>
                <w:webHidden/>
              </w:rPr>
            </w:r>
            <w:r w:rsidR="009D498A">
              <w:rPr>
                <w:noProof/>
                <w:webHidden/>
              </w:rPr>
              <w:fldChar w:fldCharType="separate"/>
            </w:r>
            <w:r w:rsidR="00C817BE">
              <w:rPr>
                <w:noProof/>
                <w:webHidden/>
              </w:rPr>
              <w:t>72</w:t>
            </w:r>
            <w:r w:rsidR="009D498A">
              <w:rPr>
                <w:noProof/>
                <w:webHidden/>
              </w:rPr>
              <w:fldChar w:fldCharType="end"/>
            </w:r>
          </w:hyperlink>
        </w:p>
        <w:p w14:paraId="435674AA"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83" w:history="1">
            <w:r w:rsidR="009D498A" w:rsidRPr="00C46616">
              <w:rPr>
                <w:rStyle w:val="Hyperlink"/>
                <w:noProof/>
              </w:rPr>
              <w:t>Regional plan</w:t>
            </w:r>
            <w:r w:rsidR="009D498A">
              <w:rPr>
                <w:noProof/>
                <w:webHidden/>
              </w:rPr>
              <w:tab/>
            </w:r>
            <w:r w:rsidR="009D498A">
              <w:rPr>
                <w:noProof/>
                <w:webHidden/>
              </w:rPr>
              <w:fldChar w:fldCharType="begin"/>
            </w:r>
            <w:r w:rsidR="009D498A">
              <w:rPr>
                <w:noProof/>
                <w:webHidden/>
              </w:rPr>
              <w:instrText xml:space="preserve"> PAGEREF _Toc525121983 \h </w:instrText>
            </w:r>
            <w:r w:rsidR="009D498A">
              <w:rPr>
                <w:noProof/>
                <w:webHidden/>
              </w:rPr>
            </w:r>
            <w:r w:rsidR="009D498A">
              <w:rPr>
                <w:noProof/>
                <w:webHidden/>
              </w:rPr>
              <w:fldChar w:fldCharType="separate"/>
            </w:r>
            <w:r w:rsidR="00C817BE">
              <w:rPr>
                <w:noProof/>
                <w:webHidden/>
              </w:rPr>
              <w:t>73</w:t>
            </w:r>
            <w:r w:rsidR="009D498A">
              <w:rPr>
                <w:noProof/>
                <w:webHidden/>
              </w:rPr>
              <w:fldChar w:fldCharType="end"/>
            </w:r>
          </w:hyperlink>
        </w:p>
        <w:p w14:paraId="66C68010" w14:textId="77777777" w:rsidR="009D498A" w:rsidRDefault="0029111E">
          <w:pPr>
            <w:pStyle w:val="TOC3"/>
            <w:rPr>
              <w:rFonts w:asciiTheme="minorHAnsi" w:eastAsiaTheme="minorEastAsia" w:hAnsiTheme="minorHAnsi" w:cstheme="minorBidi"/>
              <w:noProof/>
              <w:sz w:val="22"/>
              <w:szCs w:val="22"/>
              <w:lang w:eastAsia="en-AU"/>
            </w:rPr>
          </w:pPr>
          <w:hyperlink w:anchor="_Toc525121984" w:history="1">
            <w:r w:rsidR="009D498A" w:rsidRPr="00C46616">
              <w:rPr>
                <w:rStyle w:val="Hyperlink"/>
                <w:noProof/>
              </w:rPr>
              <w:t>Case study 1: Regional activity</w:t>
            </w:r>
            <w:r w:rsidR="009D498A">
              <w:rPr>
                <w:noProof/>
                <w:webHidden/>
              </w:rPr>
              <w:tab/>
            </w:r>
            <w:r w:rsidR="009D498A">
              <w:rPr>
                <w:noProof/>
                <w:webHidden/>
              </w:rPr>
              <w:fldChar w:fldCharType="begin"/>
            </w:r>
            <w:r w:rsidR="009D498A">
              <w:rPr>
                <w:noProof/>
                <w:webHidden/>
              </w:rPr>
              <w:instrText xml:space="preserve"> PAGEREF _Toc525121984 \h </w:instrText>
            </w:r>
            <w:r w:rsidR="009D498A">
              <w:rPr>
                <w:noProof/>
                <w:webHidden/>
              </w:rPr>
            </w:r>
            <w:r w:rsidR="009D498A">
              <w:rPr>
                <w:noProof/>
                <w:webHidden/>
              </w:rPr>
              <w:fldChar w:fldCharType="separate"/>
            </w:r>
            <w:r w:rsidR="00C817BE">
              <w:rPr>
                <w:noProof/>
                <w:webHidden/>
              </w:rPr>
              <w:t>73</w:t>
            </w:r>
            <w:r w:rsidR="009D498A">
              <w:rPr>
                <w:noProof/>
                <w:webHidden/>
              </w:rPr>
              <w:fldChar w:fldCharType="end"/>
            </w:r>
          </w:hyperlink>
        </w:p>
        <w:p w14:paraId="682BCBA3" w14:textId="77777777" w:rsidR="009D498A" w:rsidRDefault="0029111E">
          <w:pPr>
            <w:pStyle w:val="TOC3"/>
            <w:rPr>
              <w:rFonts w:asciiTheme="minorHAnsi" w:eastAsiaTheme="minorEastAsia" w:hAnsiTheme="minorHAnsi" w:cstheme="minorBidi"/>
              <w:noProof/>
              <w:sz w:val="22"/>
              <w:szCs w:val="22"/>
              <w:lang w:eastAsia="en-AU"/>
            </w:rPr>
          </w:pPr>
          <w:hyperlink w:anchor="_Toc525121985" w:history="1">
            <w:r w:rsidR="009D498A" w:rsidRPr="00C46616">
              <w:rPr>
                <w:rStyle w:val="Hyperlink"/>
                <w:noProof/>
              </w:rPr>
              <w:t>Indian Ocean Territories Service Delivery Arrangement</w:t>
            </w:r>
            <w:r w:rsidR="009D498A">
              <w:rPr>
                <w:noProof/>
                <w:webHidden/>
              </w:rPr>
              <w:tab/>
            </w:r>
            <w:r w:rsidR="009D498A">
              <w:rPr>
                <w:noProof/>
                <w:webHidden/>
              </w:rPr>
              <w:fldChar w:fldCharType="begin"/>
            </w:r>
            <w:r w:rsidR="009D498A">
              <w:rPr>
                <w:noProof/>
                <w:webHidden/>
              </w:rPr>
              <w:instrText xml:space="preserve"> PAGEREF _Toc525121985 \h </w:instrText>
            </w:r>
            <w:r w:rsidR="009D498A">
              <w:rPr>
                <w:noProof/>
                <w:webHidden/>
              </w:rPr>
            </w:r>
            <w:r w:rsidR="009D498A">
              <w:rPr>
                <w:noProof/>
                <w:webHidden/>
              </w:rPr>
              <w:fldChar w:fldCharType="separate"/>
            </w:r>
            <w:r w:rsidR="00C817BE">
              <w:rPr>
                <w:noProof/>
                <w:webHidden/>
              </w:rPr>
              <w:t>75</w:t>
            </w:r>
            <w:r w:rsidR="009D498A">
              <w:rPr>
                <w:noProof/>
                <w:webHidden/>
              </w:rPr>
              <w:fldChar w:fldCharType="end"/>
            </w:r>
          </w:hyperlink>
        </w:p>
        <w:p w14:paraId="733026A5" w14:textId="77777777" w:rsidR="009D498A" w:rsidRDefault="0029111E">
          <w:pPr>
            <w:pStyle w:val="TOC3"/>
            <w:rPr>
              <w:rFonts w:asciiTheme="minorHAnsi" w:eastAsiaTheme="minorEastAsia" w:hAnsiTheme="minorHAnsi" w:cstheme="minorBidi"/>
              <w:noProof/>
              <w:sz w:val="22"/>
              <w:szCs w:val="22"/>
              <w:lang w:eastAsia="en-AU"/>
            </w:rPr>
          </w:pPr>
          <w:hyperlink w:anchor="_Toc525121986" w:history="1">
            <w:r w:rsidR="009D498A" w:rsidRPr="00C46616">
              <w:rPr>
                <w:rStyle w:val="Hyperlink"/>
                <w:noProof/>
              </w:rPr>
              <w:t>Case study 2: Industry campaigns</w:t>
            </w:r>
            <w:r w:rsidR="009D498A">
              <w:rPr>
                <w:noProof/>
                <w:webHidden/>
              </w:rPr>
              <w:tab/>
            </w:r>
            <w:r w:rsidR="009D498A">
              <w:rPr>
                <w:noProof/>
                <w:webHidden/>
              </w:rPr>
              <w:fldChar w:fldCharType="begin"/>
            </w:r>
            <w:r w:rsidR="009D498A">
              <w:rPr>
                <w:noProof/>
                <w:webHidden/>
              </w:rPr>
              <w:instrText xml:space="preserve"> PAGEREF _Toc525121986 \h </w:instrText>
            </w:r>
            <w:r w:rsidR="009D498A">
              <w:rPr>
                <w:noProof/>
                <w:webHidden/>
              </w:rPr>
            </w:r>
            <w:r w:rsidR="009D498A">
              <w:rPr>
                <w:noProof/>
                <w:webHidden/>
              </w:rPr>
              <w:fldChar w:fldCharType="separate"/>
            </w:r>
            <w:r w:rsidR="00C817BE">
              <w:rPr>
                <w:noProof/>
                <w:webHidden/>
              </w:rPr>
              <w:t>76</w:t>
            </w:r>
            <w:r w:rsidR="009D498A">
              <w:rPr>
                <w:noProof/>
                <w:webHidden/>
              </w:rPr>
              <w:fldChar w:fldCharType="end"/>
            </w:r>
          </w:hyperlink>
        </w:p>
        <w:p w14:paraId="19478081" w14:textId="77777777" w:rsidR="009D498A" w:rsidRDefault="0029111E">
          <w:pPr>
            <w:pStyle w:val="TOC3"/>
            <w:rPr>
              <w:rFonts w:asciiTheme="minorHAnsi" w:eastAsiaTheme="minorEastAsia" w:hAnsiTheme="minorHAnsi" w:cstheme="minorBidi"/>
              <w:noProof/>
              <w:sz w:val="22"/>
              <w:szCs w:val="22"/>
              <w:lang w:eastAsia="en-AU"/>
            </w:rPr>
          </w:pPr>
          <w:hyperlink w:anchor="_Toc525121987" w:history="1">
            <w:r w:rsidR="009D498A" w:rsidRPr="00C46616">
              <w:rPr>
                <w:rStyle w:val="Hyperlink"/>
                <w:noProof/>
                <w:lang w:val="en-US" w:eastAsia="en-AU"/>
              </w:rPr>
              <w:t>GP campaign</w:t>
            </w:r>
            <w:r w:rsidR="009D498A">
              <w:rPr>
                <w:noProof/>
                <w:webHidden/>
              </w:rPr>
              <w:tab/>
            </w:r>
            <w:r w:rsidR="009D498A">
              <w:rPr>
                <w:noProof/>
                <w:webHidden/>
              </w:rPr>
              <w:fldChar w:fldCharType="begin"/>
            </w:r>
            <w:r w:rsidR="009D498A">
              <w:rPr>
                <w:noProof/>
                <w:webHidden/>
              </w:rPr>
              <w:instrText xml:space="preserve"> PAGEREF _Toc525121987 \h </w:instrText>
            </w:r>
            <w:r w:rsidR="009D498A">
              <w:rPr>
                <w:noProof/>
                <w:webHidden/>
              </w:rPr>
            </w:r>
            <w:r w:rsidR="009D498A">
              <w:rPr>
                <w:noProof/>
                <w:webHidden/>
              </w:rPr>
              <w:fldChar w:fldCharType="separate"/>
            </w:r>
            <w:r w:rsidR="00C817BE">
              <w:rPr>
                <w:noProof/>
                <w:webHidden/>
              </w:rPr>
              <w:t>77</w:t>
            </w:r>
            <w:r w:rsidR="009D498A">
              <w:rPr>
                <w:noProof/>
                <w:webHidden/>
              </w:rPr>
              <w:fldChar w:fldCharType="end"/>
            </w:r>
          </w:hyperlink>
        </w:p>
        <w:p w14:paraId="67199261" w14:textId="77777777" w:rsidR="009D498A" w:rsidRDefault="0029111E">
          <w:pPr>
            <w:pStyle w:val="TOC3"/>
            <w:rPr>
              <w:rFonts w:asciiTheme="minorHAnsi" w:eastAsiaTheme="minorEastAsia" w:hAnsiTheme="minorHAnsi" w:cstheme="minorBidi"/>
              <w:noProof/>
              <w:sz w:val="22"/>
              <w:szCs w:val="22"/>
              <w:lang w:eastAsia="en-AU"/>
            </w:rPr>
          </w:pPr>
          <w:hyperlink w:anchor="_Toc525121988" w:history="1">
            <w:r w:rsidR="009D498A" w:rsidRPr="00C46616">
              <w:rPr>
                <w:rStyle w:val="Hyperlink"/>
                <w:noProof/>
                <w:lang w:val="en-US" w:eastAsia="en-AU"/>
              </w:rPr>
              <w:t>Business insurance packages</w:t>
            </w:r>
            <w:r w:rsidR="009D498A">
              <w:rPr>
                <w:noProof/>
                <w:webHidden/>
              </w:rPr>
              <w:tab/>
            </w:r>
            <w:r w:rsidR="009D498A">
              <w:rPr>
                <w:noProof/>
                <w:webHidden/>
              </w:rPr>
              <w:fldChar w:fldCharType="begin"/>
            </w:r>
            <w:r w:rsidR="009D498A">
              <w:rPr>
                <w:noProof/>
                <w:webHidden/>
              </w:rPr>
              <w:instrText xml:space="preserve"> PAGEREF _Toc525121988 \h </w:instrText>
            </w:r>
            <w:r w:rsidR="009D498A">
              <w:rPr>
                <w:noProof/>
                <w:webHidden/>
              </w:rPr>
            </w:r>
            <w:r w:rsidR="009D498A">
              <w:rPr>
                <w:noProof/>
                <w:webHidden/>
              </w:rPr>
              <w:fldChar w:fldCharType="separate"/>
            </w:r>
            <w:r w:rsidR="00C817BE">
              <w:rPr>
                <w:noProof/>
                <w:webHidden/>
              </w:rPr>
              <w:t>77</w:t>
            </w:r>
            <w:r w:rsidR="009D498A">
              <w:rPr>
                <w:noProof/>
                <w:webHidden/>
              </w:rPr>
              <w:fldChar w:fldCharType="end"/>
            </w:r>
          </w:hyperlink>
        </w:p>
        <w:p w14:paraId="5B1171F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89" w:history="1">
            <w:r w:rsidR="009D498A" w:rsidRPr="00C46616">
              <w:rPr>
                <w:rStyle w:val="Hyperlink"/>
                <w:noProof/>
              </w:rPr>
              <w:t>Noise induced hearing loss</w:t>
            </w:r>
            <w:r w:rsidR="009D498A">
              <w:rPr>
                <w:noProof/>
                <w:webHidden/>
              </w:rPr>
              <w:tab/>
            </w:r>
            <w:r w:rsidR="009D498A">
              <w:rPr>
                <w:noProof/>
                <w:webHidden/>
              </w:rPr>
              <w:fldChar w:fldCharType="begin"/>
            </w:r>
            <w:r w:rsidR="009D498A">
              <w:rPr>
                <w:noProof/>
                <w:webHidden/>
              </w:rPr>
              <w:instrText xml:space="preserve"> PAGEREF _Toc525121989 \h </w:instrText>
            </w:r>
            <w:r w:rsidR="009D498A">
              <w:rPr>
                <w:noProof/>
                <w:webHidden/>
              </w:rPr>
            </w:r>
            <w:r w:rsidR="009D498A">
              <w:rPr>
                <w:noProof/>
                <w:webHidden/>
              </w:rPr>
              <w:fldChar w:fldCharType="separate"/>
            </w:r>
            <w:r w:rsidR="00C817BE">
              <w:rPr>
                <w:noProof/>
                <w:webHidden/>
              </w:rPr>
              <w:t>78</w:t>
            </w:r>
            <w:r w:rsidR="009D498A">
              <w:rPr>
                <w:noProof/>
                <w:webHidden/>
              </w:rPr>
              <w:fldChar w:fldCharType="end"/>
            </w:r>
          </w:hyperlink>
        </w:p>
        <w:p w14:paraId="474D4188" w14:textId="77777777" w:rsidR="009D498A" w:rsidRDefault="0029111E">
          <w:pPr>
            <w:pStyle w:val="TOC1"/>
            <w:rPr>
              <w:rFonts w:asciiTheme="minorHAnsi" w:eastAsiaTheme="minorEastAsia" w:hAnsiTheme="minorHAnsi" w:cstheme="minorBidi"/>
              <w:sz w:val="22"/>
              <w:szCs w:val="22"/>
              <w:lang w:eastAsia="en-AU"/>
            </w:rPr>
          </w:pPr>
          <w:hyperlink w:anchor="_Toc525121990" w:history="1">
            <w:r w:rsidR="009D498A" w:rsidRPr="00C46616">
              <w:rPr>
                <w:rStyle w:val="Hyperlink"/>
                <w:lang w:val="en-US"/>
              </w:rPr>
              <w:t>Regulating service providers</w:t>
            </w:r>
            <w:r w:rsidR="009D498A">
              <w:rPr>
                <w:webHidden/>
              </w:rPr>
              <w:tab/>
            </w:r>
            <w:r w:rsidR="009D498A">
              <w:rPr>
                <w:webHidden/>
              </w:rPr>
              <w:fldChar w:fldCharType="begin"/>
            </w:r>
            <w:r w:rsidR="009D498A">
              <w:rPr>
                <w:webHidden/>
              </w:rPr>
              <w:instrText xml:space="preserve"> PAGEREF _Toc525121990 \h </w:instrText>
            </w:r>
            <w:r w:rsidR="009D498A">
              <w:rPr>
                <w:webHidden/>
              </w:rPr>
            </w:r>
            <w:r w:rsidR="009D498A">
              <w:rPr>
                <w:webHidden/>
              </w:rPr>
              <w:fldChar w:fldCharType="separate"/>
            </w:r>
            <w:r w:rsidR="00C817BE">
              <w:rPr>
                <w:webHidden/>
              </w:rPr>
              <w:t>79</w:t>
            </w:r>
            <w:r w:rsidR="009D498A">
              <w:rPr>
                <w:webHidden/>
              </w:rPr>
              <w:fldChar w:fldCharType="end"/>
            </w:r>
          </w:hyperlink>
        </w:p>
        <w:p w14:paraId="79D7D878"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91" w:history="1">
            <w:r w:rsidR="009D498A" w:rsidRPr="00C46616">
              <w:rPr>
                <w:rStyle w:val="Hyperlink"/>
                <w:noProof/>
              </w:rPr>
              <w:t>WorkCover WA Online Services</w:t>
            </w:r>
            <w:r w:rsidR="009D498A">
              <w:rPr>
                <w:noProof/>
                <w:webHidden/>
              </w:rPr>
              <w:tab/>
            </w:r>
            <w:r w:rsidR="009D498A">
              <w:rPr>
                <w:noProof/>
                <w:webHidden/>
              </w:rPr>
              <w:fldChar w:fldCharType="begin"/>
            </w:r>
            <w:r w:rsidR="009D498A">
              <w:rPr>
                <w:noProof/>
                <w:webHidden/>
              </w:rPr>
              <w:instrText xml:space="preserve"> PAGEREF _Toc525121991 \h </w:instrText>
            </w:r>
            <w:r w:rsidR="009D498A">
              <w:rPr>
                <w:noProof/>
                <w:webHidden/>
              </w:rPr>
            </w:r>
            <w:r w:rsidR="009D498A">
              <w:rPr>
                <w:noProof/>
                <w:webHidden/>
              </w:rPr>
              <w:fldChar w:fldCharType="separate"/>
            </w:r>
            <w:r w:rsidR="00C817BE">
              <w:rPr>
                <w:noProof/>
                <w:webHidden/>
              </w:rPr>
              <w:t>81</w:t>
            </w:r>
            <w:r w:rsidR="009D498A">
              <w:rPr>
                <w:noProof/>
                <w:webHidden/>
              </w:rPr>
              <w:fldChar w:fldCharType="end"/>
            </w:r>
          </w:hyperlink>
        </w:p>
        <w:p w14:paraId="68985A2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92" w:history="1">
            <w:r w:rsidR="009D498A" w:rsidRPr="00C46616">
              <w:rPr>
                <w:rStyle w:val="Hyperlink"/>
                <w:noProof/>
                <w:lang w:val="en-US"/>
              </w:rPr>
              <w:t>Insurers and self-insurers</w:t>
            </w:r>
            <w:r w:rsidR="009D498A">
              <w:rPr>
                <w:noProof/>
                <w:webHidden/>
              </w:rPr>
              <w:tab/>
            </w:r>
            <w:r w:rsidR="009D498A">
              <w:rPr>
                <w:noProof/>
                <w:webHidden/>
              </w:rPr>
              <w:fldChar w:fldCharType="begin"/>
            </w:r>
            <w:r w:rsidR="009D498A">
              <w:rPr>
                <w:noProof/>
                <w:webHidden/>
              </w:rPr>
              <w:instrText xml:space="preserve"> PAGEREF _Toc525121992 \h </w:instrText>
            </w:r>
            <w:r w:rsidR="009D498A">
              <w:rPr>
                <w:noProof/>
                <w:webHidden/>
              </w:rPr>
            </w:r>
            <w:r w:rsidR="009D498A">
              <w:rPr>
                <w:noProof/>
                <w:webHidden/>
              </w:rPr>
              <w:fldChar w:fldCharType="separate"/>
            </w:r>
            <w:r w:rsidR="00C817BE">
              <w:rPr>
                <w:noProof/>
                <w:webHidden/>
              </w:rPr>
              <w:t>82</w:t>
            </w:r>
            <w:r w:rsidR="009D498A">
              <w:rPr>
                <w:noProof/>
                <w:webHidden/>
              </w:rPr>
              <w:fldChar w:fldCharType="end"/>
            </w:r>
          </w:hyperlink>
        </w:p>
        <w:p w14:paraId="37C81716" w14:textId="77777777" w:rsidR="009D498A" w:rsidRDefault="0029111E">
          <w:pPr>
            <w:pStyle w:val="TOC3"/>
            <w:rPr>
              <w:rFonts w:asciiTheme="minorHAnsi" w:eastAsiaTheme="minorEastAsia" w:hAnsiTheme="minorHAnsi" w:cstheme="minorBidi"/>
              <w:noProof/>
              <w:sz w:val="22"/>
              <w:szCs w:val="22"/>
              <w:lang w:eastAsia="en-AU"/>
            </w:rPr>
          </w:pPr>
          <w:hyperlink w:anchor="_Toc525121993" w:history="1">
            <w:r w:rsidR="009D498A" w:rsidRPr="00C46616">
              <w:rPr>
                <w:rStyle w:val="Hyperlink"/>
                <w:noProof/>
              </w:rPr>
              <w:t>WorkCover WA approved insurers</w:t>
            </w:r>
            <w:r w:rsidR="009D498A">
              <w:rPr>
                <w:noProof/>
                <w:webHidden/>
              </w:rPr>
              <w:tab/>
            </w:r>
            <w:r w:rsidR="009D498A">
              <w:rPr>
                <w:noProof/>
                <w:webHidden/>
              </w:rPr>
              <w:fldChar w:fldCharType="begin"/>
            </w:r>
            <w:r w:rsidR="009D498A">
              <w:rPr>
                <w:noProof/>
                <w:webHidden/>
              </w:rPr>
              <w:instrText xml:space="preserve"> PAGEREF _Toc525121993 \h </w:instrText>
            </w:r>
            <w:r w:rsidR="009D498A">
              <w:rPr>
                <w:noProof/>
                <w:webHidden/>
              </w:rPr>
            </w:r>
            <w:r w:rsidR="009D498A">
              <w:rPr>
                <w:noProof/>
                <w:webHidden/>
              </w:rPr>
              <w:fldChar w:fldCharType="separate"/>
            </w:r>
            <w:r w:rsidR="00C817BE">
              <w:rPr>
                <w:noProof/>
                <w:webHidden/>
              </w:rPr>
              <w:t>82</w:t>
            </w:r>
            <w:r w:rsidR="009D498A">
              <w:rPr>
                <w:noProof/>
                <w:webHidden/>
              </w:rPr>
              <w:fldChar w:fldCharType="end"/>
            </w:r>
          </w:hyperlink>
        </w:p>
        <w:p w14:paraId="122A7D50" w14:textId="77777777" w:rsidR="009D498A" w:rsidRDefault="0029111E">
          <w:pPr>
            <w:pStyle w:val="TOC3"/>
            <w:rPr>
              <w:rFonts w:asciiTheme="minorHAnsi" w:eastAsiaTheme="minorEastAsia" w:hAnsiTheme="minorHAnsi" w:cstheme="minorBidi"/>
              <w:noProof/>
              <w:sz w:val="22"/>
              <w:szCs w:val="22"/>
              <w:lang w:eastAsia="en-AU"/>
            </w:rPr>
          </w:pPr>
          <w:hyperlink w:anchor="_Toc525121994" w:history="1">
            <w:r w:rsidR="009D498A" w:rsidRPr="00C46616">
              <w:rPr>
                <w:rStyle w:val="Hyperlink"/>
                <w:noProof/>
              </w:rPr>
              <w:t>WorkCover WA approved self-insurers</w:t>
            </w:r>
            <w:r w:rsidR="009D498A">
              <w:rPr>
                <w:noProof/>
                <w:webHidden/>
              </w:rPr>
              <w:tab/>
            </w:r>
            <w:r w:rsidR="009D498A">
              <w:rPr>
                <w:noProof/>
                <w:webHidden/>
              </w:rPr>
              <w:fldChar w:fldCharType="begin"/>
            </w:r>
            <w:r w:rsidR="009D498A">
              <w:rPr>
                <w:noProof/>
                <w:webHidden/>
              </w:rPr>
              <w:instrText xml:space="preserve"> PAGEREF _Toc525121994 \h </w:instrText>
            </w:r>
            <w:r w:rsidR="009D498A">
              <w:rPr>
                <w:noProof/>
                <w:webHidden/>
              </w:rPr>
            </w:r>
            <w:r w:rsidR="009D498A">
              <w:rPr>
                <w:noProof/>
                <w:webHidden/>
              </w:rPr>
              <w:fldChar w:fldCharType="separate"/>
            </w:r>
            <w:r w:rsidR="00C817BE">
              <w:rPr>
                <w:noProof/>
                <w:webHidden/>
              </w:rPr>
              <w:t>82</w:t>
            </w:r>
            <w:r w:rsidR="009D498A">
              <w:rPr>
                <w:noProof/>
                <w:webHidden/>
              </w:rPr>
              <w:fldChar w:fldCharType="end"/>
            </w:r>
          </w:hyperlink>
        </w:p>
        <w:p w14:paraId="03162322" w14:textId="77777777" w:rsidR="009D498A" w:rsidRDefault="0029111E">
          <w:pPr>
            <w:pStyle w:val="TOC3"/>
            <w:rPr>
              <w:rFonts w:asciiTheme="minorHAnsi" w:eastAsiaTheme="minorEastAsia" w:hAnsiTheme="minorHAnsi" w:cstheme="minorBidi"/>
              <w:noProof/>
              <w:sz w:val="22"/>
              <w:szCs w:val="22"/>
              <w:lang w:eastAsia="en-AU"/>
            </w:rPr>
          </w:pPr>
          <w:hyperlink w:anchor="_Toc525121995" w:history="1">
            <w:r w:rsidR="009D498A" w:rsidRPr="00C46616">
              <w:rPr>
                <w:rStyle w:val="Hyperlink"/>
                <w:noProof/>
              </w:rPr>
              <w:t>Annual performance review</w:t>
            </w:r>
            <w:r w:rsidR="009D498A">
              <w:rPr>
                <w:noProof/>
                <w:webHidden/>
              </w:rPr>
              <w:tab/>
            </w:r>
            <w:r w:rsidR="009D498A">
              <w:rPr>
                <w:noProof/>
                <w:webHidden/>
              </w:rPr>
              <w:fldChar w:fldCharType="begin"/>
            </w:r>
            <w:r w:rsidR="009D498A">
              <w:rPr>
                <w:noProof/>
                <w:webHidden/>
              </w:rPr>
              <w:instrText xml:space="preserve"> PAGEREF _Toc525121995 \h </w:instrText>
            </w:r>
            <w:r w:rsidR="009D498A">
              <w:rPr>
                <w:noProof/>
                <w:webHidden/>
              </w:rPr>
            </w:r>
            <w:r w:rsidR="009D498A">
              <w:rPr>
                <w:noProof/>
                <w:webHidden/>
              </w:rPr>
              <w:fldChar w:fldCharType="separate"/>
            </w:r>
            <w:r w:rsidR="00C817BE">
              <w:rPr>
                <w:noProof/>
                <w:webHidden/>
              </w:rPr>
              <w:t>83</w:t>
            </w:r>
            <w:r w:rsidR="009D498A">
              <w:rPr>
                <w:noProof/>
                <w:webHidden/>
              </w:rPr>
              <w:fldChar w:fldCharType="end"/>
            </w:r>
          </w:hyperlink>
        </w:p>
        <w:p w14:paraId="034E844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1996" w:history="1">
            <w:r w:rsidR="009D498A" w:rsidRPr="00C46616">
              <w:rPr>
                <w:rStyle w:val="Hyperlink"/>
                <w:noProof/>
              </w:rPr>
              <w:t>Complaint investigations against approved service providers</w:t>
            </w:r>
            <w:r w:rsidR="009D498A">
              <w:rPr>
                <w:noProof/>
                <w:webHidden/>
              </w:rPr>
              <w:tab/>
            </w:r>
            <w:r w:rsidR="009D498A">
              <w:rPr>
                <w:noProof/>
                <w:webHidden/>
              </w:rPr>
              <w:fldChar w:fldCharType="begin"/>
            </w:r>
            <w:r w:rsidR="009D498A">
              <w:rPr>
                <w:noProof/>
                <w:webHidden/>
              </w:rPr>
              <w:instrText xml:space="preserve"> PAGEREF _Toc525121996 \h </w:instrText>
            </w:r>
            <w:r w:rsidR="009D498A">
              <w:rPr>
                <w:noProof/>
                <w:webHidden/>
              </w:rPr>
            </w:r>
            <w:r w:rsidR="009D498A">
              <w:rPr>
                <w:noProof/>
                <w:webHidden/>
              </w:rPr>
              <w:fldChar w:fldCharType="separate"/>
            </w:r>
            <w:r w:rsidR="00C817BE">
              <w:rPr>
                <w:noProof/>
                <w:webHidden/>
              </w:rPr>
              <w:t>83</w:t>
            </w:r>
            <w:r w:rsidR="009D498A">
              <w:rPr>
                <w:noProof/>
                <w:webHidden/>
              </w:rPr>
              <w:fldChar w:fldCharType="end"/>
            </w:r>
          </w:hyperlink>
        </w:p>
        <w:p w14:paraId="76346E3B" w14:textId="77777777" w:rsidR="009D498A" w:rsidRDefault="0029111E">
          <w:pPr>
            <w:pStyle w:val="TOC3"/>
            <w:rPr>
              <w:rFonts w:asciiTheme="minorHAnsi" w:eastAsiaTheme="minorEastAsia" w:hAnsiTheme="minorHAnsi" w:cstheme="minorBidi"/>
              <w:noProof/>
              <w:sz w:val="22"/>
              <w:szCs w:val="22"/>
              <w:lang w:eastAsia="en-AU"/>
            </w:rPr>
          </w:pPr>
          <w:hyperlink w:anchor="_Toc525121997" w:history="1">
            <w:r w:rsidR="009D498A" w:rsidRPr="00C46616">
              <w:rPr>
                <w:rStyle w:val="Hyperlink"/>
                <w:noProof/>
                <w:lang w:eastAsia="en-AU"/>
              </w:rPr>
              <w:t>Insurers and self-insurers</w:t>
            </w:r>
            <w:r w:rsidR="009D498A">
              <w:rPr>
                <w:noProof/>
                <w:webHidden/>
              </w:rPr>
              <w:tab/>
            </w:r>
            <w:r w:rsidR="009D498A">
              <w:rPr>
                <w:noProof/>
                <w:webHidden/>
              </w:rPr>
              <w:fldChar w:fldCharType="begin"/>
            </w:r>
            <w:r w:rsidR="009D498A">
              <w:rPr>
                <w:noProof/>
                <w:webHidden/>
              </w:rPr>
              <w:instrText xml:space="preserve"> PAGEREF _Toc525121997 \h </w:instrText>
            </w:r>
            <w:r w:rsidR="009D498A">
              <w:rPr>
                <w:noProof/>
                <w:webHidden/>
              </w:rPr>
            </w:r>
            <w:r w:rsidR="009D498A">
              <w:rPr>
                <w:noProof/>
                <w:webHidden/>
              </w:rPr>
              <w:fldChar w:fldCharType="separate"/>
            </w:r>
            <w:r w:rsidR="00C817BE">
              <w:rPr>
                <w:noProof/>
                <w:webHidden/>
              </w:rPr>
              <w:t>84</w:t>
            </w:r>
            <w:r w:rsidR="009D498A">
              <w:rPr>
                <w:noProof/>
                <w:webHidden/>
              </w:rPr>
              <w:fldChar w:fldCharType="end"/>
            </w:r>
          </w:hyperlink>
        </w:p>
        <w:p w14:paraId="5475BC3F" w14:textId="77777777" w:rsidR="009D498A" w:rsidRDefault="0029111E">
          <w:pPr>
            <w:pStyle w:val="TOC3"/>
            <w:rPr>
              <w:rFonts w:asciiTheme="minorHAnsi" w:eastAsiaTheme="minorEastAsia" w:hAnsiTheme="minorHAnsi" w:cstheme="minorBidi"/>
              <w:noProof/>
              <w:sz w:val="22"/>
              <w:szCs w:val="22"/>
              <w:lang w:eastAsia="en-AU"/>
            </w:rPr>
          </w:pPr>
          <w:hyperlink w:anchor="_Toc525121998" w:history="1">
            <w:r w:rsidR="009D498A" w:rsidRPr="00C46616">
              <w:rPr>
                <w:rStyle w:val="Hyperlink"/>
                <w:noProof/>
              </w:rPr>
              <w:t>Complaint investigations against approved insurers and  self-insurers</w:t>
            </w:r>
            <w:r w:rsidR="009D498A">
              <w:rPr>
                <w:noProof/>
                <w:webHidden/>
              </w:rPr>
              <w:tab/>
            </w:r>
            <w:r w:rsidR="009D498A">
              <w:rPr>
                <w:noProof/>
                <w:webHidden/>
              </w:rPr>
              <w:fldChar w:fldCharType="begin"/>
            </w:r>
            <w:r w:rsidR="009D498A">
              <w:rPr>
                <w:noProof/>
                <w:webHidden/>
              </w:rPr>
              <w:instrText xml:space="preserve"> PAGEREF _Toc525121998 \h </w:instrText>
            </w:r>
            <w:r w:rsidR="009D498A">
              <w:rPr>
                <w:noProof/>
                <w:webHidden/>
              </w:rPr>
            </w:r>
            <w:r w:rsidR="009D498A">
              <w:rPr>
                <w:noProof/>
                <w:webHidden/>
              </w:rPr>
              <w:fldChar w:fldCharType="separate"/>
            </w:r>
            <w:r w:rsidR="00C817BE">
              <w:rPr>
                <w:noProof/>
                <w:webHidden/>
              </w:rPr>
              <w:t>84</w:t>
            </w:r>
            <w:r w:rsidR="009D498A">
              <w:rPr>
                <w:noProof/>
                <w:webHidden/>
              </w:rPr>
              <w:fldChar w:fldCharType="end"/>
            </w:r>
          </w:hyperlink>
        </w:p>
        <w:p w14:paraId="43C3A7F6" w14:textId="77777777" w:rsidR="009D498A" w:rsidRDefault="0029111E">
          <w:pPr>
            <w:pStyle w:val="TOC3"/>
            <w:rPr>
              <w:rFonts w:asciiTheme="minorHAnsi" w:eastAsiaTheme="minorEastAsia" w:hAnsiTheme="minorHAnsi" w:cstheme="minorBidi"/>
              <w:noProof/>
              <w:sz w:val="22"/>
              <w:szCs w:val="22"/>
              <w:lang w:eastAsia="en-AU"/>
            </w:rPr>
          </w:pPr>
          <w:hyperlink w:anchor="_Toc525121999" w:history="1">
            <w:r w:rsidR="009D498A" w:rsidRPr="00C46616">
              <w:rPr>
                <w:rStyle w:val="Hyperlink"/>
                <w:noProof/>
                <w:lang w:val="en-US"/>
              </w:rPr>
              <w:t>Registered agents</w:t>
            </w:r>
            <w:r w:rsidR="009D498A">
              <w:rPr>
                <w:noProof/>
                <w:webHidden/>
              </w:rPr>
              <w:tab/>
            </w:r>
            <w:r w:rsidR="009D498A">
              <w:rPr>
                <w:noProof/>
                <w:webHidden/>
              </w:rPr>
              <w:fldChar w:fldCharType="begin"/>
            </w:r>
            <w:r w:rsidR="009D498A">
              <w:rPr>
                <w:noProof/>
                <w:webHidden/>
              </w:rPr>
              <w:instrText xml:space="preserve"> PAGEREF _Toc525121999 \h </w:instrText>
            </w:r>
            <w:r w:rsidR="009D498A">
              <w:rPr>
                <w:noProof/>
                <w:webHidden/>
              </w:rPr>
            </w:r>
            <w:r w:rsidR="009D498A">
              <w:rPr>
                <w:noProof/>
                <w:webHidden/>
              </w:rPr>
              <w:fldChar w:fldCharType="separate"/>
            </w:r>
            <w:r w:rsidR="00C817BE">
              <w:rPr>
                <w:noProof/>
                <w:webHidden/>
              </w:rPr>
              <w:t>84</w:t>
            </w:r>
            <w:r w:rsidR="009D498A">
              <w:rPr>
                <w:noProof/>
                <w:webHidden/>
              </w:rPr>
              <w:fldChar w:fldCharType="end"/>
            </w:r>
          </w:hyperlink>
        </w:p>
        <w:p w14:paraId="440F517F" w14:textId="77777777" w:rsidR="009D498A" w:rsidRDefault="0029111E">
          <w:pPr>
            <w:pStyle w:val="TOC3"/>
            <w:rPr>
              <w:rFonts w:asciiTheme="minorHAnsi" w:eastAsiaTheme="minorEastAsia" w:hAnsiTheme="minorHAnsi" w:cstheme="minorBidi"/>
              <w:noProof/>
              <w:sz w:val="22"/>
              <w:szCs w:val="22"/>
              <w:lang w:eastAsia="en-AU"/>
            </w:rPr>
          </w:pPr>
          <w:hyperlink w:anchor="_Toc525122000" w:history="1">
            <w:r w:rsidR="009D498A" w:rsidRPr="00C46616">
              <w:rPr>
                <w:rStyle w:val="Hyperlink"/>
                <w:noProof/>
              </w:rPr>
              <w:t>Complaint investigations against registered agents</w:t>
            </w:r>
            <w:r w:rsidR="009D498A">
              <w:rPr>
                <w:noProof/>
                <w:webHidden/>
              </w:rPr>
              <w:tab/>
            </w:r>
            <w:r w:rsidR="009D498A">
              <w:rPr>
                <w:noProof/>
                <w:webHidden/>
              </w:rPr>
              <w:fldChar w:fldCharType="begin"/>
            </w:r>
            <w:r w:rsidR="009D498A">
              <w:rPr>
                <w:noProof/>
                <w:webHidden/>
              </w:rPr>
              <w:instrText xml:space="preserve"> PAGEREF _Toc525122000 \h </w:instrText>
            </w:r>
            <w:r w:rsidR="009D498A">
              <w:rPr>
                <w:noProof/>
                <w:webHidden/>
              </w:rPr>
            </w:r>
            <w:r w:rsidR="009D498A">
              <w:rPr>
                <w:noProof/>
                <w:webHidden/>
              </w:rPr>
              <w:fldChar w:fldCharType="separate"/>
            </w:r>
            <w:r w:rsidR="00C817BE">
              <w:rPr>
                <w:noProof/>
                <w:webHidden/>
              </w:rPr>
              <w:t>84</w:t>
            </w:r>
            <w:r w:rsidR="009D498A">
              <w:rPr>
                <w:noProof/>
                <w:webHidden/>
              </w:rPr>
              <w:fldChar w:fldCharType="end"/>
            </w:r>
          </w:hyperlink>
        </w:p>
        <w:p w14:paraId="1AB659C5" w14:textId="77777777" w:rsidR="009D498A" w:rsidRDefault="0029111E">
          <w:pPr>
            <w:pStyle w:val="TOC3"/>
            <w:rPr>
              <w:rFonts w:asciiTheme="minorHAnsi" w:eastAsiaTheme="minorEastAsia" w:hAnsiTheme="minorHAnsi" w:cstheme="minorBidi"/>
              <w:noProof/>
              <w:sz w:val="22"/>
              <w:szCs w:val="22"/>
              <w:lang w:eastAsia="en-AU"/>
            </w:rPr>
          </w:pPr>
          <w:hyperlink w:anchor="_Toc525122001" w:history="1">
            <w:r w:rsidR="009D498A" w:rsidRPr="00C46616">
              <w:rPr>
                <w:rStyle w:val="Hyperlink"/>
                <w:noProof/>
                <w:lang w:val="en-US"/>
              </w:rPr>
              <w:t>Workplace rehabilitation providers</w:t>
            </w:r>
            <w:r w:rsidR="009D498A">
              <w:rPr>
                <w:noProof/>
                <w:webHidden/>
              </w:rPr>
              <w:tab/>
            </w:r>
            <w:r w:rsidR="009D498A">
              <w:rPr>
                <w:noProof/>
                <w:webHidden/>
              </w:rPr>
              <w:fldChar w:fldCharType="begin"/>
            </w:r>
            <w:r w:rsidR="009D498A">
              <w:rPr>
                <w:noProof/>
                <w:webHidden/>
              </w:rPr>
              <w:instrText xml:space="preserve"> PAGEREF _Toc525122001 \h </w:instrText>
            </w:r>
            <w:r w:rsidR="009D498A">
              <w:rPr>
                <w:noProof/>
                <w:webHidden/>
              </w:rPr>
            </w:r>
            <w:r w:rsidR="009D498A">
              <w:rPr>
                <w:noProof/>
                <w:webHidden/>
              </w:rPr>
              <w:fldChar w:fldCharType="separate"/>
            </w:r>
            <w:r w:rsidR="00C817BE">
              <w:rPr>
                <w:noProof/>
                <w:webHidden/>
              </w:rPr>
              <w:t>84</w:t>
            </w:r>
            <w:r w:rsidR="009D498A">
              <w:rPr>
                <w:noProof/>
                <w:webHidden/>
              </w:rPr>
              <w:fldChar w:fldCharType="end"/>
            </w:r>
          </w:hyperlink>
        </w:p>
        <w:p w14:paraId="609E8BDE" w14:textId="77777777" w:rsidR="009D498A" w:rsidRDefault="0029111E">
          <w:pPr>
            <w:pStyle w:val="TOC3"/>
            <w:rPr>
              <w:rFonts w:asciiTheme="minorHAnsi" w:eastAsiaTheme="minorEastAsia" w:hAnsiTheme="minorHAnsi" w:cstheme="minorBidi"/>
              <w:noProof/>
              <w:sz w:val="22"/>
              <w:szCs w:val="22"/>
              <w:lang w:eastAsia="en-AU"/>
            </w:rPr>
          </w:pPr>
          <w:hyperlink w:anchor="_Toc525122002" w:history="1">
            <w:r w:rsidR="009D498A" w:rsidRPr="00C46616">
              <w:rPr>
                <w:rStyle w:val="Hyperlink"/>
                <w:noProof/>
              </w:rPr>
              <w:t>Complaint investigations against workplace rehabilitation providers</w:t>
            </w:r>
            <w:r w:rsidR="009D498A">
              <w:rPr>
                <w:noProof/>
                <w:webHidden/>
              </w:rPr>
              <w:tab/>
            </w:r>
            <w:r w:rsidR="009D498A">
              <w:rPr>
                <w:noProof/>
                <w:webHidden/>
              </w:rPr>
              <w:fldChar w:fldCharType="begin"/>
            </w:r>
            <w:r w:rsidR="009D498A">
              <w:rPr>
                <w:noProof/>
                <w:webHidden/>
              </w:rPr>
              <w:instrText xml:space="preserve"> PAGEREF _Toc525122002 \h </w:instrText>
            </w:r>
            <w:r w:rsidR="009D498A">
              <w:rPr>
                <w:noProof/>
                <w:webHidden/>
              </w:rPr>
            </w:r>
            <w:r w:rsidR="009D498A">
              <w:rPr>
                <w:noProof/>
                <w:webHidden/>
              </w:rPr>
              <w:fldChar w:fldCharType="separate"/>
            </w:r>
            <w:r w:rsidR="00C817BE">
              <w:rPr>
                <w:noProof/>
                <w:webHidden/>
              </w:rPr>
              <w:t>85</w:t>
            </w:r>
            <w:r w:rsidR="009D498A">
              <w:rPr>
                <w:noProof/>
                <w:webHidden/>
              </w:rPr>
              <w:fldChar w:fldCharType="end"/>
            </w:r>
          </w:hyperlink>
        </w:p>
        <w:p w14:paraId="3D68B16B" w14:textId="77777777" w:rsidR="009D498A" w:rsidRDefault="0029111E">
          <w:pPr>
            <w:pStyle w:val="TOC3"/>
            <w:rPr>
              <w:rFonts w:asciiTheme="minorHAnsi" w:eastAsiaTheme="minorEastAsia" w:hAnsiTheme="minorHAnsi" w:cstheme="minorBidi"/>
              <w:noProof/>
              <w:sz w:val="22"/>
              <w:szCs w:val="22"/>
              <w:lang w:eastAsia="en-AU"/>
            </w:rPr>
          </w:pPr>
          <w:hyperlink w:anchor="_Toc525122003" w:history="1">
            <w:r w:rsidR="009D498A" w:rsidRPr="00C46616">
              <w:rPr>
                <w:rStyle w:val="Hyperlink"/>
                <w:noProof/>
              </w:rPr>
              <w:t>Audiometric officers, audiologists and audiometrists</w:t>
            </w:r>
            <w:r w:rsidR="009D498A">
              <w:rPr>
                <w:noProof/>
                <w:webHidden/>
              </w:rPr>
              <w:tab/>
            </w:r>
            <w:r w:rsidR="009D498A">
              <w:rPr>
                <w:noProof/>
                <w:webHidden/>
              </w:rPr>
              <w:fldChar w:fldCharType="begin"/>
            </w:r>
            <w:r w:rsidR="009D498A">
              <w:rPr>
                <w:noProof/>
                <w:webHidden/>
              </w:rPr>
              <w:instrText xml:space="preserve"> PAGEREF _Toc525122003 \h </w:instrText>
            </w:r>
            <w:r w:rsidR="009D498A">
              <w:rPr>
                <w:noProof/>
                <w:webHidden/>
              </w:rPr>
            </w:r>
            <w:r w:rsidR="009D498A">
              <w:rPr>
                <w:noProof/>
                <w:webHidden/>
              </w:rPr>
              <w:fldChar w:fldCharType="separate"/>
            </w:r>
            <w:r w:rsidR="00C817BE">
              <w:rPr>
                <w:noProof/>
                <w:webHidden/>
              </w:rPr>
              <w:t>85</w:t>
            </w:r>
            <w:r w:rsidR="009D498A">
              <w:rPr>
                <w:noProof/>
                <w:webHidden/>
              </w:rPr>
              <w:fldChar w:fldCharType="end"/>
            </w:r>
          </w:hyperlink>
        </w:p>
        <w:p w14:paraId="746B33AE" w14:textId="77777777" w:rsidR="009D498A" w:rsidRDefault="0029111E">
          <w:pPr>
            <w:pStyle w:val="TOC3"/>
            <w:rPr>
              <w:rFonts w:asciiTheme="minorHAnsi" w:eastAsiaTheme="minorEastAsia" w:hAnsiTheme="minorHAnsi" w:cstheme="minorBidi"/>
              <w:noProof/>
              <w:sz w:val="22"/>
              <w:szCs w:val="22"/>
              <w:lang w:eastAsia="en-AU"/>
            </w:rPr>
          </w:pPr>
          <w:hyperlink w:anchor="_Toc525122004" w:history="1">
            <w:r w:rsidR="009D498A" w:rsidRPr="00C46616">
              <w:rPr>
                <w:rStyle w:val="Hyperlink"/>
                <w:noProof/>
              </w:rPr>
              <w:t>Complaint investigations against approved audiometric officers, audiologists and audiometrists</w:t>
            </w:r>
            <w:r w:rsidR="009D498A">
              <w:rPr>
                <w:noProof/>
                <w:webHidden/>
              </w:rPr>
              <w:tab/>
            </w:r>
            <w:r w:rsidR="009D498A">
              <w:rPr>
                <w:noProof/>
                <w:webHidden/>
              </w:rPr>
              <w:fldChar w:fldCharType="begin"/>
            </w:r>
            <w:r w:rsidR="009D498A">
              <w:rPr>
                <w:noProof/>
                <w:webHidden/>
              </w:rPr>
              <w:instrText xml:space="preserve"> PAGEREF _Toc525122004 \h </w:instrText>
            </w:r>
            <w:r w:rsidR="009D498A">
              <w:rPr>
                <w:noProof/>
                <w:webHidden/>
              </w:rPr>
            </w:r>
            <w:r w:rsidR="009D498A">
              <w:rPr>
                <w:noProof/>
                <w:webHidden/>
              </w:rPr>
              <w:fldChar w:fldCharType="separate"/>
            </w:r>
            <w:r w:rsidR="00C817BE">
              <w:rPr>
                <w:noProof/>
                <w:webHidden/>
              </w:rPr>
              <w:t>85</w:t>
            </w:r>
            <w:r w:rsidR="009D498A">
              <w:rPr>
                <w:noProof/>
                <w:webHidden/>
              </w:rPr>
              <w:fldChar w:fldCharType="end"/>
            </w:r>
          </w:hyperlink>
        </w:p>
        <w:p w14:paraId="4FAA83EF" w14:textId="77777777" w:rsidR="009D498A" w:rsidRDefault="0029111E">
          <w:pPr>
            <w:pStyle w:val="TOC3"/>
            <w:rPr>
              <w:rFonts w:asciiTheme="minorHAnsi" w:eastAsiaTheme="minorEastAsia" w:hAnsiTheme="minorHAnsi" w:cstheme="minorBidi"/>
              <w:noProof/>
              <w:sz w:val="22"/>
              <w:szCs w:val="22"/>
              <w:lang w:eastAsia="en-AU"/>
            </w:rPr>
          </w:pPr>
          <w:hyperlink w:anchor="_Toc525122005" w:history="1">
            <w:r w:rsidR="009D498A" w:rsidRPr="00C46616">
              <w:rPr>
                <w:rStyle w:val="Hyperlink"/>
                <w:noProof/>
              </w:rPr>
              <w:t>Approved medical specialists</w:t>
            </w:r>
            <w:r w:rsidR="009D498A">
              <w:rPr>
                <w:noProof/>
                <w:webHidden/>
              </w:rPr>
              <w:tab/>
            </w:r>
            <w:r w:rsidR="009D498A">
              <w:rPr>
                <w:noProof/>
                <w:webHidden/>
              </w:rPr>
              <w:fldChar w:fldCharType="begin"/>
            </w:r>
            <w:r w:rsidR="009D498A">
              <w:rPr>
                <w:noProof/>
                <w:webHidden/>
              </w:rPr>
              <w:instrText xml:space="preserve"> PAGEREF _Toc525122005 \h </w:instrText>
            </w:r>
            <w:r w:rsidR="009D498A">
              <w:rPr>
                <w:noProof/>
                <w:webHidden/>
              </w:rPr>
            </w:r>
            <w:r w:rsidR="009D498A">
              <w:rPr>
                <w:noProof/>
                <w:webHidden/>
              </w:rPr>
              <w:fldChar w:fldCharType="separate"/>
            </w:r>
            <w:r w:rsidR="00C817BE">
              <w:rPr>
                <w:noProof/>
                <w:webHidden/>
              </w:rPr>
              <w:t>85</w:t>
            </w:r>
            <w:r w:rsidR="009D498A">
              <w:rPr>
                <w:noProof/>
                <w:webHidden/>
              </w:rPr>
              <w:fldChar w:fldCharType="end"/>
            </w:r>
          </w:hyperlink>
        </w:p>
        <w:p w14:paraId="5B944D0D" w14:textId="77777777" w:rsidR="009D498A" w:rsidRDefault="0029111E">
          <w:pPr>
            <w:pStyle w:val="TOC3"/>
            <w:rPr>
              <w:rFonts w:asciiTheme="minorHAnsi" w:eastAsiaTheme="minorEastAsia" w:hAnsiTheme="minorHAnsi" w:cstheme="minorBidi"/>
              <w:noProof/>
              <w:sz w:val="22"/>
              <w:szCs w:val="22"/>
              <w:lang w:eastAsia="en-AU"/>
            </w:rPr>
          </w:pPr>
          <w:hyperlink w:anchor="_Toc525122006" w:history="1">
            <w:r w:rsidR="009D498A" w:rsidRPr="00C46616">
              <w:rPr>
                <w:rStyle w:val="Hyperlink"/>
                <w:noProof/>
              </w:rPr>
              <w:t>Complaint investigations against approved medical specialists</w:t>
            </w:r>
            <w:r w:rsidR="009D498A">
              <w:rPr>
                <w:noProof/>
                <w:webHidden/>
              </w:rPr>
              <w:tab/>
            </w:r>
            <w:r w:rsidR="009D498A">
              <w:rPr>
                <w:noProof/>
                <w:webHidden/>
              </w:rPr>
              <w:fldChar w:fldCharType="begin"/>
            </w:r>
            <w:r w:rsidR="009D498A">
              <w:rPr>
                <w:noProof/>
                <w:webHidden/>
              </w:rPr>
              <w:instrText xml:space="preserve"> PAGEREF _Toc525122006 \h </w:instrText>
            </w:r>
            <w:r w:rsidR="009D498A">
              <w:rPr>
                <w:noProof/>
                <w:webHidden/>
              </w:rPr>
            </w:r>
            <w:r w:rsidR="009D498A">
              <w:rPr>
                <w:noProof/>
                <w:webHidden/>
              </w:rPr>
              <w:fldChar w:fldCharType="separate"/>
            </w:r>
            <w:r w:rsidR="00C817BE">
              <w:rPr>
                <w:noProof/>
                <w:webHidden/>
              </w:rPr>
              <w:t>86</w:t>
            </w:r>
            <w:r w:rsidR="009D498A">
              <w:rPr>
                <w:noProof/>
                <w:webHidden/>
              </w:rPr>
              <w:fldChar w:fldCharType="end"/>
            </w:r>
          </w:hyperlink>
        </w:p>
        <w:p w14:paraId="635CD4C5" w14:textId="77777777" w:rsidR="009D498A" w:rsidRDefault="0029111E">
          <w:pPr>
            <w:pStyle w:val="TOC1"/>
            <w:rPr>
              <w:rFonts w:asciiTheme="minorHAnsi" w:eastAsiaTheme="minorEastAsia" w:hAnsiTheme="minorHAnsi" w:cstheme="minorBidi"/>
              <w:sz w:val="22"/>
              <w:szCs w:val="22"/>
              <w:lang w:eastAsia="en-AU"/>
            </w:rPr>
          </w:pPr>
          <w:hyperlink w:anchor="_Toc525122007" w:history="1">
            <w:r w:rsidR="009D498A" w:rsidRPr="00C46616">
              <w:rPr>
                <w:rStyle w:val="Hyperlink"/>
              </w:rPr>
              <w:t>Improving scheme performance</w:t>
            </w:r>
            <w:r w:rsidR="009D498A">
              <w:rPr>
                <w:webHidden/>
              </w:rPr>
              <w:tab/>
            </w:r>
            <w:r w:rsidR="009D498A">
              <w:rPr>
                <w:webHidden/>
              </w:rPr>
              <w:fldChar w:fldCharType="begin"/>
            </w:r>
            <w:r w:rsidR="009D498A">
              <w:rPr>
                <w:webHidden/>
              </w:rPr>
              <w:instrText xml:space="preserve"> PAGEREF _Toc525122007 \h </w:instrText>
            </w:r>
            <w:r w:rsidR="009D498A">
              <w:rPr>
                <w:webHidden/>
              </w:rPr>
            </w:r>
            <w:r w:rsidR="009D498A">
              <w:rPr>
                <w:webHidden/>
              </w:rPr>
              <w:fldChar w:fldCharType="separate"/>
            </w:r>
            <w:r w:rsidR="00C817BE">
              <w:rPr>
                <w:webHidden/>
              </w:rPr>
              <w:t>86</w:t>
            </w:r>
            <w:r w:rsidR="009D498A">
              <w:rPr>
                <w:webHidden/>
              </w:rPr>
              <w:fldChar w:fldCharType="end"/>
            </w:r>
          </w:hyperlink>
        </w:p>
        <w:p w14:paraId="7B5B7CBA"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08" w:history="1">
            <w:r w:rsidR="009D498A" w:rsidRPr="00C46616">
              <w:rPr>
                <w:rStyle w:val="Hyperlink"/>
                <w:noProof/>
              </w:rPr>
              <w:t>GP Clinical Guidelines for mental health compensation claims</w:t>
            </w:r>
            <w:r w:rsidR="009D498A">
              <w:rPr>
                <w:noProof/>
                <w:webHidden/>
              </w:rPr>
              <w:tab/>
            </w:r>
            <w:r w:rsidR="009D498A">
              <w:rPr>
                <w:noProof/>
                <w:webHidden/>
              </w:rPr>
              <w:fldChar w:fldCharType="begin"/>
            </w:r>
            <w:r w:rsidR="009D498A">
              <w:rPr>
                <w:noProof/>
                <w:webHidden/>
              </w:rPr>
              <w:instrText xml:space="preserve"> PAGEREF _Toc525122008 \h </w:instrText>
            </w:r>
            <w:r w:rsidR="009D498A">
              <w:rPr>
                <w:noProof/>
                <w:webHidden/>
              </w:rPr>
            </w:r>
            <w:r w:rsidR="009D498A">
              <w:rPr>
                <w:noProof/>
                <w:webHidden/>
              </w:rPr>
              <w:fldChar w:fldCharType="separate"/>
            </w:r>
            <w:r w:rsidR="00C817BE">
              <w:rPr>
                <w:noProof/>
                <w:webHidden/>
              </w:rPr>
              <w:t>86</w:t>
            </w:r>
            <w:r w:rsidR="009D498A">
              <w:rPr>
                <w:noProof/>
                <w:webHidden/>
              </w:rPr>
              <w:fldChar w:fldCharType="end"/>
            </w:r>
          </w:hyperlink>
        </w:p>
        <w:p w14:paraId="7FCCF2B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09" w:history="1">
            <w:r w:rsidR="009D498A" w:rsidRPr="00C46616">
              <w:rPr>
                <w:rStyle w:val="Hyperlink"/>
                <w:noProof/>
              </w:rPr>
              <w:t>Approved medical specialists – Designation criteria and training review</w:t>
            </w:r>
            <w:r w:rsidR="009D498A">
              <w:rPr>
                <w:noProof/>
                <w:webHidden/>
              </w:rPr>
              <w:tab/>
            </w:r>
            <w:r w:rsidR="009D498A">
              <w:rPr>
                <w:noProof/>
                <w:webHidden/>
              </w:rPr>
              <w:fldChar w:fldCharType="begin"/>
            </w:r>
            <w:r w:rsidR="009D498A">
              <w:rPr>
                <w:noProof/>
                <w:webHidden/>
              </w:rPr>
              <w:instrText xml:space="preserve"> PAGEREF _Toc525122009 \h </w:instrText>
            </w:r>
            <w:r w:rsidR="009D498A">
              <w:rPr>
                <w:noProof/>
                <w:webHidden/>
              </w:rPr>
            </w:r>
            <w:r w:rsidR="009D498A">
              <w:rPr>
                <w:noProof/>
                <w:webHidden/>
              </w:rPr>
              <w:fldChar w:fldCharType="separate"/>
            </w:r>
            <w:r w:rsidR="00C817BE">
              <w:rPr>
                <w:noProof/>
                <w:webHidden/>
              </w:rPr>
              <w:t>87</w:t>
            </w:r>
            <w:r w:rsidR="009D498A">
              <w:rPr>
                <w:noProof/>
                <w:webHidden/>
              </w:rPr>
              <w:fldChar w:fldCharType="end"/>
            </w:r>
          </w:hyperlink>
        </w:p>
        <w:p w14:paraId="7489309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0" w:history="1">
            <w:r w:rsidR="009D498A" w:rsidRPr="00C46616">
              <w:rPr>
                <w:rStyle w:val="Hyperlink"/>
                <w:noProof/>
              </w:rPr>
              <w:t>Review of Recommended Premium Rate Methodology</w:t>
            </w:r>
            <w:r w:rsidR="009D498A">
              <w:rPr>
                <w:noProof/>
                <w:webHidden/>
              </w:rPr>
              <w:tab/>
            </w:r>
            <w:r w:rsidR="009D498A">
              <w:rPr>
                <w:noProof/>
                <w:webHidden/>
              </w:rPr>
              <w:fldChar w:fldCharType="begin"/>
            </w:r>
            <w:r w:rsidR="009D498A">
              <w:rPr>
                <w:noProof/>
                <w:webHidden/>
              </w:rPr>
              <w:instrText xml:space="preserve"> PAGEREF _Toc525122010 \h </w:instrText>
            </w:r>
            <w:r w:rsidR="009D498A">
              <w:rPr>
                <w:noProof/>
                <w:webHidden/>
              </w:rPr>
            </w:r>
            <w:r w:rsidR="009D498A">
              <w:rPr>
                <w:noProof/>
                <w:webHidden/>
              </w:rPr>
              <w:fldChar w:fldCharType="separate"/>
            </w:r>
            <w:r w:rsidR="00C817BE">
              <w:rPr>
                <w:noProof/>
                <w:webHidden/>
              </w:rPr>
              <w:t>87</w:t>
            </w:r>
            <w:r w:rsidR="009D498A">
              <w:rPr>
                <w:noProof/>
                <w:webHidden/>
              </w:rPr>
              <w:fldChar w:fldCharType="end"/>
            </w:r>
          </w:hyperlink>
        </w:p>
        <w:p w14:paraId="4E19513E"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1" w:history="1">
            <w:r w:rsidR="009D498A" w:rsidRPr="00C46616">
              <w:rPr>
                <w:rStyle w:val="Hyperlink"/>
                <w:noProof/>
              </w:rPr>
              <w:t>Focus on injury management and return to work</w:t>
            </w:r>
            <w:r w:rsidR="009D498A">
              <w:rPr>
                <w:noProof/>
                <w:webHidden/>
              </w:rPr>
              <w:tab/>
            </w:r>
            <w:r w:rsidR="009D498A">
              <w:rPr>
                <w:noProof/>
                <w:webHidden/>
              </w:rPr>
              <w:fldChar w:fldCharType="begin"/>
            </w:r>
            <w:r w:rsidR="009D498A">
              <w:rPr>
                <w:noProof/>
                <w:webHidden/>
              </w:rPr>
              <w:instrText xml:space="preserve"> PAGEREF _Toc525122011 \h </w:instrText>
            </w:r>
            <w:r w:rsidR="009D498A">
              <w:rPr>
                <w:noProof/>
                <w:webHidden/>
              </w:rPr>
            </w:r>
            <w:r w:rsidR="009D498A">
              <w:rPr>
                <w:noProof/>
                <w:webHidden/>
              </w:rPr>
              <w:fldChar w:fldCharType="separate"/>
            </w:r>
            <w:r w:rsidR="00C817BE">
              <w:rPr>
                <w:noProof/>
                <w:webHidden/>
              </w:rPr>
              <w:t>87</w:t>
            </w:r>
            <w:r w:rsidR="009D498A">
              <w:rPr>
                <w:noProof/>
                <w:webHidden/>
              </w:rPr>
              <w:fldChar w:fldCharType="end"/>
            </w:r>
          </w:hyperlink>
        </w:p>
        <w:p w14:paraId="3C4E8945" w14:textId="77777777" w:rsidR="009D498A" w:rsidRDefault="0029111E">
          <w:pPr>
            <w:pStyle w:val="TOC1"/>
            <w:rPr>
              <w:rFonts w:asciiTheme="minorHAnsi" w:eastAsiaTheme="minorEastAsia" w:hAnsiTheme="minorHAnsi" w:cstheme="minorBidi"/>
              <w:sz w:val="22"/>
              <w:szCs w:val="22"/>
              <w:lang w:eastAsia="en-AU"/>
            </w:rPr>
          </w:pPr>
          <w:hyperlink w:anchor="_Toc525122012" w:history="1">
            <w:r w:rsidR="009D498A" w:rsidRPr="00C46616">
              <w:rPr>
                <w:rStyle w:val="Hyperlink"/>
              </w:rPr>
              <w:t>Progressing legislative reform</w:t>
            </w:r>
            <w:r w:rsidR="009D498A">
              <w:rPr>
                <w:webHidden/>
              </w:rPr>
              <w:tab/>
            </w:r>
            <w:r w:rsidR="009D498A">
              <w:rPr>
                <w:webHidden/>
              </w:rPr>
              <w:fldChar w:fldCharType="begin"/>
            </w:r>
            <w:r w:rsidR="009D498A">
              <w:rPr>
                <w:webHidden/>
              </w:rPr>
              <w:instrText xml:space="preserve"> PAGEREF _Toc525122012 \h </w:instrText>
            </w:r>
            <w:r w:rsidR="009D498A">
              <w:rPr>
                <w:webHidden/>
              </w:rPr>
            </w:r>
            <w:r w:rsidR="009D498A">
              <w:rPr>
                <w:webHidden/>
              </w:rPr>
              <w:fldChar w:fldCharType="separate"/>
            </w:r>
            <w:r w:rsidR="00C817BE">
              <w:rPr>
                <w:webHidden/>
              </w:rPr>
              <w:t>88</w:t>
            </w:r>
            <w:r w:rsidR="009D498A">
              <w:rPr>
                <w:webHidden/>
              </w:rPr>
              <w:fldChar w:fldCharType="end"/>
            </w:r>
          </w:hyperlink>
        </w:p>
        <w:p w14:paraId="2BF4FC6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3" w:history="1">
            <w:r w:rsidR="009D498A" w:rsidRPr="00C46616">
              <w:rPr>
                <w:rStyle w:val="Hyperlink"/>
                <w:noProof/>
              </w:rPr>
              <w:t>Entitlements for dependants of deceased workers</w:t>
            </w:r>
            <w:r w:rsidR="009D498A">
              <w:rPr>
                <w:noProof/>
                <w:webHidden/>
              </w:rPr>
              <w:tab/>
            </w:r>
            <w:r w:rsidR="009D498A">
              <w:rPr>
                <w:noProof/>
                <w:webHidden/>
              </w:rPr>
              <w:fldChar w:fldCharType="begin"/>
            </w:r>
            <w:r w:rsidR="009D498A">
              <w:rPr>
                <w:noProof/>
                <w:webHidden/>
              </w:rPr>
              <w:instrText xml:space="preserve"> PAGEREF _Toc525122013 \h </w:instrText>
            </w:r>
            <w:r w:rsidR="009D498A">
              <w:rPr>
                <w:noProof/>
                <w:webHidden/>
              </w:rPr>
            </w:r>
            <w:r w:rsidR="009D498A">
              <w:rPr>
                <w:noProof/>
                <w:webHidden/>
              </w:rPr>
              <w:fldChar w:fldCharType="separate"/>
            </w:r>
            <w:r w:rsidR="00C817BE">
              <w:rPr>
                <w:noProof/>
                <w:webHidden/>
              </w:rPr>
              <w:t>88</w:t>
            </w:r>
            <w:r w:rsidR="009D498A">
              <w:rPr>
                <w:noProof/>
                <w:webHidden/>
              </w:rPr>
              <w:fldChar w:fldCharType="end"/>
            </w:r>
          </w:hyperlink>
        </w:p>
        <w:p w14:paraId="7084ABB3" w14:textId="77777777" w:rsidR="009D498A" w:rsidRDefault="0029111E">
          <w:pPr>
            <w:pStyle w:val="TOC1"/>
            <w:rPr>
              <w:rFonts w:asciiTheme="minorHAnsi" w:eastAsiaTheme="minorEastAsia" w:hAnsiTheme="minorHAnsi" w:cstheme="minorBidi"/>
              <w:sz w:val="22"/>
              <w:szCs w:val="22"/>
              <w:lang w:eastAsia="en-AU"/>
            </w:rPr>
          </w:pPr>
          <w:hyperlink w:anchor="_Toc525122014" w:history="1">
            <w:r w:rsidR="009D498A" w:rsidRPr="00C46616">
              <w:rPr>
                <w:rStyle w:val="Hyperlink"/>
              </w:rPr>
              <w:t>Service 2: Scheme Services</w:t>
            </w:r>
            <w:r w:rsidR="009D498A">
              <w:rPr>
                <w:webHidden/>
              </w:rPr>
              <w:tab/>
            </w:r>
            <w:r w:rsidR="009D498A">
              <w:rPr>
                <w:webHidden/>
              </w:rPr>
              <w:fldChar w:fldCharType="begin"/>
            </w:r>
            <w:r w:rsidR="009D498A">
              <w:rPr>
                <w:webHidden/>
              </w:rPr>
              <w:instrText xml:space="preserve"> PAGEREF _Toc525122014 \h </w:instrText>
            </w:r>
            <w:r w:rsidR="009D498A">
              <w:rPr>
                <w:webHidden/>
              </w:rPr>
            </w:r>
            <w:r w:rsidR="009D498A">
              <w:rPr>
                <w:webHidden/>
              </w:rPr>
              <w:fldChar w:fldCharType="separate"/>
            </w:r>
            <w:r w:rsidR="00C817BE">
              <w:rPr>
                <w:webHidden/>
              </w:rPr>
              <w:t>89</w:t>
            </w:r>
            <w:r w:rsidR="009D498A">
              <w:rPr>
                <w:webHidden/>
              </w:rPr>
              <w:fldChar w:fldCharType="end"/>
            </w:r>
          </w:hyperlink>
        </w:p>
        <w:p w14:paraId="2CBBE485" w14:textId="77777777" w:rsidR="009D498A" w:rsidRDefault="0029111E">
          <w:pPr>
            <w:pStyle w:val="TOC1"/>
            <w:rPr>
              <w:rFonts w:asciiTheme="minorHAnsi" w:eastAsiaTheme="minorEastAsia" w:hAnsiTheme="minorHAnsi" w:cstheme="minorBidi"/>
              <w:sz w:val="22"/>
              <w:szCs w:val="22"/>
              <w:lang w:eastAsia="en-AU"/>
            </w:rPr>
          </w:pPr>
          <w:hyperlink w:anchor="_Toc525122015" w:history="1">
            <w:r w:rsidR="009D498A" w:rsidRPr="00C46616">
              <w:rPr>
                <w:rStyle w:val="Hyperlink"/>
              </w:rPr>
              <w:t>Resolving disputes</w:t>
            </w:r>
            <w:r w:rsidR="009D498A">
              <w:rPr>
                <w:webHidden/>
              </w:rPr>
              <w:tab/>
            </w:r>
            <w:r w:rsidR="009D498A">
              <w:rPr>
                <w:webHidden/>
              </w:rPr>
              <w:fldChar w:fldCharType="begin"/>
            </w:r>
            <w:r w:rsidR="009D498A">
              <w:rPr>
                <w:webHidden/>
              </w:rPr>
              <w:instrText xml:space="preserve"> PAGEREF _Toc525122015 \h </w:instrText>
            </w:r>
            <w:r w:rsidR="009D498A">
              <w:rPr>
                <w:webHidden/>
              </w:rPr>
            </w:r>
            <w:r w:rsidR="009D498A">
              <w:rPr>
                <w:webHidden/>
              </w:rPr>
              <w:fldChar w:fldCharType="separate"/>
            </w:r>
            <w:r w:rsidR="00C817BE">
              <w:rPr>
                <w:webHidden/>
              </w:rPr>
              <w:t>89</w:t>
            </w:r>
            <w:r w:rsidR="009D498A">
              <w:rPr>
                <w:webHidden/>
              </w:rPr>
              <w:fldChar w:fldCharType="end"/>
            </w:r>
          </w:hyperlink>
        </w:p>
        <w:p w14:paraId="3F3A8AC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6" w:history="1">
            <w:r w:rsidR="009D498A" w:rsidRPr="00C46616">
              <w:rPr>
                <w:rStyle w:val="Hyperlink"/>
                <w:noProof/>
              </w:rPr>
              <w:t>Dispute resolution performance</w:t>
            </w:r>
            <w:r w:rsidR="009D498A">
              <w:rPr>
                <w:noProof/>
                <w:webHidden/>
              </w:rPr>
              <w:tab/>
            </w:r>
            <w:r w:rsidR="009D498A">
              <w:rPr>
                <w:noProof/>
                <w:webHidden/>
              </w:rPr>
              <w:fldChar w:fldCharType="begin"/>
            </w:r>
            <w:r w:rsidR="009D498A">
              <w:rPr>
                <w:noProof/>
                <w:webHidden/>
              </w:rPr>
              <w:instrText xml:space="preserve"> PAGEREF _Toc525122016 \h </w:instrText>
            </w:r>
            <w:r w:rsidR="009D498A">
              <w:rPr>
                <w:noProof/>
                <w:webHidden/>
              </w:rPr>
            </w:r>
            <w:r w:rsidR="009D498A">
              <w:rPr>
                <w:noProof/>
                <w:webHidden/>
              </w:rPr>
              <w:fldChar w:fldCharType="separate"/>
            </w:r>
            <w:r w:rsidR="00C817BE">
              <w:rPr>
                <w:noProof/>
                <w:webHidden/>
              </w:rPr>
              <w:t>90</w:t>
            </w:r>
            <w:r w:rsidR="009D498A">
              <w:rPr>
                <w:noProof/>
                <w:webHidden/>
              </w:rPr>
              <w:fldChar w:fldCharType="end"/>
            </w:r>
          </w:hyperlink>
        </w:p>
        <w:p w14:paraId="43EA9A35"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7" w:history="1">
            <w:r w:rsidR="009D498A" w:rsidRPr="00C46616">
              <w:rPr>
                <w:rStyle w:val="Hyperlink"/>
                <w:noProof/>
              </w:rPr>
              <w:t>Dispute Services Users Group</w:t>
            </w:r>
            <w:r w:rsidR="009D498A">
              <w:rPr>
                <w:noProof/>
                <w:webHidden/>
              </w:rPr>
              <w:tab/>
            </w:r>
            <w:r w:rsidR="009D498A">
              <w:rPr>
                <w:noProof/>
                <w:webHidden/>
              </w:rPr>
              <w:fldChar w:fldCharType="begin"/>
            </w:r>
            <w:r w:rsidR="009D498A">
              <w:rPr>
                <w:noProof/>
                <w:webHidden/>
              </w:rPr>
              <w:instrText xml:space="preserve"> PAGEREF _Toc525122017 \h </w:instrText>
            </w:r>
            <w:r w:rsidR="009D498A">
              <w:rPr>
                <w:noProof/>
                <w:webHidden/>
              </w:rPr>
            </w:r>
            <w:r w:rsidR="009D498A">
              <w:rPr>
                <w:noProof/>
                <w:webHidden/>
              </w:rPr>
              <w:fldChar w:fldCharType="separate"/>
            </w:r>
            <w:r w:rsidR="00C817BE">
              <w:rPr>
                <w:noProof/>
                <w:webHidden/>
              </w:rPr>
              <w:t>91</w:t>
            </w:r>
            <w:r w:rsidR="009D498A">
              <w:rPr>
                <w:noProof/>
                <w:webHidden/>
              </w:rPr>
              <w:fldChar w:fldCharType="end"/>
            </w:r>
          </w:hyperlink>
        </w:p>
        <w:p w14:paraId="1A2AB9A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8" w:history="1">
            <w:r w:rsidR="009D498A" w:rsidRPr="00C46616">
              <w:rPr>
                <w:rStyle w:val="Hyperlink"/>
                <w:rFonts w:eastAsiaTheme="minorHAnsi"/>
                <w:noProof/>
              </w:rPr>
              <w:t>Business Process Redesign</w:t>
            </w:r>
            <w:r w:rsidR="009D498A">
              <w:rPr>
                <w:noProof/>
                <w:webHidden/>
              </w:rPr>
              <w:tab/>
            </w:r>
            <w:r w:rsidR="009D498A">
              <w:rPr>
                <w:noProof/>
                <w:webHidden/>
              </w:rPr>
              <w:fldChar w:fldCharType="begin"/>
            </w:r>
            <w:r w:rsidR="009D498A">
              <w:rPr>
                <w:noProof/>
                <w:webHidden/>
              </w:rPr>
              <w:instrText xml:space="preserve"> PAGEREF _Toc525122018 \h </w:instrText>
            </w:r>
            <w:r w:rsidR="009D498A">
              <w:rPr>
                <w:noProof/>
                <w:webHidden/>
              </w:rPr>
            </w:r>
            <w:r w:rsidR="009D498A">
              <w:rPr>
                <w:noProof/>
                <w:webHidden/>
              </w:rPr>
              <w:fldChar w:fldCharType="separate"/>
            </w:r>
            <w:r w:rsidR="00C817BE">
              <w:rPr>
                <w:noProof/>
                <w:webHidden/>
              </w:rPr>
              <w:t>91</w:t>
            </w:r>
            <w:r w:rsidR="009D498A">
              <w:rPr>
                <w:noProof/>
                <w:webHidden/>
              </w:rPr>
              <w:fldChar w:fldCharType="end"/>
            </w:r>
          </w:hyperlink>
        </w:p>
        <w:p w14:paraId="7420D95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19" w:history="1">
            <w:r w:rsidR="009D498A" w:rsidRPr="00C46616">
              <w:rPr>
                <w:rStyle w:val="Hyperlink"/>
                <w:noProof/>
              </w:rPr>
              <w:t>Pre-arbitration conference</w:t>
            </w:r>
            <w:r w:rsidR="009D498A">
              <w:rPr>
                <w:noProof/>
                <w:webHidden/>
              </w:rPr>
              <w:tab/>
            </w:r>
            <w:r w:rsidR="009D498A">
              <w:rPr>
                <w:noProof/>
                <w:webHidden/>
              </w:rPr>
              <w:fldChar w:fldCharType="begin"/>
            </w:r>
            <w:r w:rsidR="009D498A">
              <w:rPr>
                <w:noProof/>
                <w:webHidden/>
              </w:rPr>
              <w:instrText xml:space="preserve"> PAGEREF _Toc525122019 \h </w:instrText>
            </w:r>
            <w:r w:rsidR="009D498A">
              <w:rPr>
                <w:noProof/>
                <w:webHidden/>
              </w:rPr>
            </w:r>
            <w:r w:rsidR="009D498A">
              <w:rPr>
                <w:noProof/>
                <w:webHidden/>
              </w:rPr>
              <w:fldChar w:fldCharType="separate"/>
            </w:r>
            <w:r w:rsidR="00C817BE">
              <w:rPr>
                <w:noProof/>
                <w:webHidden/>
              </w:rPr>
              <w:t>92</w:t>
            </w:r>
            <w:r w:rsidR="009D498A">
              <w:rPr>
                <w:noProof/>
                <w:webHidden/>
              </w:rPr>
              <w:fldChar w:fldCharType="end"/>
            </w:r>
          </w:hyperlink>
        </w:p>
        <w:p w14:paraId="2B3EB5C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0" w:history="1">
            <w:r w:rsidR="009D498A" w:rsidRPr="00C46616">
              <w:rPr>
                <w:rStyle w:val="Hyperlink"/>
                <w:rFonts w:eastAsia="Calibri"/>
                <w:noProof/>
              </w:rPr>
              <w:t>Conciliation Officer Development Program</w:t>
            </w:r>
            <w:r w:rsidR="009D498A">
              <w:rPr>
                <w:noProof/>
                <w:webHidden/>
              </w:rPr>
              <w:tab/>
            </w:r>
            <w:r w:rsidR="009D498A">
              <w:rPr>
                <w:noProof/>
                <w:webHidden/>
              </w:rPr>
              <w:fldChar w:fldCharType="begin"/>
            </w:r>
            <w:r w:rsidR="009D498A">
              <w:rPr>
                <w:noProof/>
                <w:webHidden/>
              </w:rPr>
              <w:instrText xml:space="preserve"> PAGEREF _Toc525122020 \h </w:instrText>
            </w:r>
            <w:r w:rsidR="009D498A">
              <w:rPr>
                <w:noProof/>
                <w:webHidden/>
              </w:rPr>
            </w:r>
            <w:r w:rsidR="009D498A">
              <w:rPr>
                <w:noProof/>
                <w:webHidden/>
              </w:rPr>
              <w:fldChar w:fldCharType="separate"/>
            </w:r>
            <w:r w:rsidR="00C817BE">
              <w:rPr>
                <w:noProof/>
                <w:webHidden/>
              </w:rPr>
              <w:t>92</w:t>
            </w:r>
            <w:r w:rsidR="009D498A">
              <w:rPr>
                <w:noProof/>
                <w:webHidden/>
              </w:rPr>
              <w:fldChar w:fldCharType="end"/>
            </w:r>
          </w:hyperlink>
        </w:p>
        <w:p w14:paraId="1FCF43D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1" w:history="1">
            <w:r w:rsidR="009D498A" w:rsidRPr="00C46616">
              <w:rPr>
                <w:rStyle w:val="Hyperlink"/>
                <w:noProof/>
              </w:rPr>
              <w:t>Arbitrator and Conciliation Officer Professional Development</w:t>
            </w:r>
            <w:r w:rsidR="009D498A">
              <w:rPr>
                <w:noProof/>
                <w:webHidden/>
              </w:rPr>
              <w:tab/>
            </w:r>
            <w:r w:rsidR="009D498A">
              <w:rPr>
                <w:noProof/>
                <w:webHidden/>
              </w:rPr>
              <w:fldChar w:fldCharType="begin"/>
            </w:r>
            <w:r w:rsidR="009D498A">
              <w:rPr>
                <w:noProof/>
                <w:webHidden/>
              </w:rPr>
              <w:instrText xml:space="preserve"> PAGEREF _Toc525122021 \h </w:instrText>
            </w:r>
            <w:r w:rsidR="009D498A">
              <w:rPr>
                <w:noProof/>
                <w:webHidden/>
              </w:rPr>
            </w:r>
            <w:r w:rsidR="009D498A">
              <w:rPr>
                <w:noProof/>
                <w:webHidden/>
              </w:rPr>
              <w:fldChar w:fldCharType="separate"/>
            </w:r>
            <w:r w:rsidR="00C817BE">
              <w:rPr>
                <w:noProof/>
                <w:webHidden/>
              </w:rPr>
              <w:t>92</w:t>
            </w:r>
            <w:r w:rsidR="009D498A">
              <w:rPr>
                <w:noProof/>
                <w:webHidden/>
              </w:rPr>
              <w:fldChar w:fldCharType="end"/>
            </w:r>
          </w:hyperlink>
        </w:p>
        <w:p w14:paraId="6D698430" w14:textId="77777777" w:rsidR="009D498A" w:rsidRDefault="0029111E">
          <w:pPr>
            <w:pStyle w:val="TOC1"/>
            <w:rPr>
              <w:rFonts w:asciiTheme="minorHAnsi" w:eastAsiaTheme="minorEastAsia" w:hAnsiTheme="minorHAnsi" w:cstheme="minorBidi"/>
              <w:sz w:val="22"/>
              <w:szCs w:val="22"/>
              <w:lang w:eastAsia="en-AU"/>
            </w:rPr>
          </w:pPr>
          <w:hyperlink w:anchor="_Toc525122022" w:history="1">
            <w:r w:rsidR="009D498A" w:rsidRPr="00C46616">
              <w:rPr>
                <w:rStyle w:val="Hyperlink"/>
              </w:rPr>
              <w:t>Education and information</w:t>
            </w:r>
            <w:r w:rsidR="009D498A">
              <w:rPr>
                <w:webHidden/>
              </w:rPr>
              <w:tab/>
            </w:r>
            <w:r w:rsidR="009D498A">
              <w:rPr>
                <w:webHidden/>
              </w:rPr>
              <w:fldChar w:fldCharType="begin"/>
            </w:r>
            <w:r w:rsidR="009D498A">
              <w:rPr>
                <w:webHidden/>
              </w:rPr>
              <w:instrText xml:space="preserve"> PAGEREF _Toc525122022 \h </w:instrText>
            </w:r>
            <w:r w:rsidR="009D498A">
              <w:rPr>
                <w:webHidden/>
              </w:rPr>
            </w:r>
            <w:r w:rsidR="009D498A">
              <w:rPr>
                <w:webHidden/>
              </w:rPr>
              <w:fldChar w:fldCharType="separate"/>
            </w:r>
            <w:r w:rsidR="00C817BE">
              <w:rPr>
                <w:webHidden/>
              </w:rPr>
              <w:t>93</w:t>
            </w:r>
            <w:r w:rsidR="009D498A">
              <w:rPr>
                <w:webHidden/>
              </w:rPr>
              <w:fldChar w:fldCharType="end"/>
            </w:r>
          </w:hyperlink>
        </w:p>
        <w:p w14:paraId="0401086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3" w:history="1">
            <w:r w:rsidR="009D498A" w:rsidRPr="00C46616">
              <w:rPr>
                <w:rStyle w:val="Hyperlink"/>
                <w:noProof/>
              </w:rPr>
              <w:t>WorkCover WA educational videos</w:t>
            </w:r>
            <w:r w:rsidR="009D498A">
              <w:rPr>
                <w:noProof/>
                <w:webHidden/>
              </w:rPr>
              <w:tab/>
            </w:r>
            <w:r w:rsidR="009D498A">
              <w:rPr>
                <w:noProof/>
                <w:webHidden/>
              </w:rPr>
              <w:fldChar w:fldCharType="begin"/>
            </w:r>
            <w:r w:rsidR="009D498A">
              <w:rPr>
                <w:noProof/>
                <w:webHidden/>
              </w:rPr>
              <w:instrText xml:space="preserve"> PAGEREF _Toc525122023 \h </w:instrText>
            </w:r>
            <w:r w:rsidR="009D498A">
              <w:rPr>
                <w:noProof/>
                <w:webHidden/>
              </w:rPr>
            </w:r>
            <w:r w:rsidR="009D498A">
              <w:rPr>
                <w:noProof/>
                <w:webHidden/>
              </w:rPr>
              <w:fldChar w:fldCharType="separate"/>
            </w:r>
            <w:r w:rsidR="00C817BE">
              <w:rPr>
                <w:noProof/>
                <w:webHidden/>
              </w:rPr>
              <w:t>93</w:t>
            </w:r>
            <w:r w:rsidR="009D498A">
              <w:rPr>
                <w:noProof/>
                <w:webHidden/>
              </w:rPr>
              <w:fldChar w:fldCharType="end"/>
            </w:r>
          </w:hyperlink>
        </w:p>
        <w:p w14:paraId="36ACC8C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4" w:history="1">
            <w:r w:rsidR="009D498A" w:rsidRPr="00C46616">
              <w:rPr>
                <w:rStyle w:val="Hyperlink"/>
                <w:noProof/>
              </w:rPr>
              <w:t>Publications</w:t>
            </w:r>
            <w:r w:rsidR="009D498A">
              <w:rPr>
                <w:noProof/>
                <w:webHidden/>
              </w:rPr>
              <w:tab/>
            </w:r>
            <w:r w:rsidR="009D498A">
              <w:rPr>
                <w:noProof/>
                <w:webHidden/>
              </w:rPr>
              <w:fldChar w:fldCharType="begin"/>
            </w:r>
            <w:r w:rsidR="009D498A">
              <w:rPr>
                <w:noProof/>
                <w:webHidden/>
              </w:rPr>
              <w:instrText xml:space="preserve"> PAGEREF _Toc525122024 \h </w:instrText>
            </w:r>
            <w:r w:rsidR="009D498A">
              <w:rPr>
                <w:noProof/>
                <w:webHidden/>
              </w:rPr>
            </w:r>
            <w:r w:rsidR="009D498A">
              <w:rPr>
                <w:noProof/>
                <w:webHidden/>
              </w:rPr>
              <w:fldChar w:fldCharType="separate"/>
            </w:r>
            <w:r w:rsidR="00C817BE">
              <w:rPr>
                <w:noProof/>
                <w:webHidden/>
              </w:rPr>
              <w:t>94</w:t>
            </w:r>
            <w:r w:rsidR="009D498A">
              <w:rPr>
                <w:noProof/>
                <w:webHidden/>
              </w:rPr>
              <w:fldChar w:fldCharType="end"/>
            </w:r>
          </w:hyperlink>
        </w:p>
        <w:p w14:paraId="1D9EBD2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5" w:history="1">
            <w:r w:rsidR="009D498A" w:rsidRPr="00C46616">
              <w:rPr>
                <w:rStyle w:val="Hyperlink"/>
                <w:noProof/>
              </w:rPr>
              <w:t>WorkCover WA website</w:t>
            </w:r>
            <w:r w:rsidR="009D498A">
              <w:rPr>
                <w:noProof/>
                <w:webHidden/>
              </w:rPr>
              <w:tab/>
            </w:r>
            <w:r w:rsidR="009D498A">
              <w:rPr>
                <w:noProof/>
                <w:webHidden/>
              </w:rPr>
              <w:fldChar w:fldCharType="begin"/>
            </w:r>
            <w:r w:rsidR="009D498A">
              <w:rPr>
                <w:noProof/>
                <w:webHidden/>
              </w:rPr>
              <w:instrText xml:space="preserve"> PAGEREF _Toc525122025 \h </w:instrText>
            </w:r>
            <w:r w:rsidR="009D498A">
              <w:rPr>
                <w:noProof/>
                <w:webHidden/>
              </w:rPr>
            </w:r>
            <w:r w:rsidR="009D498A">
              <w:rPr>
                <w:noProof/>
                <w:webHidden/>
              </w:rPr>
              <w:fldChar w:fldCharType="separate"/>
            </w:r>
            <w:r w:rsidR="00C817BE">
              <w:rPr>
                <w:noProof/>
                <w:webHidden/>
              </w:rPr>
              <w:t>96</w:t>
            </w:r>
            <w:r w:rsidR="009D498A">
              <w:rPr>
                <w:noProof/>
                <w:webHidden/>
              </w:rPr>
              <w:fldChar w:fldCharType="end"/>
            </w:r>
          </w:hyperlink>
        </w:p>
        <w:p w14:paraId="6DCB529D" w14:textId="77777777" w:rsidR="009D498A" w:rsidRDefault="0029111E">
          <w:pPr>
            <w:pStyle w:val="TOC3"/>
            <w:rPr>
              <w:rFonts w:asciiTheme="minorHAnsi" w:eastAsiaTheme="minorEastAsia" w:hAnsiTheme="minorHAnsi" w:cstheme="minorBidi"/>
              <w:noProof/>
              <w:sz w:val="22"/>
              <w:szCs w:val="22"/>
              <w:lang w:eastAsia="en-AU"/>
            </w:rPr>
          </w:pPr>
          <w:hyperlink w:anchor="_Toc525122026" w:history="1">
            <w:r w:rsidR="009D498A" w:rsidRPr="00C46616">
              <w:rPr>
                <w:rStyle w:val="Hyperlink"/>
                <w:noProof/>
              </w:rPr>
              <w:t>General website statistics</w:t>
            </w:r>
            <w:r w:rsidR="009D498A">
              <w:rPr>
                <w:noProof/>
                <w:webHidden/>
              </w:rPr>
              <w:tab/>
            </w:r>
            <w:r w:rsidR="009D498A">
              <w:rPr>
                <w:noProof/>
                <w:webHidden/>
              </w:rPr>
              <w:fldChar w:fldCharType="begin"/>
            </w:r>
            <w:r w:rsidR="009D498A">
              <w:rPr>
                <w:noProof/>
                <w:webHidden/>
              </w:rPr>
              <w:instrText xml:space="preserve"> PAGEREF _Toc525122026 \h </w:instrText>
            </w:r>
            <w:r w:rsidR="009D498A">
              <w:rPr>
                <w:noProof/>
                <w:webHidden/>
              </w:rPr>
            </w:r>
            <w:r w:rsidR="009D498A">
              <w:rPr>
                <w:noProof/>
                <w:webHidden/>
              </w:rPr>
              <w:fldChar w:fldCharType="separate"/>
            </w:r>
            <w:r w:rsidR="00C817BE">
              <w:rPr>
                <w:noProof/>
                <w:webHidden/>
              </w:rPr>
              <w:t>96</w:t>
            </w:r>
            <w:r w:rsidR="009D498A">
              <w:rPr>
                <w:noProof/>
                <w:webHidden/>
              </w:rPr>
              <w:fldChar w:fldCharType="end"/>
            </w:r>
          </w:hyperlink>
        </w:p>
        <w:p w14:paraId="2C2D3BE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7" w:history="1">
            <w:r w:rsidR="009D498A" w:rsidRPr="00C46616">
              <w:rPr>
                <w:rStyle w:val="Hyperlink"/>
                <w:noProof/>
              </w:rPr>
              <w:t>gp</w:t>
            </w:r>
            <w:r w:rsidR="009D498A" w:rsidRPr="00C46616">
              <w:rPr>
                <w:rStyle w:val="Hyperlink"/>
                <w:i/>
                <w:noProof/>
              </w:rPr>
              <w:t>suppor</w:t>
            </w:r>
            <w:r w:rsidR="009D498A" w:rsidRPr="00C46616">
              <w:rPr>
                <w:rStyle w:val="Hyperlink"/>
                <w:noProof/>
              </w:rPr>
              <w:t>t website</w:t>
            </w:r>
            <w:r w:rsidR="009D498A">
              <w:rPr>
                <w:noProof/>
                <w:webHidden/>
              </w:rPr>
              <w:tab/>
            </w:r>
            <w:r w:rsidR="009D498A">
              <w:rPr>
                <w:noProof/>
                <w:webHidden/>
              </w:rPr>
              <w:fldChar w:fldCharType="begin"/>
            </w:r>
            <w:r w:rsidR="009D498A">
              <w:rPr>
                <w:noProof/>
                <w:webHidden/>
              </w:rPr>
              <w:instrText xml:space="preserve"> PAGEREF _Toc525122027 \h </w:instrText>
            </w:r>
            <w:r w:rsidR="009D498A">
              <w:rPr>
                <w:noProof/>
                <w:webHidden/>
              </w:rPr>
            </w:r>
            <w:r w:rsidR="009D498A">
              <w:rPr>
                <w:noProof/>
                <w:webHidden/>
              </w:rPr>
              <w:fldChar w:fldCharType="separate"/>
            </w:r>
            <w:r w:rsidR="00C817BE">
              <w:rPr>
                <w:noProof/>
                <w:webHidden/>
              </w:rPr>
              <w:t>97</w:t>
            </w:r>
            <w:r w:rsidR="009D498A">
              <w:rPr>
                <w:noProof/>
                <w:webHidden/>
              </w:rPr>
              <w:fldChar w:fldCharType="end"/>
            </w:r>
          </w:hyperlink>
        </w:p>
        <w:p w14:paraId="5E5F27D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28" w:history="1">
            <w:r w:rsidR="009D498A" w:rsidRPr="00C46616">
              <w:rPr>
                <w:rStyle w:val="Hyperlink"/>
                <w:noProof/>
              </w:rPr>
              <w:t>Social media</w:t>
            </w:r>
            <w:r w:rsidR="009D498A">
              <w:rPr>
                <w:noProof/>
                <w:webHidden/>
              </w:rPr>
              <w:tab/>
            </w:r>
            <w:r w:rsidR="009D498A">
              <w:rPr>
                <w:noProof/>
                <w:webHidden/>
              </w:rPr>
              <w:fldChar w:fldCharType="begin"/>
            </w:r>
            <w:r w:rsidR="009D498A">
              <w:rPr>
                <w:noProof/>
                <w:webHidden/>
              </w:rPr>
              <w:instrText xml:space="preserve"> PAGEREF _Toc525122028 \h </w:instrText>
            </w:r>
            <w:r w:rsidR="009D498A">
              <w:rPr>
                <w:noProof/>
                <w:webHidden/>
              </w:rPr>
            </w:r>
            <w:r w:rsidR="009D498A">
              <w:rPr>
                <w:noProof/>
                <w:webHidden/>
              </w:rPr>
              <w:fldChar w:fldCharType="separate"/>
            </w:r>
            <w:r w:rsidR="00C817BE">
              <w:rPr>
                <w:noProof/>
                <w:webHidden/>
              </w:rPr>
              <w:t>98</w:t>
            </w:r>
            <w:r w:rsidR="009D498A">
              <w:rPr>
                <w:noProof/>
                <w:webHidden/>
              </w:rPr>
              <w:fldChar w:fldCharType="end"/>
            </w:r>
          </w:hyperlink>
        </w:p>
        <w:p w14:paraId="03883BAD" w14:textId="77777777" w:rsidR="009D498A" w:rsidRDefault="0029111E">
          <w:pPr>
            <w:pStyle w:val="TOC3"/>
            <w:rPr>
              <w:rFonts w:asciiTheme="minorHAnsi" w:eastAsiaTheme="minorEastAsia" w:hAnsiTheme="minorHAnsi" w:cstheme="minorBidi"/>
              <w:noProof/>
              <w:sz w:val="22"/>
              <w:szCs w:val="22"/>
              <w:lang w:eastAsia="en-AU"/>
            </w:rPr>
          </w:pPr>
          <w:hyperlink w:anchor="_Toc525122029" w:history="1">
            <w:r w:rsidR="009D498A" w:rsidRPr="00C46616">
              <w:rPr>
                <w:rStyle w:val="Hyperlink"/>
                <w:noProof/>
              </w:rPr>
              <w:t>Twitter</w:t>
            </w:r>
            <w:r w:rsidR="009D498A">
              <w:rPr>
                <w:noProof/>
                <w:webHidden/>
              </w:rPr>
              <w:tab/>
            </w:r>
            <w:r w:rsidR="009D498A">
              <w:rPr>
                <w:noProof/>
                <w:webHidden/>
              </w:rPr>
              <w:fldChar w:fldCharType="begin"/>
            </w:r>
            <w:r w:rsidR="009D498A">
              <w:rPr>
                <w:noProof/>
                <w:webHidden/>
              </w:rPr>
              <w:instrText xml:space="preserve"> PAGEREF _Toc525122029 \h </w:instrText>
            </w:r>
            <w:r w:rsidR="009D498A">
              <w:rPr>
                <w:noProof/>
                <w:webHidden/>
              </w:rPr>
            </w:r>
            <w:r w:rsidR="009D498A">
              <w:rPr>
                <w:noProof/>
                <w:webHidden/>
              </w:rPr>
              <w:fldChar w:fldCharType="separate"/>
            </w:r>
            <w:r w:rsidR="00C817BE">
              <w:rPr>
                <w:noProof/>
                <w:webHidden/>
              </w:rPr>
              <w:t>98</w:t>
            </w:r>
            <w:r w:rsidR="009D498A">
              <w:rPr>
                <w:noProof/>
                <w:webHidden/>
              </w:rPr>
              <w:fldChar w:fldCharType="end"/>
            </w:r>
          </w:hyperlink>
        </w:p>
        <w:p w14:paraId="1C6603C9" w14:textId="77777777" w:rsidR="009D498A" w:rsidRDefault="0029111E">
          <w:pPr>
            <w:pStyle w:val="TOC3"/>
            <w:rPr>
              <w:rFonts w:asciiTheme="minorHAnsi" w:eastAsiaTheme="minorEastAsia" w:hAnsiTheme="minorHAnsi" w:cstheme="minorBidi"/>
              <w:noProof/>
              <w:sz w:val="22"/>
              <w:szCs w:val="22"/>
              <w:lang w:eastAsia="en-AU"/>
            </w:rPr>
          </w:pPr>
          <w:hyperlink w:anchor="_Toc525122030" w:history="1">
            <w:r w:rsidR="009D498A" w:rsidRPr="00C46616">
              <w:rPr>
                <w:rStyle w:val="Hyperlink"/>
                <w:noProof/>
                <w:lang w:eastAsia="en-AU"/>
              </w:rPr>
              <w:t>Facebook</w:t>
            </w:r>
            <w:r w:rsidR="009D498A">
              <w:rPr>
                <w:noProof/>
                <w:webHidden/>
              </w:rPr>
              <w:tab/>
            </w:r>
            <w:r w:rsidR="009D498A">
              <w:rPr>
                <w:noProof/>
                <w:webHidden/>
              </w:rPr>
              <w:fldChar w:fldCharType="begin"/>
            </w:r>
            <w:r w:rsidR="009D498A">
              <w:rPr>
                <w:noProof/>
                <w:webHidden/>
              </w:rPr>
              <w:instrText xml:space="preserve"> PAGEREF _Toc525122030 \h </w:instrText>
            </w:r>
            <w:r w:rsidR="009D498A">
              <w:rPr>
                <w:noProof/>
                <w:webHidden/>
              </w:rPr>
            </w:r>
            <w:r w:rsidR="009D498A">
              <w:rPr>
                <w:noProof/>
                <w:webHidden/>
              </w:rPr>
              <w:fldChar w:fldCharType="separate"/>
            </w:r>
            <w:r w:rsidR="00C817BE">
              <w:rPr>
                <w:noProof/>
                <w:webHidden/>
              </w:rPr>
              <w:t>98</w:t>
            </w:r>
            <w:r w:rsidR="009D498A">
              <w:rPr>
                <w:noProof/>
                <w:webHidden/>
              </w:rPr>
              <w:fldChar w:fldCharType="end"/>
            </w:r>
          </w:hyperlink>
        </w:p>
        <w:p w14:paraId="10AC08BE"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31" w:history="1">
            <w:r w:rsidR="009D498A" w:rsidRPr="00C46616">
              <w:rPr>
                <w:rStyle w:val="Hyperlink"/>
                <w:noProof/>
              </w:rPr>
              <w:t>Advice and Assistance Unit</w:t>
            </w:r>
            <w:r w:rsidR="009D498A">
              <w:rPr>
                <w:noProof/>
                <w:webHidden/>
              </w:rPr>
              <w:tab/>
            </w:r>
            <w:r w:rsidR="009D498A">
              <w:rPr>
                <w:noProof/>
                <w:webHidden/>
              </w:rPr>
              <w:fldChar w:fldCharType="begin"/>
            </w:r>
            <w:r w:rsidR="009D498A">
              <w:rPr>
                <w:noProof/>
                <w:webHidden/>
              </w:rPr>
              <w:instrText xml:space="preserve"> PAGEREF _Toc525122031 \h </w:instrText>
            </w:r>
            <w:r w:rsidR="009D498A">
              <w:rPr>
                <w:noProof/>
                <w:webHidden/>
              </w:rPr>
            </w:r>
            <w:r w:rsidR="009D498A">
              <w:rPr>
                <w:noProof/>
                <w:webHidden/>
              </w:rPr>
              <w:fldChar w:fldCharType="separate"/>
            </w:r>
            <w:r w:rsidR="00C817BE">
              <w:rPr>
                <w:noProof/>
                <w:webHidden/>
              </w:rPr>
              <w:t>98</w:t>
            </w:r>
            <w:r w:rsidR="009D498A">
              <w:rPr>
                <w:noProof/>
                <w:webHidden/>
              </w:rPr>
              <w:fldChar w:fldCharType="end"/>
            </w:r>
          </w:hyperlink>
        </w:p>
        <w:p w14:paraId="32D828E1" w14:textId="77777777" w:rsidR="009D498A" w:rsidRDefault="0029111E">
          <w:pPr>
            <w:pStyle w:val="TOC1"/>
            <w:rPr>
              <w:rFonts w:asciiTheme="minorHAnsi" w:eastAsiaTheme="minorEastAsia" w:hAnsiTheme="minorHAnsi" w:cstheme="minorBidi"/>
              <w:sz w:val="22"/>
              <w:szCs w:val="22"/>
              <w:lang w:eastAsia="en-AU"/>
            </w:rPr>
          </w:pPr>
          <w:hyperlink w:anchor="_Toc525122032" w:history="1">
            <w:r w:rsidR="009D498A" w:rsidRPr="00C46616">
              <w:rPr>
                <w:rStyle w:val="Hyperlink"/>
              </w:rPr>
              <w:t>Training and seminars</w:t>
            </w:r>
            <w:r w:rsidR="009D498A">
              <w:rPr>
                <w:webHidden/>
              </w:rPr>
              <w:tab/>
            </w:r>
            <w:r w:rsidR="009D498A">
              <w:rPr>
                <w:webHidden/>
              </w:rPr>
              <w:fldChar w:fldCharType="begin"/>
            </w:r>
            <w:r w:rsidR="009D498A">
              <w:rPr>
                <w:webHidden/>
              </w:rPr>
              <w:instrText xml:space="preserve"> PAGEREF _Toc525122032 \h </w:instrText>
            </w:r>
            <w:r w:rsidR="009D498A">
              <w:rPr>
                <w:webHidden/>
              </w:rPr>
            </w:r>
            <w:r w:rsidR="009D498A">
              <w:rPr>
                <w:webHidden/>
              </w:rPr>
              <w:fldChar w:fldCharType="separate"/>
            </w:r>
            <w:r w:rsidR="00C817BE">
              <w:rPr>
                <w:webHidden/>
              </w:rPr>
              <w:t>99</w:t>
            </w:r>
            <w:r w:rsidR="009D498A">
              <w:rPr>
                <w:webHidden/>
              </w:rPr>
              <w:fldChar w:fldCharType="end"/>
            </w:r>
          </w:hyperlink>
        </w:p>
        <w:p w14:paraId="29A520F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33" w:history="1">
            <w:r w:rsidR="009D498A" w:rsidRPr="00C46616">
              <w:rPr>
                <w:rStyle w:val="Hyperlink"/>
                <w:noProof/>
              </w:rPr>
              <w:t>WorkCover WA seminars</w:t>
            </w:r>
            <w:r w:rsidR="009D498A">
              <w:rPr>
                <w:noProof/>
                <w:webHidden/>
              </w:rPr>
              <w:tab/>
            </w:r>
            <w:r w:rsidR="009D498A">
              <w:rPr>
                <w:noProof/>
                <w:webHidden/>
              </w:rPr>
              <w:fldChar w:fldCharType="begin"/>
            </w:r>
            <w:r w:rsidR="009D498A">
              <w:rPr>
                <w:noProof/>
                <w:webHidden/>
              </w:rPr>
              <w:instrText xml:space="preserve"> PAGEREF _Toc525122033 \h </w:instrText>
            </w:r>
            <w:r w:rsidR="009D498A">
              <w:rPr>
                <w:noProof/>
                <w:webHidden/>
              </w:rPr>
            </w:r>
            <w:r w:rsidR="009D498A">
              <w:rPr>
                <w:noProof/>
                <w:webHidden/>
              </w:rPr>
              <w:fldChar w:fldCharType="separate"/>
            </w:r>
            <w:r w:rsidR="00C817BE">
              <w:rPr>
                <w:noProof/>
                <w:webHidden/>
              </w:rPr>
              <w:t>100</w:t>
            </w:r>
            <w:r w:rsidR="009D498A">
              <w:rPr>
                <w:noProof/>
                <w:webHidden/>
              </w:rPr>
              <w:fldChar w:fldCharType="end"/>
            </w:r>
          </w:hyperlink>
        </w:p>
        <w:p w14:paraId="3EEFA7A2" w14:textId="77777777" w:rsidR="009D498A" w:rsidRDefault="0029111E">
          <w:pPr>
            <w:pStyle w:val="TOC3"/>
            <w:rPr>
              <w:rFonts w:asciiTheme="minorHAnsi" w:eastAsiaTheme="minorEastAsia" w:hAnsiTheme="minorHAnsi" w:cstheme="minorBidi"/>
              <w:noProof/>
              <w:sz w:val="22"/>
              <w:szCs w:val="22"/>
              <w:lang w:eastAsia="en-AU"/>
            </w:rPr>
          </w:pPr>
          <w:hyperlink w:anchor="_Toc525122034" w:history="1">
            <w:r w:rsidR="009D498A" w:rsidRPr="00C46616">
              <w:rPr>
                <w:rStyle w:val="Hyperlink"/>
                <w:noProof/>
              </w:rPr>
              <w:t>Welcome to WorkCover WA</w:t>
            </w:r>
            <w:r w:rsidR="009D498A">
              <w:rPr>
                <w:noProof/>
                <w:webHidden/>
              </w:rPr>
              <w:tab/>
            </w:r>
            <w:r w:rsidR="009D498A">
              <w:rPr>
                <w:noProof/>
                <w:webHidden/>
              </w:rPr>
              <w:fldChar w:fldCharType="begin"/>
            </w:r>
            <w:r w:rsidR="009D498A">
              <w:rPr>
                <w:noProof/>
                <w:webHidden/>
              </w:rPr>
              <w:instrText xml:space="preserve"> PAGEREF _Toc525122034 \h </w:instrText>
            </w:r>
            <w:r w:rsidR="009D498A">
              <w:rPr>
                <w:noProof/>
                <w:webHidden/>
              </w:rPr>
            </w:r>
            <w:r w:rsidR="009D498A">
              <w:rPr>
                <w:noProof/>
                <w:webHidden/>
              </w:rPr>
              <w:fldChar w:fldCharType="separate"/>
            </w:r>
            <w:r w:rsidR="00C817BE">
              <w:rPr>
                <w:noProof/>
                <w:webHidden/>
              </w:rPr>
              <w:t>100</w:t>
            </w:r>
            <w:r w:rsidR="009D498A">
              <w:rPr>
                <w:noProof/>
                <w:webHidden/>
              </w:rPr>
              <w:fldChar w:fldCharType="end"/>
            </w:r>
          </w:hyperlink>
        </w:p>
        <w:p w14:paraId="0AFED942" w14:textId="77777777" w:rsidR="009D498A" w:rsidRDefault="0029111E">
          <w:pPr>
            <w:pStyle w:val="TOC3"/>
            <w:rPr>
              <w:rFonts w:asciiTheme="minorHAnsi" w:eastAsiaTheme="minorEastAsia" w:hAnsiTheme="minorHAnsi" w:cstheme="minorBidi"/>
              <w:noProof/>
              <w:sz w:val="22"/>
              <w:szCs w:val="22"/>
              <w:lang w:eastAsia="en-AU"/>
            </w:rPr>
          </w:pPr>
          <w:hyperlink w:anchor="_Toc525122035" w:history="1">
            <w:r w:rsidR="009D498A" w:rsidRPr="00C46616">
              <w:rPr>
                <w:rStyle w:val="Hyperlink"/>
                <w:noProof/>
              </w:rPr>
              <w:t>Insurance Brokers’ Breakfast Seminar</w:t>
            </w:r>
            <w:r w:rsidR="009D498A">
              <w:rPr>
                <w:noProof/>
                <w:webHidden/>
              </w:rPr>
              <w:tab/>
            </w:r>
            <w:r w:rsidR="009D498A">
              <w:rPr>
                <w:noProof/>
                <w:webHidden/>
              </w:rPr>
              <w:fldChar w:fldCharType="begin"/>
            </w:r>
            <w:r w:rsidR="009D498A">
              <w:rPr>
                <w:noProof/>
                <w:webHidden/>
              </w:rPr>
              <w:instrText xml:space="preserve"> PAGEREF _Toc525122035 \h </w:instrText>
            </w:r>
            <w:r w:rsidR="009D498A">
              <w:rPr>
                <w:noProof/>
                <w:webHidden/>
              </w:rPr>
            </w:r>
            <w:r w:rsidR="009D498A">
              <w:rPr>
                <w:noProof/>
                <w:webHidden/>
              </w:rPr>
              <w:fldChar w:fldCharType="separate"/>
            </w:r>
            <w:r w:rsidR="00C817BE">
              <w:rPr>
                <w:noProof/>
                <w:webHidden/>
              </w:rPr>
              <w:t>101</w:t>
            </w:r>
            <w:r w:rsidR="009D498A">
              <w:rPr>
                <w:noProof/>
                <w:webHidden/>
              </w:rPr>
              <w:fldChar w:fldCharType="end"/>
            </w:r>
          </w:hyperlink>
        </w:p>
        <w:p w14:paraId="6DE15F90" w14:textId="77777777" w:rsidR="009D498A" w:rsidRDefault="0029111E">
          <w:pPr>
            <w:pStyle w:val="TOC3"/>
            <w:rPr>
              <w:rFonts w:asciiTheme="minorHAnsi" w:eastAsiaTheme="minorEastAsia" w:hAnsiTheme="minorHAnsi" w:cstheme="minorBidi"/>
              <w:noProof/>
              <w:sz w:val="22"/>
              <w:szCs w:val="22"/>
              <w:lang w:eastAsia="en-AU"/>
            </w:rPr>
          </w:pPr>
          <w:hyperlink w:anchor="_Toc525122036" w:history="1">
            <w:r w:rsidR="009D498A" w:rsidRPr="00C46616">
              <w:rPr>
                <w:rStyle w:val="Hyperlink"/>
                <w:noProof/>
              </w:rPr>
              <w:t>Residential Construction Industry Seminar</w:t>
            </w:r>
            <w:r w:rsidR="009D498A">
              <w:rPr>
                <w:noProof/>
                <w:webHidden/>
              </w:rPr>
              <w:tab/>
            </w:r>
            <w:r w:rsidR="009D498A">
              <w:rPr>
                <w:noProof/>
                <w:webHidden/>
              </w:rPr>
              <w:fldChar w:fldCharType="begin"/>
            </w:r>
            <w:r w:rsidR="009D498A">
              <w:rPr>
                <w:noProof/>
                <w:webHidden/>
              </w:rPr>
              <w:instrText xml:space="preserve"> PAGEREF _Toc525122036 \h </w:instrText>
            </w:r>
            <w:r w:rsidR="009D498A">
              <w:rPr>
                <w:noProof/>
                <w:webHidden/>
              </w:rPr>
            </w:r>
            <w:r w:rsidR="009D498A">
              <w:rPr>
                <w:noProof/>
                <w:webHidden/>
              </w:rPr>
              <w:fldChar w:fldCharType="separate"/>
            </w:r>
            <w:r w:rsidR="00C817BE">
              <w:rPr>
                <w:noProof/>
                <w:webHidden/>
              </w:rPr>
              <w:t>102</w:t>
            </w:r>
            <w:r w:rsidR="009D498A">
              <w:rPr>
                <w:noProof/>
                <w:webHidden/>
              </w:rPr>
              <w:fldChar w:fldCharType="end"/>
            </w:r>
          </w:hyperlink>
        </w:p>
        <w:p w14:paraId="7A1C060E" w14:textId="77777777" w:rsidR="009D498A" w:rsidRDefault="0029111E">
          <w:pPr>
            <w:pStyle w:val="TOC3"/>
            <w:rPr>
              <w:rFonts w:asciiTheme="minorHAnsi" w:eastAsiaTheme="minorEastAsia" w:hAnsiTheme="minorHAnsi" w:cstheme="minorBidi"/>
              <w:noProof/>
              <w:sz w:val="22"/>
              <w:szCs w:val="22"/>
              <w:lang w:eastAsia="en-AU"/>
            </w:rPr>
          </w:pPr>
          <w:hyperlink w:anchor="_Toc525122037" w:history="1">
            <w:r w:rsidR="009D498A" w:rsidRPr="00C46616">
              <w:rPr>
                <w:rStyle w:val="Hyperlink"/>
                <w:noProof/>
              </w:rPr>
              <w:t>Approved medical specialist training</w:t>
            </w:r>
            <w:r w:rsidR="009D498A">
              <w:rPr>
                <w:noProof/>
                <w:webHidden/>
              </w:rPr>
              <w:tab/>
            </w:r>
            <w:r w:rsidR="009D498A">
              <w:rPr>
                <w:noProof/>
                <w:webHidden/>
              </w:rPr>
              <w:fldChar w:fldCharType="begin"/>
            </w:r>
            <w:r w:rsidR="009D498A">
              <w:rPr>
                <w:noProof/>
                <w:webHidden/>
              </w:rPr>
              <w:instrText xml:space="preserve"> PAGEREF _Toc525122037 \h </w:instrText>
            </w:r>
            <w:r w:rsidR="009D498A">
              <w:rPr>
                <w:noProof/>
                <w:webHidden/>
              </w:rPr>
            </w:r>
            <w:r w:rsidR="009D498A">
              <w:rPr>
                <w:noProof/>
                <w:webHidden/>
              </w:rPr>
              <w:fldChar w:fldCharType="separate"/>
            </w:r>
            <w:r w:rsidR="00C817BE">
              <w:rPr>
                <w:noProof/>
                <w:webHidden/>
              </w:rPr>
              <w:t>102</w:t>
            </w:r>
            <w:r w:rsidR="009D498A">
              <w:rPr>
                <w:noProof/>
                <w:webHidden/>
              </w:rPr>
              <w:fldChar w:fldCharType="end"/>
            </w:r>
          </w:hyperlink>
        </w:p>
        <w:p w14:paraId="202132E9" w14:textId="77777777" w:rsidR="009D498A" w:rsidRDefault="0029111E">
          <w:pPr>
            <w:pStyle w:val="TOC3"/>
            <w:rPr>
              <w:rFonts w:asciiTheme="minorHAnsi" w:eastAsiaTheme="minorEastAsia" w:hAnsiTheme="minorHAnsi" w:cstheme="minorBidi"/>
              <w:noProof/>
              <w:sz w:val="22"/>
              <w:szCs w:val="22"/>
              <w:lang w:eastAsia="en-AU"/>
            </w:rPr>
          </w:pPr>
          <w:hyperlink w:anchor="_Toc525122038" w:history="1">
            <w:r w:rsidR="009D498A" w:rsidRPr="00C46616">
              <w:rPr>
                <w:rStyle w:val="Hyperlink"/>
                <w:noProof/>
              </w:rPr>
              <w:t>Presentations on request</w:t>
            </w:r>
            <w:r w:rsidR="009D498A">
              <w:rPr>
                <w:noProof/>
                <w:webHidden/>
              </w:rPr>
              <w:tab/>
            </w:r>
            <w:r w:rsidR="009D498A">
              <w:rPr>
                <w:noProof/>
                <w:webHidden/>
              </w:rPr>
              <w:fldChar w:fldCharType="begin"/>
            </w:r>
            <w:r w:rsidR="009D498A">
              <w:rPr>
                <w:noProof/>
                <w:webHidden/>
              </w:rPr>
              <w:instrText xml:space="preserve"> PAGEREF _Toc525122038 \h </w:instrText>
            </w:r>
            <w:r w:rsidR="009D498A">
              <w:rPr>
                <w:noProof/>
                <w:webHidden/>
              </w:rPr>
            </w:r>
            <w:r w:rsidR="009D498A">
              <w:rPr>
                <w:noProof/>
                <w:webHidden/>
              </w:rPr>
              <w:fldChar w:fldCharType="separate"/>
            </w:r>
            <w:r w:rsidR="00C817BE">
              <w:rPr>
                <w:noProof/>
                <w:webHidden/>
              </w:rPr>
              <w:t>102</w:t>
            </w:r>
            <w:r w:rsidR="009D498A">
              <w:rPr>
                <w:noProof/>
                <w:webHidden/>
              </w:rPr>
              <w:fldChar w:fldCharType="end"/>
            </w:r>
          </w:hyperlink>
        </w:p>
        <w:p w14:paraId="34AAD6C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39" w:history="1">
            <w:r w:rsidR="009D498A" w:rsidRPr="00C46616">
              <w:rPr>
                <w:rStyle w:val="Hyperlink"/>
                <w:noProof/>
              </w:rPr>
              <w:t>External seminars</w:t>
            </w:r>
            <w:r w:rsidR="009D498A">
              <w:rPr>
                <w:noProof/>
                <w:webHidden/>
              </w:rPr>
              <w:tab/>
            </w:r>
            <w:r w:rsidR="009D498A">
              <w:rPr>
                <w:noProof/>
                <w:webHidden/>
              </w:rPr>
              <w:fldChar w:fldCharType="begin"/>
            </w:r>
            <w:r w:rsidR="009D498A">
              <w:rPr>
                <w:noProof/>
                <w:webHidden/>
              </w:rPr>
              <w:instrText xml:space="preserve"> PAGEREF _Toc525122039 \h </w:instrText>
            </w:r>
            <w:r w:rsidR="009D498A">
              <w:rPr>
                <w:noProof/>
                <w:webHidden/>
              </w:rPr>
            </w:r>
            <w:r w:rsidR="009D498A">
              <w:rPr>
                <w:noProof/>
                <w:webHidden/>
              </w:rPr>
              <w:fldChar w:fldCharType="separate"/>
            </w:r>
            <w:r w:rsidR="00C817BE">
              <w:rPr>
                <w:noProof/>
                <w:webHidden/>
              </w:rPr>
              <w:t>103</w:t>
            </w:r>
            <w:r w:rsidR="009D498A">
              <w:rPr>
                <w:noProof/>
                <w:webHidden/>
              </w:rPr>
              <w:fldChar w:fldCharType="end"/>
            </w:r>
          </w:hyperlink>
        </w:p>
        <w:p w14:paraId="18FF8597" w14:textId="77777777" w:rsidR="009D498A" w:rsidRDefault="0029111E">
          <w:pPr>
            <w:pStyle w:val="TOC3"/>
            <w:rPr>
              <w:rFonts w:asciiTheme="minorHAnsi" w:eastAsiaTheme="minorEastAsia" w:hAnsiTheme="minorHAnsi" w:cstheme="minorBidi"/>
              <w:noProof/>
              <w:sz w:val="22"/>
              <w:szCs w:val="22"/>
              <w:lang w:eastAsia="en-AU"/>
            </w:rPr>
          </w:pPr>
          <w:hyperlink w:anchor="_Toc525122040" w:history="1">
            <w:r w:rsidR="009D498A" w:rsidRPr="00C46616">
              <w:rPr>
                <w:rStyle w:val="Hyperlink"/>
                <w:rFonts w:eastAsia="Calibri"/>
                <w:noProof/>
              </w:rPr>
              <w:t>Bizlinks</w:t>
            </w:r>
            <w:r w:rsidR="009D498A">
              <w:rPr>
                <w:noProof/>
                <w:webHidden/>
              </w:rPr>
              <w:tab/>
            </w:r>
            <w:r w:rsidR="009D498A">
              <w:rPr>
                <w:noProof/>
                <w:webHidden/>
              </w:rPr>
              <w:fldChar w:fldCharType="begin"/>
            </w:r>
            <w:r w:rsidR="009D498A">
              <w:rPr>
                <w:noProof/>
                <w:webHidden/>
              </w:rPr>
              <w:instrText xml:space="preserve"> PAGEREF _Toc525122040 \h </w:instrText>
            </w:r>
            <w:r w:rsidR="009D498A">
              <w:rPr>
                <w:noProof/>
                <w:webHidden/>
              </w:rPr>
            </w:r>
            <w:r w:rsidR="009D498A">
              <w:rPr>
                <w:noProof/>
                <w:webHidden/>
              </w:rPr>
              <w:fldChar w:fldCharType="separate"/>
            </w:r>
            <w:r w:rsidR="00C817BE">
              <w:rPr>
                <w:noProof/>
                <w:webHidden/>
              </w:rPr>
              <w:t>103</w:t>
            </w:r>
            <w:r w:rsidR="009D498A">
              <w:rPr>
                <w:noProof/>
                <w:webHidden/>
              </w:rPr>
              <w:fldChar w:fldCharType="end"/>
            </w:r>
          </w:hyperlink>
        </w:p>
        <w:p w14:paraId="1DB4A2C9" w14:textId="77777777" w:rsidR="009D498A" w:rsidRDefault="0029111E">
          <w:pPr>
            <w:pStyle w:val="TOC3"/>
            <w:rPr>
              <w:rFonts w:asciiTheme="minorHAnsi" w:eastAsiaTheme="minorEastAsia" w:hAnsiTheme="minorHAnsi" w:cstheme="minorBidi"/>
              <w:noProof/>
              <w:sz w:val="22"/>
              <w:szCs w:val="22"/>
              <w:lang w:eastAsia="en-AU"/>
            </w:rPr>
          </w:pPr>
          <w:hyperlink w:anchor="_Toc525122041" w:history="1">
            <w:r w:rsidR="009D498A" w:rsidRPr="00C46616">
              <w:rPr>
                <w:rStyle w:val="Hyperlink"/>
                <w:rFonts w:eastAsia="Calibri"/>
                <w:noProof/>
              </w:rPr>
              <w:t>Edith Cowan University</w:t>
            </w:r>
            <w:r w:rsidR="009D498A">
              <w:rPr>
                <w:noProof/>
                <w:webHidden/>
              </w:rPr>
              <w:tab/>
            </w:r>
            <w:r w:rsidR="009D498A">
              <w:rPr>
                <w:noProof/>
                <w:webHidden/>
              </w:rPr>
              <w:fldChar w:fldCharType="begin"/>
            </w:r>
            <w:r w:rsidR="009D498A">
              <w:rPr>
                <w:noProof/>
                <w:webHidden/>
              </w:rPr>
              <w:instrText xml:space="preserve"> PAGEREF _Toc525122041 \h </w:instrText>
            </w:r>
            <w:r w:rsidR="009D498A">
              <w:rPr>
                <w:noProof/>
                <w:webHidden/>
              </w:rPr>
            </w:r>
            <w:r w:rsidR="009D498A">
              <w:rPr>
                <w:noProof/>
                <w:webHidden/>
              </w:rPr>
              <w:fldChar w:fldCharType="separate"/>
            </w:r>
            <w:r w:rsidR="00C817BE">
              <w:rPr>
                <w:noProof/>
                <w:webHidden/>
              </w:rPr>
              <w:t>103</w:t>
            </w:r>
            <w:r w:rsidR="009D498A">
              <w:rPr>
                <w:noProof/>
                <w:webHidden/>
              </w:rPr>
              <w:fldChar w:fldCharType="end"/>
            </w:r>
          </w:hyperlink>
        </w:p>
        <w:p w14:paraId="35D5C3F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42" w:history="1">
            <w:r w:rsidR="009D498A" w:rsidRPr="00C46616">
              <w:rPr>
                <w:rStyle w:val="Hyperlink"/>
                <w:noProof/>
              </w:rPr>
              <w:t>External exhibitions</w:t>
            </w:r>
            <w:r w:rsidR="009D498A">
              <w:rPr>
                <w:noProof/>
                <w:webHidden/>
              </w:rPr>
              <w:tab/>
            </w:r>
            <w:r w:rsidR="009D498A">
              <w:rPr>
                <w:noProof/>
                <w:webHidden/>
              </w:rPr>
              <w:fldChar w:fldCharType="begin"/>
            </w:r>
            <w:r w:rsidR="009D498A">
              <w:rPr>
                <w:noProof/>
                <w:webHidden/>
              </w:rPr>
              <w:instrText xml:space="preserve"> PAGEREF _Toc525122042 \h </w:instrText>
            </w:r>
            <w:r w:rsidR="009D498A">
              <w:rPr>
                <w:noProof/>
                <w:webHidden/>
              </w:rPr>
            </w:r>
            <w:r w:rsidR="009D498A">
              <w:rPr>
                <w:noProof/>
                <w:webHidden/>
              </w:rPr>
              <w:fldChar w:fldCharType="separate"/>
            </w:r>
            <w:r w:rsidR="00C817BE">
              <w:rPr>
                <w:noProof/>
                <w:webHidden/>
              </w:rPr>
              <w:t>103</w:t>
            </w:r>
            <w:r w:rsidR="009D498A">
              <w:rPr>
                <w:noProof/>
                <w:webHidden/>
              </w:rPr>
              <w:fldChar w:fldCharType="end"/>
            </w:r>
          </w:hyperlink>
        </w:p>
        <w:p w14:paraId="64CB0D54" w14:textId="77777777" w:rsidR="009D498A" w:rsidRDefault="0029111E">
          <w:pPr>
            <w:pStyle w:val="TOC3"/>
            <w:rPr>
              <w:rFonts w:asciiTheme="minorHAnsi" w:eastAsiaTheme="minorEastAsia" w:hAnsiTheme="minorHAnsi" w:cstheme="minorBidi"/>
              <w:noProof/>
              <w:sz w:val="22"/>
              <w:szCs w:val="22"/>
              <w:lang w:eastAsia="en-AU"/>
            </w:rPr>
          </w:pPr>
          <w:hyperlink w:anchor="_Toc525122043" w:history="1">
            <w:r w:rsidR="009D498A" w:rsidRPr="00C46616">
              <w:rPr>
                <w:rStyle w:val="Hyperlink"/>
                <w:rFonts w:eastAsia="Calibri"/>
                <w:noProof/>
              </w:rPr>
              <w:t>NIFNEX Small Business Expo</w:t>
            </w:r>
            <w:r w:rsidR="009D498A">
              <w:rPr>
                <w:noProof/>
                <w:webHidden/>
              </w:rPr>
              <w:tab/>
            </w:r>
            <w:r w:rsidR="009D498A">
              <w:rPr>
                <w:noProof/>
                <w:webHidden/>
              </w:rPr>
              <w:fldChar w:fldCharType="begin"/>
            </w:r>
            <w:r w:rsidR="009D498A">
              <w:rPr>
                <w:noProof/>
                <w:webHidden/>
              </w:rPr>
              <w:instrText xml:space="preserve"> PAGEREF _Toc525122043 \h </w:instrText>
            </w:r>
            <w:r w:rsidR="009D498A">
              <w:rPr>
                <w:noProof/>
                <w:webHidden/>
              </w:rPr>
            </w:r>
            <w:r w:rsidR="009D498A">
              <w:rPr>
                <w:noProof/>
                <w:webHidden/>
              </w:rPr>
              <w:fldChar w:fldCharType="separate"/>
            </w:r>
            <w:r w:rsidR="00C817BE">
              <w:rPr>
                <w:noProof/>
                <w:webHidden/>
              </w:rPr>
              <w:t>103</w:t>
            </w:r>
            <w:r w:rsidR="009D498A">
              <w:rPr>
                <w:noProof/>
                <w:webHidden/>
              </w:rPr>
              <w:fldChar w:fldCharType="end"/>
            </w:r>
          </w:hyperlink>
        </w:p>
        <w:p w14:paraId="5CCB375D" w14:textId="77777777" w:rsidR="009D498A" w:rsidRDefault="0029111E">
          <w:pPr>
            <w:pStyle w:val="TOC3"/>
            <w:rPr>
              <w:rFonts w:asciiTheme="minorHAnsi" w:eastAsiaTheme="minorEastAsia" w:hAnsiTheme="minorHAnsi" w:cstheme="minorBidi"/>
              <w:noProof/>
              <w:sz w:val="22"/>
              <w:szCs w:val="22"/>
              <w:lang w:eastAsia="en-AU"/>
            </w:rPr>
          </w:pPr>
          <w:hyperlink w:anchor="_Toc525122044" w:history="1">
            <w:r w:rsidR="009D498A" w:rsidRPr="00C46616">
              <w:rPr>
                <w:rStyle w:val="Hyperlink"/>
                <w:rFonts w:eastAsia="Calibri"/>
                <w:noProof/>
              </w:rPr>
              <w:t>Perth Franchising Expo</w:t>
            </w:r>
            <w:r w:rsidR="009D498A">
              <w:rPr>
                <w:noProof/>
                <w:webHidden/>
              </w:rPr>
              <w:tab/>
            </w:r>
            <w:r w:rsidR="009D498A">
              <w:rPr>
                <w:noProof/>
                <w:webHidden/>
              </w:rPr>
              <w:fldChar w:fldCharType="begin"/>
            </w:r>
            <w:r w:rsidR="009D498A">
              <w:rPr>
                <w:noProof/>
                <w:webHidden/>
              </w:rPr>
              <w:instrText xml:space="preserve"> PAGEREF _Toc525122044 \h </w:instrText>
            </w:r>
            <w:r w:rsidR="009D498A">
              <w:rPr>
                <w:noProof/>
                <w:webHidden/>
              </w:rPr>
            </w:r>
            <w:r w:rsidR="009D498A">
              <w:rPr>
                <w:noProof/>
                <w:webHidden/>
              </w:rPr>
              <w:fldChar w:fldCharType="separate"/>
            </w:r>
            <w:r w:rsidR="00C817BE">
              <w:rPr>
                <w:noProof/>
                <w:webHidden/>
              </w:rPr>
              <w:t>104</w:t>
            </w:r>
            <w:r w:rsidR="009D498A">
              <w:rPr>
                <w:noProof/>
                <w:webHidden/>
              </w:rPr>
              <w:fldChar w:fldCharType="end"/>
            </w:r>
          </w:hyperlink>
        </w:p>
        <w:p w14:paraId="7B17E18B" w14:textId="77777777" w:rsidR="009D498A" w:rsidRDefault="0029111E">
          <w:pPr>
            <w:pStyle w:val="TOC3"/>
            <w:rPr>
              <w:rFonts w:asciiTheme="minorHAnsi" w:eastAsiaTheme="minorEastAsia" w:hAnsiTheme="minorHAnsi" w:cstheme="minorBidi"/>
              <w:noProof/>
              <w:sz w:val="22"/>
              <w:szCs w:val="22"/>
              <w:lang w:eastAsia="en-AU"/>
            </w:rPr>
          </w:pPr>
          <w:hyperlink w:anchor="_Toc525122045" w:history="1">
            <w:r w:rsidR="009D498A" w:rsidRPr="00C46616">
              <w:rPr>
                <w:rStyle w:val="Hyperlink"/>
                <w:rFonts w:eastAsia="Calibri"/>
                <w:noProof/>
              </w:rPr>
              <w:t>Perth Tradies Expo</w:t>
            </w:r>
            <w:r w:rsidR="009D498A">
              <w:rPr>
                <w:noProof/>
                <w:webHidden/>
              </w:rPr>
              <w:tab/>
            </w:r>
            <w:r w:rsidR="009D498A">
              <w:rPr>
                <w:noProof/>
                <w:webHidden/>
              </w:rPr>
              <w:fldChar w:fldCharType="begin"/>
            </w:r>
            <w:r w:rsidR="009D498A">
              <w:rPr>
                <w:noProof/>
                <w:webHidden/>
              </w:rPr>
              <w:instrText xml:space="preserve"> PAGEREF _Toc525122045 \h </w:instrText>
            </w:r>
            <w:r w:rsidR="009D498A">
              <w:rPr>
                <w:noProof/>
                <w:webHidden/>
              </w:rPr>
            </w:r>
            <w:r w:rsidR="009D498A">
              <w:rPr>
                <w:noProof/>
                <w:webHidden/>
              </w:rPr>
              <w:fldChar w:fldCharType="separate"/>
            </w:r>
            <w:r w:rsidR="00C817BE">
              <w:rPr>
                <w:noProof/>
                <w:webHidden/>
              </w:rPr>
              <w:t>104</w:t>
            </w:r>
            <w:r w:rsidR="009D498A">
              <w:rPr>
                <w:noProof/>
                <w:webHidden/>
              </w:rPr>
              <w:fldChar w:fldCharType="end"/>
            </w:r>
          </w:hyperlink>
        </w:p>
        <w:p w14:paraId="5E348DE0" w14:textId="77777777" w:rsidR="009D498A" w:rsidRDefault="0029111E">
          <w:pPr>
            <w:pStyle w:val="TOC1"/>
            <w:rPr>
              <w:rFonts w:asciiTheme="minorHAnsi" w:eastAsiaTheme="minorEastAsia" w:hAnsiTheme="minorHAnsi" w:cstheme="minorBidi"/>
              <w:sz w:val="22"/>
              <w:szCs w:val="22"/>
              <w:lang w:eastAsia="en-AU"/>
            </w:rPr>
          </w:pPr>
          <w:hyperlink w:anchor="_Toc525122046" w:history="1">
            <w:r w:rsidR="009D498A" w:rsidRPr="00C46616">
              <w:rPr>
                <w:rStyle w:val="Hyperlink"/>
              </w:rPr>
              <w:t>Collaboration</w:t>
            </w:r>
            <w:r w:rsidR="009D498A">
              <w:rPr>
                <w:webHidden/>
              </w:rPr>
              <w:tab/>
            </w:r>
            <w:r w:rsidR="009D498A">
              <w:rPr>
                <w:webHidden/>
              </w:rPr>
              <w:fldChar w:fldCharType="begin"/>
            </w:r>
            <w:r w:rsidR="009D498A">
              <w:rPr>
                <w:webHidden/>
              </w:rPr>
              <w:instrText xml:space="preserve"> PAGEREF _Toc525122046 \h </w:instrText>
            </w:r>
            <w:r w:rsidR="009D498A">
              <w:rPr>
                <w:webHidden/>
              </w:rPr>
            </w:r>
            <w:r w:rsidR="009D498A">
              <w:rPr>
                <w:webHidden/>
              </w:rPr>
              <w:fldChar w:fldCharType="separate"/>
            </w:r>
            <w:r w:rsidR="00C817BE">
              <w:rPr>
                <w:webHidden/>
              </w:rPr>
              <w:t>104</w:t>
            </w:r>
            <w:r w:rsidR="009D498A">
              <w:rPr>
                <w:webHidden/>
              </w:rPr>
              <w:fldChar w:fldCharType="end"/>
            </w:r>
          </w:hyperlink>
        </w:p>
        <w:p w14:paraId="2133B84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47" w:history="1">
            <w:r w:rsidR="009D498A" w:rsidRPr="00C46616">
              <w:rPr>
                <w:rStyle w:val="Hyperlink"/>
                <w:noProof/>
              </w:rPr>
              <w:t>National collaboration</w:t>
            </w:r>
            <w:r w:rsidR="009D498A">
              <w:rPr>
                <w:noProof/>
                <w:webHidden/>
              </w:rPr>
              <w:tab/>
            </w:r>
            <w:r w:rsidR="009D498A">
              <w:rPr>
                <w:noProof/>
                <w:webHidden/>
              </w:rPr>
              <w:fldChar w:fldCharType="begin"/>
            </w:r>
            <w:r w:rsidR="009D498A">
              <w:rPr>
                <w:noProof/>
                <w:webHidden/>
              </w:rPr>
              <w:instrText xml:space="preserve"> PAGEREF _Toc525122047 \h </w:instrText>
            </w:r>
            <w:r w:rsidR="009D498A">
              <w:rPr>
                <w:noProof/>
                <w:webHidden/>
              </w:rPr>
            </w:r>
            <w:r w:rsidR="009D498A">
              <w:rPr>
                <w:noProof/>
                <w:webHidden/>
              </w:rPr>
              <w:fldChar w:fldCharType="separate"/>
            </w:r>
            <w:r w:rsidR="00C817BE">
              <w:rPr>
                <w:noProof/>
                <w:webHidden/>
              </w:rPr>
              <w:t>105</w:t>
            </w:r>
            <w:r w:rsidR="009D498A">
              <w:rPr>
                <w:noProof/>
                <w:webHidden/>
              </w:rPr>
              <w:fldChar w:fldCharType="end"/>
            </w:r>
          </w:hyperlink>
        </w:p>
        <w:p w14:paraId="583200FE" w14:textId="77777777" w:rsidR="009D498A" w:rsidRDefault="0029111E">
          <w:pPr>
            <w:pStyle w:val="TOC3"/>
            <w:rPr>
              <w:rFonts w:asciiTheme="minorHAnsi" w:eastAsiaTheme="minorEastAsia" w:hAnsiTheme="minorHAnsi" w:cstheme="minorBidi"/>
              <w:noProof/>
              <w:sz w:val="22"/>
              <w:szCs w:val="22"/>
              <w:lang w:eastAsia="en-AU"/>
            </w:rPr>
          </w:pPr>
          <w:hyperlink w:anchor="_Toc525122048" w:history="1">
            <w:r w:rsidR="009D498A" w:rsidRPr="00C46616">
              <w:rPr>
                <w:rStyle w:val="Hyperlink"/>
                <w:noProof/>
              </w:rPr>
              <w:t>Heads of Workers’ Compensation Authorities</w:t>
            </w:r>
            <w:r w:rsidR="009D498A">
              <w:rPr>
                <w:noProof/>
                <w:webHidden/>
              </w:rPr>
              <w:tab/>
            </w:r>
            <w:r w:rsidR="009D498A">
              <w:rPr>
                <w:noProof/>
                <w:webHidden/>
              </w:rPr>
              <w:fldChar w:fldCharType="begin"/>
            </w:r>
            <w:r w:rsidR="009D498A">
              <w:rPr>
                <w:noProof/>
                <w:webHidden/>
              </w:rPr>
              <w:instrText xml:space="preserve"> PAGEREF _Toc525122048 \h </w:instrText>
            </w:r>
            <w:r w:rsidR="009D498A">
              <w:rPr>
                <w:noProof/>
                <w:webHidden/>
              </w:rPr>
            </w:r>
            <w:r w:rsidR="009D498A">
              <w:rPr>
                <w:noProof/>
                <w:webHidden/>
              </w:rPr>
              <w:fldChar w:fldCharType="separate"/>
            </w:r>
            <w:r w:rsidR="00C817BE">
              <w:rPr>
                <w:noProof/>
                <w:webHidden/>
              </w:rPr>
              <w:t>105</w:t>
            </w:r>
            <w:r w:rsidR="009D498A">
              <w:rPr>
                <w:noProof/>
                <w:webHidden/>
              </w:rPr>
              <w:fldChar w:fldCharType="end"/>
            </w:r>
          </w:hyperlink>
        </w:p>
        <w:p w14:paraId="115CF1C2" w14:textId="77777777" w:rsidR="009D498A" w:rsidRDefault="0029111E">
          <w:pPr>
            <w:pStyle w:val="TOC3"/>
            <w:rPr>
              <w:rFonts w:asciiTheme="minorHAnsi" w:eastAsiaTheme="minorEastAsia" w:hAnsiTheme="minorHAnsi" w:cstheme="minorBidi"/>
              <w:noProof/>
              <w:sz w:val="22"/>
              <w:szCs w:val="22"/>
              <w:lang w:eastAsia="en-AU"/>
            </w:rPr>
          </w:pPr>
          <w:hyperlink w:anchor="_Toc525122049" w:history="1">
            <w:r w:rsidR="009D498A" w:rsidRPr="00C46616">
              <w:rPr>
                <w:rStyle w:val="Hyperlink"/>
                <w:noProof/>
              </w:rPr>
              <w:t>Strategic Issues Group – Workers’ Compensation</w:t>
            </w:r>
            <w:r w:rsidR="009D498A">
              <w:rPr>
                <w:noProof/>
                <w:webHidden/>
              </w:rPr>
              <w:tab/>
            </w:r>
            <w:r w:rsidR="009D498A">
              <w:rPr>
                <w:noProof/>
                <w:webHidden/>
              </w:rPr>
              <w:fldChar w:fldCharType="begin"/>
            </w:r>
            <w:r w:rsidR="009D498A">
              <w:rPr>
                <w:noProof/>
                <w:webHidden/>
              </w:rPr>
              <w:instrText xml:space="preserve"> PAGEREF _Toc525122049 \h </w:instrText>
            </w:r>
            <w:r w:rsidR="009D498A">
              <w:rPr>
                <w:noProof/>
                <w:webHidden/>
              </w:rPr>
            </w:r>
            <w:r w:rsidR="009D498A">
              <w:rPr>
                <w:noProof/>
                <w:webHidden/>
              </w:rPr>
              <w:fldChar w:fldCharType="separate"/>
            </w:r>
            <w:r w:rsidR="00C817BE">
              <w:rPr>
                <w:noProof/>
                <w:webHidden/>
              </w:rPr>
              <w:t>105</w:t>
            </w:r>
            <w:r w:rsidR="009D498A">
              <w:rPr>
                <w:noProof/>
                <w:webHidden/>
              </w:rPr>
              <w:fldChar w:fldCharType="end"/>
            </w:r>
          </w:hyperlink>
        </w:p>
        <w:p w14:paraId="35B35F04" w14:textId="77777777" w:rsidR="009D498A" w:rsidRDefault="0029111E">
          <w:pPr>
            <w:pStyle w:val="TOC3"/>
            <w:rPr>
              <w:rFonts w:asciiTheme="minorHAnsi" w:eastAsiaTheme="minorEastAsia" w:hAnsiTheme="minorHAnsi" w:cstheme="minorBidi"/>
              <w:noProof/>
              <w:sz w:val="22"/>
              <w:szCs w:val="22"/>
              <w:lang w:eastAsia="en-AU"/>
            </w:rPr>
          </w:pPr>
          <w:hyperlink w:anchor="_Toc525122050" w:history="1">
            <w:r w:rsidR="009D498A" w:rsidRPr="00C46616">
              <w:rPr>
                <w:rStyle w:val="Hyperlink"/>
                <w:noProof/>
              </w:rPr>
              <w:t>Personal Injury Education Foundation</w:t>
            </w:r>
            <w:r w:rsidR="009D498A">
              <w:rPr>
                <w:noProof/>
                <w:webHidden/>
              </w:rPr>
              <w:tab/>
            </w:r>
            <w:r w:rsidR="009D498A">
              <w:rPr>
                <w:noProof/>
                <w:webHidden/>
              </w:rPr>
              <w:fldChar w:fldCharType="begin"/>
            </w:r>
            <w:r w:rsidR="009D498A">
              <w:rPr>
                <w:noProof/>
                <w:webHidden/>
              </w:rPr>
              <w:instrText xml:space="preserve"> PAGEREF _Toc525122050 \h </w:instrText>
            </w:r>
            <w:r w:rsidR="009D498A">
              <w:rPr>
                <w:noProof/>
                <w:webHidden/>
              </w:rPr>
            </w:r>
            <w:r w:rsidR="009D498A">
              <w:rPr>
                <w:noProof/>
                <w:webHidden/>
              </w:rPr>
              <w:fldChar w:fldCharType="separate"/>
            </w:r>
            <w:r w:rsidR="00C817BE">
              <w:rPr>
                <w:noProof/>
                <w:webHidden/>
              </w:rPr>
              <w:t>106</w:t>
            </w:r>
            <w:r w:rsidR="009D498A">
              <w:rPr>
                <w:noProof/>
                <w:webHidden/>
              </w:rPr>
              <w:fldChar w:fldCharType="end"/>
            </w:r>
          </w:hyperlink>
        </w:p>
        <w:p w14:paraId="3D50F77E" w14:textId="77777777" w:rsidR="009D498A" w:rsidRDefault="0029111E">
          <w:pPr>
            <w:pStyle w:val="TOC3"/>
            <w:rPr>
              <w:rFonts w:asciiTheme="minorHAnsi" w:eastAsiaTheme="minorEastAsia" w:hAnsiTheme="minorHAnsi" w:cstheme="minorBidi"/>
              <w:noProof/>
              <w:sz w:val="22"/>
              <w:szCs w:val="22"/>
              <w:lang w:eastAsia="en-AU"/>
            </w:rPr>
          </w:pPr>
          <w:hyperlink w:anchor="_Toc525122051" w:history="1">
            <w:r w:rsidR="009D498A" w:rsidRPr="00C46616">
              <w:rPr>
                <w:rStyle w:val="Hyperlink"/>
                <w:noProof/>
              </w:rPr>
              <w:t>Australian Taxation Office</w:t>
            </w:r>
            <w:r w:rsidR="009D498A">
              <w:rPr>
                <w:noProof/>
                <w:webHidden/>
              </w:rPr>
              <w:tab/>
            </w:r>
            <w:r w:rsidR="009D498A">
              <w:rPr>
                <w:noProof/>
                <w:webHidden/>
              </w:rPr>
              <w:fldChar w:fldCharType="begin"/>
            </w:r>
            <w:r w:rsidR="009D498A">
              <w:rPr>
                <w:noProof/>
                <w:webHidden/>
              </w:rPr>
              <w:instrText xml:space="preserve"> PAGEREF _Toc525122051 \h </w:instrText>
            </w:r>
            <w:r w:rsidR="009D498A">
              <w:rPr>
                <w:noProof/>
                <w:webHidden/>
              </w:rPr>
            </w:r>
            <w:r w:rsidR="009D498A">
              <w:rPr>
                <w:noProof/>
                <w:webHidden/>
              </w:rPr>
              <w:fldChar w:fldCharType="separate"/>
            </w:r>
            <w:r w:rsidR="00C817BE">
              <w:rPr>
                <w:noProof/>
                <w:webHidden/>
              </w:rPr>
              <w:t>106</w:t>
            </w:r>
            <w:r w:rsidR="009D498A">
              <w:rPr>
                <w:noProof/>
                <w:webHidden/>
              </w:rPr>
              <w:fldChar w:fldCharType="end"/>
            </w:r>
          </w:hyperlink>
        </w:p>
        <w:p w14:paraId="66336AD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52" w:history="1">
            <w:r w:rsidR="009D498A" w:rsidRPr="00C46616">
              <w:rPr>
                <w:rStyle w:val="Hyperlink"/>
                <w:noProof/>
              </w:rPr>
              <w:t>State collaboration</w:t>
            </w:r>
            <w:r w:rsidR="009D498A">
              <w:rPr>
                <w:noProof/>
                <w:webHidden/>
              </w:rPr>
              <w:tab/>
            </w:r>
            <w:r w:rsidR="009D498A">
              <w:rPr>
                <w:noProof/>
                <w:webHidden/>
              </w:rPr>
              <w:fldChar w:fldCharType="begin"/>
            </w:r>
            <w:r w:rsidR="009D498A">
              <w:rPr>
                <w:noProof/>
                <w:webHidden/>
              </w:rPr>
              <w:instrText xml:space="preserve"> PAGEREF _Toc525122052 \h </w:instrText>
            </w:r>
            <w:r w:rsidR="009D498A">
              <w:rPr>
                <w:noProof/>
                <w:webHidden/>
              </w:rPr>
            </w:r>
            <w:r w:rsidR="009D498A">
              <w:rPr>
                <w:noProof/>
                <w:webHidden/>
              </w:rPr>
              <w:fldChar w:fldCharType="separate"/>
            </w:r>
            <w:r w:rsidR="00C817BE">
              <w:rPr>
                <w:noProof/>
                <w:webHidden/>
              </w:rPr>
              <w:t>106</w:t>
            </w:r>
            <w:r w:rsidR="009D498A">
              <w:rPr>
                <w:noProof/>
                <w:webHidden/>
              </w:rPr>
              <w:fldChar w:fldCharType="end"/>
            </w:r>
          </w:hyperlink>
        </w:p>
        <w:p w14:paraId="5D96EB02" w14:textId="77777777" w:rsidR="009D498A" w:rsidRDefault="0029111E">
          <w:pPr>
            <w:pStyle w:val="TOC3"/>
            <w:rPr>
              <w:rFonts w:asciiTheme="minorHAnsi" w:eastAsiaTheme="minorEastAsia" w:hAnsiTheme="minorHAnsi" w:cstheme="minorBidi"/>
              <w:noProof/>
              <w:sz w:val="22"/>
              <w:szCs w:val="22"/>
              <w:lang w:eastAsia="en-AU"/>
            </w:rPr>
          </w:pPr>
          <w:hyperlink w:anchor="_Toc525122053" w:history="1">
            <w:r w:rsidR="009D498A" w:rsidRPr="00C46616">
              <w:rPr>
                <w:rStyle w:val="Hyperlink"/>
                <w:noProof/>
              </w:rPr>
              <w:t>Commission for Occupational Safety and Health</w:t>
            </w:r>
            <w:r w:rsidR="009D498A">
              <w:rPr>
                <w:noProof/>
                <w:webHidden/>
              </w:rPr>
              <w:tab/>
            </w:r>
            <w:r w:rsidR="009D498A">
              <w:rPr>
                <w:noProof/>
                <w:webHidden/>
              </w:rPr>
              <w:fldChar w:fldCharType="begin"/>
            </w:r>
            <w:r w:rsidR="009D498A">
              <w:rPr>
                <w:noProof/>
                <w:webHidden/>
              </w:rPr>
              <w:instrText xml:space="preserve"> PAGEREF _Toc525122053 \h </w:instrText>
            </w:r>
            <w:r w:rsidR="009D498A">
              <w:rPr>
                <w:noProof/>
                <w:webHidden/>
              </w:rPr>
            </w:r>
            <w:r w:rsidR="009D498A">
              <w:rPr>
                <w:noProof/>
                <w:webHidden/>
              </w:rPr>
              <w:fldChar w:fldCharType="separate"/>
            </w:r>
            <w:r w:rsidR="00C817BE">
              <w:rPr>
                <w:noProof/>
                <w:webHidden/>
              </w:rPr>
              <w:t>106</w:t>
            </w:r>
            <w:r w:rsidR="009D498A">
              <w:rPr>
                <w:noProof/>
                <w:webHidden/>
              </w:rPr>
              <w:fldChar w:fldCharType="end"/>
            </w:r>
          </w:hyperlink>
        </w:p>
        <w:p w14:paraId="01C2A650" w14:textId="77777777" w:rsidR="009D498A" w:rsidRDefault="0029111E">
          <w:pPr>
            <w:pStyle w:val="TOC3"/>
            <w:rPr>
              <w:rFonts w:asciiTheme="minorHAnsi" w:eastAsiaTheme="minorEastAsia" w:hAnsiTheme="minorHAnsi" w:cstheme="minorBidi"/>
              <w:noProof/>
              <w:sz w:val="22"/>
              <w:szCs w:val="22"/>
              <w:lang w:eastAsia="en-AU"/>
            </w:rPr>
          </w:pPr>
          <w:hyperlink w:anchor="_Toc525122054" w:history="1">
            <w:r w:rsidR="009D498A" w:rsidRPr="00C46616">
              <w:rPr>
                <w:rStyle w:val="Hyperlink"/>
                <w:rFonts w:eastAsia="Calibri"/>
                <w:noProof/>
              </w:rPr>
              <w:t>Edith Cowan University</w:t>
            </w:r>
            <w:r w:rsidR="009D498A">
              <w:rPr>
                <w:noProof/>
                <w:webHidden/>
              </w:rPr>
              <w:tab/>
            </w:r>
            <w:r w:rsidR="009D498A">
              <w:rPr>
                <w:noProof/>
                <w:webHidden/>
              </w:rPr>
              <w:fldChar w:fldCharType="begin"/>
            </w:r>
            <w:r w:rsidR="009D498A">
              <w:rPr>
                <w:noProof/>
                <w:webHidden/>
              </w:rPr>
              <w:instrText xml:space="preserve"> PAGEREF _Toc525122054 \h </w:instrText>
            </w:r>
            <w:r w:rsidR="009D498A">
              <w:rPr>
                <w:noProof/>
                <w:webHidden/>
              </w:rPr>
            </w:r>
            <w:r w:rsidR="009D498A">
              <w:rPr>
                <w:noProof/>
                <w:webHidden/>
              </w:rPr>
              <w:fldChar w:fldCharType="separate"/>
            </w:r>
            <w:r w:rsidR="00C817BE">
              <w:rPr>
                <w:noProof/>
                <w:webHidden/>
              </w:rPr>
              <w:t>106</w:t>
            </w:r>
            <w:r w:rsidR="009D498A">
              <w:rPr>
                <w:noProof/>
                <w:webHidden/>
              </w:rPr>
              <w:fldChar w:fldCharType="end"/>
            </w:r>
          </w:hyperlink>
        </w:p>
        <w:p w14:paraId="237304D6" w14:textId="77777777" w:rsidR="009D498A" w:rsidRDefault="0029111E">
          <w:pPr>
            <w:pStyle w:val="TOC3"/>
            <w:rPr>
              <w:rFonts w:asciiTheme="minorHAnsi" w:eastAsiaTheme="minorEastAsia" w:hAnsiTheme="minorHAnsi" w:cstheme="minorBidi"/>
              <w:noProof/>
              <w:sz w:val="22"/>
              <w:szCs w:val="22"/>
              <w:lang w:eastAsia="en-AU"/>
            </w:rPr>
          </w:pPr>
          <w:hyperlink w:anchor="_Toc525122055" w:history="1">
            <w:r w:rsidR="009D498A" w:rsidRPr="00C46616">
              <w:rPr>
                <w:rStyle w:val="Hyperlink"/>
                <w:noProof/>
              </w:rPr>
              <w:t>Healthier Workplace WA</w:t>
            </w:r>
            <w:r w:rsidR="009D498A">
              <w:rPr>
                <w:noProof/>
                <w:webHidden/>
              </w:rPr>
              <w:tab/>
            </w:r>
            <w:r w:rsidR="009D498A">
              <w:rPr>
                <w:noProof/>
                <w:webHidden/>
              </w:rPr>
              <w:fldChar w:fldCharType="begin"/>
            </w:r>
            <w:r w:rsidR="009D498A">
              <w:rPr>
                <w:noProof/>
                <w:webHidden/>
              </w:rPr>
              <w:instrText xml:space="preserve"> PAGEREF _Toc525122055 \h </w:instrText>
            </w:r>
            <w:r w:rsidR="009D498A">
              <w:rPr>
                <w:noProof/>
                <w:webHidden/>
              </w:rPr>
            </w:r>
            <w:r w:rsidR="009D498A">
              <w:rPr>
                <w:noProof/>
                <w:webHidden/>
              </w:rPr>
              <w:fldChar w:fldCharType="separate"/>
            </w:r>
            <w:r w:rsidR="00C817BE">
              <w:rPr>
                <w:noProof/>
                <w:webHidden/>
              </w:rPr>
              <w:t>107</w:t>
            </w:r>
            <w:r w:rsidR="009D498A">
              <w:rPr>
                <w:noProof/>
                <w:webHidden/>
              </w:rPr>
              <w:fldChar w:fldCharType="end"/>
            </w:r>
          </w:hyperlink>
        </w:p>
        <w:p w14:paraId="0E8D3AF2" w14:textId="77777777" w:rsidR="009D498A" w:rsidRDefault="0029111E">
          <w:pPr>
            <w:pStyle w:val="TOC3"/>
            <w:rPr>
              <w:rFonts w:asciiTheme="minorHAnsi" w:eastAsiaTheme="minorEastAsia" w:hAnsiTheme="minorHAnsi" w:cstheme="minorBidi"/>
              <w:noProof/>
              <w:sz w:val="22"/>
              <w:szCs w:val="22"/>
              <w:lang w:eastAsia="en-AU"/>
            </w:rPr>
          </w:pPr>
          <w:hyperlink w:anchor="_Toc525122056" w:history="1">
            <w:r w:rsidR="009D498A" w:rsidRPr="00C46616">
              <w:rPr>
                <w:rStyle w:val="Hyperlink"/>
                <w:noProof/>
              </w:rPr>
              <w:t>Industrial Foundation for Accident Prevention</w:t>
            </w:r>
            <w:r w:rsidR="009D498A">
              <w:rPr>
                <w:noProof/>
                <w:webHidden/>
              </w:rPr>
              <w:tab/>
            </w:r>
            <w:r w:rsidR="009D498A">
              <w:rPr>
                <w:noProof/>
                <w:webHidden/>
              </w:rPr>
              <w:fldChar w:fldCharType="begin"/>
            </w:r>
            <w:r w:rsidR="009D498A">
              <w:rPr>
                <w:noProof/>
                <w:webHidden/>
              </w:rPr>
              <w:instrText xml:space="preserve"> PAGEREF _Toc525122056 \h </w:instrText>
            </w:r>
            <w:r w:rsidR="009D498A">
              <w:rPr>
                <w:noProof/>
                <w:webHidden/>
              </w:rPr>
            </w:r>
            <w:r w:rsidR="009D498A">
              <w:rPr>
                <w:noProof/>
                <w:webHidden/>
              </w:rPr>
              <w:fldChar w:fldCharType="separate"/>
            </w:r>
            <w:r w:rsidR="00C817BE">
              <w:rPr>
                <w:noProof/>
                <w:webHidden/>
              </w:rPr>
              <w:t>107</w:t>
            </w:r>
            <w:r w:rsidR="009D498A">
              <w:rPr>
                <w:noProof/>
                <w:webHidden/>
              </w:rPr>
              <w:fldChar w:fldCharType="end"/>
            </w:r>
          </w:hyperlink>
        </w:p>
        <w:p w14:paraId="5B1B1F0B" w14:textId="77777777" w:rsidR="009D498A" w:rsidRDefault="0029111E">
          <w:pPr>
            <w:pStyle w:val="TOC3"/>
            <w:rPr>
              <w:rFonts w:asciiTheme="minorHAnsi" w:eastAsiaTheme="minorEastAsia" w:hAnsiTheme="minorHAnsi" w:cstheme="minorBidi"/>
              <w:noProof/>
              <w:sz w:val="22"/>
              <w:szCs w:val="22"/>
              <w:lang w:eastAsia="en-AU"/>
            </w:rPr>
          </w:pPr>
          <w:hyperlink w:anchor="_Toc525122057" w:history="1">
            <w:r w:rsidR="009D498A" w:rsidRPr="00C46616">
              <w:rPr>
                <w:rStyle w:val="Hyperlink"/>
                <w:rFonts w:eastAsia="Calibri"/>
                <w:noProof/>
              </w:rPr>
              <w:t>Inter Insurer Injury Management Forum</w:t>
            </w:r>
            <w:r w:rsidR="009D498A">
              <w:rPr>
                <w:noProof/>
                <w:webHidden/>
              </w:rPr>
              <w:tab/>
            </w:r>
            <w:r w:rsidR="009D498A">
              <w:rPr>
                <w:noProof/>
                <w:webHidden/>
              </w:rPr>
              <w:fldChar w:fldCharType="begin"/>
            </w:r>
            <w:r w:rsidR="009D498A">
              <w:rPr>
                <w:noProof/>
                <w:webHidden/>
              </w:rPr>
              <w:instrText xml:space="preserve"> PAGEREF _Toc525122057 \h </w:instrText>
            </w:r>
            <w:r w:rsidR="009D498A">
              <w:rPr>
                <w:noProof/>
                <w:webHidden/>
              </w:rPr>
            </w:r>
            <w:r w:rsidR="009D498A">
              <w:rPr>
                <w:noProof/>
                <w:webHidden/>
              </w:rPr>
              <w:fldChar w:fldCharType="separate"/>
            </w:r>
            <w:r w:rsidR="00C817BE">
              <w:rPr>
                <w:noProof/>
                <w:webHidden/>
              </w:rPr>
              <w:t>107</w:t>
            </w:r>
            <w:r w:rsidR="009D498A">
              <w:rPr>
                <w:noProof/>
                <w:webHidden/>
              </w:rPr>
              <w:fldChar w:fldCharType="end"/>
            </w:r>
          </w:hyperlink>
        </w:p>
        <w:p w14:paraId="3A82CDA0" w14:textId="77777777" w:rsidR="009D498A" w:rsidRDefault="0029111E">
          <w:pPr>
            <w:pStyle w:val="TOC3"/>
            <w:rPr>
              <w:rFonts w:asciiTheme="minorHAnsi" w:eastAsiaTheme="minorEastAsia" w:hAnsiTheme="minorHAnsi" w:cstheme="minorBidi"/>
              <w:noProof/>
              <w:sz w:val="22"/>
              <w:szCs w:val="22"/>
              <w:lang w:eastAsia="en-AU"/>
            </w:rPr>
          </w:pPr>
          <w:hyperlink w:anchor="_Toc525122058" w:history="1">
            <w:r w:rsidR="009D498A" w:rsidRPr="00C46616">
              <w:rPr>
                <w:rStyle w:val="Hyperlink"/>
                <w:noProof/>
              </w:rPr>
              <w:t>Public Sector Safety and Injury Management Steering Committee</w:t>
            </w:r>
            <w:r w:rsidR="009D498A">
              <w:rPr>
                <w:noProof/>
                <w:webHidden/>
              </w:rPr>
              <w:tab/>
            </w:r>
            <w:r w:rsidR="009D498A">
              <w:rPr>
                <w:noProof/>
                <w:webHidden/>
              </w:rPr>
              <w:fldChar w:fldCharType="begin"/>
            </w:r>
            <w:r w:rsidR="009D498A">
              <w:rPr>
                <w:noProof/>
                <w:webHidden/>
              </w:rPr>
              <w:instrText xml:space="preserve"> PAGEREF _Toc525122058 \h </w:instrText>
            </w:r>
            <w:r w:rsidR="009D498A">
              <w:rPr>
                <w:noProof/>
                <w:webHidden/>
              </w:rPr>
            </w:r>
            <w:r w:rsidR="009D498A">
              <w:rPr>
                <w:noProof/>
                <w:webHidden/>
              </w:rPr>
              <w:fldChar w:fldCharType="separate"/>
            </w:r>
            <w:r w:rsidR="00C817BE">
              <w:rPr>
                <w:noProof/>
                <w:webHidden/>
              </w:rPr>
              <w:t>107</w:t>
            </w:r>
            <w:r w:rsidR="009D498A">
              <w:rPr>
                <w:noProof/>
                <w:webHidden/>
              </w:rPr>
              <w:fldChar w:fldCharType="end"/>
            </w:r>
          </w:hyperlink>
        </w:p>
        <w:p w14:paraId="47174ACA" w14:textId="77777777" w:rsidR="009D498A" w:rsidRDefault="0029111E">
          <w:pPr>
            <w:pStyle w:val="TOC3"/>
            <w:rPr>
              <w:rFonts w:asciiTheme="minorHAnsi" w:eastAsiaTheme="minorEastAsia" w:hAnsiTheme="minorHAnsi" w:cstheme="minorBidi"/>
              <w:noProof/>
              <w:sz w:val="22"/>
              <w:szCs w:val="22"/>
              <w:lang w:eastAsia="en-AU"/>
            </w:rPr>
          </w:pPr>
          <w:hyperlink w:anchor="_Toc525122059" w:history="1">
            <w:r w:rsidR="009D498A" w:rsidRPr="00C46616">
              <w:rPr>
                <w:rStyle w:val="Hyperlink"/>
                <w:noProof/>
              </w:rPr>
              <w:t>National Insurance Brokers Association</w:t>
            </w:r>
            <w:r w:rsidR="009D498A">
              <w:rPr>
                <w:noProof/>
                <w:webHidden/>
              </w:rPr>
              <w:tab/>
            </w:r>
            <w:r w:rsidR="009D498A">
              <w:rPr>
                <w:noProof/>
                <w:webHidden/>
              </w:rPr>
              <w:fldChar w:fldCharType="begin"/>
            </w:r>
            <w:r w:rsidR="009D498A">
              <w:rPr>
                <w:noProof/>
                <w:webHidden/>
              </w:rPr>
              <w:instrText xml:space="preserve"> PAGEREF _Toc525122059 \h </w:instrText>
            </w:r>
            <w:r w:rsidR="009D498A">
              <w:rPr>
                <w:noProof/>
                <w:webHidden/>
              </w:rPr>
            </w:r>
            <w:r w:rsidR="009D498A">
              <w:rPr>
                <w:noProof/>
                <w:webHidden/>
              </w:rPr>
              <w:fldChar w:fldCharType="separate"/>
            </w:r>
            <w:r w:rsidR="00C817BE">
              <w:rPr>
                <w:noProof/>
                <w:webHidden/>
              </w:rPr>
              <w:t>108</w:t>
            </w:r>
            <w:r w:rsidR="009D498A">
              <w:rPr>
                <w:noProof/>
                <w:webHidden/>
              </w:rPr>
              <w:fldChar w:fldCharType="end"/>
            </w:r>
          </w:hyperlink>
        </w:p>
        <w:p w14:paraId="639D1527" w14:textId="77777777" w:rsidR="009D498A" w:rsidRDefault="0029111E">
          <w:pPr>
            <w:pStyle w:val="TOC1"/>
            <w:rPr>
              <w:rFonts w:asciiTheme="minorHAnsi" w:eastAsiaTheme="minorEastAsia" w:hAnsiTheme="minorHAnsi" w:cstheme="minorBidi"/>
              <w:sz w:val="22"/>
              <w:szCs w:val="22"/>
              <w:lang w:eastAsia="en-AU"/>
            </w:rPr>
          </w:pPr>
          <w:hyperlink w:anchor="_Toc525122060" w:history="1">
            <w:r w:rsidR="009D498A" w:rsidRPr="00C46616">
              <w:rPr>
                <w:rStyle w:val="Hyperlink"/>
              </w:rPr>
              <w:t>Opportunity and accessibility</w:t>
            </w:r>
            <w:r w:rsidR="009D498A">
              <w:rPr>
                <w:webHidden/>
              </w:rPr>
              <w:tab/>
            </w:r>
            <w:r w:rsidR="009D498A">
              <w:rPr>
                <w:webHidden/>
              </w:rPr>
              <w:fldChar w:fldCharType="begin"/>
            </w:r>
            <w:r w:rsidR="009D498A">
              <w:rPr>
                <w:webHidden/>
              </w:rPr>
              <w:instrText xml:space="preserve"> PAGEREF _Toc525122060 \h </w:instrText>
            </w:r>
            <w:r w:rsidR="009D498A">
              <w:rPr>
                <w:webHidden/>
              </w:rPr>
            </w:r>
            <w:r w:rsidR="009D498A">
              <w:rPr>
                <w:webHidden/>
              </w:rPr>
              <w:fldChar w:fldCharType="separate"/>
            </w:r>
            <w:r w:rsidR="00C817BE">
              <w:rPr>
                <w:webHidden/>
              </w:rPr>
              <w:t>109</w:t>
            </w:r>
            <w:r w:rsidR="009D498A">
              <w:rPr>
                <w:webHidden/>
              </w:rPr>
              <w:fldChar w:fldCharType="end"/>
            </w:r>
          </w:hyperlink>
        </w:p>
        <w:p w14:paraId="1C4156F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61" w:history="1">
            <w:r w:rsidR="009D498A" w:rsidRPr="00C46616">
              <w:rPr>
                <w:rStyle w:val="Hyperlink"/>
                <w:noProof/>
              </w:rPr>
              <w:t>Workforce development</w:t>
            </w:r>
            <w:r w:rsidR="009D498A">
              <w:rPr>
                <w:noProof/>
                <w:webHidden/>
              </w:rPr>
              <w:tab/>
            </w:r>
            <w:r w:rsidR="009D498A">
              <w:rPr>
                <w:noProof/>
                <w:webHidden/>
              </w:rPr>
              <w:fldChar w:fldCharType="begin"/>
            </w:r>
            <w:r w:rsidR="009D498A">
              <w:rPr>
                <w:noProof/>
                <w:webHidden/>
              </w:rPr>
              <w:instrText xml:space="preserve"> PAGEREF _Toc525122061 \h </w:instrText>
            </w:r>
            <w:r w:rsidR="009D498A">
              <w:rPr>
                <w:noProof/>
                <w:webHidden/>
              </w:rPr>
            </w:r>
            <w:r w:rsidR="009D498A">
              <w:rPr>
                <w:noProof/>
                <w:webHidden/>
              </w:rPr>
              <w:fldChar w:fldCharType="separate"/>
            </w:r>
            <w:r w:rsidR="00C817BE">
              <w:rPr>
                <w:noProof/>
                <w:webHidden/>
              </w:rPr>
              <w:t>109</w:t>
            </w:r>
            <w:r w:rsidR="009D498A">
              <w:rPr>
                <w:noProof/>
                <w:webHidden/>
              </w:rPr>
              <w:fldChar w:fldCharType="end"/>
            </w:r>
          </w:hyperlink>
        </w:p>
        <w:p w14:paraId="11B29E8C" w14:textId="77777777" w:rsidR="009D498A" w:rsidRDefault="0029111E">
          <w:pPr>
            <w:pStyle w:val="TOC3"/>
            <w:rPr>
              <w:rFonts w:asciiTheme="minorHAnsi" w:eastAsiaTheme="minorEastAsia" w:hAnsiTheme="minorHAnsi" w:cstheme="minorBidi"/>
              <w:noProof/>
              <w:sz w:val="22"/>
              <w:szCs w:val="22"/>
              <w:lang w:eastAsia="en-AU"/>
            </w:rPr>
          </w:pPr>
          <w:hyperlink w:anchor="_Toc525122062" w:history="1">
            <w:r w:rsidR="009D498A" w:rsidRPr="00C46616">
              <w:rPr>
                <w:rStyle w:val="Hyperlink"/>
                <w:noProof/>
              </w:rPr>
              <w:t>Employee capability</w:t>
            </w:r>
            <w:r w:rsidR="009D498A">
              <w:rPr>
                <w:noProof/>
                <w:webHidden/>
              </w:rPr>
              <w:tab/>
            </w:r>
            <w:r w:rsidR="009D498A">
              <w:rPr>
                <w:noProof/>
                <w:webHidden/>
              </w:rPr>
              <w:fldChar w:fldCharType="begin"/>
            </w:r>
            <w:r w:rsidR="009D498A">
              <w:rPr>
                <w:noProof/>
                <w:webHidden/>
              </w:rPr>
              <w:instrText xml:space="preserve"> PAGEREF _Toc525122062 \h </w:instrText>
            </w:r>
            <w:r w:rsidR="009D498A">
              <w:rPr>
                <w:noProof/>
                <w:webHidden/>
              </w:rPr>
            </w:r>
            <w:r w:rsidR="009D498A">
              <w:rPr>
                <w:noProof/>
                <w:webHidden/>
              </w:rPr>
              <w:fldChar w:fldCharType="separate"/>
            </w:r>
            <w:r w:rsidR="00C817BE">
              <w:rPr>
                <w:noProof/>
                <w:webHidden/>
              </w:rPr>
              <w:t>109</w:t>
            </w:r>
            <w:r w:rsidR="009D498A">
              <w:rPr>
                <w:noProof/>
                <w:webHidden/>
              </w:rPr>
              <w:fldChar w:fldCharType="end"/>
            </w:r>
          </w:hyperlink>
        </w:p>
        <w:p w14:paraId="0C791FA7" w14:textId="77777777" w:rsidR="009D498A" w:rsidRDefault="0029111E">
          <w:pPr>
            <w:pStyle w:val="TOC3"/>
            <w:rPr>
              <w:rFonts w:asciiTheme="minorHAnsi" w:eastAsiaTheme="minorEastAsia" w:hAnsiTheme="minorHAnsi" w:cstheme="minorBidi"/>
              <w:noProof/>
              <w:sz w:val="22"/>
              <w:szCs w:val="22"/>
              <w:lang w:eastAsia="en-AU"/>
            </w:rPr>
          </w:pPr>
          <w:hyperlink w:anchor="_Toc525122063" w:history="1">
            <w:r w:rsidR="009D498A" w:rsidRPr="00C46616">
              <w:rPr>
                <w:rStyle w:val="Hyperlink"/>
                <w:noProof/>
              </w:rPr>
              <w:t>Employee development</w:t>
            </w:r>
            <w:r w:rsidR="009D498A">
              <w:rPr>
                <w:noProof/>
                <w:webHidden/>
              </w:rPr>
              <w:tab/>
            </w:r>
            <w:r w:rsidR="009D498A">
              <w:rPr>
                <w:noProof/>
                <w:webHidden/>
              </w:rPr>
              <w:fldChar w:fldCharType="begin"/>
            </w:r>
            <w:r w:rsidR="009D498A">
              <w:rPr>
                <w:noProof/>
                <w:webHidden/>
              </w:rPr>
              <w:instrText xml:space="preserve"> PAGEREF _Toc525122063 \h </w:instrText>
            </w:r>
            <w:r w:rsidR="009D498A">
              <w:rPr>
                <w:noProof/>
                <w:webHidden/>
              </w:rPr>
            </w:r>
            <w:r w:rsidR="009D498A">
              <w:rPr>
                <w:noProof/>
                <w:webHidden/>
              </w:rPr>
              <w:fldChar w:fldCharType="separate"/>
            </w:r>
            <w:r w:rsidR="00C817BE">
              <w:rPr>
                <w:noProof/>
                <w:webHidden/>
              </w:rPr>
              <w:t>111</w:t>
            </w:r>
            <w:r w:rsidR="009D498A">
              <w:rPr>
                <w:noProof/>
                <w:webHidden/>
              </w:rPr>
              <w:fldChar w:fldCharType="end"/>
            </w:r>
          </w:hyperlink>
        </w:p>
        <w:p w14:paraId="1DC0056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64" w:history="1">
            <w:r w:rsidR="009D498A" w:rsidRPr="00C46616">
              <w:rPr>
                <w:rStyle w:val="Hyperlink"/>
                <w:noProof/>
              </w:rPr>
              <w:t>Attraction and retention</w:t>
            </w:r>
            <w:r w:rsidR="009D498A">
              <w:rPr>
                <w:noProof/>
                <w:webHidden/>
              </w:rPr>
              <w:tab/>
            </w:r>
            <w:r w:rsidR="009D498A">
              <w:rPr>
                <w:noProof/>
                <w:webHidden/>
              </w:rPr>
              <w:fldChar w:fldCharType="begin"/>
            </w:r>
            <w:r w:rsidR="009D498A">
              <w:rPr>
                <w:noProof/>
                <w:webHidden/>
              </w:rPr>
              <w:instrText xml:space="preserve"> PAGEREF _Toc525122064 \h </w:instrText>
            </w:r>
            <w:r w:rsidR="009D498A">
              <w:rPr>
                <w:noProof/>
                <w:webHidden/>
              </w:rPr>
            </w:r>
            <w:r w:rsidR="009D498A">
              <w:rPr>
                <w:noProof/>
                <w:webHidden/>
              </w:rPr>
              <w:fldChar w:fldCharType="separate"/>
            </w:r>
            <w:r w:rsidR="00C817BE">
              <w:rPr>
                <w:noProof/>
                <w:webHidden/>
              </w:rPr>
              <w:t>111</w:t>
            </w:r>
            <w:r w:rsidR="009D498A">
              <w:rPr>
                <w:noProof/>
                <w:webHidden/>
              </w:rPr>
              <w:fldChar w:fldCharType="end"/>
            </w:r>
          </w:hyperlink>
        </w:p>
        <w:p w14:paraId="6A9B77E3" w14:textId="77777777" w:rsidR="009D498A" w:rsidRDefault="0029111E">
          <w:pPr>
            <w:pStyle w:val="TOC3"/>
            <w:rPr>
              <w:rFonts w:asciiTheme="minorHAnsi" w:eastAsiaTheme="minorEastAsia" w:hAnsiTheme="minorHAnsi" w:cstheme="minorBidi"/>
              <w:noProof/>
              <w:sz w:val="22"/>
              <w:szCs w:val="22"/>
              <w:lang w:eastAsia="en-AU"/>
            </w:rPr>
          </w:pPr>
          <w:hyperlink w:anchor="_Toc525122065" w:history="1">
            <w:r w:rsidR="009D498A" w:rsidRPr="00C46616">
              <w:rPr>
                <w:rStyle w:val="Hyperlink"/>
                <w:noProof/>
              </w:rPr>
              <w:t>Graduate Program</w:t>
            </w:r>
            <w:r w:rsidR="009D498A">
              <w:rPr>
                <w:noProof/>
                <w:webHidden/>
              </w:rPr>
              <w:tab/>
            </w:r>
            <w:r w:rsidR="009D498A">
              <w:rPr>
                <w:noProof/>
                <w:webHidden/>
              </w:rPr>
              <w:fldChar w:fldCharType="begin"/>
            </w:r>
            <w:r w:rsidR="009D498A">
              <w:rPr>
                <w:noProof/>
                <w:webHidden/>
              </w:rPr>
              <w:instrText xml:space="preserve"> PAGEREF _Toc525122065 \h </w:instrText>
            </w:r>
            <w:r w:rsidR="009D498A">
              <w:rPr>
                <w:noProof/>
                <w:webHidden/>
              </w:rPr>
            </w:r>
            <w:r w:rsidR="009D498A">
              <w:rPr>
                <w:noProof/>
                <w:webHidden/>
              </w:rPr>
              <w:fldChar w:fldCharType="separate"/>
            </w:r>
            <w:r w:rsidR="00C817BE">
              <w:rPr>
                <w:noProof/>
                <w:webHidden/>
              </w:rPr>
              <w:t>111</w:t>
            </w:r>
            <w:r w:rsidR="009D498A">
              <w:rPr>
                <w:noProof/>
                <w:webHidden/>
              </w:rPr>
              <w:fldChar w:fldCharType="end"/>
            </w:r>
          </w:hyperlink>
        </w:p>
        <w:p w14:paraId="69531FE5" w14:textId="77777777" w:rsidR="009D498A" w:rsidRDefault="0029111E">
          <w:pPr>
            <w:pStyle w:val="TOC3"/>
            <w:rPr>
              <w:rFonts w:asciiTheme="minorHAnsi" w:eastAsiaTheme="minorEastAsia" w:hAnsiTheme="minorHAnsi" w:cstheme="minorBidi"/>
              <w:noProof/>
              <w:sz w:val="22"/>
              <w:szCs w:val="22"/>
              <w:lang w:eastAsia="en-AU"/>
            </w:rPr>
          </w:pPr>
          <w:hyperlink w:anchor="_Toc525122066" w:history="1">
            <w:r w:rsidR="009D498A" w:rsidRPr="00C46616">
              <w:rPr>
                <w:rStyle w:val="Hyperlink"/>
                <w:noProof/>
              </w:rPr>
              <w:t>Innovative recruitment</w:t>
            </w:r>
            <w:r w:rsidR="009D498A">
              <w:rPr>
                <w:noProof/>
                <w:webHidden/>
              </w:rPr>
              <w:tab/>
            </w:r>
            <w:r w:rsidR="009D498A">
              <w:rPr>
                <w:noProof/>
                <w:webHidden/>
              </w:rPr>
              <w:fldChar w:fldCharType="begin"/>
            </w:r>
            <w:r w:rsidR="009D498A">
              <w:rPr>
                <w:noProof/>
                <w:webHidden/>
              </w:rPr>
              <w:instrText xml:space="preserve"> PAGEREF _Toc525122066 \h </w:instrText>
            </w:r>
            <w:r w:rsidR="009D498A">
              <w:rPr>
                <w:noProof/>
                <w:webHidden/>
              </w:rPr>
            </w:r>
            <w:r w:rsidR="009D498A">
              <w:rPr>
                <w:noProof/>
                <w:webHidden/>
              </w:rPr>
              <w:fldChar w:fldCharType="separate"/>
            </w:r>
            <w:r w:rsidR="00C817BE">
              <w:rPr>
                <w:noProof/>
                <w:webHidden/>
              </w:rPr>
              <w:t>111</w:t>
            </w:r>
            <w:r w:rsidR="009D498A">
              <w:rPr>
                <w:noProof/>
                <w:webHidden/>
              </w:rPr>
              <w:fldChar w:fldCharType="end"/>
            </w:r>
          </w:hyperlink>
        </w:p>
        <w:p w14:paraId="34FB8BA1" w14:textId="77777777" w:rsidR="009D498A" w:rsidRDefault="0029111E">
          <w:pPr>
            <w:pStyle w:val="TOC1"/>
            <w:rPr>
              <w:rFonts w:asciiTheme="minorHAnsi" w:eastAsiaTheme="minorEastAsia" w:hAnsiTheme="minorHAnsi" w:cstheme="minorBidi"/>
              <w:sz w:val="22"/>
              <w:szCs w:val="22"/>
              <w:lang w:eastAsia="en-AU"/>
            </w:rPr>
          </w:pPr>
          <w:hyperlink w:anchor="_Toc525122067" w:history="1">
            <w:r w:rsidR="009D498A" w:rsidRPr="00C46616">
              <w:rPr>
                <w:rStyle w:val="Hyperlink"/>
              </w:rPr>
              <w:t>Equality and inclusion</w:t>
            </w:r>
            <w:r w:rsidR="009D498A">
              <w:rPr>
                <w:webHidden/>
              </w:rPr>
              <w:tab/>
            </w:r>
            <w:r w:rsidR="009D498A">
              <w:rPr>
                <w:webHidden/>
              </w:rPr>
              <w:fldChar w:fldCharType="begin"/>
            </w:r>
            <w:r w:rsidR="009D498A">
              <w:rPr>
                <w:webHidden/>
              </w:rPr>
              <w:instrText xml:space="preserve"> PAGEREF _Toc525122067 \h </w:instrText>
            </w:r>
            <w:r w:rsidR="009D498A">
              <w:rPr>
                <w:webHidden/>
              </w:rPr>
            </w:r>
            <w:r w:rsidR="009D498A">
              <w:rPr>
                <w:webHidden/>
              </w:rPr>
              <w:fldChar w:fldCharType="separate"/>
            </w:r>
            <w:r w:rsidR="00C817BE">
              <w:rPr>
                <w:webHidden/>
              </w:rPr>
              <w:t>112</w:t>
            </w:r>
            <w:r w:rsidR="009D498A">
              <w:rPr>
                <w:webHidden/>
              </w:rPr>
              <w:fldChar w:fldCharType="end"/>
            </w:r>
          </w:hyperlink>
        </w:p>
        <w:p w14:paraId="3128677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68" w:history="1">
            <w:r w:rsidR="009D498A" w:rsidRPr="00C46616">
              <w:rPr>
                <w:rStyle w:val="Hyperlink"/>
                <w:noProof/>
              </w:rPr>
              <w:t>Disability Access and Inclusion Plan</w:t>
            </w:r>
            <w:r w:rsidR="009D498A">
              <w:rPr>
                <w:noProof/>
                <w:webHidden/>
              </w:rPr>
              <w:tab/>
            </w:r>
            <w:r w:rsidR="009D498A">
              <w:rPr>
                <w:noProof/>
                <w:webHidden/>
              </w:rPr>
              <w:fldChar w:fldCharType="begin"/>
            </w:r>
            <w:r w:rsidR="009D498A">
              <w:rPr>
                <w:noProof/>
                <w:webHidden/>
              </w:rPr>
              <w:instrText xml:space="preserve"> PAGEREF _Toc525122068 \h </w:instrText>
            </w:r>
            <w:r w:rsidR="009D498A">
              <w:rPr>
                <w:noProof/>
                <w:webHidden/>
              </w:rPr>
            </w:r>
            <w:r w:rsidR="009D498A">
              <w:rPr>
                <w:noProof/>
                <w:webHidden/>
              </w:rPr>
              <w:fldChar w:fldCharType="separate"/>
            </w:r>
            <w:r w:rsidR="00C817BE">
              <w:rPr>
                <w:noProof/>
                <w:webHidden/>
              </w:rPr>
              <w:t>112</w:t>
            </w:r>
            <w:r w:rsidR="009D498A">
              <w:rPr>
                <w:noProof/>
                <w:webHidden/>
              </w:rPr>
              <w:fldChar w:fldCharType="end"/>
            </w:r>
          </w:hyperlink>
        </w:p>
        <w:p w14:paraId="76173BF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69" w:history="1">
            <w:r w:rsidR="009D498A" w:rsidRPr="00C46616">
              <w:rPr>
                <w:rStyle w:val="Hyperlink"/>
                <w:noProof/>
              </w:rPr>
              <w:t>Reconciliation Action Plan</w:t>
            </w:r>
            <w:r w:rsidR="009D498A">
              <w:rPr>
                <w:noProof/>
                <w:webHidden/>
              </w:rPr>
              <w:tab/>
            </w:r>
            <w:r w:rsidR="009D498A">
              <w:rPr>
                <w:noProof/>
                <w:webHidden/>
              </w:rPr>
              <w:fldChar w:fldCharType="begin"/>
            </w:r>
            <w:r w:rsidR="009D498A">
              <w:rPr>
                <w:noProof/>
                <w:webHidden/>
              </w:rPr>
              <w:instrText xml:space="preserve"> PAGEREF _Toc525122069 \h </w:instrText>
            </w:r>
            <w:r w:rsidR="009D498A">
              <w:rPr>
                <w:noProof/>
                <w:webHidden/>
              </w:rPr>
            </w:r>
            <w:r w:rsidR="009D498A">
              <w:rPr>
                <w:noProof/>
                <w:webHidden/>
              </w:rPr>
              <w:fldChar w:fldCharType="separate"/>
            </w:r>
            <w:r w:rsidR="00C817BE">
              <w:rPr>
                <w:noProof/>
                <w:webHidden/>
              </w:rPr>
              <w:t>113</w:t>
            </w:r>
            <w:r w:rsidR="009D498A">
              <w:rPr>
                <w:noProof/>
                <w:webHidden/>
              </w:rPr>
              <w:fldChar w:fldCharType="end"/>
            </w:r>
          </w:hyperlink>
        </w:p>
        <w:p w14:paraId="746461D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0" w:history="1">
            <w:r w:rsidR="009D498A" w:rsidRPr="00C46616">
              <w:rPr>
                <w:rStyle w:val="Hyperlink"/>
                <w:noProof/>
              </w:rPr>
              <w:t>Traineeship program</w:t>
            </w:r>
            <w:r w:rsidR="009D498A">
              <w:rPr>
                <w:noProof/>
                <w:webHidden/>
              </w:rPr>
              <w:tab/>
            </w:r>
            <w:r w:rsidR="009D498A">
              <w:rPr>
                <w:noProof/>
                <w:webHidden/>
              </w:rPr>
              <w:fldChar w:fldCharType="begin"/>
            </w:r>
            <w:r w:rsidR="009D498A">
              <w:rPr>
                <w:noProof/>
                <w:webHidden/>
              </w:rPr>
              <w:instrText xml:space="preserve"> PAGEREF _Toc525122070 \h </w:instrText>
            </w:r>
            <w:r w:rsidR="009D498A">
              <w:rPr>
                <w:noProof/>
                <w:webHidden/>
              </w:rPr>
            </w:r>
            <w:r w:rsidR="009D498A">
              <w:rPr>
                <w:noProof/>
                <w:webHidden/>
              </w:rPr>
              <w:fldChar w:fldCharType="separate"/>
            </w:r>
            <w:r w:rsidR="00C817BE">
              <w:rPr>
                <w:noProof/>
                <w:webHidden/>
              </w:rPr>
              <w:t>113</w:t>
            </w:r>
            <w:r w:rsidR="009D498A">
              <w:rPr>
                <w:noProof/>
                <w:webHidden/>
              </w:rPr>
              <w:fldChar w:fldCharType="end"/>
            </w:r>
          </w:hyperlink>
        </w:p>
        <w:p w14:paraId="4A0AAA0F" w14:textId="77777777" w:rsidR="009D498A" w:rsidRDefault="0029111E">
          <w:pPr>
            <w:pStyle w:val="TOC1"/>
            <w:rPr>
              <w:rFonts w:asciiTheme="minorHAnsi" w:eastAsiaTheme="minorEastAsia" w:hAnsiTheme="minorHAnsi" w:cstheme="minorBidi"/>
              <w:sz w:val="22"/>
              <w:szCs w:val="22"/>
              <w:lang w:eastAsia="en-AU"/>
            </w:rPr>
          </w:pPr>
          <w:hyperlink w:anchor="_Toc525122071" w:history="1">
            <w:r w:rsidR="009D498A" w:rsidRPr="00C46616">
              <w:rPr>
                <w:rStyle w:val="Hyperlink"/>
              </w:rPr>
              <w:t>Safety, health and wellbeing</w:t>
            </w:r>
            <w:r w:rsidR="009D498A">
              <w:rPr>
                <w:webHidden/>
              </w:rPr>
              <w:tab/>
            </w:r>
            <w:r w:rsidR="009D498A">
              <w:rPr>
                <w:webHidden/>
              </w:rPr>
              <w:fldChar w:fldCharType="begin"/>
            </w:r>
            <w:r w:rsidR="009D498A">
              <w:rPr>
                <w:webHidden/>
              </w:rPr>
              <w:instrText xml:space="preserve"> PAGEREF _Toc525122071 \h </w:instrText>
            </w:r>
            <w:r w:rsidR="009D498A">
              <w:rPr>
                <w:webHidden/>
              </w:rPr>
            </w:r>
            <w:r w:rsidR="009D498A">
              <w:rPr>
                <w:webHidden/>
              </w:rPr>
              <w:fldChar w:fldCharType="separate"/>
            </w:r>
            <w:r w:rsidR="00C817BE">
              <w:rPr>
                <w:webHidden/>
              </w:rPr>
              <w:t>114</w:t>
            </w:r>
            <w:r w:rsidR="009D498A">
              <w:rPr>
                <w:webHidden/>
              </w:rPr>
              <w:fldChar w:fldCharType="end"/>
            </w:r>
          </w:hyperlink>
        </w:p>
        <w:p w14:paraId="162ACE6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2" w:history="1">
            <w:r w:rsidR="009D498A" w:rsidRPr="00C46616">
              <w:rPr>
                <w:rStyle w:val="Hyperlink"/>
                <w:noProof/>
              </w:rPr>
              <w:t>Occupational Safety and Health Management Plan</w:t>
            </w:r>
            <w:r w:rsidR="009D498A">
              <w:rPr>
                <w:noProof/>
                <w:webHidden/>
              </w:rPr>
              <w:tab/>
            </w:r>
            <w:r w:rsidR="009D498A">
              <w:rPr>
                <w:noProof/>
                <w:webHidden/>
              </w:rPr>
              <w:fldChar w:fldCharType="begin"/>
            </w:r>
            <w:r w:rsidR="009D498A">
              <w:rPr>
                <w:noProof/>
                <w:webHidden/>
              </w:rPr>
              <w:instrText xml:space="preserve"> PAGEREF _Toc525122072 \h </w:instrText>
            </w:r>
            <w:r w:rsidR="009D498A">
              <w:rPr>
                <w:noProof/>
                <w:webHidden/>
              </w:rPr>
            </w:r>
            <w:r w:rsidR="009D498A">
              <w:rPr>
                <w:noProof/>
                <w:webHidden/>
              </w:rPr>
              <w:fldChar w:fldCharType="separate"/>
            </w:r>
            <w:r w:rsidR="00C817BE">
              <w:rPr>
                <w:noProof/>
                <w:webHidden/>
              </w:rPr>
              <w:t>114</w:t>
            </w:r>
            <w:r w:rsidR="009D498A">
              <w:rPr>
                <w:noProof/>
                <w:webHidden/>
              </w:rPr>
              <w:fldChar w:fldCharType="end"/>
            </w:r>
          </w:hyperlink>
        </w:p>
        <w:p w14:paraId="033D0DCE"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3" w:history="1">
            <w:r w:rsidR="009D498A" w:rsidRPr="00C46616">
              <w:rPr>
                <w:rStyle w:val="Hyperlink"/>
                <w:noProof/>
              </w:rPr>
              <w:t>Health and wellness</w:t>
            </w:r>
            <w:r w:rsidR="009D498A">
              <w:rPr>
                <w:noProof/>
                <w:webHidden/>
              </w:rPr>
              <w:tab/>
            </w:r>
            <w:r w:rsidR="009D498A">
              <w:rPr>
                <w:noProof/>
                <w:webHidden/>
              </w:rPr>
              <w:fldChar w:fldCharType="begin"/>
            </w:r>
            <w:r w:rsidR="009D498A">
              <w:rPr>
                <w:noProof/>
                <w:webHidden/>
              </w:rPr>
              <w:instrText xml:space="preserve"> PAGEREF _Toc525122073 \h </w:instrText>
            </w:r>
            <w:r w:rsidR="009D498A">
              <w:rPr>
                <w:noProof/>
                <w:webHidden/>
              </w:rPr>
            </w:r>
            <w:r w:rsidR="009D498A">
              <w:rPr>
                <w:noProof/>
                <w:webHidden/>
              </w:rPr>
              <w:fldChar w:fldCharType="separate"/>
            </w:r>
            <w:r w:rsidR="00C817BE">
              <w:rPr>
                <w:noProof/>
                <w:webHidden/>
              </w:rPr>
              <w:t>115</w:t>
            </w:r>
            <w:r w:rsidR="009D498A">
              <w:rPr>
                <w:noProof/>
                <w:webHidden/>
              </w:rPr>
              <w:fldChar w:fldCharType="end"/>
            </w:r>
          </w:hyperlink>
        </w:p>
        <w:p w14:paraId="584736C8" w14:textId="77777777" w:rsidR="009D498A" w:rsidRDefault="0029111E">
          <w:pPr>
            <w:pStyle w:val="TOC1"/>
            <w:rPr>
              <w:rFonts w:asciiTheme="minorHAnsi" w:eastAsiaTheme="minorEastAsia" w:hAnsiTheme="minorHAnsi" w:cstheme="minorBidi"/>
              <w:sz w:val="22"/>
              <w:szCs w:val="22"/>
              <w:lang w:eastAsia="en-AU"/>
            </w:rPr>
          </w:pPr>
          <w:hyperlink w:anchor="_Toc525122074" w:history="1">
            <w:r w:rsidR="009D498A" w:rsidRPr="00C46616">
              <w:rPr>
                <w:rStyle w:val="Hyperlink"/>
              </w:rPr>
              <w:t>Agency challenges</w:t>
            </w:r>
            <w:r w:rsidR="009D498A">
              <w:rPr>
                <w:webHidden/>
              </w:rPr>
              <w:tab/>
            </w:r>
            <w:r w:rsidR="009D498A">
              <w:rPr>
                <w:webHidden/>
              </w:rPr>
              <w:fldChar w:fldCharType="begin"/>
            </w:r>
            <w:r w:rsidR="009D498A">
              <w:rPr>
                <w:webHidden/>
              </w:rPr>
              <w:instrText xml:space="preserve"> PAGEREF _Toc525122074 \h </w:instrText>
            </w:r>
            <w:r w:rsidR="009D498A">
              <w:rPr>
                <w:webHidden/>
              </w:rPr>
            </w:r>
            <w:r w:rsidR="009D498A">
              <w:rPr>
                <w:webHidden/>
              </w:rPr>
              <w:fldChar w:fldCharType="separate"/>
            </w:r>
            <w:r w:rsidR="00C817BE">
              <w:rPr>
                <w:webHidden/>
              </w:rPr>
              <w:t>116</w:t>
            </w:r>
            <w:r w:rsidR="009D498A">
              <w:rPr>
                <w:webHidden/>
              </w:rPr>
              <w:fldChar w:fldCharType="end"/>
            </w:r>
          </w:hyperlink>
        </w:p>
        <w:p w14:paraId="3F0D712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5" w:history="1">
            <w:r w:rsidR="009D498A" w:rsidRPr="00C46616">
              <w:rPr>
                <w:rStyle w:val="Hyperlink"/>
                <w:noProof/>
              </w:rPr>
              <w:t>Strategic management of the scheme</w:t>
            </w:r>
            <w:r w:rsidR="009D498A">
              <w:rPr>
                <w:noProof/>
                <w:webHidden/>
              </w:rPr>
              <w:tab/>
            </w:r>
            <w:r w:rsidR="009D498A">
              <w:rPr>
                <w:noProof/>
                <w:webHidden/>
              </w:rPr>
              <w:fldChar w:fldCharType="begin"/>
            </w:r>
            <w:r w:rsidR="009D498A">
              <w:rPr>
                <w:noProof/>
                <w:webHidden/>
              </w:rPr>
              <w:instrText xml:space="preserve"> PAGEREF _Toc525122075 \h </w:instrText>
            </w:r>
            <w:r w:rsidR="009D498A">
              <w:rPr>
                <w:noProof/>
                <w:webHidden/>
              </w:rPr>
            </w:r>
            <w:r w:rsidR="009D498A">
              <w:rPr>
                <w:noProof/>
                <w:webHidden/>
              </w:rPr>
              <w:fldChar w:fldCharType="separate"/>
            </w:r>
            <w:r w:rsidR="00C817BE">
              <w:rPr>
                <w:noProof/>
                <w:webHidden/>
              </w:rPr>
              <w:t>116</w:t>
            </w:r>
            <w:r w:rsidR="009D498A">
              <w:rPr>
                <w:noProof/>
                <w:webHidden/>
              </w:rPr>
              <w:fldChar w:fldCharType="end"/>
            </w:r>
          </w:hyperlink>
        </w:p>
        <w:p w14:paraId="01BB7FA7"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6" w:history="1">
            <w:r w:rsidR="009D498A" w:rsidRPr="00C46616">
              <w:rPr>
                <w:rStyle w:val="Hyperlink"/>
                <w:noProof/>
              </w:rPr>
              <w:t>Electronic Document and Records Management System</w:t>
            </w:r>
            <w:r w:rsidR="009D498A">
              <w:rPr>
                <w:noProof/>
                <w:webHidden/>
              </w:rPr>
              <w:tab/>
            </w:r>
            <w:r w:rsidR="009D498A">
              <w:rPr>
                <w:noProof/>
                <w:webHidden/>
              </w:rPr>
              <w:fldChar w:fldCharType="begin"/>
            </w:r>
            <w:r w:rsidR="009D498A">
              <w:rPr>
                <w:noProof/>
                <w:webHidden/>
              </w:rPr>
              <w:instrText xml:space="preserve"> PAGEREF _Toc525122076 \h </w:instrText>
            </w:r>
            <w:r w:rsidR="009D498A">
              <w:rPr>
                <w:noProof/>
                <w:webHidden/>
              </w:rPr>
            </w:r>
            <w:r w:rsidR="009D498A">
              <w:rPr>
                <w:noProof/>
                <w:webHidden/>
              </w:rPr>
              <w:fldChar w:fldCharType="separate"/>
            </w:r>
            <w:r w:rsidR="00C817BE">
              <w:rPr>
                <w:noProof/>
                <w:webHidden/>
              </w:rPr>
              <w:t>116</w:t>
            </w:r>
            <w:r w:rsidR="009D498A">
              <w:rPr>
                <w:noProof/>
                <w:webHidden/>
              </w:rPr>
              <w:fldChar w:fldCharType="end"/>
            </w:r>
          </w:hyperlink>
        </w:p>
        <w:p w14:paraId="111CD4E8"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7" w:history="1">
            <w:r w:rsidR="009D498A" w:rsidRPr="00C46616">
              <w:rPr>
                <w:rStyle w:val="Hyperlink"/>
                <w:noProof/>
              </w:rPr>
              <w:t>Risk Management Framework</w:t>
            </w:r>
            <w:r w:rsidR="009D498A">
              <w:rPr>
                <w:noProof/>
                <w:webHidden/>
              </w:rPr>
              <w:tab/>
            </w:r>
            <w:r w:rsidR="009D498A">
              <w:rPr>
                <w:noProof/>
                <w:webHidden/>
              </w:rPr>
              <w:fldChar w:fldCharType="begin"/>
            </w:r>
            <w:r w:rsidR="009D498A">
              <w:rPr>
                <w:noProof/>
                <w:webHidden/>
              </w:rPr>
              <w:instrText xml:space="preserve"> PAGEREF _Toc525122077 \h </w:instrText>
            </w:r>
            <w:r w:rsidR="009D498A">
              <w:rPr>
                <w:noProof/>
                <w:webHidden/>
              </w:rPr>
            </w:r>
            <w:r w:rsidR="009D498A">
              <w:rPr>
                <w:noProof/>
                <w:webHidden/>
              </w:rPr>
              <w:fldChar w:fldCharType="separate"/>
            </w:r>
            <w:r w:rsidR="00C817BE">
              <w:rPr>
                <w:noProof/>
                <w:webHidden/>
              </w:rPr>
              <w:t>117</w:t>
            </w:r>
            <w:r w:rsidR="009D498A">
              <w:rPr>
                <w:noProof/>
                <w:webHidden/>
              </w:rPr>
              <w:fldChar w:fldCharType="end"/>
            </w:r>
          </w:hyperlink>
        </w:p>
        <w:p w14:paraId="1A207458"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8" w:history="1">
            <w:r w:rsidR="009D498A" w:rsidRPr="00C46616">
              <w:rPr>
                <w:rStyle w:val="Hyperlink"/>
                <w:noProof/>
              </w:rPr>
              <w:t>Review of corporate policies and procedures</w:t>
            </w:r>
            <w:r w:rsidR="009D498A">
              <w:rPr>
                <w:noProof/>
                <w:webHidden/>
              </w:rPr>
              <w:tab/>
            </w:r>
            <w:r w:rsidR="009D498A">
              <w:rPr>
                <w:noProof/>
                <w:webHidden/>
              </w:rPr>
              <w:fldChar w:fldCharType="begin"/>
            </w:r>
            <w:r w:rsidR="009D498A">
              <w:rPr>
                <w:noProof/>
                <w:webHidden/>
              </w:rPr>
              <w:instrText xml:space="preserve"> PAGEREF _Toc525122078 \h </w:instrText>
            </w:r>
            <w:r w:rsidR="009D498A">
              <w:rPr>
                <w:noProof/>
                <w:webHidden/>
              </w:rPr>
            </w:r>
            <w:r w:rsidR="009D498A">
              <w:rPr>
                <w:noProof/>
                <w:webHidden/>
              </w:rPr>
              <w:fldChar w:fldCharType="separate"/>
            </w:r>
            <w:r w:rsidR="00C817BE">
              <w:rPr>
                <w:noProof/>
                <w:webHidden/>
              </w:rPr>
              <w:t>117</w:t>
            </w:r>
            <w:r w:rsidR="009D498A">
              <w:rPr>
                <w:noProof/>
                <w:webHidden/>
              </w:rPr>
              <w:fldChar w:fldCharType="end"/>
            </w:r>
          </w:hyperlink>
        </w:p>
        <w:p w14:paraId="6A1C16F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79" w:history="1">
            <w:r w:rsidR="009D498A" w:rsidRPr="00C46616">
              <w:rPr>
                <w:rStyle w:val="Hyperlink"/>
                <w:noProof/>
              </w:rPr>
              <w:t>Project Management Tool</w:t>
            </w:r>
            <w:r w:rsidR="009D498A">
              <w:rPr>
                <w:noProof/>
                <w:webHidden/>
              </w:rPr>
              <w:tab/>
            </w:r>
            <w:r w:rsidR="009D498A">
              <w:rPr>
                <w:noProof/>
                <w:webHidden/>
              </w:rPr>
              <w:fldChar w:fldCharType="begin"/>
            </w:r>
            <w:r w:rsidR="009D498A">
              <w:rPr>
                <w:noProof/>
                <w:webHidden/>
              </w:rPr>
              <w:instrText xml:space="preserve"> PAGEREF _Toc525122079 \h </w:instrText>
            </w:r>
            <w:r w:rsidR="009D498A">
              <w:rPr>
                <w:noProof/>
                <w:webHidden/>
              </w:rPr>
            </w:r>
            <w:r w:rsidR="009D498A">
              <w:rPr>
                <w:noProof/>
                <w:webHidden/>
              </w:rPr>
              <w:fldChar w:fldCharType="separate"/>
            </w:r>
            <w:r w:rsidR="00C817BE">
              <w:rPr>
                <w:noProof/>
                <w:webHidden/>
              </w:rPr>
              <w:t>118</w:t>
            </w:r>
            <w:r w:rsidR="009D498A">
              <w:rPr>
                <w:noProof/>
                <w:webHidden/>
              </w:rPr>
              <w:fldChar w:fldCharType="end"/>
            </w:r>
          </w:hyperlink>
        </w:p>
        <w:p w14:paraId="52A97751" w14:textId="77777777" w:rsidR="009D498A" w:rsidRDefault="0029111E">
          <w:pPr>
            <w:pStyle w:val="TOC1"/>
            <w:rPr>
              <w:rFonts w:asciiTheme="minorHAnsi" w:eastAsiaTheme="minorEastAsia" w:hAnsiTheme="minorHAnsi" w:cstheme="minorBidi"/>
              <w:sz w:val="22"/>
              <w:szCs w:val="22"/>
              <w:lang w:eastAsia="en-AU"/>
            </w:rPr>
          </w:pPr>
          <w:hyperlink w:anchor="_Toc525122080" w:history="1">
            <w:r w:rsidR="009D498A" w:rsidRPr="00C46616">
              <w:rPr>
                <w:rStyle w:val="Hyperlink"/>
              </w:rPr>
              <w:t>Information Technology initiatives</w:t>
            </w:r>
            <w:r w:rsidR="009D498A">
              <w:rPr>
                <w:webHidden/>
              </w:rPr>
              <w:tab/>
            </w:r>
            <w:r w:rsidR="009D498A">
              <w:rPr>
                <w:webHidden/>
              </w:rPr>
              <w:fldChar w:fldCharType="begin"/>
            </w:r>
            <w:r w:rsidR="009D498A">
              <w:rPr>
                <w:webHidden/>
              </w:rPr>
              <w:instrText xml:space="preserve"> PAGEREF _Toc525122080 \h </w:instrText>
            </w:r>
            <w:r w:rsidR="009D498A">
              <w:rPr>
                <w:webHidden/>
              </w:rPr>
            </w:r>
            <w:r w:rsidR="009D498A">
              <w:rPr>
                <w:webHidden/>
              </w:rPr>
              <w:fldChar w:fldCharType="separate"/>
            </w:r>
            <w:r w:rsidR="00C817BE">
              <w:rPr>
                <w:webHidden/>
              </w:rPr>
              <w:t>118</w:t>
            </w:r>
            <w:r w:rsidR="009D498A">
              <w:rPr>
                <w:webHidden/>
              </w:rPr>
              <w:fldChar w:fldCharType="end"/>
            </w:r>
          </w:hyperlink>
        </w:p>
        <w:p w14:paraId="4A532EC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81" w:history="1">
            <w:r w:rsidR="009D498A" w:rsidRPr="00C46616">
              <w:rPr>
                <w:rStyle w:val="Hyperlink"/>
                <w:noProof/>
              </w:rPr>
              <w:t>IT Strategic Plan 2016–2021</w:t>
            </w:r>
            <w:r w:rsidR="009D498A">
              <w:rPr>
                <w:noProof/>
                <w:webHidden/>
              </w:rPr>
              <w:tab/>
            </w:r>
            <w:r w:rsidR="009D498A">
              <w:rPr>
                <w:noProof/>
                <w:webHidden/>
              </w:rPr>
              <w:fldChar w:fldCharType="begin"/>
            </w:r>
            <w:r w:rsidR="009D498A">
              <w:rPr>
                <w:noProof/>
                <w:webHidden/>
              </w:rPr>
              <w:instrText xml:space="preserve"> PAGEREF _Toc525122081 \h </w:instrText>
            </w:r>
            <w:r w:rsidR="009D498A">
              <w:rPr>
                <w:noProof/>
                <w:webHidden/>
              </w:rPr>
            </w:r>
            <w:r w:rsidR="009D498A">
              <w:rPr>
                <w:noProof/>
                <w:webHidden/>
              </w:rPr>
              <w:fldChar w:fldCharType="separate"/>
            </w:r>
            <w:r w:rsidR="00C817BE">
              <w:rPr>
                <w:noProof/>
                <w:webHidden/>
              </w:rPr>
              <w:t>118</w:t>
            </w:r>
            <w:r w:rsidR="009D498A">
              <w:rPr>
                <w:noProof/>
                <w:webHidden/>
              </w:rPr>
              <w:fldChar w:fldCharType="end"/>
            </w:r>
          </w:hyperlink>
        </w:p>
        <w:p w14:paraId="74354AC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82" w:history="1">
            <w:r w:rsidR="009D498A" w:rsidRPr="00C46616">
              <w:rPr>
                <w:rStyle w:val="Hyperlink"/>
                <w:noProof/>
              </w:rPr>
              <w:t>IT projects</w:t>
            </w:r>
            <w:r w:rsidR="009D498A">
              <w:rPr>
                <w:noProof/>
                <w:webHidden/>
              </w:rPr>
              <w:tab/>
            </w:r>
            <w:r w:rsidR="009D498A">
              <w:rPr>
                <w:noProof/>
                <w:webHidden/>
              </w:rPr>
              <w:fldChar w:fldCharType="begin"/>
            </w:r>
            <w:r w:rsidR="009D498A">
              <w:rPr>
                <w:noProof/>
                <w:webHidden/>
              </w:rPr>
              <w:instrText xml:space="preserve"> PAGEREF _Toc525122082 \h </w:instrText>
            </w:r>
            <w:r w:rsidR="009D498A">
              <w:rPr>
                <w:noProof/>
                <w:webHidden/>
              </w:rPr>
            </w:r>
            <w:r w:rsidR="009D498A">
              <w:rPr>
                <w:noProof/>
                <w:webHidden/>
              </w:rPr>
              <w:fldChar w:fldCharType="separate"/>
            </w:r>
            <w:r w:rsidR="00C817BE">
              <w:rPr>
                <w:noProof/>
                <w:webHidden/>
              </w:rPr>
              <w:t>119</w:t>
            </w:r>
            <w:r w:rsidR="009D498A">
              <w:rPr>
                <w:noProof/>
                <w:webHidden/>
              </w:rPr>
              <w:fldChar w:fldCharType="end"/>
            </w:r>
          </w:hyperlink>
        </w:p>
        <w:p w14:paraId="3B836627" w14:textId="77777777" w:rsidR="009D498A" w:rsidRDefault="0029111E">
          <w:pPr>
            <w:pStyle w:val="TOC3"/>
            <w:rPr>
              <w:rFonts w:asciiTheme="minorHAnsi" w:eastAsiaTheme="minorEastAsia" w:hAnsiTheme="minorHAnsi" w:cstheme="minorBidi"/>
              <w:noProof/>
              <w:sz w:val="22"/>
              <w:szCs w:val="22"/>
              <w:lang w:eastAsia="en-AU"/>
            </w:rPr>
          </w:pPr>
          <w:hyperlink w:anchor="_Toc525122083" w:history="1">
            <w:r w:rsidR="009D498A" w:rsidRPr="00C46616">
              <w:rPr>
                <w:rStyle w:val="Hyperlink"/>
                <w:noProof/>
              </w:rPr>
              <w:t>Cloud backup</w:t>
            </w:r>
            <w:r w:rsidR="009D498A">
              <w:rPr>
                <w:noProof/>
                <w:webHidden/>
              </w:rPr>
              <w:tab/>
            </w:r>
            <w:r w:rsidR="009D498A">
              <w:rPr>
                <w:noProof/>
                <w:webHidden/>
              </w:rPr>
              <w:fldChar w:fldCharType="begin"/>
            </w:r>
            <w:r w:rsidR="009D498A">
              <w:rPr>
                <w:noProof/>
                <w:webHidden/>
              </w:rPr>
              <w:instrText xml:space="preserve"> PAGEREF _Toc525122083 \h </w:instrText>
            </w:r>
            <w:r w:rsidR="009D498A">
              <w:rPr>
                <w:noProof/>
                <w:webHidden/>
              </w:rPr>
            </w:r>
            <w:r w:rsidR="009D498A">
              <w:rPr>
                <w:noProof/>
                <w:webHidden/>
              </w:rPr>
              <w:fldChar w:fldCharType="separate"/>
            </w:r>
            <w:r w:rsidR="00C817BE">
              <w:rPr>
                <w:noProof/>
                <w:webHidden/>
              </w:rPr>
              <w:t>119</w:t>
            </w:r>
            <w:r w:rsidR="009D498A">
              <w:rPr>
                <w:noProof/>
                <w:webHidden/>
              </w:rPr>
              <w:fldChar w:fldCharType="end"/>
            </w:r>
          </w:hyperlink>
        </w:p>
        <w:p w14:paraId="3AF2AB54" w14:textId="77777777" w:rsidR="009D498A" w:rsidRDefault="0029111E">
          <w:pPr>
            <w:pStyle w:val="TOC3"/>
            <w:rPr>
              <w:rFonts w:asciiTheme="minorHAnsi" w:eastAsiaTheme="minorEastAsia" w:hAnsiTheme="minorHAnsi" w:cstheme="minorBidi"/>
              <w:noProof/>
              <w:sz w:val="22"/>
              <w:szCs w:val="22"/>
              <w:lang w:eastAsia="en-AU"/>
            </w:rPr>
          </w:pPr>
          <w:hyperlink w:anchor="_Toc525122084" w:history="1">
            <w:r w:rsidR="009D498A" w:rsidRPr="00C46616">
              <w:rPr>
                <w:rStyle w:val="Hyperlink"/>
                <w:noProof/>
              </w:rPr>
              <w:t>Microsoft Security Audit</w:t>
            </w:r>
            <w:r w:rsidR="009D498A">
              <w:rPr>
                <w:noProof/>
                <w:webHidden/>
              </w:rPr>
              <w:tab/>
            </w:r>
            <w:r w:rsidR="009D498A">
              <w:rPr>
                <w:noProof/>
                <w:webHidden/>
              </w:rPr>
              <w:fldChar w:fldCharType="begin"/>
            </w:r>
            <w:r w:rsidR="009D498A">
              <w:rPr>
                <w:noProof/>
                <w:webHidden/>
              </w:rPr>
              <w:instrText xml:space="preserve"> PAGEREF _Toc525122084 \h </w:instrText>
            </w:r>
            <w:r w:rsidR="009D498A">
              <w:rPr>
                <w:noProof/>
                <w:webHidden/>
              </w:rPr>
            </w:r>
            <w:r w:rsidR="009D498A">
              <w:rPr>
                <w:noProof/>
                <w:webHidden/>
              </w:rPr>
              <w:fldChar w:fldCharType="separate"/>
            </w:r>
            <w:r w:rsidR="00C817BE">
              <w:rPr>
                <w:noProof/>
                <w:webHidden/>
              </w:rPr>
              <w:t>119</w:t>
            </w:r>
            <w:r w:rsidR="009D498A">
              <w:rPr>
                <w:noProof/>
                <w:webHidden/>
              </w:rPr>
              <w:fldChar w:fldCharType="end"/>
            </w:r>
          </w:hyperlink>
        </w:p>
        <w:p w14:paraId="0AA38219" w14:textId="77777777" w:rsidR="009D498A" w:rsidRDefault="0029111E">
          <w:pPr>
            <w:pStyle w:val="TOC3"/>
            <w:rPr>
              <w:rFonts w:asciiTheme="minorHAnsi" w:eastAsiaTheme="minorEastAsia" w:hAnsiTheme="minorHAnsi" w:cstheme="minorBidi"/>
              <w:noProof/>
              <w:sz w:val="22"/>
              <w:szCs w:val="22"/>
              <w:lang w:eastAsia="en-AU"/>
            </w:rPr>
          </w:pPr>
          <w:hyperlink w:anchor="_Toc525122085" w:history="1">
            <w:r w:rsidR="009D498A" w:rsidRPr="00C46616">
              <w:rPr>
                <w:rStyle w:val="Hyperlink"/>
                <w:noProof/>
              </w:rPr>
              <w:t>Phone network upgrade</w:t>
            </w:r>
            <w:r w:rsidR="009D498A">
              <w:rPr>
                <w:noProof/>
                <w:webHidden/>
              </w:rPr>
              <w:tab/>
            </w:r>
            <w:r w:rsidR="009D498A">
              <w:rPr>
                <w:noProof/>
                <w:webHidden/>
              </w:rPr>
              <w:fldChar w:fldCharType="begin"/>
            </w:r>
            <w:r w:rsidR="009D498A">
              <w:rPr>
                <w:noProof/>
                <w:webHidden/>
              </w:rPr>
              <w:instrText xml:space="preserve"> PAGEREF _Toc525122085 \h </w:instrText>
            </w:r>
            <w:r w:rsidR="009D498A">
              <w:rPr>
                <w:noProof/>
                <w:webHidden/>
              </w:rPr>
            </w:r>
            <w:r w:rsidR="009D498A">
              <w:rPr>
                <w:noProof/>
                <w:webHidden/>
              </w:rPr>
              <w:fldChar w:fldCharType="separate"/>
            </w:r>
            <w:r w:rsidR="00C817BE">
              <w:rPr>
                <w:noProof/>
                <w:webHidden/>
              </w:rPr>
              <w:t>119</w:t>
            </w:r>
            <w:r w:rsidR="009D498A">
              <w:rPr>
                <w:noProof/>
                <w:webHidden/>
              </w:rPr>
              <w:fldChar w:fldCharType="end"/>
            </w:r>
          </w:hyperlink>
        </w:p>
        <w:p w14:paraId="3DC29E9F" w14:textId="77777777" w:rsidR="009D498A" w:rsidRDefault="0029111E">
          <w:pPr>
            <w:pStyle w:val="TOC1"/>
            <w:rPr>
              <w:rFonts w:asciiTheme="minorHAnsi" w:eastAsiaTheme="minorEastAsia" w:hAnsiTheme="minorHAnsi" w:cstheme="minorBidi"/>
              <w:sz w:val="22"/>
              <w:szCs w:val="22"/>
              <w:lang w:eastAsia="en-AU"/>
            </w:rPr>
          </w:pPr>
          <w:hyperlink w:anchor="_Toc525122086" w:history="1">
            <w:r w:rsidR="009D498A" w:rsidRPr="00C46616">
              <w:rPr>
                <w:rStyle w:val="Hyperlink"/>
              </w:rPr>
              <w:t>Report on funds management</w:t>
            </w:r>
            <w:r w:rsidR="009D498A">
              <w:rPr>
                <w:webHidden/>
              </w:rPr>
              <w:tab/>
            </w:r>
            <w:r w:rsidR="009D498A">
              <w:rPr>
                <w:webHidden/>
              </w:rPr>
              <w:fldChar w:fldCharType="begin"/>
            </w:r>
            <w:r w:rsidR="009D498A">
              <w:rPr>
                <w:webHidden/>
              </w:rPr>
              <w:instrText xml:space="preserve"> PAGEREF _Toc525122086 \h </w:instrText>
            </w:r>
            <w:r w:rsidR="009D498A">
              <w:rPr>
                <w:webHidden/>
              </w:rPr>
            </w:r>
            <w:r w:rsidR="009D498A">
              <w:rPr>
                <w:webHidden/>
              </w:rPr>
              <w:fldChar w:fldCharType="separate"/>
            </w:r>
            <w:r w:rsidR="00C817BE">
              <w:rPr>
                <w:webHidden/>
              </w:rPr>
              <w:t>120</w:t>
            </w:r>
            <w:r w:rsidR="009D498A">
              <w:rPr>
                <w:webHidden/>
              </w:rPr>
              <w:fldChar w:fldCharType="end"/>
            </w:r>
          </w:hyperlink>
        </w:p>
        <w:p w14:paraId="6E4C13A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87" w:history="1">
            <w:r w:rsidR="009D498A" w:rsidRPr="00C46616">
              <w:rPr>
                <w:rStyle w:val="Hyperlink"/>
                <w:noProof/>
              </w:rPr>
              <w:t>Workers’ Compensation and Injury Management Trust Account</w:t>
            </w:r>
            <w:r w:rsidR="009D498A">
              <w:rPr>
                <w:noProof/>
                <w:webHidden/>
              </w:rPr>
              <w:tab/>
            </w:r>
            <w:r w:rsidR="009D498A">
              <w:rPr>
                <w:noProof/>
                <w:webHidden/>
              </w:rPr>
              <w:fldChar w:fldCharType="begin"/>
            </w:r>
            <w:r w:rsidR="009D498A">
              <w:rPr>
                <w:noProof/>
                <w:webHidden/>
              </w:rPr>
              <w:instrText xml:space="preserve"> PAGEREF _Toc525122087 \h </w:instrText>
            </w:r>
            <w:r w:rsidR="009D498A">
              <w:rPr>
                <w:noProof/>
                <w:webHidden/>
              </w:rPr>
            </w:r>
            <w:r w:rsidR="009D498A">
              <w:rPr>
                <w:noProof/>
                <w:webHidden/>
              </w:rPr>
              <w:fldChar w:fldCharType="separate"/>
            </w:r>
            <w:r w:rsidR="00C817BE">
              <w:rPr>
                <w:noProof/>
                <w:webHidden/>
              </w:rPr>
              <w:t>120</w:t>
            </w:r>
            <w:r w:rsidR="009D498A">
              <w:rPr>
                <w:noProof/>
                <w:webHidden/>
              </w:rPr>
              <w:fldChar w:fldCharType="end"/>
            </w:r>
          </w:hyperlink>
        </w:p>
        <w:p w14:paraId="779BAC7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88" w:history="1">
            <w:r w:rsidR="009D498A" w:rsidRPr="00C46616">
              <w:rPr>
                <w:rStyle w:val="Hyperlink"/>
                <w:noProof/>
              </w:rPr>
              <w:t>Uninsured claims management</w:t>
            </w:r>
            <w:r w:rsidR="009D498A">
              <w:rPr>
                <w:noProof/>
                <w:webHidden/>
              </w:rPr>
              <w:tab/>
            </w:r>
            <w:r w:rsidR="009D498A">
              <w:rPr>
                <w:noProof/>
                <w:webHidden/>
              </w:rPr>
              <w:fldChar w:fldCharType="begin"/>
            </w:r>
            <w:r w:rsidR="009D498A">
              <w:rPr>
                <w:noProof/>
                <w:webHidden/>
              </w:rPr>
              <w:instrText xml:space="preserve"> PAGEREF _Toc525122088 \h </w:instrText>
            </w:r>
            <w:r w:rsidR="009D498A">
              <w:rPr>
                <w:noProof/>
                <w:webHidden/>
              </w:rPr>
            </w:r>
            <w:r w:rsidR="009D498A">
              <w:rPr>
                <w:noProof/>
                <w:webHidden/>
              </w:rPr>
              <w:fldChar w:fldCharType="separate"/>
            </w:r>
            <w:r w:rsidR="00C817BE">
              <w:rPr>
                <w:noProof/>
                <w:webHidden/>
              </w:rPr>
              <w:t>120</w:t>
            </w:r>
            <w:r w:rsidR="009D498A">
              <w:rPr>
                <w:noProof/>
                <w:webHidden/>
              </w:rPr>
              <w:fldChar w:fldCharType="end"/>
            </w:r>
          </w:hyperlink>
        </w:p>
        <w:p w14:paraId="2A350CC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89" w:history="1">
            <w:r w:rsidR="009D498A" w:rsidRPr="00C46616">
              <w:rPr>
                <w:rStyle w:val="Hyperlink"/>
                <w:noProof/>
              </w:rPr>
              <w:t>Employers’ Indemnity Supplementation Fund</w:t>
            </w:r>
            <w:r w:rsidR="009D498A">
              <w:rPr>
                <w:noProof/>
                <w:webHidden/>
              </w:rPr>
              <w:tab/>
            </w:r>
            <w:r w:rsidR="009D498A">
              <w:rPr>
                <w:noProof/>
                <w:webHidden/>
              </w:rPr>
              <w:fldChar w:fldCharType="begin"/>
            </w:r>
            <w:r w:rsidR="009D498A">
              <w:rPr>
                <w:noProof/>
                <w:webHidden/>
              </w:rPr>
              <w:instrText xml:space="preserve"> PAGEREF _Toc525122089 \h </w:instrText>
            </w:r>
            <w:r w:rsidR="009D498A">
              <w:rPr>
                <w:noProof/>
                <w:webHidden/>
              </w:rPr>
            </w:r>
            <w:r w:rsidR="009D498A">
              <w:rPr>
                <w:noProof/>
                <w:webHidden/>
              </w:rPr>
              <w:fldChar w:fldCharType="separate"/>
            </w:r>
            <w:r w:rsidR="00C817BE">
              <w:rPr>
                <w:noProof/>
                <w:webHidden/>
              </w:rPr>
              <w:t>121</w:t>
            </w:r>
            <w:r w:rsidR="009D498A">
              <w:rPr>
                <w:noProof/>
                <w:webHidden/>
              </w:rPr>
              <w:fldChar w:fldCharType="end"/>
            </w:r>
          </w:hyperlink>
        </w:p>
        <w:p w14:paraId="50371DC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0" w:history="1">
            <w:r w:rsidR="009D498A" w:rsidRPr="00C46616">
              <w:rPr>
                <w:rStyle w:val="Hyperlink"/>
                <w:noProof/>
              </w:rPr>
              <w:t>Debts and investments</w:t>
            </w:r>
            <w:r w:rsidR="009D498A">
              <w:rPr>
                <w:noProof/>
                <w:webHidden/>
              </w:rPr>
              <w:tab/>
            </w:r>
            <w:r w:rsidR="009D498A">
              <w:rPr>
                <w:noProof/>
                <w:webHidden/>
              </w:rPr>
              <w:fldChar w:fldCharType="begin"/>
            </w:r>
            <w:r w:rsidR="009D498A">
              <w:rPr>
                <w:noProof/>
                <w:webHidden/>
              </w:rPr>
              <w:instrText xml:space="preserve"> PAGEREF _Toc525122090 \h </w:instrText>
            </w:r>
            <w:r w:rsidR="009D498A">
              <w:rPr>
                <w:noProof/>
                <w:webHidden/>
              </w:rPr>
            </w:r>
            <w:r w:rsidR="009D498A">
              <w:rPr>
                <w:noProof/>
                <w:webHidden/>
              </w:rPr>
              <w:fldChar w:fldCharType="separate"/>
            </w:r>
            <w:r w:rsidR="00C817BE">
              <w:rPr>
                <w:noProof/>
                <w:webHidden/>
              </w:rPr>
              <w:t>121</w:t>
            </w:r>
            <w:r w:rsidR="009D498A">
              <w:rPr>
                <w:noProof/>
                <w:webHidden/>
              </w:rPr>
              <w:fldChar w:fldCharType="end"/>
            </w:r>
          </w:hyperlink>
        </w:p>
        <w:p w14:paraId="6D7D668D" w14:textId="77777777" w:rsidR="009D498A" w:rsidRDefault="0029111E">
          <w:pPr>
            <w:pStyle w:val="TOC1"/>
            <w:rPr>
              <w:rFonts w:asciiTheme="minorHAnsi" w:eastAsiaTheme="minorEastAsia" w:hAnsiTheme="minorHAnsi" w:cstheme="minorBidi"/>
              <w:sz w:val="22"/>
              <w:szCs w:val="22"/>
              <w:lang w:eastAsia="en-AU"/>
            </w:rPr>
          </w:pPr>
          <w:hyperlink w:anchor="_Toc525122091" w:history="1">
            <w:r w:rsidR="009D498A" w:rsidRPr="00C46616">
              <w:rPr>
                <w:rStyle w:val="Hyperlink"/>
              </w:rPr>
              <w:t>Other financial disclosures</w:t>
            </w:r>
            <w:r w:rsidR="009D498A">
              <w:rPr>
                <w:webHidden/>
              </w:rPr>
              <w:tab/>
            </w:r>
            <w:r w:rsidR="009D498A">
              <w:rPr>
                <w:webHidden/>
              </w:rPr>
              <w:fldChar w:fldCharType="begin"/>
            </w:r>
            <w:r w:rsidR="009D498A">
              <w:rPr>
                <w:webHidden/>
              </w:rPr>
              <w:instrText xml:space="preserve"> PAGEREF _Toc525122091 \h </w:instrText>
            </w:r>
            <w:r w:rsidR="009D498A">
              <w:rPr>
                <w:webHidden/>
              </w:rPr>
            </w:r>
            <w:r w:rsidR="009D498A">
              <w:rPr>
                <w:webHidden/>
              </w:rPr>
              <w:fldChar w:fldCharType="separate"/>
            </w:r>
            <w:r w:rsidR="00C817BE">
              <w:rPr>
                <w:webHidden/>
              </w:rPr>
              <w:t>122</w:t>
            </w:r>
            <w:r w:rsidR="009D498A">
              <w:rPr>
                <w:webHidden/>
              </w:rPr>
              <w:fldChar w:fldCharType="end"/>
            </w:r>
          </w:hyperlink>
        </w:p>
        <w:p w14:paraId="7ED42F9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2" w:history="1">
            <w:r w:rsidR="009D498A" w:rsidRPr="00C46616">
              <w:rPr>
                <w:rStyle w:val="Hyperlink"/>
                <w:noProof/>
              </w:rPr>
              <w:t>Employment and industrial relations</w:t>
            </w:r>
            <w:r w:rsidR="009D498A">
              <w:rPr>
                <w:noProof/>
                <w:webHidden/>
              </w:rPr>
              <w:tab/>
            </w:r>
            <w:r w:rsidR="009D498A">
              <w:rPr>
                <w:noProof/>
                <w:webHidden/>
              </w:rPr>
              <w:fldChar w:fldCharType="begin"/>
            </w:r>
            <w:r w:rsidR="009D498A">
              <w:rPr>
                <w:noProof/>
                <w:webHidden/>
              </w:rPr>
              <w:instrText xml:space="preserve"> PAGEREF _Toc525122092 \h </w:instrText>
            </w:r>
            <w:r w:rsidR="009D498A">
              <w:rPr>
                <w:noProof/>
                <w:webHidden/>
              </w:rPr>
            </w:r>
            <w:r w:rsidR="009D498A">
              <w:rPr>
                <w:noProof/>
                <w:webHidden/>
              </w:rPr>
              <w:fldChar w:fldCharType="separate"/>
            </w:r>
            <w:r w:rsidR="00C817BE">
              <w:rPr>
                <w:noProof/>
                <w:webHidden/>
              </w:rPr>
              <w:t>122</w:t>
            </w:r>
            <w:r w:rsidR="009D498A">
              <w:rPr>
                <w:noProof/>
                <w:webHidden/>
              </w:rPr>
              <w:fldChar w:fldCharType="end"/>
            </w:r>
          </w:hyperlink>
        </w:p>
        <w:p w14:paraId="2D31FA1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3" w:history="1">
            <w:r w:rsidR="009D498A" w:rsidRPr="00C46616">
              <w:rPr>
                <w:rStyle w:val="Hyperlink"/>
                <w:noProof/>
              </w:rPr>
              <w:t>Internal workers’ compensation claims</w:t>
            </w:r>
            <w:r w:rsidR="009D498A">
              <w:rPr>
                <w:noProof/>
                <w:webHidden/>
              </w:rPr>
              <w:tab/>
            </w:r>
            <w:r w:rsidR="009D498A">
              <w:rPr>
                <w:noProof/>
                <w:webHidden/>
              </w:rPr>
              <w:fldChar w:fldCharType="begin"/>
            </w:r>
            <w:r w:rsidR="009D498A">
              <w:rPr>
                <w:noProof/>
                <w:webHidden/>
              </w:rPr>
              <w:instrText xml:space="preserve"> PAGEREF _Toc525122093 \h </w:instrText>
            </w:r>
            <w:r w:rsidR="009D498A">
              <w:rPr>
                <w:noProof/>
                <w:webHidden/>
              </w:rPr>
            </w:r>
            <w:r w:rsidR="009D498A">
              <w:rPr>
                <w:noProof/>
                <w:webHidden/>
              </w:rPr>
              <w:fldChar w:fldCharType="separate"/>
            </w:r>
            <w:r w:rsidR="00C817BE">
              <w:rPr>
                <w:noProof/>
                <w:webHidden/>
              </w:rPr>
              <w:t>123</w:t>
            </w:r>
            <w:r w:rsidR="009D498A">
              <w:rPr>
                <w:noProof/>
                <w:webHidden/>
              </w:rPr>
              <w:fldChar w:fldCharType="end"/>
            </w:r>
          </w:hyperlink>
        </w:p>
        <w:p w14:paraId="7153F62E"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4" w:history="1">
            <w:r w:rsidR="009D498A" w:rsidRPr="00C46616">
              <w:rPr>
                <w:rStyle w:val="Hyperlink"/>
                <w:noProof/>
              </w:rPr>
              <w:t>Board remuneration</w:t>
            </w:r>
            <w:r w:rsidR="009D498A">
              <w:rPr>
                <w:noProof/>
                <w:webHidden/>
              </w:rPr>
              <w:tab/>
            </w:r>
            <w:r w:rsidR="009D498A">
              <w:rPr>
                <w:noProof/>
                <w:webHidden/>
              </w:rPr>
              <w:fldChar w:fldCharType="begin"/>
            </w:r>
            <w:r w:rsidR="009D498A">
              <w:rPr>
                <w:noProof/>
                <w:webHidden/>
              </w:rPr>
              <w:instrText xml:space="preserve"> PAGEREF _Toc525122094 \h </w:instrText>
            </w:r>
            <w:r w:rsidR="009D498A">
              <w:rPr>
                <w:noProof/>
                <w:webHidden/>
              </w:rPr>
            </w:r>
            <w:r w:rsidR="009D498A">
              <w:rPr>
                <w:noProof/>
                <w:webHidden/>
              </w:rPr>
              <w:fldChar w:fldCharType="separate"/>
            </w:r>
            <w:r w:rsidR="00C817BE">
              <w:rPr>
                <w:noProof/>
                <w:webHidden/>
              </w:rPr>
              <w:t>123</w:t>
            </w:r>
            <w:r w:rsidR="009D498A">
              <w:rPr>
                <w:noProof/>
                <w:webHidden/>
              </w:rPr>
              <w:fldChar w:fldCharType="end"/>
            </w:r>
          </w:hyperlink>
        </w:p>
        <w:p w14:paraId="3D183AE5"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5" w:history="1">
            <w:r w:rsidR="009D498A" w:rsidRPr="00C46616">
              <w:rPr>
                <w:rStyle w:val="Hyperlink"/>
                <w:noProof/>
              </w:rPr>
              <w:t>Directors’ and officers’ liability insurance</w:t>
            </w:r>
            <w:r w:rsidR="009D498A">
              <w:rPr>
                <w:noProof/>
                <w:webHidden/>
              </w:rPr>
              <w:tab/>
            </w:r>
            <w:r w:rsidR="009D498A">
              <w:rPr>
                <w:noProof/>
                <w:webHidden/>
              </w:rPr>
              <w:fldChar w:fldCharType="begin"/>
            </w:r>
            <w:r w:rsidR="009D498A">
              <w:rPr>
                <w:noProof/>
                <w:webHidden/>
              </w:rPr>
              <w:instrText xml:space="preserve"> PAGEREF _Toc525122095 \h </w:instrText>
            </w:r>
            <w:r w:rsidR="009D498A">
              <w:rPr>
                <w:noProof/>
                <w:webHidden/>
              </w:rPr>
            </w:r>
            <w:r w:rsidR="009D498A">
              <w:rPr>
                <w:noProof/>
                <w:webHidden/>
              </w:rPr>
              <w:fldChar w:fldCharType="separate"/>
            </w:r>
            <w:r w:rsidR="00C817BE">
              <w:rPr>
                <w:noProof/>
                <w:webHidden/>
              </w:rPr>
              <w:t>124</w:t>
            </w:r>
            <w:r w:rsidR="009D498A">
              <w:rPr>
                <w:noProof/>
                <w:webHidden/>
              </w:rPr>
              <w:fldChar w:fldCharType="end"/>
            </w:r>
          </w:hyperlink>
        </w:p>
        <w:p w14:paraId="65984A8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096" w:history="1">
            <w:r w:rsidR="009D498A" w:rsidRPr="00C46616">
              <w:rPr>
                <w:rStyle w:val="Hyperlink"/>
                <w:noProof/>
              </w:rPr>
              <w:t>Committee remuneration</w:t>
            </w:r>
            <w:r w:rsidR="009D498A">
              <w:rPr>
                <w:noProof/>
                <w:webHidden/>
              </w:rPr>
              <w:tab/>
            </w:r>
            <w:r w:rsidR="009D498A">
              <w:rPr>
                <w:noProof/>
                <w:webHidden/>
              </w:rPr>
              <w:fldChar w:fldCharType="begin"/>
            </w:r>
            <w:r w:rsidR="009D498A">
              <w:rPr>
                <w:noProof/>
                <w:webHidden/>
              </w:rPr>
              <w:instrText xml:space="preserve"> PAGEREF _Toc525122096 \h </w:instrText>
            </w:r>
            <w:r w:rsidR="009D498A">
              <w:rPr>
                <w:noProof/>
                <w:webHidden/>
              </w:rPr>
            </w:r>
            <w:r w:rsidR="009D498A">
              <w:rPr>
                <w:noProof/>
                <w:webHidden/>
              </w:rPr>
              <w:fldChar w:fldCharType="separate"/>
            </w:r>
            <w:r w:rsidR="00C817BE">
              <w:rPr>
                <w:noProof/>
                <w:webHidden/>
              </w:rPr>
              <w:t>124</w:t>
            </w:r>
            <w:r w:rsidR="009D498A">
              <w:rPr>
                <w:noProof/>
                <w:webHidden/>
              </w:rPr>
              <w:fldChar w:fldCharType="end"/>
            </w:r>
          </w:hyperlink>
        </w:p>
        <w:p w14:paraId="1E6F964D" w14:textId="77777777" w:rsidR="009D498A" w:rsidRDefault="0029111E">
          <w:pPr>
            <w:pStyle w:val="TOC3"/>
            <w:rPr>
              <w:rFonts w:asciiTheme="minorHAnsi" w:eastAsiaTheme="minorEastAsia" w:hAnsiTheme="minorHAnsi" w:cstheme="minorBidi"/>
              <w:noProof/>
              <w:sz w:val="22"/>
              <w:szCs w:val="22"/>
              <w:lang w:eastAsia="en-AU"/>
            </w:rPr>
          </w:pPr>
          <w:hyperlink w:anchor="_Toc525122097" w:history="1">
            <w:r w:rsidR="009D498A" w:rsidRPr="00C46616">
              <w:rPr>
                <w:rStyle w:val="Hyperlink"/>
                <w:noProof/>
              </w:rPr>
              <w:t>Audit and Risk Management Committee</w:t>
            </w:r>
            <w:r w:rsidR="009D498A">
              <w:rPr>
                <w:noProof/>
                <w:webHidden/>
              </w:rPr>
              <w:tab/>
            </w:r>
            <w:r w:rsidR="009D498A">
              <w:rPr>
                <w:noProof/>
                <w:webHidden/>
              </w:rPr>
              <w:fldChar w:fldCharType="begin"/>
            </w:r>
            <w:r w:rsidR="009D498A">
              <w:rPr>
                <w:noProof/>
                <w:webHidden/>
              </w:rPr>
              <w:instrText xml:space="preserve"> PAGEREF _Toc525122097 \h </w:instrText>
            </w:r>
            <w:r w:rsidR="009D498A">
              <w:rPr>
                <w:noProof/>
                <w:webHidden/>
              </w:rPr>
            </w:r>
            <w:r w:rsidR="009D498A">
              <w:rPr>
                <w:noProof/>
                <w:webHidden/>
              </w:rPr>
              <w:fldChar w:fldCharType="separate"/>
            </w:r>
            <w:r w:rsidR="00C817BE">
              <w:rPr>
                <w:noProof/>
                <w:webHidden/>
              </w:rPr>
              <w:t>124</w:t>
            </w:r>
            <w:r w:rsidR="009D498A">
              <w:rPr>
                <w:noProof/>
                <w:webHidden/>
              </w:rPr>
              <w:fldChar w:fldCharType="end"/>
            </w:r>
          </w:hyperlink>
        </w:p>
        <w:p w14:paraId="39E5D47A" w14:textId="77777777" w:rsidR="009D498A" w:rsidRDefault="0029111E">
          <w:pPr>
            <w:pStyle w:val="TOC3"/>
            <w:rPr>
              <w:rFonts w:asciiTheme="minorHAnsi" w:eastAsiaTheme="minorEastAsia" w:hAnsiTheme="minorHAnsi" w:cstheme="minorBidi"/>
              <w:noProof/>
              <w:sz w:val="22"/>
              <w:szCs w:val="22"/>
              <w:lang w:eastAsia="en-AU"/>
            </w:rPr>
          </w:pPr>
          <w:hyperlink w:anchor="_Toc525122098" w:history="1">
            <w:r w:rsidR="009D498A" w:rsidRPr="00C46616">
              <w:rPr>
                <w:rStyle w:val="Hyperlink"/>
                <w:noProof/>
              </w:rPr>
              <w:t>Costs Committee</w:t>
            </w:r>
            <w:r w:rsidR="009D498A">
              <w:rPr>
                <w:noProof/>
                <w:webHidden/>
              </w:rPr>
              <w:tab/>
            </w:r>
            <w:r w:rsidR="009D498A">
              <w:rPr>
                <w:noProof/>
                <w:webHidden/>
              </w:rPr>
              <w:fldChar w:fldCharType="begin"/>
            </w:r>
            <w:r w:rsidR="009D498A">
              <w:rPr>
                <w:noProof/>
                <w:webHidden/>
              </w:rPr>
              <w:instrText xml:space="preserve"> PAGEREF _Toc525122098 \h </w:instrText>
            </w:r>
            <w:r w:rsidR="009D498A">
              <w:rPr>
                <w:noProof/>
                <w:webHidden/>
              </w:rPr>
            </w:r>
            <w:r w:rsidR="009D498A">
              <w:rPr>
                <w:noProof/>
                <w:webHidden/>
              </w:rPr>
              <w:fldChar w:fldCharType="separate"/>
            </w:r>
            <w:r w:rsidR="00C817BE">
              <w:rPr>
                <w:noProof/>
                <w:webHidden/>
              </w:rPr>
              <w:t>124</w:t>
            </w:r>
            <w:r w:rsidR="009D498A">
              <w:rPr>
                <w:noProof/>
                <w:webHidden/>
              </w:rPr>
              <w:fldChar w:fldCharType="end"/>
            </w:r>
          </w:hyperlink>
        </w:p>
        <w:p w14:paraId="41151141" w14:textId="77777777" w:rsidR="009D498A" w:rsidRDefault="0029111E">
          <w:pPr>
            <w:pStyle w:val="TOC3"/>
            <w:rPr>
              <w:rFonts w:asciiTheme="minorHAnsi" w:eastAsiaTheme="minorEastAsia" w:hAnsiTheme="minorHAnsi" w:cstheme="minorBidi"/>
              <w:noProof/>
              <w:sz w:val="22"/>
              <w:szCs w:val="22"/>
              <w:lang w:eastAsia="en-AU"/>
            </w:rPr>
          </w:pPr>
          <w:hyperlink w:anchor="_Toc525122099" w:history="1">
            <w:r w:rsidR="009D498A" w:rsidRPr="00C46616">
              <w:rPr>
                <w:rStyle w:val="Hyperlink"/>
                <w:noProof/>
              </w:rPr>
              <w:t>Medical Committee</w:t>
            </w:r>
            <w:r w:rsidR="009D498A">
              <w:rPr>
                <w:noProof/>
                <w:webHidden/>
              </w:rPr>
              <w:tab/>
            </w:r>
            <w:r w:rsidR="009D498A">
              <w:rPr>
                <w:noProof/>
                <w:webHidden/>
              </w:rPr>
              <w:fldChar w:fldCharType="begin"/>
            </w:r>
            <w:r w:rsidR="009D498A">
              <w:rPr>
                <w:noProof/>
                <w:webHidden/>
              </w:rPr>
              <w:instrText xml:space="preserve"> PAGEREF _Toc525122099 \h </w:instrText>
            </w:r>
            <w:r w:rsidR="009D498A">
              <w:rPr>
                <w:noProof/>
                <w:webHidden/>
              </w:rPr>
            </w:r>
            <w:r w:rsidR="009D498A">
              <w:rPr>
                <w:noProof/>
                <w:webHidden/>
              </w:rPr>
              <w:fldChar w:fldCharType="separate"/>
            </w:r>
            <w:r w:rsidR="00C817BE">
              <w:rPr>
                <w:noProof/>
                <w:webHidden/>
              </w:rPr>
              <w:t>124</w:t>
            </w:r>
            <w:r w:rsidR="009D498A">
              <w:rPr>
                <w:noProof/>
                <w:webHidden/>
              </w:rPr>
              <w:fldChar w:fldCharType="end"/>
            </w:r>
          </w:hyperlink>
        </w:p>
        <w:p w14:paraId="6043C8A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0" w:history="1">
            <w:r w:rsidR="009D498A" w:rsidRPr="00C46616">
              <w:rPr>
                <w:rStyle w:val="Hyperlink"/>
                <w:noProof/>
              </w:rPr>
              <w:t>Capital works projects</w:t>
            </w:r>
            <w:r w:rsidR="009D498A">
              <w:rPr>
                <w:noProof/>
                <w:webHidden/>
              </w:rPr>
              <w:tab/>
            </w:r>
            <w:r w:rsidR="009D498A">
              <w:rPr>
                <w:noProof/>
                <w:webHidden/>
              </w:rPr>
              <w:fldChar w:fldCharType="begin"/>
            </w:r>
            <w:r w:rsidR="009D498A">
              <w:rPr>
                <w:noProof/>
                <w:webHidden/>
              </w:rPr>
              <w:instrText xml:space="preserve"> PAGEREF _Toc525122100 \h </w:instrText>
            </w:r>
            <w:r w:rsidR="009D498A">
              <w:rPr>
                <w:noProof/>
                <w:webHidden/>
              </w:rPr>
            </w:r>
            <w:r w:rsidR="009D498A">
              <w:rPr>
                <w:noProof/>
                <w:webHidden/>
              </w:rPr>
              <w:fldChar w:fldCharType="separate"/>
            </w:r>
            <w:r w:rsidR="00C817BE">
              <w:rPr>
                <w:noProof/>
                <w:webHidden/>
              </w:rPr>
              <w:t>125</w:t>
            </w:r>
            <w:r w:rsidR="009D498A">
              <w:rPr>
                <w:noProof/>
                <w:webHidden/>
              </w:rPr>
              <w:fldChar w:fldCharType="end"/>
            </w:r>
          </w:hyperlink>
        </w:p>
        <w:p w14:paraId="2375609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1" w:history="1">
            <w:r w:rsidR="009D498A" w:rsidRPr="00C46616">
              <w:rPr>
                <w:rStyle w:val="Hyperlink"/>
                <w:noProof/>
              </w:rPr>
              <w:t>Advertising</w:t>
            </w:r>
            <w:r w:rsidR="009D498A">
              <w:rPr>
                <w:noProof/>
                <w:webHidden/>
              </w:rPr>
              <w:tab/>
            </w:r>
            <w:r w:rsidR="009D498A">
              <w:rPr>
                <w:noProof/>
                <w:webHidden/>
              </w:rPr>
              <w:fldChar w:fldCharType="begin"/>
            </w:r>
            <w:r w:rsidR="009D498A">
              <w:rPr>
                <w:noProof/>
                <w:webHidden/>
              </w:rPr>
              <w:instrText xml:space="preserve"> PAGEREF _Toc525122101 \h </w:instrText>
            </w:r>
            <w:r w:rsidR="009D498A">
              <w:rPr>
                <w:noProof/>
                <w:webHidden/>
              </w:rPr>
            </w:r>
            <w:r w:rsidR="009D498A">
              <w:rPr>
                <w:noProof/>
                <w:webHidden/>
              </w:rPr>
              <w:fldChar w:fldCharType="separate"/>
            </w:r>
            <w:r w:rsidR="00C817BE">
              <w:rPr>
                <w:noProof/>
                <w:webHidden/>
              </w:rPr>
              <w:t>125</w:t>
            </w:r>
            <w:r w:rsidR="009D498A">
              <w:rPr>
                <w:noProof/>
                <w:webHidden/>
              </w:rPr>
              <w:fldChar w:fldCharType="end"/>
            </w:r>
          </w:hyperlink>
        </w:p>
        <w:p w14:paraId="690699D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2" w:history="1">
            <w:r w:rsidR="009D498A" w:rsidRPr="00C46616">
              <w:rPr>
                <w:rStyle w:val="Hyperlink"/>
                <w:noProof/>
              </w:rPr>
              <w:t>Annual estimates</w:t>
            </w:r>
            <w:r w:rsidR="009D498A">
              <w:rPr>
                <w:noProof/>
                <w:webHidden/>
              </w:rPr>
              <w:tab/>
            </w:r>
            <w:r w:rsidR="009D498A">
              <w:rPr>
                <w:noProof/>
                <w:webHidden/>
              </w:rPr>
              <w:fldChar w:fldCharType="begin"/>
            </w:r>
            <w:r w:rsidR="009D498A">
              <w:rPr>
                <w:noProof/>
                <w:webHidden/>
              </w:rPr>
              <w:instrText xml:space="preserve"> PAGEREF _Toc525122102 \h </w:instrText>
            </w:r>
            <w:r w:rsidR="009D498A">
              <w:rPr>
                <w:noProof/>
                <w:webHidden/>
              </w:rPr>
            </w:r>
            <w:r w:rsidR="009D498A">
              <w:rPr>
                <w:noProof/>
                <w:webHidden/>
              </w:rPr>
              <w:fldChar w:fldCharType="separate"/>
            </w:r>
            <w:r w:rsidR="00C817BE">
              <w:rPr>
                <w:noProof/>
                <w:webHidden/>
              </w:rPr>
              <w:t>126</w:t>
            </w:r>
            <w:r w:rsidR="009D498A">
              <w:rPr>
                <w:noProof/>
                <w:webHidden/>
              </w:rPr>
              <w:fldChar w:fldCharType="end"/>
            </w:r>
          </w:hyperlink>
        </w:p>
        <w:p w14:paraId="3D483D39" w14:textId="77777777" w:rsidR="009D498A" w:rsidRDefault="0029111E">
          <w:pPr>
            <w:pStyle w:val="TOC1"/>
            <w:rPr>
              <w:rFonts w:asciiTheme="minorHAnsi" w:eastAsiaTheme="minorEastAsia" w:hAnsiTheme="minorHAnsi" w:cstheme="minorBidi"/>
              <w:sz w:val="22"/>
              <w:szCs w:val="22"/>
              <w:lang w:eastAsia="en-AU"/>
            </w:rPr>
          </w:pPr>
          <w:hyperlink w:anchor="_Toc525122103" w:history="1">
            <w:r w:rsidR="009D498A" w:rsidRPr="00C46616">
              <w:rPr>
                <w:rStyle w:val="Hyperlink"/>
              </w:rPr>
              <w:t>Ministerial directives</w:t>
            </w:r>
            <w:r w:rsidR="009D498A">
              <w:rPr>
                <w:webHidden/>
              </w:rPr>
              <w:tab/>
            </w:r>
            <w:r w:rsidR="009D498A">
              <w:rPr>
                <w:webHidden/>
              </w:rPr>
              <w:fldChar w:fldCharType="begin"/>
            </w:r>
            <w:r w:rsidR="009D498A">
              <w:rPr>
                <w:webHidden/>
              </w:rPr>
              <w:instrText xml:space="preserve"> PAGEREF _Toc525122103 \h </w:instrText>
            </w:r>
            <w:r w:rsidR="009D498A">
              <w:rPr>
                <w:webHidden/>
              </w:rPr>
            </w:r>
            <w:r w:rsidR="009D498A">
              <w:rPr>
                <w:webHidden/>
              </w:rPr>
              <w:fldChar w:fldCharType="separate"/>
            </w:r>
            <w:r w:rsidR="00C817BE">
              <w:rPr>
                <w:webHidden/>
              </w:rPr>
              <w:t>129</w:t>
            </w:r>
            <w:r w:rsidR="009D498A">
              <w:rPr>
                <w:webHidden/>
              </w:rPr>
              <w:fldChar w:fldCharType="end"/>
            </w:r>
          </w:hyperlink>
        </w:p>
        <w:p w14:paraId="17617A11" w14:textId="77777777" w:rsidR="009D498A" w:rsidRDefault="0029111E">
          <w:pPr>
            <w:pStyle w:val="TOC1"/>
            <w:rPr>
              <w:rFonts w:asciiTheme="minorHAnsi" w:eastAsiaTheme="minorEastAsia" w:hAnsiTheme="minorHAnsi" w:cstheme="minorBidi"/>
              <w:sz w:val="22"/>
              <w:szCs w:val="22"/>
              <w:lang w:eastAsia="en-AU"/>
            </w:rPr>
          </w:pPr>
          <w:hyperlink w:anchor="_Toc525122104" w:history="1">
            <w:r w:rsidR="009D498A" w:rsidRPr="00C46616">
              <w:rPr>
                <w:rStyle w:val="Hyperlink"/>
              </w:rPr>
              <w:t>Governance disclosures</w:t>
            </w:r>
            <w:r w:rsidR="009D498A">
              <w:rPr>
                <w:webHidden/>
              </w:rPr>
              <w:tab/>
            </w:r>
            <w:r w:rsidR="009D498A">
              <w:rPr>
                <w:webHidden/>
              </w:rPr>
              <w:fldChar w:fldCharType="begin"/>
            </w:r>
            <w:r w:rsidR="009D498A">
              <w:rPr>
                <w:webHidden/>
              </w:rPr>
              <w:instrText xml:space="preserve"> PAGEREF _Toc525122104 \h </w:instrText>
            </w:r>
            <w:r w:rsidR="009D498A">
              <w:rPr>
                <w:webHidden/>
              </w:rPr>
            </w:r>
            <w:r w:rsidR="009D498A">
              <w:rPr>
                <w:webHidden/>
              </w:rPr>
              <w:fldChar w:fldCharType="separate"/>
            </w:r>
            <w:r w:rsidR="00C817BE">
              <w:rPr>
                <w:webHidden/>
              </w:rPr>
              <w:t>129</w:t>
            </w:r>
            <w:r w:rsidR="009D498A">
              <w:rPr>
                <w:webHidden/>
              </w:rPr>
              <w:fldChar w:fldCharType="end"/>
            </w:r>
          </w:hyperlink>
        </w:p>
        <w:p w14:paraId="1194A72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5" w:history="1">
            <w:r w:rsidR="009D498A" w:rsidRPr="00C46616">
              <w:rPr>
                <w:rStyle w:val="Hyperlink"/>
                <w:noProof/>
              </w:rPr>
              <w:t>Board policies</w:t>
            </w:r>
            <w:r w:rsidR="009D498A">
              <w:rPr>
                <w:noProof/>
                <w:webHidden/>
              </w:rPr>
              <w:tab/>
            </w:r>
            <w:r w:rsidR="009D498A">
              <w:rPr>
                <w:noProof/>
                <w:webHidden/>
              </w:rPr>
              <w:fldChar w:fldCharType="begin"/>
            </w:r>
            <w:r w:rsidR="009D498A">
              <w:rPr>
                <w:noProof/>
                <w:webHidden/>
              </w:rPr>
              <w:instrText xml:space="preserve"> PAGEREF _Toc525122105 \h </w:instrText>
            </w:r>
            <w:r w:rsidR="009D498A">
              <w:rPr>
                <w:noProof/>
                <w:webHidden/>
              </w:rPr>
            </w:r>
            <w:r w:rsidR="009D498A">
              <w:rPr>
                <w:noProof/>
                <w:webHidden/>
              </w:rPr>
              <w:fldChar w:fldCharType="separate"/>
            </w:r>
            <w:r w:rsidR="00C817BE">
              <w:rPr>
                <w:noProof/>
                <w:webHidden/>
              </w:rPr>
              <w:t>129</w:t>
            </w:r>
            <w:r w:rsidR="009D498A">
              <w:rPr>
                <w:noProof/>
                <w:webHidden/>
              </w:rPr>
              <w:fldChar w:fldCharType="end"/>
            </w:r>
          </w:hyperlink>
        </w:p>
        <w:p w14:paraId="0EDD803A"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6" w:history="1">
            <w:r w:rsidR="009D498A" w:rsidRPr="00C46616">
              <w:rPr>
                <w:rStyle w:val="Hyperlink"/>
                <w:noProof/>
              </w:rPr>
              <w:t>Board responsibilities</w:t>
            </w:r>
            <w:r w:rsidR="009D498A">
              <w:rPr>
                <w:noProof/>
                <w:webHidden/>
              </w:rPr>
              <w:tab/>
            </w:r>
            <w:r w:rsidR="009D498A">
              <w:rPr>
                <w:noProof/>
                <w:webHidden/>
              </w:rPr>
              <w:fldChar w:fldCharType="begin"/>
            </w:r>
            <w:r w:rsidR="009D498A">
              <w:rPr>
                <w:noProof/>
                <w:webHidden/>
              </w:rPr>
              <w:instrText xml:space="preserve"> PAGEREF _Toc525122106 \h </w:instrText>
            </w:r>
            <w:r w:rsidR="009D498A">
              <w:rPr>
                <w:noProof/>
                <w:webHidden/>
              </w:rPr>
            </w:r>
            <w:r w:rsidR="009D498A">
              <w:rPr>
                <w:noProof/>
                <w:webHidden/>
              </w:rPr>
              <w:fldChar w:fldCharType="separate"/>
            </w:r>
            <w:r w:rsidR="00C817BE">
              <w:rPr>
                <w:noProof/>
                <w:webHidden/>
              </w:rPr>
              <w:t>129</w:t>
            </w:r>
            <w:r w:rsidR="009D498A">
              <w:rPr>
                <w:noProof/>
                <w:webHidden/>
              </w:rPr>
              <w:fldChar w:fldCharType="end"/>
            </w:r>
          </w:hyperlink>
        </w:p>
        <w:p w14:paraId="628CEA9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7" w:history="1">
            <w:r w:rsidR="009D498A" w:rsidRPr="00C46616">
              <w:rPr>
                <w:rStyle w:val="Hyperlink"/>
                <w:noProof/>
              </w:rPr>
              <w:t>Conflicts of interest</w:t>
            </w:r>
            <w:r w:rsidR="009D498A">
              <w:rPr>
                <w:noProof/>
                <w:webHidden/>
              </w:rPr>
              <w:tab/>
            </w:r>
            <w:r w:rsidR="009D498A">
              <w:rPr>
                <w:noProof/>
                <w:webHidden/>
              </w:rPr>
              <w:fldChar w:fldCharType="begin"/>
            </w:r>
            <w:r w:rsidR="009D498A">
              <w:rPr>
                <w:noProof/>
                <w:webHidden/>
              </w:rPr>
              <w:instrText xml:space="preserve"> PAGEREF _Toc525122107 \h </w:instrText>
            </w:r>
            <w:r w:rsidR="009D498A">
              <w:rPr>
                <w:noProof/>
                <w:webHidden/>
              </w:rPr>
            </w:r>
            <w:r w:rsidR="009D498A">
              <w:rPr>
                <w:noProof/>
                <w:webHidden/>
              </w:rPr>
              <w:fldChar w:fldCharType="separate"/>
            </w:r>
            <w:r w:rsidR="00C817BE">
              <w:rPr>
                <w:noProof/>
                <w:webHidden/>
              </w:rPr>
              <w:t>129</w:t>
            </w:r>
            <w:r w:rsidR="009D498A">
              <w:rPr>
                <w:noProof/>
                <w:webHidden/>
              </w:rPr>
              <w:fldChar w:fldCharType="end"/>
            </w:r>
          </w:hyperlink>
        </w:p>
        <w:p w14:paraId="5311760E"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8" w:history="1">
            <w:r w:rsidR="009D498A" w:rsidRPr="00C46616">
              <w:rPr>
                <w:rStyle w:val="Hyperlink"/>
                <w:noProof/>
              </w:rPr>
              <w:t>Unauthorised use of credit cards</w:t>
            </w:r>
            <w:r w:rsidR="009D498A">
              <w:rPr>
                <w:noProof/>
                <w:webHidden/>
              </w:rPr>
              <w:tab/>
            </w:r>
            <w:r w:rsidR="009D498A">
              <w:rPr>
                <w:noProof/>
                <w:webHidden/>
              </w:rPr>
              <w:fldChar w:fldCharType="begin"/>
            </w:r>
            <w:r w:rsidR="009D498A">
              <w:rPr>
                <w:noProof/>
                <w:webHidden/>
              </w:rPr>
              <w:instrText xml:space="preserve"> PAGEREF _Toc525122108 \h </w:instrText>
            </w:r>
            <w:r w:rsidR="009D498A">
              <w:rPr>
                <w:noProof/>
                <w:webHidden/>
              </w:rPr>
            </w:r>
            <w:r w:rsidR="009D498A">
              <w:rPr>
                <w:noProof/>
                <w:webHidden/>
              </w:rPr>
              <w:fldChar w:fldCharType="separate"/>
            </w:r>
            <w:r w:rsidR="00C817BE">
              <w:rPr>
                <w:noProof/>
                <w:webHidden/>
              </w:rPr>
              <w:t>130</w:t>
            </w:r>
            <w:r w:rsidR="009D498A">
              <w:rPr>
                <w:noProof/>
                <w:webHidden/>
              </w:rPr>
              <w:fldChar w:fldCharType="end"/>
            </w:r>
          </w:hyperlink>
        </w:p>
        <w:p w14:paraId="5FEADBF0"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09" w:history="1">
            <w:r w:rsidR="009D498A" w:rsidRPr="00C46616">
              <w:rPr>
                <w:rStyle w:val="Hyperlink"/>
                <w:noProof/>
              </w:rPr>
              <w:t>CEO Performance Agreement</w:t>
            </w:r>
            <w:r w:rsidR="009D498A">
              <w:rPr>
                <w:noProof/>
                <w:webHidden/>
              </w:rPr>
              <w:tab/>
            </w:r>
            <w:r w:rsidR="009D498A">
              <w:rPr>
                <w:noProof/>
                <w:webHidden/>
              </w:rPr>
              <w:fldChar w:fldCharType="begin"/>
            </w:r>
            <w:r w:rsidR="009D498A">
              <w:rPr>
                <w:noProof/>
                <w:webHidden/>
              </w:rPr>
              <w:instrText xml:space="preserve"> PAGEREF _Toc525122109 \h </w:instrText>
            </w:r>
            <w:r w:rsidR="009D498A">
              <w:rPr>
                <w:noProof/>
                <w:webHidden/>
              </w:rPr>
            </w:r>
            <w:r w:rsidR="009D498A">
              <w:rPr>
                <w:noProof/>
                <w:webHidden/>
              </w:rPr>
              <w:fldChar w:fldCharType="separate"/>
            </w:r>
            <w:r w:rsidR="00C817BE">
              <w:rPr>
                <w:noProof/>
                <w:webHidden/>
              </w:rPr>
              <w:t>130</w:t>
            </w:r>
            <w:r w:rsidR="009D498A">
              <w:rPr>
                <w:noProof/>
                <w:webHidden/>
              </w:rPr>
              <w:fldChar w:fldCharType="end"/>
            </w:r>
          </w:hyperlink>
        </w:p>
        <w:p w14:paraId="500472C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10" w:history="1">
            <w:r w:rsidR="009D498A" w:rsidRPr="00C46616">
              <w:rPr>
                <w:rStyle w:val="Hyperlink"/>
                <w:noProof/>
              </w:rPr>
              <w:t>Governance Framework</w:t>
            </w:r>
            <w:r w:rsidR="009D498A">
              <w:rPr>
                <w:noProof/>
                <w:webHidden/>
              </w:rPr>
              <w:tab/>
            </w:r>
            <w:r w:rsidR="009D498A">
              <w:rPr>
                <w:noProof/>
                <w:webHidden/>
              </w:rPr>
              <w:fldChar w:fldCharType="begin"/>
            </w:r>
            <w:r w:rsidR="009D498A">
              <w:rPr>
                <w:noProof/>
                <w:webHidden/>
              </w:rPr>
              <w:instrText xml:space="preserve"> PAGEREF _Toc525122110 \h </w:instrText>
            </w:r>
            <w:r w:rsidR="009D498A">
              <w:rPr>
                <w:noProof/>
                <w:webHidden/>
              </w:rPr>
            </w:r>
            <w:r w:rsidR="009D498A">
              <w:rPr>
                <w:noProof/>
                <w:webHidden/>
              </w:rPr>
              <w:fldChar w:fldCharType="separate"/>
            </w:r>
            <w:r w:rsidR="00C817BE">
              <w:rPr>
                <w:noProof/>
                <w:webHidden/>
              </w:rPr>
              <w:t>130</w:t>
            </w:r>
            <w:r w:rsidR="009D498A">
              <w:rPr>
                <w:noProof/>
                <w:webHidden/>
              </w:rPr>
              <w:fldChar w:fldCharType="end"/>
            </w:r>
          </w:hyperlink>
        </w:p>
        <w:p w14:paraId="55B35DE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11" w:history="1">
            <w:r w:rsidR="009D498A" w:rsidRPr="00C46616">
              <w:rPr>
                <w:rStyle w:val="Hyperlink"/>
                <w:noProof/>
              </w:rPr>
              <w:t>Review against the PSC Good Governance Guide</w:t>
            </w:r>
            <w:r w:rsidR="009D498A">
              <w:rPr>
                <w:noProof/>
                <w:webHidden/>
              </w:rPr>
              <w:tab/>
            </w:r>
            <w:r w:rsidR="009D498A">
              <w:rPr>
                <w:noProof/>
                <w:webHidden/>
              </w:rPr>
              <w:fldChar w:fldCharType="begin"/>
            </w:r>
            <w:r w:rsidR="009D498A">
              <w:rPr>
                <w:noProof/>
                <w:webHidden/>
              </w:rPr>
              <w:instrText xml:space="preserve"> PAGEREF _Toc525122111 \h </w:instrText>
            </w:r>
            <w:r w:rsidR="009D498A">
              <w:rPr>
                <w:noProof/>
                <w:webHidden/>
              </w:rPr>
            </w:r>
            <w:r w:rsidR="009D498A">
              <w:rPr>
                <w:noProof/>
                <w:webHidden/>
              </w:rPr>
              <w:fldChar w:fldCharType="separate"/>
            </w:r>
            <w:r w:rsidR="00C817BE">
              <w:rPr>
                <w:noProof/>
                <w:webHidden/>
              </w:rPr>
              <w:t>131</w:t>
            </w:r>
            <w:r w:rsidR="009D498A">
              <w:rPr>
                <w:noProof/>
                <w:webHidden/>
              </w:rPr>
              <w:fldChar w:fldCharType="end"/>
            </w:r>
          </w:hyperlink>
        </w:p>
        <w:p w14:paraId="5D258609" w14:textId="77777777" w:rsidR="009D498A" w:rsidRDefault="0029111E">
          <w:pPr>
            <w:pStyle w:val="TOC3"/>
            <w:rPr>
              <w:rFonts w:asciiTheme="minorHAnsi" w:eastAsiaTheme="minorEastAsia" w:hAnsiTheme="minorHAnsi" w:cstheme="minorBidi"/>
              <w:noProof/>
              <w:sz w:val="22"/>
              <w:szCs w:val="22"/>
              <w:lang w:eastAsia="en-AU"/>
            </w:rPr>
          </w:pPr>
          <w:hyperlink w:anchor="_Toc525122112" w:history="1">
            <w:r w:rsidR="009D498A" w:rsidRPr="00C46616">
              <w:rPr>
                <w:rStyle w:val="Hyperlink"/>
                <w:noProof/>
              </w:rPr>
              <w:t>Applying Good Governance</w:t>
            </w:r>
            <w:r w:rsidR="009D498A">
              <w:rPr>
                <w:noProof/>
                <w:webHidden/>
              </w:rPr>
              <w:tab/>
            </w:r>
            <w:r w:rsidR="009D498A">
              <w:rPr>
                <w:noProof/>
                <w:webHidden/>
              </w:rPr>
              <w:fldChar w:fldCharType="begin"/>
            </w:r>
            <w:r w:rsidR="009D498A">
              <w:rPr>
                <w:noProof/>
                <w:webHidden/>
              </w:rPr>
              <w:instrText xml:space="preserve"> PAGEREF _Toc525122112 \h </w:instrText>
            </w:r>
            <w:r w:rsidR="009D498A">
              <w:rPr>
                <w:noProof/>
                <w:webHidden/>
              </w:rPr>
            </w:r>
            <w:r w:rsidR="009D498A">
              <w:rPr>
                <w:noProof/>
                <w:webHidden/>
              </w:rPr>
              <w:fldChar w:fldCharType="separate"/>
            </w:r>
            <w:r w:rsidR="00C817BE">
              <w:rPr>
                <w:noProof/>
                <w:webHidden/>
              </w:rPr>
              <w:t>131</w:t>
            </w:r>
            <w:r w:rsidR="009D498A">
              <w:rPr>
                <w:noProof/>
                <w:webHidden/>
              </w:rPr>
              <w:fldChar w:fldCharType="end"/>
            </w:r>
          </w:hyperlink>
        </w:p>
        <w:p w14:paraId="0393E66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13" w:history="1">
            <w:r w:rsidR="009D498A" w:rsidRPr="00C46616">
              <w:rPr>
                <w:rStyle w:val="Hyperlink"/>
                <w:noProof/>
              </w:rPr>
              <w:t>Committees</w:t>
            </w:r>
            <w:r w:rsidR="009D498A">
              <w:rPr>
                <w:noProof/>
                <w:webHidden/>
              </w:rPr>
              <w:tab/>
            </w:r>
            <w:r w:rsidR="009D498A">
              <w:rPr>
                <w:noProof/>
                <w:webHidden/>
              </w:rPr>
              <w:fldChar w:fldCharType="begin"/>
            </w:r>
            <w:r w:rsidR="009D498A">
              <w:rPr>
                <w:noProof/>
                <w:webHidden/>
              </w:rPr>
              <w:instrText xml:space="preserve"> PAGEREF _Toc525122113 \h </w:instrText>
            </w:r>
            <w:r w:rsidR="009D498A">
              <w:rPr>
                <w:noProof/>
                <w:webHidden/>
              </w:rPr>
            </w:r>
            <w:r w:rsidR="009D498A">
              <w:rPr>
                <w:noProof/>
                <w:webHidden/>
              </w:rPr>
              <w:fldChar w:fldCharType="separate"/>
            </w:r>
            <w:r w:rsidR="00C817BE">
              <w:rPr>
                <w:noProof/>
                <w:webHidden/>
              </w:rPr>
              <w:t>134</w:t>
            </w:r>
            <w:r w:rsidR="009D498A">
              <w:rPr>
                <w:noProof/>
                <w:webHidden/>
              </w:rPr>
              <w:fldChar w:fldCharType="end"/>
            </w:r>
          </w:hyperlink>
        </w:p>
        <w:p w14:paraId="5BFBD7A9" w14:textId="77777777" w:rsidR="009D498A" w:rsidRDefault="0029111E">
          <w:pPr>
            <w:pStyle w:val="TOC3"/>
            <w:rPr>
              <w:rFonts w:asciiTheme="minorHAnsi" w:eastAsiaTheme="minorEastAsia" w:hAnsiTheme="minorHAnsi" w:cstheme="minorBidi"/>
              <w:noProof/>
              <w:sz w:val="22"/>
              <w:szCs w:val="22"/>
              <w:lang w:eastAsia="en-AU"/>
            </w:rPr>
          </w:pPr>
          <w:hyperlink w:anchor="_Toc525122114" w:history="1">
            <w:r w:rsidR="009D498A" w:rsidRPr="00C46616">
              <w:rPr>
                <w:rStyle w:val="Hyperlink"/>
                <w:noProof/>
              </w:rPr>
              <w:t>Audit and Risk Management Committee</w:t>
            </w:r>
            <w:r w:rsidR="009D498A">
              <w:rPr>
                <w:noProof/>
                <w:webHidden/>
              </w:rPr>
              <w:tab/>
            </w:r>
            <w:r w:rsidR="009D498A">
              <w:rPr>
                <w:noProof/>
                <w:webHidden/>
              </w:rPr>
              <w:fldChar w:fldCharType="begin"/>
            </w:r>
            <w:r w:rsidR="009D498A">
              <w:rPr>
                <w:noProof/>
                <w:webHidden/>
              </w:rPr>
              <w:instrText xml:space="preserve"> PAGEREF _Toc525122114 \h </w:instrText>
            </w:r>
            <w:r w:rsidR="009D498A">
              <w:rPr>
                <w:noProof/>
                <w:webHidden/>
              </w:rPr>
            </w:r>
            <w:r w:rsidR="009D498A">
              <w:rPr>
                <w:noProof/>
                <w:webHidden/>
              </w:rPr>
              <w:fldChar w:fldCharType="separate"/>
            </w:r>
            <w:r w:rsidR="00C817BE">
              <w:rPr>
                <w:noProof/>
                <w:webHidden/>
              </w:rPr>
              <w:t>134</w:t>
            </w:r>
            <w:r w:rsidR="009D498A">
              <w:rPr>
                <w:noProof/>
                <w:webHidden/>
              </w:rPr>
              <w:fldChar w:fldCharType="end"/>
            </w:r>
          </w:hyperlink>
        </w:p>
        <w:p w14:paraId="678D5618" w14:textId="77777777" w:rsidR="009D498A" w:rsidRDefault="0029111E">
          <w:pPr>
            <w:pStyle w:val="TOC3"/>
            <w:rPr>
              <w:rFonts w:asciiTheme="minorHAnsi" w:eastAsiaTheme="minorEastAsia" w:hAnsiTheme="minorHAnsi" w:cstheme="minorBidi"/>
              <w:noProof/>
              <w:sz w:val="22"/>
              <w:szCs w:val="22"/>
              <w:lang w:eastAsia="en-AU"/>
            </w:rPr>
          </w:pPr>
          <w:hyperlink w:anchor="_Toc525122115" w:history="1">
            <w:r w:rsidR="009D498A" w:rsidRPr="00C46616">
              <w:rPr>
                <w:rStyle w:val="Hyperlink"/>
                <w:noProof/>
              </w:rPr>
              <w:t>Costs Committee</w:t>
            </w:r>
            <w:r w:rsidR="009D498A">
              <w:rPr>
                <w:noProof/>
                <w:webHidden/>
              </w:rPr>
              <w:tab/>
            </w:r>
            <w:r w:rsidR="009D498A">
              <w:rPr>
                <w:noProof/>
                <w:webHidden/>
              </w:rPr>
              <w:fldChar w:fldCharType="begin"/>
            </w:r>
            <w:r w:rsidR="009D498A">
              <w:rPr>
                <w:noProof/>
                <w:webHidden/>
              </w:rPr>
              <w:instrText xml:space="preserve"> PAGEREF _Toc525122115 \h </w:instrText>
            </w:r>
            <w:r w:rsidR="009D498A">
              <w:rPr>
                <w:noProof/>
                <w:webHidden/>
              </w:rPr>
            </w:r>
            <w:r w:rsidR="009D498A">
              <w:rPr>
                <w:noProof/>
                <w:webHidden/>
              </w:rPr>
              <w:fldChar w:fldCharType="separate"/>
            </w:r>
            <w:r w:rsidR="00C817BE">
              <w:rPr>
                <w:noProof/>
                <w:webHidden/>
              </w:rPr>
              <w:t>135</w:t>
            </w:r>
            <w:r w:rsidR="009D498A">
              <w:rPr>
                <w:noProof/>
                <w:webHidden/>
              </w:rPr>
              <w:fldChar w:fldCharType="end"/>
            </w:r>
          </w:hyperlink>
        </w:p>
        <w:p w14:paraId="342CBF8B" w14:textId="77777777" w:rsidR="009D498A" w:rsidRDefault="0029111E">
          <w:pPr>
            <w:pStyle w:val="TOC3"/>
            <w:rPr>
              <w:rFonts w:asciiTheme="minorHAnsi" w:eastAsiaTheme="minorEastAsia" w:hAnsiTheme="minorHAnsi" w:cstheme="minorBidi"/>
              <w:noProof/>
              <w:sz w:val="22"/>
              <w:szCs w:val="22"/>
              <w:lang w:eastAsia="en-AU"/>
            </w:rPr>
          </w:pPr>
          <w:hyperlink w:anchor="_Toc525122116" w:history="1">
            <w:r w:rsidR="009D498A" w:rsidRPr="00C46616">
              <w:rPr>
                <w:rStyle w:val="Hyperlink"/>
                <w:noProof/>
              </w:rPr>
              <w:t>Medical Committee</w:t>
            </w:r>
            <w:r w:rsidR="009D498A">
              <w:rPr>
                <w:noProof/>
                <w:webHidden/>
              </w:rPr>
              <w:tab/>
            </w:r>
            <w:r w:rsidR="009D498A">
              <w:rPr>
                <w:noProof/>
                <w:webHidden/>
              </w:rPr>
              <w:fldChar w:fldCharType="begin"/>
            </w:r>
            <w:r w:rsidR="009D498A">
              <w:rPr>
                <w:noProof/>
                <w:webHidden/>
              </w:rPr>
              <w:instrText xml:space="preserve"> PAGEREF _Toc525122116 \h </w:instrText>
            </w:r>
            <w:r w:rsidR="009D498A">
              <w:rPr>
                <w:noProof/>
                <w:webHidden/>
              </w:rPr>
            </w:r>
            <w:r w:rsidR="009D498A">
              <w:rPr>
                <w:noProof/>
                <w:webHidden/>
              </w:rPr>
              <w:fldChar w:fldCharType="separate"/>
            </w:r>
            <w:r w:rsidR="00C817BE">
              <w:rPr>
                <w:noProof/>
                <w:webHidden/>
              </w:rPr>
              <w:t>136</w:t>
            </w:r>
            <w:r w:rsidR="009D498A">
              <w:rPr>
                <w:noProof/>
                <w:webHidden/>
              </w:rPr>
              <w:fldChar w:fldCharType="end"/>
            </w:r>
          </w:hyperlink>
        </w:p>
        <w:p w14:paraId="33BD15C2"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17" w:history="1">
            <w:r w:rsidR="009D498A" w:rsidRPr="00C46616">
              <w:rPr>
                <w:rStyle w:val="Hyperlink"/>
                <w:noProof/>
              </w:rPr>
              <w:t>Industrial Diseases Medical Panel</w:t>
            </w:r>
            <w:r w:rsidR="009D498A">
              <w:rPr>
                <w:noProof/>
                <w:webHidden/>
              </w:rPr>
              <w:tab/>
            </w:r>
            <w:r w:rsidR="009D498A">
              <w:rPr>
                <w:noProof/>
                <w:webHidden/>
              </w:rPr>
              <w:fldChar w:fldCharType="begin"/>
            </w:r>
            <w:r w:rsidR="009D498A">
              <w:rPr>
                <w:noProof/>
                <w:webHidden/>
              </w:rPr>
              <w:instrText xml:space="preserve"> PAGEREF _Toc525122117 \h </w:instrText>
            </w:r>
            <w:r w:rsidR="009D498A">
              <w:rPr>
                <w:noProof/>
                <w:webHidden/>
              </w:rPr>
            </w:r>
            <w:r w:rsidR="009D498A">
              <w:rPr>
                <w:noProof/>
                <w:webHidden/>
              </w:rPr>
              <w:fldChar w:fldCharType="separate"/>
            </w:r>
            <w:r w:rsidR="00C817BE">
              <w:rPr>
                <w:noProof/>
                <w:webHidden/>
              </w:rPr>
              <w:t>136</w:t>
            </w:r>
            <w:r w:rsidR="009D498A">
              <w:rPr>
                <w:noProof/>
                <w:webHidden/>
              </w:rPr>
              <w:fldChar w:fldCharType="end"/>
            </w:r>
          </w:hyperlink>
        </w:p>
        <w:p w14:paraId="77F87A48" w14:textId="77777777" w:rsidR="009D498A" w:rsidRDefault="0029111E">
          <w:pPr>
            <w:pStyle w:val="TOC1"/>
            <w:rPr>
              <w:rFonts w:asciiTheme="minorHAnsi" w:eastAsiaTheme="minorEastAsia" w:hAnsiTheme="minorHAnsi" w:cstheme="minorBidi"/>
              <w:sz w:val="22"/>
              <w:szCs w:val="22"/>
              <w:lang w:eastAsia="en-AU"/>
            </w:rPr>
          </w:pPr>
          <w:hyperlink w:anchor="_Toc525122118" w:history="1">
            <w:r w:rsidR="009D498A" w:rsidRPr="00C46616">
              <w:rPr>
                <w:rStyle w:val="Hyperlink"/>
              </w:rPr>
              <w:t>Legal compliance</w:t>
            </w:r>
            <w:r w:rsidR="009D498A">
              <w:rPr>
                <w:webHidden/>
              </w:rPr>
              <w:tab/>
            </w:r>
            <w:r w:rsidR="009D498A">
              <w:rPr>
                <w:webHidden/>
              </w:rPr>
              <w:fldChar w:fldCharType="begin"/>
            </w:r>
            <w:r w:rsidR="009D498A">
              <w:rPr>
                <w:webHidden/>
              </w:rPr>
              <w:instrText xml:space="preserve"> PAGEREF _Toc525122118 \h </w:instrText>
            </w:r>
            <w:r w:rsidR="009D498A">
              <w:rPr>
                <w:webHidden/>
              </w:rPr>
            </w:r>
            <w:r w:rsidR="009D498A">
              <w:rPr>
                <w:webHidden/>
              </w:rPr>
              <w:fldChar w:fldCharType="separate"/>
            </w:r>
            <w:r w:rsidR="00C817BE">
              <w:rPr>
                <w:webHidden/>
              </w:rPr>
              <w:t>138</w:t>
            </w:r>
            <w:r w:rsidR="009D498A">
              <w:rPr>
                <w:webHidden/>
              </w:rPr>
              <w:fldChar w:fldCharType="end"/>
            </w:r>
          </w:hyperlink>
        </w:p>
        <w:p w14:paraId="12780EF3"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19" w:history="1">
            <w:r w:rsidR="009D498A" w:rsidRPr="00C46616">
              <w:rPr>
                <w:rStyle w:val="Hyperlink"/>
                <w:noProof/>
              </w:rPr>
              <w:t>Public Sector standards and ethical codes</w:t>
            </w:r>
            <w:r w:rsidR="009D498A">
              <w:rPr>
                <w:noProof/>
                <w:webHidden/>
              </w:rPr>
              <w:tab/>
            </w:r>
            <w:r w:rsidR="009D498A">
              <w:rPr>
                <w:noProof/>
                <w:webHidden/>
              </w:rPr>
              <w:fldChar w:fldCharType="begin"/>
            </w:r>
            <w:r w:rsidR="009D498A">
              <w:rPr>
                <w:noProof/>
                <w:webHidden/>
              </w:rPr>
              <w:instrText xml:space="preserve"> PAGEREF _Toc525122119 \h </w:instrText>
            </w:r>
            <w:r w:rsidR="009D498A">
              <w:rPr>
                <w:noProof/>
                <w:webHidden/>
              </w:rPr>
            </w:r>
            <w:r w:rsidR="009D498A">
              <w:rPr>
                <w:noProof/>
                <w:webHidden/>
              </w:rPr>
              <w:fldChar w:fldCharType="separate"/>
            </w:r>
            <w:r w:rsidR="00C817BE">
              <w:rPr>
                <w:noProof/>
                <w:webHidden/>
              </w:rPr>
              <w:t>138</w:t>
            </w:r>
            <w:r w:rsidR="009D498A">
              <w:rPr>
                <w:noProof/>
                <w:webHidden/>
              </w:rPr>
              <w:fldChar w:fldCharType="end"/>
            </w:r>
          </w:hyperlink>
        </w:p>
        <w:p w14:paraId="22E23E3F" w14:textId="77777777" w:rsidR="009D498A" w:rsidRDefault="0029111E">
          <w:pPr>
            <w:pStyle w:val="TOC3"/>
            <w:rPr>
              <w:rFonts w:asciiTheme="minorHAnsi" w:eastAsiaTheme="minorEastAsia" w:hAnsiTheme="minorHAnsi" w:cstheme="minorBidi"/>
              <w:noProof/>
              <w:sz w:val="22"/>
              <w:szCs w:val="22"/>
              <w:lang w:eastAsia="en-AU"/>
            </w:rPr>
          </w:pPr>
          <w:hyperlink w:anchor="_Toc525122120" w:history="1">
            <w:r w:rsidR="009D498A" w:rsidRPr="00C46616">
              <w:rPr>
                <w:rStyle w:val="Hyperlink"/>
                <w:noProof/>
              </w:rPr>
              <w:t>Public Sector Code of Ethics</w:t>
            </w:r>
            <w:r w:rsidR="009D498A">
              <w:rPr>
                <w:noProof/>
                <w:webHidden/>
              </w:rPr>
              <w:tab/>
            </w:r>
            <w:r w:rsidR="009D498A">
              <w:rPr>
                <w:noProof/>
                <w:webHidden/>
              </w:rPr>
              <w:fldChar w:fldCharType="begin"/>
            </w:r>
            <w:r w:rsidR="009D498A">
              <w:rPr>
                <w:noProof/>
                <w:webHidden/>
              </w:rPr>
              <w:instrText xml:space="preserve"> PAGEREF _Toc525122120 \h </w:instrText>
            </w:r>
            <w:r w:rsidR="009D498A">
              <w:rPr>
                <w:noProof/>
                <w:webHidden/>
              </w:rPr>
            </w:r>
            <w:r w:rsidR="009D498A">
              <w:rPr>
                <w:noProof/>
                <w:webHidden/>
              </w:rPr>
              <w:fldChar w:fldCharType="separate"/>
            </w:r>
            <w:r w:rsidR="00C817BE">
              <w:rPr>
                <w:noProof/>
                <w:webHidden/>
              </w:rPr>
              <w:t>138</w:t>
            </w:r>
            <w:r w:rsidR="009D498A">
              <w:rPr>
                <w:noProof/>
                <w:webHidden/>
              </w:rPr>
              <w:fldChar w:fldCharType="end"/>
            </w:r>
          </w:hyperlink>
        </w:p>
        <w:p w14:paraId="5C7AB2AE" w14:textId="77777777" w:rsidR="009D498A" w:rsidRDefault="0029111E">
          <w:pPr>
            <w:pStyle w:val="TOC3"/>
            <w:rPr>
              <w:rFonts w:asciiTheme="minorHAnsi" w:eastAsiaTheme="minorEastAsia" w:hAnsiTheme="minorHAnsi" w:cstheme="minorBidi"/>
              <w:noProof/>
              <w:sz w:val="22"/>
              <w:szCs w:val="22"/>
              <w:lang w:eastAsia="en-AU"/>
            </w:rPr>
          </w:pPr>
          <w:hyperlink w:anchor="_Toc525122121" w:history="1">
            <w:r w:rsidR="009D498A" w:rsidRPr="00C46616">
              <w:rPr>
                <w:rStyle w:val="Hyperlink"/>
                <w:noProof/>
              </w:rPr>
              <w:t>WorkCover WA Code of Conduct</w:t>
            </w:r>
            <w:r w:rsidR="009D498A">
              <w:rPr>
                <w:noProof/>
                <w:webHidden/>
              </w:rPr>
              <w:tab/>
            </w:r>
            <w:r w:rsidR="009D498A">
              <w:rPr>
                <w:noProof/>
                <w:webHidden/>
              </w:rPr>
              <w:fldChar w:fldCharType="begin"/>
            </w:r>
            <w:r w:rsidR="009D498A">
              <w:rPr>
                <w:noProof/>
                <w:webHidden/>
              </w:rPr>
              <w:instrText xml:space="preserve"> PAGEREF _Toc525122121 \h </w:instrText>
            </w:r>
            <w:r w:rsidR="009D498A">
              <w:rPr>
                <w:noProof/>
                <w:webHidden/>
              </w:rPr>
            </w:r>
            <w:r w:rsidR="009D498A">
              <w:rPr>
                <w:noProof/>
                <w:webHidden/>
              </w:rPr>
              <w:fldChar w:fldCharType="separate"/>
            </w:r>
            <w:r w:rsidR="00C817BE">
              <w:rPr>
                <w:noProof/>
                <w:webHidden/>
              </w:rPr>
              <w:t>138</w:t>
            </w:r>
            <w:r w:rsidR="009D498A">
              <w:rPr>
                <w:noProof/>
                <w:webHidden/>
              </w:rPr>
              <w:fldChar w:fldCharType="end"/>
            </w:r>
          </w:hyperlink>
        </w:p>
        <w:p w14:paraId="6A259519" w14:textId="77777777" w:rsidR="009D498A" w:rsidRDefault="0029111E">
          <w:pPr>
            <w:pStyle w:val="TOC3"/>
            <w:rPr>
              <w:rFonts w:asciiTheme="minorHAnsi" w:eastAsiaTheme="minorEastAsia" w:hAnsiTheme="minorHAnsi" w:cstheme="minorBidi"/>
              <w:noProof/>
              <w:sz w:val="22"/>
              <w:szCs w:val="22"/>
              <w:lang w:eastAsia="en-AU"/>
            </w:rPr>
          </w:pPr>
          <w:hyperlink w:anchor="_Toc525122122" w:history="1">
            <w:r w:rsidR="009D498A" w:rsidRPr="00C46616">
              <w:rPr>
                <w:rStyle w:val="Hyperlink"/>
                <w:noProof/>
              </w:rPr>
              <w:t>Public Sector Commissioner’s Instruction Employment Standard</w:t>
            </w:r>
            <w:r w:rsidR="009D498A">
              <w:rPr>
                <w:noProof/>
                <w:webHidden/>
              </w:rPr>
              <w:tab/>
            </w:r>
            <w:r w:rsidR="009D498A">
              <w:rPr>
                <w:noProof/>
                <w:webHidden/>
              </w:rPr>
              <w:fldChar w:fldCharType="begin"/>
            </w:r>
            <w:r w:rsidR="009D498A">
              <w:rPr>
                <w:noProof/>
                <w:webHidden/>
              </w:rPr>
              <w:instrText xml:space="preserve"> PAGEREF _Toc525122122 \h </w:instrText>
            </w:r>
            <w:r w:rsidR="009D498A">
              <w:rPr>
                <w:noProof/>
                <w:webHidden/>
              </w:rPr>
            </w:r>
            <w:r w:rsidR="009D498A">
              <w:rPr>
                <w:noProof/>
                <w:webHidden/>
              </w:rPr>
              <w:fldChar w:fldCharType="separate"/>
            </w:r>
            <w:r w:rsidR="00C817BE">
              <w:rPr>
                <w:noProof/>
                <w:webHidden/>
              </w:rPr>
              <w:t>138</w:t>
            </w:r>
            <w:r w:rsidR="009D498A">
              <w:rPr>
                <w:noProof/>
                <w:webHidden/>
              </w:rPr>
              <w:fldChar w:fldCharType="end"/>
            </w:r>
          </w:hyperlink>
        </w:p>
        <w:p w14:paraId="3ED5E2C2" w14:textId="77777777" w:rsidR="009D498A" w:rsidRDefault="0029111E">
          <w:pPr>
            <w:pStyle w:val="TOC3"/>
            <w:rPr>
              <w:rFonts w:asciiTheme="minorHAnsi" w:eastAsiaTheme="minorEastAsia" w:hAnsiTheme="minorHAnsi" w:cstheme="minorBidi"/>
              <w:noProof/>
              <w:sz w:val="22"/>
              <w:szCs w:val="22"/>
              <w:lang w:eastAsia="en-AU"/>
            </w:rPr>
          </w:pPr>
          <w:hyperlink w:anchor="_Toc525122123" w:history="1">
            <w:r w:rsidR="009D498A" w:rsidRPr="00C46616">
              <w:rPr>
                <w:rStyle w:val="Hyperlink"/>
                <w:noProof/>
              </w:rPr>
              <w:t>Grievance Resolution Standard</w:t>
            </w:r>
            <w:r w:rsidR="009D498A">
              <w:rPr>
                <w:noProof/>
                <w:webHidden/>
              </w:rPr>
              <w:tab/>
            </w:r>
            <w:r w:rsidR="009D498A">
              <w:rPr>
                <w:noProof/>
                <w:webHidden/>
              </w:rPr>
              <w:fldChar w:fldCharType="begin"/>
            </w:r>
            <w:r w:rsidR="009D498A">
              <w:rPr>
                <w:noProof/>
                <w:webHidden/>
              </w:rPr>
              <w:instrText xml:space="preserve"> PAGEREF _Toc525122123 \h </w:instrText>
            </w:r>
            <w:r w:rsidR="009D498A">
              <w:rPr>
                <w:noProof/>
                <w:webHidden/>
              </w:rPr>
            </w:r>
            <w:r w:rsidR="009D498A">
              <w:rPr>
                <w:noProof/>
                <w:webHidden/>
              </w:rPr>
              <w:fldChar w:fldCharType="separate"/>
            </w:r>
            <w:r w:rsidR="00C817BE">
              <w:rPr>
                <w:noProof/>
                <w:webHidden/>
              </w:rPr>
              <w:t>138</w:t>
            </w:r>
            <w:r w:rsidR="009D498A">
              <w:rPr>
                <w:noProof/>
                <w:webHidden/>
              </w:rPr>
              <w:fldChar w:fldCharType="end"/>
            </w:r>
          </w:hyperlink>
        </w:p>
        <w:p w14:paraId="2E68FDE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24" w:history="1">
            <w:r w:rsidR="009D498A" w:rsidRPr="00C46616">
              <w:rPr>
                <w:rStyle w:val="Hyperlink"/>
                <w:noProof/>
              </w:rPr>
              <w:t>Disability Access and Inclusion Plan</w:t>
            </w:r>
            <w:r w:rsidR="009D498A">
              <w:rPr>
                <w:noProof/>
                <w:webHidden/>
              </w:rPr>
              <w:tab/>
            </w:r>
            <w:r w:rsidR="009D498A">
              <w:rPr>
                <w:noProof/>
                <w:webHidden/>
              </w:rPr>
              <w:fldChar w:fldCharType="begin"/>
            </w:r>
            <w:r w:rsidR="009D498A">
              <w:rPr>
                <w:noProof/>
                <w:webHidden/>
              </w:rPr>
              <w:instrText xml:space="preserve"> PAGEREF _Toc525122124 \h </w:instrText>
            </w:r>
            <w:r w:rsidR="009D498A">
              <w:rPr>
                <w:noProof/>
                <w:webHidden/>
              </w:rPr>
            </w:r>
            <w:r w:rsidR="009D498A">
              <w:rPr>
                <w:noProof/>
                <w:webHidden/>
              </w:rPr>
              <w:fldChar w:fldCharType="separate"/>
            </w:r>
            <w:r w:rsidR="00C817BE">
              <w:rPr>
                <w:noProof/>
                <w:webHidden/>
              </w:rPr>
              <w:t>139</w:t>
            </w:r>
            <w:r w:rsidR="009D498A">
              <w:rPr>
                <w:noProof/>
                <w:webHidden/>
              </w:rPr>
              <w:fldChar w:fldCharType="end"/>
            </w:r>
          </w:hyperlink>
        </w:p>
        <w:p w14:paraId="0CE23196"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25" w:history="1">
            <w:r w:rsidR="009D498A" w:rsidRPr="00C46616">
              <w:rPr>
                <w:rStyle w:val="Hyperlink"/>
                <w:noProof/>
              </w:rPr>
              <w:t>Recordkeeping Plan</w:t>
            </w:r>
            <w:r w:rsidR="009D498A">
              <w:rPr>
                <w:noProof/>
                <w:webHidden/>
              </w:rPr>
              <w:tab/>
            </w:r>
            <w:r w:rsidR="009D498A">
              <w:rPr>
                <w:noProof/>
                <w:webHidden/>
              </w:rPr>
              <w:fldChar w:fldCharType="begin"/>
            </w:r>
            <w:r w:rsidR="009D498A">
              <w:rPr>
                <w:noProof/>
                <w:webHidden/>
              </w:rPr>
              <w:instrText xml:space="preserve"> PAGEREF _Toc525122125 \h </w:instrText>
            </w:r>
            <w:r w:rsidR="009D498A">
              <w:rPr>
                <w:noProof/>
                <w:webHidden/>
              </w:rPr>
            </w:r>
            <w:r w:rsidR="009D498A">
              <w:rPr>
                <w:noProof/>
                <w:webHidden/>
              </w:rPr>
              <w:fldChar w:fldCharType="separate"/>
            </w:r>
            <w:r w:rsidR="00C817BE">
              <w:rPr>
                <w:noProof/>
                <w:webHidden/>
              </w:rPr>
              <w:t>139</w:t>
            </w:r>
            <w:r w:rsidR="009D498A">
              <w:rPr>
                <w:noProof/>
                <w:webHidden/>
              </w:rPr>
              <w:fldChar w:fldCharType="end"/>
            </w:r>
          </w:hyperlink>
        </w:p>
        <w:p w14:paraId="5C94FBB7" w14:textId="77777777" w:rsidR="009D498A" w:rsidRDefault="0029111E">
          <w:pPr>
            <w:pStyle w:val="TOC3"/>
            <w:rPr>
              <w:rFonts w:asciiTheme="minorHAnsi" w:eastAsiaTheme="minorEastAsia" w:hAnsiTheme="minorHAnsi" w:cstheme="minorBidi"/>
              <w:noProof/>
              <w:sz w:val="22"/>
              <w:szCs w:val="22"/>
              <w:lang w:eastAsia="en-AU"/>
            </w:rPr>
          </w:pPr>
          <w:hyperlink w:anchor="_Toc525122126" w:history="1">
            <w:r w:rsidR="009D498A" w:rsidRPr="00C46616">
              <w:rPr>
                <w:rStyle w:val="Hyperlink"/>
                <w:noProof/>
              </w:rPr>
              <w:t>Report against WorkCover WA Recordkeeping Plan</w:t>
            </w:r>
            <w:r w:rsidR="009D498A">
              <w:rPr>
                <w:noProof/>
                <w:webHidden/>
              </w:rPr>
              <w:tab/>
            </w:r>
            <w:r w:rsidR="009D498A">
              <w:rPr>
                <w:noProof/>
                <w:webHidden/>
              </w:rPr>
              <w:fldChar w:fldCharType="begin"/>
            </w:r>
            <w:r w:rsidR="009D498A">
              <w:rPr>
                <w:noProof/>
                <w:webHidden/>
              </w:rPr>
              <w:instrText xml:space="preserve"> PAGEREF _Toc525122126 \h </w:instrText>
            </w:r>
            <w:r w:rsidR="009D498A">
              <w:rPr>
                <w:noProof/>
                <w:webHidden/>
              </w:rPr>
            </w:r>
            <w:r w:rsidR="009D498A">
              <w:rPr>
                <w:noProof/>
                <w:webHidden/>
              </w:rPr>
              <w:fldChar w:fldCharType="separate"/>
            </w:r>
            <w:r w:rsidR="00C817BE">
              <w:rPr>
                <w:noProof/>
                <w:webHidden/>
              </w:rPr>
              <w:t>140</w:t>
            </w:r>
            <w:r w:rsidR="009D498A">
              <w:rPr>
                <w:noProof/>
                <w:webHidden/>
              </w:rPr>
              <w:fldChar w:fldCharType="end"/>
            </w:r>
          </w:hyperlink>
        </w:p>
        <w:p w14:paraId="5A898C79" w14:textId="77777777" w:rsidR="009D498A" w:rsidRDefault="0029111E">
          <w:pPr>
            <w:pStyle w:val="TOC1"/>
            <w:rPr>
              <w:rFonts w:asciiTheme="minorHAnsi" w:eastAsiaTheme="minorEastAsia" w:hAnsiTheme="minorHAnsi" w:cstheme="minorBidi"/>
              <w:sz w:val="22"/>
              <w:szCs w:val="22"/>
              <w:lang w:eastAsia="en-AU"/>
            </w:rPr>
          </w:pPr>
          <w:hyperlink w:anchor="_Toc525122127" w:history="1">
            <w:r w:rsidR="009D498A" w:rsidRPr="00C46616">
              <w:rPr>
                <w:rStyle w:val="Hyperlink"/>
              </w:rPr>
              <w:t>Government policy requirements</w:t>
            </w:r>
            <w:r w:rsidR="009D498A">
              <w:rPr>
                <w:webHidden/>
              </w:rPr>
              <w:tab/>
            </w:r>
            <w:r w:rsidR="009D498A">
              <w:rPr>
                <w:webHidden/>
              </w:rPr>
              <w:fldChar w:fldCharType="begin"/>
            </w:r>
            <w:r w:rsidR="009D498A">
              <w:rPr>
                <w:webHidden/>
              </w:rPr>
              <w:instrText xml:space="preserve"> PAGEREF _Toc525122127 \h </w:instrText>
            </w:r>
            <w:r w:rsidR="009D498A">
              <w:rPr>
                <w:webHidden/>
              </w:rPr>
            </w:r>
            <w:r w:rsidR="009D498A">
              <w:rPr>
                <w:webHidden/>
              </w:rPr>
              <w:fldChar w:fldCharType="separate"/>
            </w:r>
            <w:r w:rsidR="00C817BE">
              <w:rPr>
                <w:webHidden/>
              </w:rPr>
              <w:t>142</w:t>
            </w:r>
            <w:r w:rsidR="009D498A">
              <w:rPr>
                <w:webHidden/>
              </w:rPr>
              <w:fldChar w:fldCharType="end"/>
            </w:r>
          </w:hyperlink>
        </w:p>
        <w:p w14:paraId="69DED47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28" w:history="1">
            <w:r w:rsidR="009D498A" w:rsidRPr="00C46616">
              <w:rPr>
                <w:rStyle w:val="Hyperlink"/>
                <w:noProof/>
              </w:rPr>
              <w:t>Substantive equality</w:t>
            </w:r>
            <w:r w:rsidR="009D498A">
              <w:rPr>
                <w:noProof/>
                <w:webHidden/>
              </w:rPr>
              <w:tab/>
            </w:r>
            <w:r w:rsidR="009D498A">
              <w:rPr>
                <w:noProof/>
                <w:webHidden/>
              </w:rPr>
              <w:fldChar w:fldCharType="begin"/>
            </w:r>
            <w:r w:rsidR="009D498A">
              <w:rPr>
                <w:noProof/>
                <w:webHidden/>
              </w:rPr>
              <w:instrText xml:space="preserve"> PAGEREF _Toc525122128 \h </w:instrText>
            </w:r>
            <w:r w:rsidR="009D498A">
              <w:rPr>
                <w:noProof/>
                <w:webHidden/>
              </w:rPr>
            </w:r>
            <w:r w:rsidR="009D498A">
              <w:rPr>
                <w:noProof/>
                <w:webHidden/>
              </w:rPr>
              <w:fldChar w:fldCharType="separate"/>
            </w:r>
            <w:r w:rsidR="00C817BE">
              <w:rPr>
                <w:noProof/>
                <w:webHidden/>
              </w:rPr>
              <w:t>142</w:t>
            </w:r>
            <w:r w:rsidR="009D498A">
              <w:rPr>
                <w:noProof/>
                <w:webHidden/>
              </w:rPr>
              <w:fldChar w:fldCharType="end"/>
            </w:r>
          </w:hyperlink>
        </w:p>
        <w:p w14:paraId="248B047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29" w:history="1">
            <w:r w:rsidR="009D498A" w:rsidRPr="00C46616">
              <w:rPr>
                <w:rStyle w:val="Hyperlink"/>
                <w:noProof/>
              </w:rPr>
              <w:t>Occupational safety, health and injury management</w:t>
            </w:r>
            <w:r w:rsidR="009D498A">
              <w:rPr>
                <w:noProof/>
                <w:webHidden/>
              </w:rPr>
              <w:tab/>
            </w:r>
            <w:r w:rsidR="009D498A">
              <w:rPr>
                <w:noProof/>
                <w:webHidden/>
              </w:rPr>
              <w:fldChar w:fldCharType="begin"/>
            </w:r>
            <w:r w:rsidR="009D498A">
              <w:rPr>
                <w:noProof/>
                <w:webHidden/>
              </w:rPr>
              <w:instrText xml:space="preserve"> PAGEREF _Toc525122129 \h </w:instrText>
            </w:r>
            <w:r w:rsidR="009D498A">
              <w:rPr>
                <w:noProof/>
                <w:webHidden/>
              </w:rPr>
            </w:r>
            <w:r w:rsidR="009D498A">
              <w:rPr>
                <w:noProof/>
                <w:webHidden/>
              </w:rPr>
              <w:fldChar w:fldCharType="separate"/>
            </w:r>
            <w:r w:rsidR="00C817BE">
              <w:rPr>
                <w:noProof/>
                <w:webHidden/>
              </w:rPr>
              <w:t>142</w:t>
            </w:r>
            <w:r w:rsidR="009D498A">
              <w:rPr>
                <w:noProof/>
                <w:webHidden/>
              </w:rPr>
              <w:fldChar w:fldCharType="end"/>
            </w:r>
          </w:hyperlink>
        </w:p>
        <w:p w14:paraId="043764DC" w14:textId="77777777" w:rsidR="009D498A" w:rsidRDefault="0029111E">
          <w:pPr>
            <w:pStyle w:val="TOC3"/>
            <w:rPr>
              <w:rFonts w:asciiTheme="minorHAnsi" w:eastAsiaTheme="minorEastAsia" w:hAnsiTheme="minorHAnsi" w:cstheme="minorBidi"/>
              <w:noProof/>
              <w:sz w:val="22"/>
              <w:szCs w:val="22"/>
              <w:lang w:eastAsia="en-AU"/>
            </w:rPr>
          </w:pPr>
          <w:hyperlink w:anchor="_Toc525122130" w:history="1">
            <w:r w:rsidR="009D498A" w:rsidRPr="00C46616">
              <w:rPr>
                <w:rStyle w:val="Hyperlink"/>
                <w:noProof/>
              </w:rPr>
              <w:t>OSH and injury management performance</w:t>
            </w:r>
            <w:r w:rsidR="009D498A">
              <w:rPr>
                <w:noProof/>
                <w:webHidden/>
              </w:rPr>
              <w:tab/>
            </w:r>
            <w:r w:rsidR="009D498A">
              <w:rPr>
                <w:noProof/>
                <w:webHidden/>
              </w:rPr>
              <w:fldChar w:fldCharType="begin"/>
            </w:r>
            <w:r w:rsidR="009D498A">
              <w:rPr>
                <w:noProof/>
                <w:webHidden/>
              </w:rPr>
              <w:instrText xml:space="preserve"> PAGEREF _Toc525122130 \h </w:instrText>
            </w:r>
            <w:r w:rsidR="009D498A">
              <w:rPr>
                <w:noProof/>
                <w:webHidden/>
              </w:rPr>
            </w:r>
            <w:r w:rsidR="009D498A">
              <w:rPr>
                <w:noProof/>
                <w:webHidden/>
              </w:rPr>
              <w:fldChar w:fldCharType="separate"/>
            </w:r>
            <w:r w:rsidR="00C817BE">
              <w:rPr>
                <w:noProof/>
                <w:webHidden/>
              </w:rPr>
              <w:t>142</w:t>
            </w:r>
            <w:r w:rsidR="009D498A">
              <w:rPr>
                <w:noProof/>
                <w:webHidden/>
              </w:rPr>
              <w:fldChar w:fldCharType="end"/>
            </w:r>
          </w:hyperlink>
        </w:p>
        <w:p w14:paraId="5C2509A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1" w:history="1">
            <w:r w:rsidR="009D498A" w:rsidRPr="00C46616">
              <w:rPr>
                <w:rStyle w:val="Hyperlink"/>
                <w:noProof/>
              </w:rPr>
              <w:t>Government Building Training Policy</w:t>
            </w:r>
            <w:r w:rsidR="009D498A">
              <w:rPr>
                <w:noProof/>
                <w:webHidden/>
              </w:rPr>
              <w:tab/>
            </w:r>
            <w:r w:rsidR="009D498A">
              <w:rPr>
                <w:noProof/>
                <w:webHidden/>
              </w:rPr>
              <w:fldChar w:fldCharType="begin"/>
            </w:r>
            <w:r w:rsidR="009D498A">
              <w:rPr>
                <w:noProof/>
                <w:webHidden/>
              </w:rPr>
              <w:instrText xml:space="preserve"> PAGEREF _Toc525122131 \h </w:instrText>
            </w:r>
            <w:r w:rsidR="009D498A">
              <w:rPr>
                <w:noProof/>
                <w:webHidden/>
              </w:rPr>
            </w:r>
            <w:r w:rsidR="009D498A">
              <w:rPr>
                <w:noProof/>
                <w:webHidden/>
              </w:rPr>
              <w:fldChar w:fldCharType="separate"/>
            </w:r>
            <w:r w:rsidR="00C817BE">
              <w:rPr>
                <w:noProof/>
                <w:webHidden/>
              </w:rPr>
              <w:t>143</w:t>
            </w:r>
            <w:r w:rsidR="009D498A">
              <w:rPr>
                <w:noProof/>
                <w:webHidden/>
              </w:rPr>
              <w:fldChar w:fldCharType="end"/>
            </w:r>
          </w:hyperlink>
        </w:p>
        <w:p w14:paraId="13F08C03" w14:textId="77777777" w:rsidR="009D498A" w:rsidRDefault="0029111E">
          <w:pPr>
            <w:pStyle w:val="TOC1"/>
            <w:rPr>
              <w:rFonts w:asciiTheme="minorHAnsi" w:eastAsiaTheme="minorEastAsia" w:hAnsiTheme="minorHAnsi" w:cstheme="minorBidi"/>
              <w:sz w:val="22"/>
              <w:szCs w:val="22"/>
              <w:lang w:eastAsia="en-AU"/>
            </w:rPr>
          </w:pPr>
          <w:hyperlink w:anchor="_Toc525122132" w:history="1">
            <w:r w:rsidR="009D498A" w:rsidRPr="00C46616">
              <w:rPr>
                <w:rStyle w:val="Hyperlink"/>
              </w:rPr>
              <w:t>Key Performance Indicator information</w:t>
            </w:r>
            <w:r w:rsidR="009D498A">
              <w:rPr>
                <w:webHidden/>
              </w:rPr>
              <w:tab/>
            </w:r>
            <w:r w:rsidR="009D498A">
              <w:rPr>
                <w:webHidden/>
              </w:rPr>
              <w:fldChar w:fldCharType="begin"/>
            </w:r>
            <w:r w:rsidR="009D498A">
              <w:rPr>
                <w:webHidden/>
              </w:rPr>
              <w:instrText xml:space="preserve"> PAGEREF _Toc525122132 \h </w:instrText>
            </w:r>
            <w:r w:rsidR="009D498A">
              <w:rPr>
                <w:webHidden/>
              </w:rPr>
            </w:r>
            <w:r w:rsidR="009D498A">
              <w:rPr>
                <w:webHidden/>
              </w:rPr>
              <w:fldChar w:fldCharType="separate"/>
            </w:r>
            <w:r w:rsidR="00C817BE">
              <w:rPr>
                <w:webHidden/>
              </w:rPr>
              <w:t>144</w:t>
            </w:r>
            <w:r w:rsidR="009D498A">
              <w:rPr>
                <w:webHidden/>
              </w:rPr>
              <w:fldChar w:fldCharType="end"/>
            </w:r>
          </w:hyperlink>
        </w:p>
        <w:p w14:paraId="0E380CFC"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3" w:history="1">
            <w:r w:rsidR="009D498A" w:rsidRPr="00C46616">
              <w:rPr>
                <w:rStyle w:val="Hyperlink"/>
                <w:noProof/>
              </w:rPr>
              <w:t>Certification of KPIs</w:t>
            </w:r>
            <w:r w:rsidR="009D498A">
              <w:rPr>
                <w:noProof/>
                <w:webHidden/>
              </w:rPr>
              <w:tab/>
            </w:r>
            <w:r w:rsidR="009D498A">
              <w:rPr>
                <w:noProof/>
                <w:webHidden/>
              </w:rPr>
              <w:fldChar w:fldCharType="begin"/>
            </w:r>
            <w:r w:rsidR="009D498A">
              <w:rPr>
                <w:noProof/>
                <w:webHidden/>
              </w:rPr>
              <w:instrText xml:space="preserve"> PAGEREF _Toc525122133 \h </w:instrText>
            </w:r>
            <w:r w:rsidR="009D498A">
              <w:rPr>
                <w:noProof/>
                <w:webHidden/>
              </w:rPr>
            </w:r>
            <w:r w:rsidR="009D498A">
              <w:rPr>
                <w:noProof/>
                <w:webHidden/>
              </w:rPr>
              <w:fldChar w:fldCharType="separate"/>
            </w:r>
            <w:r w:rsidR="00C817BE">
              <w:rPr>
                <w:noProof/>
                <w:webHidden/>
              </w:rPr>
              <w:t>144</w:t>
            </w:r>
            <w:r w:rsidR="009D498A">
              <w:rPr>
                <w:noProof/>
                <w:webHidden/>
              </w:rPr>
              <w:fldChar w:fldCharType="end"/>
            </w:r>
          </w:hyperlink>
        </w:p>
        <w:p w14:paraId="1756D460" w14:textId="77777777" w:rsidR="009D498A" w:rsidRDefault="0029111E">
          <w:pPr>
            <w:pStyle w:val="TOC1"/>
            <w:rPr>
              <w:rFonts w:asciiTheme="minorHAnsi" w:eastAsiaTheme="minorEastAsia" w:hAnsiTheme="minorHAnsi" w:cstheme="minorBidi"/>
              <w:sz w:val="22"/>
              <w:szCs w:val="22"/>
              <w:lang w:eastAsia="en-AU"/>
            </w:rPr>
          </w:pPr>
          <w:hyperlink w:anchor="_Toc525122134" w:history="1">
            <w:r w:rsidR="009D498A" w:rsidRPr="00C46616">
              <w:rPr>
                <w:rStyle w:val="Hyperlink"/>
              </w:rPr>
              <w:t>Detailed information in support of Key Performance Indicators</w:t>
            </w:r>
            <w:r w:rsidR="009D498A">
              <w:rPr>
                <w:webHidden/>
              </w:rPr>
              <w:tab/>
            </w:r>
            <w:r w:rsidR="009D498A">
              <w:rPr>
                <w:webHidden/>
              </w:rPr>
              <w:fldChar w:fldCharType="begin"/>
            </w:r>
            <w:r w:rsidR="009D498A">
              <w:rPr>
                <w:webHidden/>
              </w:rPr>
              <w:instrText xml:space="preserve"> PAGEREF _Toc525122134 \h </w:instrText>
            </w:r>
            <w:r w:rsidR="009D498A">
              <w:rPr>
                <w:webHidden/>
              </w:rPr>
            </w:r>
            <w:r w:rsidR="009D498A">
              <w:rPr>
                <w:webHidden/>
              </w:rPr>
              <w:fldChar w:fldCharType="separate"/>
            </w:r>
            <w:r w:rsidR="00C817BE">
              <w:rPr>
                <w:webHidden/>
              </w:rPr>
              <w:t>145</w:t>
            </w:r>
            <w:r w:rsidR="009D498A">
              <w:rPr>
                <w:webHidden/>
              </w:rPr>
              <w:fldChar w:fldCharType="end"/>
            </w:r>
          </w:hyperlink>
        </w:p>
        <w:p w14:paraId="791E1C85"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5" w:history="1">
            <w:r w:rsidR="009D498A" w:rsidRPr="00C46616">
              <w:rPr>
                <w:rStyle w:val="Hyperlink"/>
                <w:noProof/>
              </w:rPr>
              <w:t>Changes to the Outcomes Based Management Structure (OBM)</w:t>
            </w:r>
            <w:r w:rsidR="009D498A">
              <w:rPr>
                <w:noProof/>
                <w:webHidden/>
              </w:rPr>
              <w:tab/>
            </w:r>
            <w:r w:rsidR="009D498A">
              <w:rPr>
                <w:noProof/>
                <w:webHidden/>
              </w:rPr>
              <w:fldChar w:fldCharType="begin"/>
            </w:r>
            <w:r w:rsidR="009D498A">
              <w:rPr>
                <w:noProof/>
                <w:webHidden/>
              </w:rPr>
              <w:instrText xml:space="preserve"> PAGEREF _Toc525122135 \h </w:instrText>
            </w:r>
            <w:r w:rsidR="009D498A">
              <w:rPr>
                <w:noProof/>
                <w:webHidden/>
              </w:rPr>
            </w:r>
            <w:r w:rsidR="009D498A">
              <w:rPr>
                <w:noProof/>
                <w:webHidden/>
              </w:rPr>
              <w:fldChar w:fldCharType="separate"/>
            </w:r>
            <w:r w:rsidR="00C817BE">
              <w:rPr>
                <w:noProof/>
                <w:webHidden/>
              </w:rPr>
              <w:t>147</w:t>
            </w:r>
            <w:r w:rsidR="009D498A">
              <w:rPr>
                <w:noProof/>
                <w:webHidden/>
              </w:rPr>
              <w:fldChar w:fldCharType="end"/>
            </w:r>
          </w:hyperlink>
        </w:p>
        <w:p w14:paraId="13391C9F"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6" w:history="1">
            <w:r w:rsidR="009D498A" w:rsidRPr="00C46616">
              <w:rPr>
                <w:rStyle w:val="Hyperlink"/>
                <w:noProof/>
              </w:rPr>
              <w:t>Independent audit opinion</w:t>
            </w:r>
            <w:r w:rsidR="009D498A">
              <w:rPr>
                <w:noProof/>
                <w:webHidden/>
              </w:rPr>
              <w:tab/>
            </w:r>
            <w:r w:rsidR="009D498A">
              <w:rPr>
                <w:noProof/>
                <w:webHidden/>
              </w:rPr>
              <w:fldChar w:fldCharType="begin"/>
            </w:r>
            <w:r w:rsidR="009D498A">
              <w:rPr>
                <w:noProof/>
                <w:webHidden/>
              </w:rPr>
              <w:instrText xml:space="preserve"> PAGEREF _Toc525122136 \h </w:instrText>
            </w:r>
            <w:r w:rsidR="009D498A">
              <w:rPr>
                <w:noProof/>
                <w:webHidden/>
              </w:rPr>
            </w:r>
            <w:r w:rsidR="009D498A">
              <w:rPr>
                <w:noProof/>
                <w:webHidden/>
              </w:rPr>
              <w:fldChar w:fldCharType="separate"/>
            </w:r>
            <w:r w:rsidR="00C817BE">
              <w:rPr>
                <w:noProof/>
                <w:webHidden/>
              </w:rPr>
              <w:t>147</w:t>
            </w:r>
            <w:r w:rsidR="009D498A">
              <w:rPr>
                <w:noProof/>
                <w:webHidden/>
              </w:rPr>
              <w:fldChar w:fldCharType="end"/>
            </w:r>
          </w:hyperlink>
        </w:p>
        <w:p w14:paraId="110BAE72" w14:textId="77777777" w:rsidR="009D498A" w:rsidRDefault="0029111E">
          <w:pPr>
            <w:pStyle w:val="TOC1"/>
            <w:rPr>
              <w:rFonts w:asciiTheme="minorHAnsi" w:eastAsiaTheme="minorEastAsia" w:hAnsiTheme="minorHAnsi" w:cstheme="minorBidi"/>
              <w:sz w:val="22"/>
              <w:szCs w:val="22"/>
              <w:lang w:eastAsia="en-AU"/>
            </w:rPr>
          </w:pPr>
          <w:hyperlink w:anchor="_Toc525122137" w:history="1">
            <w:r w:rsidR="009D498A" w:rsidRPr="00C46616">
              <w:rPr>
                <w:rStyle w:val="Hyperlink"/>
              </w:rPr>
              <w:t>Key Performance Indicators</w:t>
            </w:r>
            <w:r w:rsidR="009D498A">
              <w:rPr>
                <w:webHidden/>
              </w:rPr>
              <w:tab/>
            </w:r>
            <w:r w:rsidR="009D498A">
              <w:rPr>
                <w:webHidden/>
              </w:rPr>
              <w:fldChar w:fldCharType="begin"/>
            </w:r>
            <w:r w:rsidR="009D498A">
              <w:rPr>
                <w:webHidden/>
              </w:rPr>
              <w:instrText xml:space="preserve"> PAGEREF _Toc525122137 \h </w:instrText>
            </w:r>
            <w:r w:rsidR="009D498A">
              <w:rPr>
                <w:webHidden/>
              </w:rPr>
            </w:r>
            <w:r w:rsidR="009D498A">
              <w:rPr>
                <w:webHidden/>
              </w:rPr>
              <w:fldChar w:fldCharType="separate"/>
            </w:r>
            <w:r w:rsidR="00C817BE">
              <w:rPr>
                <w:webHidden/>
              </w:rPr>
              <w:t>148</w:t>
            </w:r>
            <w:r w:rsidR="009D498A">
              <w:rPr>
                <w:webHidden/>
              </w:rPr>
              <w:fldChar w:fldCharType="end"/>
            </w:r>
          </w:hyperlink>
        </w:p>
        <w:p w14:paraId="0830051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8" w:history="1">
            <w:r w:rsidR="009D498A" w:rsidRPr="00C46616">
              <w:rPr>
                <w:rStyle w:val="Hyperlink"/>
                <w:noProof/>
              </w:rPr>
              <w:t>Summary of Key Performance Indicators</w:t>
            </w:r>
            <w:r w:rsidR="009D498A">
              <w:rPr>
                <w:noProof/>
                <w:webHidden/>
              </w:rPr>
              <w:tab/>
            </w:r>
            <w:r w:rsidR="009D498A">
              <w:rPr>
                <w:noProof/>
                <w:webHidden/>
              </w:rPr>
              <w:fldChar w:fldCharType="begin"/>
            </w:r>
            <w:r w:rsidR="009D498A">
              <w:rPr>
                <w:noProof/>
                <w:webHidden/>
              </w:rPr>
              <w:instrText xml:space="preserve"> PAGEREF _Toc525122138 \h </w:instrText>
            </w:r>
            <w:r w:rsidR="009D498A">
              <w:rPr>
                <w:noProof/>
                <w:webHidden/>
              </w:rPr>
            </w:r>
            <w:r w:rsidR="009D498A">
              <w:rPr>
                <w:noProof/>
                <w:webHidden/>
              </w:rPr>
              <w:fldChar w:fldCharType="separate"/>
            </w:r>
            <w:r w:rsidR="00C817BE">
              <w:rPr>
                <w:noProof/>
                <w:webHidden/>
              </w:rPr>
              <w:t>149</w:t>
            </w:r>
            <w:r w:rsidR="009D498A">
              <w:rPr>
                <w:noProof/>
                <w:webHidden/>
              </w:rPr>
              <w:fldChar w:fldCharType="end"/>
            </w:r>
          </w:hyperlink>
        </w:p>
        <w:p w14:paraId="3540D7C4"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39" w:history="1">
            <w:r w:rsidR="009D498A" w:rsidRPr="00C46616">
              <w:rPr>
                <w:rStyle w:val="Hyperlink"/>
                <w:noProof/>
              </w:rPr>
              <w:t>Key Performance Indicators of Effectiveness</w:t>
            </w:r>
            <w:r w:rsidR="009D498A">
              <w:rPr>
                <w:noProof/>
                <w:webHidden/>
              </w:rPr>
              <w:tab/>
            </w:r>
            <w:r w:rsidR="009D498A">
              <w:rPr>
                <w:noProof/>
                <w:webHidden/>
              </w:rPr>
              <w:fldChar w:fldCharType="begin"/>
            </w:r>
            <w:r w:rsidR="009D498A">
              <w:rPr>
                <w:noProof/>
                <w:webHidden/>
              </w:rPr>
              <w:instrText xml:space="preserve"> PAGEREF _Toc525122139 \h </w:instrText>
            </w:r>
            <w:r w:rsidR="009D498A">
              <w:rPr>
                <w:noProof/>
                <w:webHidden/>
              </w:rPr>
            </w:r>
            <w:r w:rsidR="009D498A">
              <w:rPr>
                <w:noProof/>
                <w:webHidden/>
              </w:rPr>
              <w:fldChar w:fldCharType="separate"/>
            </w:r>
            <w:r w:rsidR="00C817BE">
              <w:rPr>
                <w:noProof/>
                <w:webHidden/>
              </w:rPr>
              <w:t>150</w:t>
            </w:r>
            <w:r w:rsidR="009D498A">
              <w:rPr>
                <w:noProof/>
                <w:webHidden/>
              </w:rPr>
              <w:fldChar w:fldCharType="end"/>
            </w:r>
          </w:hyperlink>
        </w:p>
        <w:p w14:paraId="13A256D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0" w:history="1">
            <w:r w:rsidR="009D498A" w:rsidRPr="00C46616">
              <w:rPr>
                <w:rStyle w:val="Hyperlink"/>
                <w:noProof/>
              </w:rPr>
              <w:t>Allocation of Agency costs</w:t>
            </w:r>
            <w:r w:rsidR="009D498A">
              <w:rPr>
                <w:noProof/>
                <w:webHidden/>
              </w:rPr>
              <w:tab/>
            </w:r>
            <w:r w:rsidR="009D498A">
              <w:rPr>
                <w:noProof/>
                <w:webHidden/>
              </w:rPr>
              <w:fldChar w:fldCharType="begin"/>
            </w:r>
            <w:r w:rsidR="009D498A">
              <w:rPr>
                <w:noProof/>
                <w:webHidden/>
              </w:rPr>
              <w:instrText xml:space="preserve"> PAGEREF _Toc525122140 \h </w:instrText>
            </w:r>
            <w:r w:rsidR="009D498A">
              <w:rPr>
                <w:noProof/>
                <w:webHidden/>
              </w:rPr>
            </w:r>
            <w:r w:rsidR="009D498A">
              <w:rPr>
                <w:noProof/>
                <w:webHidden/>
              </w:rPr>
              <w:fldChar w:fldCharType="separate"/>
            </w:r>
            <w:r w:rsidR="00C817BE">
              <w:rPr>
                <w:noProof/>
                <w:webHidden/>
              </w:rPr>
              <w:t>155</w:t>
            </w:r>
            <w:r w:rsidR="009D498A">
              <w:rPr>
                <w:noProof/>
                <w:webHidden/>
              </w:rPr>
              <w:fldChar w:fldCharType="end"/>
            </w:r>
          </w:hyperlink>
        </w:p>
        <w:p w14:paraId="55E956E2" w14:textId="77777777" w:rsidR="009D498A" w:rsidRDefault="0029111E">
          <w:pPr>
            <w:pStyle w:val="TOC1"/>
            <w:rPr>
              <w:rFonts w:asciiTheme="minorHAnsi" w:eastAsiaTheme="minorEastAsia" w:hAnsiTheme="minorHAnsi" w:cstheme="minorBidi"/>
              <w:sz w:val="22"/>
              <w:szCs w:val="22"/>
              <w:lang w:eastAsia="en-AU"/>
            </w:rPr>
          </w:pPr>
          <w:hyperlink w:anchor="_Toc525122141" w:history="1">
            <w:r w:rsidR="009D498A" w:rsidRPr="00C46616">
              <w:rPr>
                <w:rStyle w:val="Hyperlink"/>
                <w:rFonts w:cs="Arial"/>
              </w:rPr>
              <w:t>Indicator 1.3</w:t>
            </w:r>
            <w:r w:rsidR="009D498A">
              <w:rPr>
                <w:webHidden/>
              </w:rPr>
              <w:tab/>
            </w:r>
            <w:r w:rsidR="009D498A">
              <w:rPr>
                <w:webHidden/>
              </w:rPr>
              <w:fldChar w:fldCharType="begin"/>
            </w:r>
            <w:r w:rsidR="009D498A">
              <w:rPr>
                <w:webHidden/>
              </w:rPr>
              <w:instrText xml:space="preserve"> PAGEREF _Toc525122141 \h </w:instrText>
            </w:r>
            <w:r w:rsidR="009D498A">
              <w:rPr>
                <w:webHidden/>
              </w:rPr>
            </w:r>
            <w:r w:rsidR="009D498A">
              <w:rPr>
                <w:webHidden/>
              </w:rPr>
              <w:fldChar w:fldCharType="separate"/>
            </w:r>
            <w:r w:rsidR="00C817BE">
              <w:rPr>
                <w:webHidden/>
              </w:rPr>
              <w:t>159</w:t>
            </w:r>
            <w:r w:rsidR="009D498A">
              <w:rPr>
                <w:webHidden/>
              </w:rPr>
              <w:fldChar w:fldCharType="end"/>
            </w:r>
          </w:hyperlink>
        </w:p>
        <w:p w14:paraId="73B6F676" w14:textId="77777777" w:rsidR="009D498A" w:rsidRDefault="0029111E">
          <w:pPr>
            <w:pStyle w:val="TOC1"/>
            <w:rPr>
              <w:rFonts w:asciiTheme="minorHAnsi" w:eastAsiaTheme="minorEastAsia" w:hAnsiTheme="minorHAnsi" w:cstheme="minorBidi"/>
              <w:sz w:val="22"/>
              <w:szCs w:val="22"/>
              <w:lang w:eastAsia="en-AU"/>
            </w:rPr>
          </w:pPr>
          <w:hyperlink w:anchor="_Toc525122142" w:history="1">
            <w:r w:rsidR="009D498A" w:rsidRPr="00C46616">
              <w:rPr>
                <w:rStyle w:val="Hyperlink"/>
                <w:rFonts w:cs="Arial"/>
              </w:rPr>
              <w:t>Indicator 1.3</w:t>
            </w:r>
            <w:r w:rsidR="009D498A">
              <w:rPr>
                <w:webHidden/>
              </w:rPr>
              <w:tab/>
            </w:r>
            <w:r w:rsidR="009D498A">
              <w:rPr>
                <w:webHidden/>
              </w:rPr>
              <w:fldChar w:fldCharType="begin"/>
            </w:r>
            <w:r w:rsidR="009D498A">
              <w:rPr>
                <w:webHidden/>
              </w:rPr>
              <w:instrText xml:space="preserve"> PAGEREF _Toc525122142 \h </w:instrText>
            </w:r>
            <w:r w:rsidR="009D498A">
              <w:rPr>
                <w:webHidden/>
              </w:rPr>
            </w:r>
            <w:r w:rsidR="009D498A">
              <w:rPr>
                <w:webHidden/>
              </w:rPr>
              <w:fldChar w:fldCharType="separate"/>
            </w:r>
            <w:r w:rsidR="00C817BE">
              <w:rPr>
                <w:webHidden/>
              </w:rPr>
              <w:t>161</w:t>
            </w:r>
            <w:r w:rsidR="009D498A">
              <w:rPr>
                <w:webHidden/>
              </w:rPr>
              <w:fldChar w:fldCharType="end"/>
            </w:r>
          </w:hyperlink>
        </w:p>
        <w:p w14:paraId="4D1A0F51"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3" w:history="1">
            <w:r w:rsidR="009D498A" w:rsidRPr="00C52F03">
              <w:rPr>
                <w:rStyle w:val="Hyperlink"/>
                <w:noProof/>
              </w:rPr>
              <w:t>Actual</w:t>
            </w:r>
            <w:r w:rsidR="009D498A">
              <w:rPr>
                <w:noProof/>
                <w:webHidden/>
              </w:rPr>
              <w:tab/>
            </w:r>
            <w:r w:rsidR="009D498A">
              <w:rPr>
                <w:noProof/>
                <w:webHidden/>
              </w:rPr>
              <w:fldChar w:fldCharType="begin"/>
            </w:r>
            <w:r w:rsidR="009D498A">
              <w:rPr>
                <w:noProof/>
                <w:webHidden/>
              </w:rPr>
              <w:instrText xml:space="preserve"> PAGEREF _Toc525122143 \h </w:instrText>
            </w:r>
            <w:r w:rsidR="009D498A">
              <w:rPr>
                <w:noProof/>
                <w:webHidden/>
              </w:rPr>
            </w:r>
            <w:r w:rsidR="009D498A">
              <w:rPr>
                <w:noProof/>
                <w:webHidden/>
              </w:rPr>
              <w:fldChar w:fldCharType="separate"/>
            </w:r>
            <w:r w:rsidR="00C817BE">
              <w:rPr>
                <w:noProof/>
                <w:webHidden/>
              </w:rPr>
              <w:t>163</w:t>
            </w:r>
            <w:r w:rsidR="009D498A">
              <w:rPr>
                <w:noProof/>
                <w:webHidden/>
              </w:rPr>
              <w:fldChar w:fldCharType="end"/>
            </w:r>
          </w:hyperlink>
        </w:p>
        <w:p w14:paraId="7BCA7967" w14:textId="77777777" w:rsidR="009D498A" w:rsidRDefault="0029111E">
          <w:pPr>
            <w:pStyle w:val="TOC1"/>
            <w:rPr>
              <w:rFonts w:asciiTheme="minorHAnsi" w:eastAsiaTheme="minorEastAsia" w:hAnsiTheme="minorHAnsi" w:cstheme="minorBidi"/>
              <w:sz w:val="22"/>
              <w:szCs w:val="22"/>
              <w:lang w:eastAsia="en-AU"/>
            </w:rPr>
          </w:pPr>
          <w:hyperlink w:anchor="_Toc525122144" w:history="1">
            <w:r w:rsidR="009D498A" w:rsidRPr="00C46616">
              <w:rPr>
                <w:rStyle w:val="Hyperlink"/>
              </w:rPr>
              <w:t>Financial statements</w:t>
            </w:r>
            <w:r w:rsidR="009D498A">
              <w:rPr>
                <w:webHidden/>
              </w:rPr>
              <w:tab/>
            </w:r>
            <w:r w:rsidR="009D498A">
              <w:rPr>
                <w:webHidden/>
              </w:rPr>
              <w:fldChar w:fldCharType="begin"/>
            </w:r>
            <w:r w:rsidR="009D498A">
              <w:rPr>
                <w:webHidden/>
              </w:rPr>
              <w:instrText xml:space="preserve"> PAGEREF _Toc525122144 \h </w:instrText>
            </w:r>
            <w:r w:rsidR="009D498A">
              <w:rPr>
                <w:webHidden/>
              </w:rPr>
            </w:r>
            <w:r w:rsidR="009D498A">
              <w:rPr>
                <w:webHidden/>
              </w:rPr>
              <w:fldChar w:fldCharType="separate"/>
            </w:r>
            <w:r w:rsidR="00C817BE">
              <w:rPr>
                <w:webHidden/>
              </w:rPr>
              <w:t>165</w:t>
            </w:r>
            <w:r w:rsidR="009D498A">
              <w:rPr>
                <w:webHidden/>
              </w:rPr>
              <w:fldChar w:fldCharType="end"/>
            </w:r>
          </w:hyperlink>
        </w:p>
        <w:p w14:paraId="21A06299"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5" w:history="1">
            <w:r w:rsidR="009D498A" w:rsidRPr="00C46616">
              <w:rPr>
                <w:rStyle w:val="Hyperlink"/>
                <w:noProof/>
              </w:rPr>
              <w:t>Certification of financial statements</w:t>
            </w:r>
            <w:r w:rsidR="009D498A">
              <w:rPr>
                <w:noProof/>
                <w:webHidden/>
              </w:rPr>
              <w:tab/>
            </w:r>
            <w:r w:rsidR="009D498A">
              <w:rPr>
                <w:noProof/>
                <w:webHidden/>
              </w:rPr>
              <w:fldChar w:fldCharType="begin"/>
            </w:r>
            <w:r w:rsidR="009D498A">
              <w:rPr>
                <w:noProof/>
                <w:webHidden/>
              </w:rPr>
              <w:instrText xml:space="preserve"> PAGEREF _Toc525122145 \h </w:instrText>
            </w:r>
            <w:r w:rsidR="009D498A">
              <w:rPr>
                <w:noProof/>
                <w:webHidden/>
              </w:rPr>
            </w:r>
            <w:r w:rsidR="009D498A">
              <w:rPr>
                <w:noProof/>
                <w:webHidden/>
              </w:rPr>
              <w:fldChar w:fldCharType="separate"/>
            </w:r>
            <w:r w:rsidR="00C817BE">
              <w:rPr>
                <w:noProof/>
                <w:webHidden/>
              </w:rPr>
              <w:t>165</w:t>
            </w:r>
            <w:r w:rsidR="009D498A">
              <w:rPr>
                <w:noProof/>
                <w:webHidden/>
              </w:rPr>
              <w:fldChar w:fldCharType="end"/>
            </w:r>
          </w:hyperlink>
        </w:p>
        <w:p w14:paraId="20F35CED"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6" w:history="1">
            <w:r w:rsidR="009D498A" w:rsidRPr="00C46616">
              <w:rPr>
                <w:rStyle w:val="Hyperlink"/>
                <w:noProof/>
              </w:rPr>
              <w:t>Statement of Comprehensive Income</w:t>
            </w:r>
            <w:r w:rsidR="009D498A">
              <w:rPr>
                <w:noProof/>
                <w:webHidden/>
              </w:rPr>
              <w:tab/>
            </w:r>
            <w:r w:rsidR="009D498A">
              <w:rPr>
                <w:noProof/>
                <w:webHidden/>
              </w:rPr>
              <w:fldChar w:fldCharType="begin"/>
            </w:r>
            <w:r w:rsidR="009D498A">
              <w:rPr>
                <w:noProof/>
                <w:webHidden/>
              </w:rPr>
              <w:instrText xml:space="preserve"> PAGEREF _Toc525122146 \h </w:instrText>
            </w:r>
            <w:r w:rsidR="009D498A">
              <w:rPr>
                <w:noProof/>
                <w:webHidden/>
              </w:rPr>
            </w:r>
            <w:r w:rsidR="009D498A">
              <w:rPr>
                <w:noProof/>
                <w:webHidden/>
              </w:rPr>
              <w:fldChar w:fldCharType="separate"/>
            </w:r>
            <w:r w:rsidR="00C817BE">
              <w:rPr>
                <w:noProof/>
                <w:webHidden/>
              </w:rPr>
              <w:t>172</w:t>
            </w:r>
            <w:r w:rsidR="009D498A">
              <w:rPr>
                <w:noProof/>
                <w:webHidden/>
              </w:rPr>
              <w:fldChar w:fldCharType="end"/>
            </w:r>
          </w:hyperlink>
        </w:p>
        <w:p w14:paraId="3340C5A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7" w:history="1">
            <w:r w:rsidR="009D498A" w:rsidRPr="00C46616">
              <w:rPr>
                <w:rStyle w:val="Hyperlink"/>
                <w:noProof/>
              </w:rPr>
              <w:t>Statement of Financial Position</w:t>
            </w:r>
            <w:r w:rsidR="009D498A">
              <w:rPr>
                <w:noProof/>
                <w:webHidden/>
              </w:rPr>
              <w:tab/>
            </w:r>
            <w:r w:rsidR="009D498A">
              <w:rPr>
                <w:noProof/>
                <w:webHidden/>
              </w:rPr>
              <w:fldChar w:fldCharType="begin"/>
            </w:r>
            <w:r w:rsidR="009D498A">
              <w:rPr>
                <w:noProof/>
                <w:webHidden/>
              </w:rPr>
              <w:instrText xml:space="preserve"> PAGEREF _Toc525122147 \h </w:instrText>
            </w:r>
            <w:r w:rsidR="009D498A">
              <w:rPr>
                <w:noProof/>
                <w:webHidden/>
              </w:rPr>
            </w:r>
            <w:r w:rsidR="009D498A">
              <w:rPr>
                <w:noProof/>
                <w:webHidden/>
              </w:rPr>
              <w:fldChar w:fldCharType="separate"/>
            </w:r>
            <w:r w:rsidR="00C817BE">
              <w:rPr>
                <w:noProof/>
                <w:webHidden/>
              </w:rPr>
              <w:t>174</w:t>
            </w:r>
            <w:r w:rsidR="009D498A">
              <w:rPr>
                <w:noProof/>
                <w:webHidden/>
              </w:rPr>
              <w:fldChar w:fldCharType="end"/>
            </w:r>
          </w:hyperlink>
        </w:p>
        <w:p w14:paraId="56EBF53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8" w:history="1">
            <w:r w:rsidR="009D498A" w:rsidRPr="00C46616">
              <w:rPr>
                <w:rStyle w:val="Hyperlink"/>
                <w:noProof/>
              </w:rPr>
              <w:t>Statement of Changes in Equity</w:t>
            </w:r>
            <w:r w:rsidR="009D498A">
              <w:rPr>
                <w:noProof/>
                <w:webHidden/>
              </w:rPr>
              <w:tab/>
            </w:r>
            <w:r w:rsidR="009D498A">
              <w:rPr>
                <w:noProof/>
                <w:webHidden/>
              </w:rPr>
              <w:fldChar w:fldCharType="begin"/>
            </w:r>
            <w:r w:rsidR="009D498A">
              <w:rPr>
                <w:noProof/>
                <w:webHidden/>
              </w:rPr>
              <w:instrText xml:space="preserve"> PAGEREF _Toc525122148 \h </w:instrText>
            </w:r>
            <w:r w:rsidR="009D498A">
              <w:rPr>
                <w:noProof/>
                <w:webHidden/>
              </w:rPr>
            </w:r>
            <w:r w:rsidR="009D498A">
              <w:rPr>
                <w:noProof/>
                <w:webHidden/>
              </w:rPr>
              <w:fldChar w:fldCharType="separate"/>
            </w:r>
            <w:r w:rsidR="00C817BE">
              <w:rPr>
                <w:noProof/>
                <w:webHidden/>
              </w:rPr>
              <w:t>176</w:t>
            </w:r>
            <w:r w:rsidR="009D498A">
              <w:rPr>
                <w:noProof/>
                <w:webHidden/>
              </w:rPr>
              <w:fldChar w:fldCharType="end"/>
            </w:r>
          </w:hyperlink>
        </w:p>
        <w:p w14:paraId="352BB68B" w14:textId="77777777" w:rsidR="009D498A" w:rsidRDefault="0029111E">
          <w:pPr>
            <w:pStyle w:val="TOC2"/>
            <w:tabs>
              <w:tab w:val="right" w:leader="dot" w:pos="9016"/>
            </w:tabs>
            <w:rPr>
              <w:rFonts w:asciiTheme="minorHAnsi" w:eastAsiaTheme="minorEastAsia" w:hAnsiTheme="minorHAnsi" w:cstheme="minorBidi"/>
              <w:noProof/>
              <w:sz w:val="22"/>
              <w:szCs w:val="22"/>
              <w:lang w:eastAsia="en-AU"/>
            </w:rPr>
          </w:pPr>
          <w:hyperlink w:anchor="_Toc525122149" w:history="1">
            <w:r w:rsidR="009D498A" w:rsidRPr="00C46616">
              <w:rPr>
                <w:rStyle w:val="Hyperlink"/>
                <w:noProof/>
                <w:lang w:val="en-US" w:eastAsia="en-AU"/>
              </w:rPr>
              <w:t>Statement of Cash Flows</w:t>
            </w:r>
            <w:r w:rsidR="009D498A">
              <w:rPr>
                <w:noProof/>
                <w:webHidden/>
              </w:rPr>
              <w:tab/>
            </w:r>
            <w:r w:rsidR="009D498A">
              <w:rPr>
                <w:noProof/>
                <w:webHidden/>
              </w:rPr>
              <w:fldChar w:fldCharType="begin"/>
            </w:r>
            <w:r w:rsidR="009D498A">
              <w:rPr>
                <w:noProof/>
                <w:webHidden/>
              </w:rPr>
              <w:instrText xml:space="preserve"> PAGEREF _Toc525122149 \h </w:instrText>
            </w:r>
            <w:r w:rsidR="009D498A">
              <w:rPr>
                <w:noProof/>
                <w:webHidden/>
              </w:rPr>
            </w:r>
            <w:r w:rsidR="009D498A">
              <w:rPr>
                <w:noProof/>
                <w:webHidden/>
              </w:rPr>
              <w:fldChar w:fldCharType="separate"/>
            </w:r>
            <w:r w:rsidR="00C817BE">
              <w:rPr>
                <w:noProof/>
                <w:webHidden/>
              </w:rPr>
              <w:t>177</w:t>
            </w:r>
            <w:r w:rsidR="009D498A">
              <w:rPr>
                <w:noProof/>
                <w:webHidden/>
              </w:rPr>
              <w:fldChar w:fldCharType="end"/>
            </w:r>
          </w:hyperlink>
        </w:p>
        <w:p w14:paraId="6906D1BA" w14:textId="77777777" w:rsidR="009D498A" w:rsidRDefault="0029111E">
          <w:pPr>
            <w:pStyle w:val="TOC1"/>
            <w:rPr>
              <w:rFonts w:asciiTheme="minorHAnsi" w:eastAsiaTheme="minorEastAsia" w:hAnsiTheme="minorHAnsi" w:cstheme="minorBidi"/>
              <w:sz w:val="22"/>
              <w:szCs w:val="22"/>
              <w:lang w:eastAsia="en-AU"/>
            </w:rPr>
          </w:pPr>
          <w:hyperlink w:anchor="_Toc525122150" w:history="1">
            <w:r w:rsidR="009D498A" w:rsidRPr="00C46616">
              <w:rPr>
                <w:rStyle w:val="Hyperlink"/>
              </w:rPr>
              <w:t>Notes to the Financial Statements</w:t>
            </w:r>
            <w:r w:rsidR="009D498A">
              <w:rPr>
                <w:webHidden/>
              </w:rPr>
              <w:tab/>
            </w:r>
            <w:r w:rsidR="009D498A">
              <w:rPr>
                <w:webHidden/>
              </w:rPr>
              <w:fldChar w:fldCharType="begin"/>
            </w:r>
            <w:r w:rsidR="009D498A">
              <w:rPr>
                <w:webHidden/>
              </w:rPr>
              <w:instrText xml:space="preserve"> PAGEREF _Toc525122150 \h </w:instrText>
            </w:r>
            <w:r w:rsidR="009D498A">
              <w:rPr>
                <w:webHidden/>
              </w:rPr>
            </w:r>
            <w:r w:rsidR="009D498A">
              <w:rPr>
                <w:webHidden/>
              </w:rPr>
              <w:fldChar w:fldCharType="separate"/>
            </w:r>
            <w:r w:rsidR="00C817BE">
              <w:rPr>
                <w:webHidden/>
              </w:rPr>
              <w:t>179</w:t>
            </w:r>
            <w:r w:rsidR="009D498A">
              <w:rPr>
                <w:webHidden/>
              </w:rPr>
              <w:fldChar w:fldCharType="end"/>
            </w:r>
          </w:hyperlink>
        </w:p>
        <w:p w14:paraId="45A8C79A"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51" w:history="1">
            <w:r w:rsidR="009D498A" w:rsidRPr="00C46616">
              <w:rPr>
                <w:rStyle w:val="Hyperlink"/>
                <w:noProof/>
              </w:rPr>
              <w:t>1.</w:t>
            </w:r>
            <w:r w:rsidR="009D498A">
              <w:rPr>
                <w:rFonts w:asciiTheme="minorHAnsi" w:eastAsiaTheme="minorEastAsia" w:hAnsiTheme="minorHAnsi" w:cstheme="minorBidi"/>
                <w:noProof/>
                <w:sz w:val="22"/>
                <w:szCs w:val="22"/>
                <w:lang w:eastAsia="en-AU"/>
              </w:rPr>
              <w:tab/>
            </w:r>
            <w:r w:rsidR="009D498A" w:rsidRPr="00C46616">
              <w:rPr>
                <w:rStyle w:val="Hyperlink"/>
                <w:noProof/>
              </w:rPr>
              <w:t>Basis of preparation</w:t>
            </w:r>
            <w:r w:rsidR="009D498A">
              <w:rPr>
                <w:noProof/>
                <w:webHidden/>
              </w:rPr>
              <w:tab/>
            </w:r>
            <w:r w:rsidR="009D498A">
              <w:rPr>
                <w:noProof/>
                <w:webHidden/>
              </w:rPr>
              <w:fldChar w:fldCharType="begin"/>
            </w:r>
            <w:r w:rsidR="009D498A">
              <w:rPr>
                <w:noProof/>
                <w:webHidden/>
              </w:rPr>
              <w:instrText xml:space="preserve"> PAGEREF _Toc525122151 \h </w:instrText>
            </w:r>
            <w:r w:rsidR="009D498A">
              <w:rPr>
                <w:noProof/>
                <w:webHidden/>
              </w:rPr>
            </w:r>
            <w:r w:rsidR="009D498A">
              <w:rPr>
                <w:noProof/>
                <w:webHidden/>
              </w:rPr>
              <w:fldChar w:fldCharType="separate"/>
            </w:r>
            <w:r w:rsidR="00C817BE">
              <w:rPr>
                <w:noProof/>
                <w:webHidden/>
              </w:rPr>
              <w:t>179</w:t>
            </w:r>
            <w:r w:rsidR="009D498A">
              <w:rPr>
                <w:noProof/>
                <w:webHidden/>
              </w:rPr>
              <w:fldChar w:fldCharType="end"/>
            </w:r>
          </w:hyperlink>
        </w:p>
        <w:p w14:paraId="76FE4286" w14:textId="77777777" w:rsidR="009D498A" w:rsidRDefault="0029111E">
          <w:pPr>
            <w:pStyle w:val="TOC3"/>
            <w:rPr>
              <w:rFonts w:asciiTheme="minorHAnsi" w:eastAsiaTheme="minorEastAsia" w:hAnsiTheme="minorHAnsi" w:cstheme="minorBidi"/>
              <w:noProof/>
              <w:sz w:val="22"/>
              <w:szCs w:val="22"/>
              <w:lang w:eastAsia="en-AU"/>
            </w:rPr>
          </w:pPr>
          <w:hyperlink w:anchor="_Toc525122152" w:history="1">
            <w:r w:rsidR="009D498A" w:rsidRPr="00C46616">
              <w:rPr>
                <w:rStyle w:val="Hyperlink"/>
                <w:noProof/>
              </w:rPr>
              <w:t>Statement of compliance</w:t>
            </w:r>
            <w:r w:rsidR="009D498A">
              <w:rPr>
                <w:noProof/>
                <w:webHidden/>
              </w:rPr>
              <w:tab/>
            </w:r>
            <w:r w:rsidR="009D498A">
              <w:rPr>
                <w:noProof/>
                <w:webHidden/>
              </w:rPr>
              <w:fldChar w:fldCharType="begin"/>
            </w:r>
            <w:r w:rsidR="009D498A">
              <w:rPr>
                <w:noProof/>
                <w:webHidden/>
              </w:rPr>
              <w:instrText xml:space="preserve"> PAGEREF _Toc525122152 \h </w:instrText>
            </w:r>
            <w:r w:rsidR="009D498A">
              <w:rPr>
                <w:noProof/>
                <w:webHidden/>
              </w:rPr>
            </w:r>
            <w:r w:rsidR="009D498A">
              <w:rPr>
                <w:noProof/>
                <w:webHidden/>
              </w:rPr>
              <w:fldChar w:fldCharType="separate"/>
            </w:r>
            <w:r w:rsidR="00C817BE">
              <w:rPr>
                <w:noProof/>
                <w:webHidden/>
              </w:rPr>
              <w:t>179</w:t>
            </w:r>
            <w:r w:rsidR="009D498A">
              <w:rPr>
                <w:noProof/>
                <w:webHidden/>
              </w:rPr>
              <w:fldChar w:fldCharType="end"/>
            </w:r>
          </w:hyperlink>
        </w:p>
        <w:p w14:paraId="134AF7E2" w14:textId="77777777" w:rsidR="009D498A" w:rsidRDefault="0029111E">
          <w:pPr>
            <w:pStyle w:val="TOC3"/>
            <w:rPr>
              <w:rFonts w:asciiTheme="minorHAnsi" w:eastAsiaTheme="minorEastAsia" w:hAnsiTheme="minorHAnsi" w:cstheme="minorBidi"/>
              <w:noProof/>
              <w:sz w:val="22"/>
              <w:szCs w:val="22"/>
              <w:lang w:eastAsia="en-AU"/>
            </w:rPr>
          </w:pPr>
          <w:hyperlink w:anchor="_Toc525122153" w:history="1">
            <w:r w:rsidR="009D498A" w:rsidRPr="00C46616">
              <w:rPr>
                <w:rStyle w:val="Hyperlink"/>
                <w:noProof/>
              </w:rPr>
              <w:t>Basis of preparation</w:t>
            </w:r>
            <w:r w:rsidR="009D498A">
              <w:rPr>
                <w:noProof/>
                <w:webHidden/>
              </w:rPr>
              <w:tab/>
            </w:r>
            <w:r w:rsidR="009D498A">
              <w:rPr>
                <w:noProof/>
                <w:webHidden/>
              </w:rPr>
              <w:fldChar w:fldCharType="begin"/>
            </w:r>
            <w:r w:rsidR="009D498A">
              <w:rPr>
                <w:noProof/>
                <w:webHidden/>
              </w:rPr>
              <w:instrText xml:space="preserve"> PAGEREF _Toc525122153 \h </w:instrText>
            </w:r>
            <w:r w:rsidR="009D498A">
              <w:rPr>
                <w:noProof/>
                <w:webHidden/>
              </w:rPr>
            </w:r>
            <w:r w:rsidR="009D498A">
              <w:rPr>
                <w:noProof/>
                <w:webHidden/>
              </w:rPr>
              <w:fldChar w:fldCharType="separate"/>
            </w:r>
            <w:r w:rsidR="00C817BE">
              <w:rPr>
                <w:noProof/>
                <w:webHidden/>
              </w:rPr>
              <w:t>180</w:t>
            </w:r>
            <w:r w:rsidR="009D498A">
              <w:rPr>
                <w:noProof/>
                <w:webHidden/>
              </w:rPr>
              <w:fldChar w:fldCharType="end"/>
            </w:r>
          </w:hyperlink>
        </w:p>
        <w:p w14:paraId="3E144D7A" w14:textId="77777777" w:rsidR="009D498A" w:rsidRDefault="0029111E">
          <w:pPr>
            <w:pStyle w:val="TOC3"/>
            <w:rPr>
              <w:rFonts w:asciiTheme="minorHAnsi" w:eastAsiaTheme="minorEastAsia" w:hAnsiTheme="minorHAnsi" w:cstheme="minorBidi"/>
              <w:noProof/>
              <w:sz w:val="22"/>
              <w:szCs w:val="22"/>
              <w:lang w:eastAsia="en-AU"/>
            </w:rPr>
          </w:pPr>
          <w:hyperlink w:anchor="_Toc525122154" w:history="1">
            <w:r w:rsidR="009D498A" w:rsidRPr="00C46616">
              <w:rPr>
                <w:rStyle w:val="Hyperlink"/>
                <w:noProof/>
              </w:rPr>
              <w:t>Judgements and estimates</w:t>
            </w:r>
            <w:r w:rsidR="009D498A">
              <w:rPr>
                <w:noProof/>
                <w:webHidden/>
              </w:rPr>
              <w:tab/>
            </w:r>
            <w:r w:rsidR="009D498A">
              <w:rPr>
                <w:noProof/>
                <w:webHidden/>
              </w:rPr>
              <w:fldChar w:fldCharType="begin"/>
            </w:r>
            <w:r w:rsidR="009D498A">
              <w:rPr>
                <w:noProof/>
                <w:webHidden/>
              </w:rPr>
              <w:instrText xml:space="preserve"> PAGEREF _Toc525122154 \h </w:instrText>
            </w:r>
            <w:r w:rsidR="009D498A">
              <w:rPr>
                <w:noProof/>
                <w:webHidden/>
              </w:rPr>
            </w:r>
            <w:r w:rsidR="009D498A">
              <w:rPr>
                <w:noProof/>
                <w:webHidden/>
              </w:rPr>
              <w:fldChar w:fldCharType="separate"/>
            </w:r>
            <w:r w:rsidR="00C817BE">
              <w:rPr>
                <w:noProof/>
                <w:webHidden/>
              </w:rPr>
              <w:t>180</w:t>
            </w:r>
            <w:r w:rsidR="009D498A">
              <w:rPr>
                <w:noProof/>
                <w:webHidden/>
              </w:rPr>
              <w:fldChar w:fldCharType="end"/>
            </w:r>
          </w:hyperlink>
        </w:p>
        <w:p w14:paraId="2BED19E3"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55" w:history="1">
            <w:r w:rsidR="009D498A" w:rsidRPr="00C46616">
              <w:rPr>
                <w:rStyle w:val="Hyperlink"/>
                <w:noProof/>
              </w:rPr>
              <w:t>2.</w:t>
            </w:r>
            <w:r w:rsidR="009D498A">
              <w:rPr>
                <w:rFonts w:asciiTheme="minorHAnsi" w:eastAsiaTheme="minorEastAsia" w:hAnsiTheme="minorHAnsi" w:cstheme="minorBidi"/>
                <w:noProof/>
                <w:sz w:val="22"/>
                <w:szCs w:val="22"/>
                <w:lang w:eastAsia="en-AU"/>
              </w:rPr>
              <w:tab/>
            </w:r>
            <w:r w:rsidR="009D498A" w:rsidRPr="00C46616">
              <w:rPr>
                <w:rStyle w:val="Hyperlink"/>
                <w:noProof/>
              </w:rPr>
              <w:t>Authority outputs</w:t>
            </w:r>
            <w:r w:rsidR="009D498A">
              <w:rPr>
                <w:noProof/>
                <w:webHidden/>
              </w:rPr>
              <w:tab/>
            </w:r>
            <w:r w:rsidR="009D498A">
              <w:rPr>
                <w:noProof/>
                <w:webHidden/>
              </w:rPr>
              <w:fldChar w:fldCharType="begin"/>
            </w:r>
            <w:r w:rsidR="009D498A">
              <w:rPr>
                <w:noProof/>
                <w:webHidden/>
              </w:rPr>
              <w:instrText xml:space="preserve"> PAGEREF _Toc525122155 \h </w:instrText>
            </w:r>
            <w:r w:rsidR="009D498A">
              <w:rPr>
                <w:noProof/>
                <w:webHidden/>
              </w:rPr>
            </w:r>
            <w:r w:rsidR="009D498A">
              <w:rPr>
                <w:noProof/>
                <w:webHidden/>
              </w:rPr>
              <w:fldChar w:fldCharType="separate"/>
            </w:r>
            <w:r w:rsidR="00C817BE">
              <w:rPr>
                <w:noProof/>
                <w:webHidden/>
              </w:rPr>
              <w:t>180</w:t>
            </w:r>
            <w:r w:rsidR="009D498A">
              <w:rPr>
                <w:noProof/>
                <w:webHidden/>
              </w:rPr>
              <w:fldChar w:fldCharType="end"/>
            </w:r>
          </w:hyperlink>
        </w:p>
        <w:p w14:paraId="4206E7C4" w14:textId="77777777" w:rsidR="009D498A" w:rsidRDefault="0029111E">
          <w:pPr>
            <w:pStyle w:val="TOC3"/>
            <w:rPr>
              <w:rFonts w:asciiTheme="minorHAnsi" w:eastAsiaTheme="minorEastAsia" w:hAnsiTheme="minorHAnsi" w:cstheme="minorBidi"/>
              <w:noProof/>
              <w:sz w:val="22"/>
              <w:szCs w:val="22"/>
              <w:lang w:eastAsia="en-AU"/>
            </w:rPr>
          </w:pPr>
          <w:hyperlink w:anchor="_Toc525122156" w:history="1">
            <w:r w:rsidR="009D498A" w:rsidRPr="00C46616">
              <w:rPr>
                <w:rStyle w:val="Hyperlink"/>
                <w:noProof/>
              </w:rPr>
              <w:t>How the Authority operates</w:t>
            </w:r>
            <w:r w:rsidR="009D498A">
              <w:rPr>
                <w:noProof/>
                <w:webHidden/>
              </w:rPr>
              <w:tab/>
            </w:r>
            <w:r w:rsidR="009D498A">
              <w:rPr>
                <w:noProof/>
                <w:webHidden/>
              </w:rPr>
              <w:fldChar w:fldCharType="begin"/>
            </w:r>
            <w:r w:rsidR="009D498A">
              <w:rPr>
                <w:noProof/>
                <w:webHidden/>
              </w:rPr>
              <w:instrText xml:space="preserve"> PAGEREF _Toc525122156 \h </w:instrText>
            </w:r>
            <w:r w:rsidR="009D498A">
              <w:rPr>
                <w:noProof/>
                <w:webHidden/>
              </w:rPr>
            </w:r>
            <w:r w:rsidR="009D498A">
              <w:rPr>
                <w:noProof/>
                <w:webHidden/>
              </w:rPr>
              <w:fldChar w:fldCharType="separate"/>
            </w:r>
            <w:r w:rsidR="00C817BE">
              <w:rPr>
                <w:noProof/>
                <w:webHidden/>
              </w:rPr>
              <w:t>180</w:t>
            </w:r>
            <w:r w:rsidR="009D498A">
              <w:rPr>
                <w:noProof/>
                <w:webHidden/>
              </w:rPr>
              <w:fldChar w:fldCharType="end"/>
            </w:r>
          </w:hyperlink>
        </w:p>
        <w:p w14:paraId="1DF61CED"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57" w:history="1">
            <w:r w:rsidR="009D498A" w:rsidRPr="00C46616">
              <w:rPr>
                <w:rStyle w:val="Hyperlink"/>
                <w:noProof/>
              </w:rPr>
              <w:t>2.1</w:t>
            </w:r>
            <w:r w:rsidR="009D498A">
              <w:rPr>
                <w:rFonts w:asciiTheme="minorHAnsi" w:eastAsiaTheme="minorEastAsia" w:hAnsiTheme="minorHAnsi" w:cstheme="minorBidi"/>
                <w:noProof/>
                <w:sz w:val="22"/>
                <w:szCs w:val="22"/>
                <w:lang w:eastAsia="en-AU"/>
              </w:rPr>
              <w:tab/>
            </w:r>
            <w:r w:rsidR="009D498A" w:rsidRPr="00C46616">
              <w:rPr>
                <w:rStyle w:val="Hyperlink"/>
                <w:noProof/>
              </w:rPr>
              <w:t>Authority objectives</w:t>
            </w:r>
            <w:r w:rsidR="009D498A">
              <w:rPr>
                <w:noProof/>
                <w:webHidden/>
              </w:rPr>
              <w:tab/>
            </w:r>
            <w:r w:rsidR="009D498A">
              <w:rPr>
                <w:noProof/>
                <w:webHidden/>
              </w:rPr>
              <w:fldChar w:fldCharType="begin"/>
            </w:r>
            <w:r w:rsidR="009D498A">
              <w:rPr>
                <w:noProof/>
                <w:webHidden/>
              </w:rPr>
              <w:instrText xml:space="preserve"> PAGEREF _Toc525122157 \h </w:instrText>
            </w:r>
            <w:r w:rsidR="009D498A">
              <w:rPr>
                <w:noProof/>
                <w:webHidden/>
              </w:rPr>
            </w:r>
            <w:r w:rsidR="009D498A">
              <w:rPr>
                <w:noProof/>
                <w:webHidden/>
              </w:rPr>
              <w:fldChar w:fldCharType="separate"/>
            </w:r>
            <w:r w:rsidR="00C817BE">
              <w:rPr>
                <w:noProof/>
                <w:webHidden/>
              </w:rPr>
              <w:t>181</w:t>
            </w:r>
            <w:r w:rsidR="009D498A">
              <w:rPr>
                <w:noProof/>
                <w:webHidden/>
              </w:rPr>
              <w:fldChar w:fldCharType="end"/>
            </w:r>
          </w:hyperlink>
        </w:p>
        <w:p w14:paraId="05C077F5"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58" w:history="1">
            <w:r w:rsidR="009D498A" w:rsidRPr="00C46616">
              <w:rPr>
                <w:rStyle w:val="Hyperlink"/>
                <w:noProof/>
              </w:rPr>
              <w:t>2.2</w:t>
            </w:r>
            <w:r w:rsidR="009D498A">
              <w:rPr>
                <w:rFonts w:asciiTheme="minorHAnsi" w:eastAsiaTheme="minorEastAsia" w:hAnsiTheme="minorHAnsi" w:cstheme="minorBidi"/>
                <w:noProof/>
                <w:sz w:val="22"/>
                <w:szCs w:val="22"/>
                <w:lang w:eastAsia="en-AU"/>
              </w:rPr>
              <w:tab/>
            </w:r>
            <w:r w:rsidR="009D498A" w:rsidRPr="00C46616">
              <w:rPr>
                <w:rStyle w:val="Hyperlink"/>
                <w:noProof/>
              </w:rPr>
              <w:t>Schedule of Income and Expenses by Service</w:t>
            </w:r>
            <w:r w:rsidR="009D498A">
              <w:rPr>
                <w:noProof/>
                <w:webHidden/>
              </w:rPr>
              <w:tab/>
            </w:r>
            <w:r w:rsidR="009D498A">
              <w:rPr>
                <w:noProof/>
                <w:webHidden/>
              </w:rPr>
              <w:fldChar w:fldCharType="begin"/>
            </w:r>
            <w:r w:rsidR="009D498A">
              <w:rPr>
                <w:noProof/>
                <w:webHidden/>
              </w:rPr>
              <w:instrText xml:space="preserve"> PAGEREF _Toc525122158 \h </w:instrText>
            </w:r>
            <w:r w:rsidR="009D498A">
              <w:rPr>
                <w:noProof/>
                <w:webHidden/>
              </w:rPr>
            </w:r>
            <w:r w:rsidR="009D498A">
              <w:rPr>
                <w:noProof/>
                <w:webHidden/>
              </w:rPr>
              <w:fldChar w:fldCharType="separate"/>
            </w:r>
            <w:r w:rsidR="00C817BE">
              <w:rPr>
                <w:noProof/>
                <w:webHidden/>
              </w:rPr>
              <w:t>182</w:t>
            </w:r>
            <w:r w:rsidR="009D498A">
              <w:rPr>
                <w:noProof/>
                <w:webHidden/>
              </w:rPr>
              <w:fldChar w:fldCharType="end"/>
            </w:r>
          </w:hyperlink>
        </w:p>
        <w:p w14:paraId="43C6ACE6"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59" w:history="1">
            <w:r w:rsidR="009D498A" w:rsidRPr="00C46616">
              <w:rPr>
                <w:rStyle w:val="Hyperlink"/>
                <w:noProof/>
              </w:rPr>
              <w:t>3.</w:t>
            </w:r>
            <w:r w:rsidR="009D498A">
              <w:rPr>
                <w:rFonts w:asciiTheme="minorHAnsi" w:eastAsiaTheme="minorEastAsia" w:hAnsiTheme="minorHAnsi" w:cstheme="minorBidi"/>
                <w:noProof/>
                <w:sz w:val="22"/>
                <w:szCs w:val="22"/>
                <w:lang w:eastAsia="en-AU"/>
              </w:rPr>
              <w:tab/>
            </w:r>
            <w:r w:rsidR="009D498A" w:rsidRPr="00C46616">
              <w:rPr>
                <w:rStyle w:val="Hyperlink"/>
                <w:noProof/>
              </w:rPr>
              <w:t>Our funding sources</w:t>
            </w:r>
            <w:r w:rsidR="009D498A">
              <w:rPr>
                <w:noProof/>
                <w:webHidden/>
              </w:rPr>
              <w:tab/>
            </w:r>
            <w:r w:rsidR="009D498A">
              <w:rPr>
                <w:noProof/>
                <w:webHidden/>
              </w:rPr>
              <w:fldChar w:fldCharType="begin"/>
            </w:r>
            <w:r w:rsidR="009D498A">
              <w:rPr>
                <w:noProof/>
                <w:webHidden/>
              </w:rPr>
              <w:instrText xml:space="preserve"> PAGEREF _Toc525122159 \h </w:instrText>
            </w:r>
            <w:r w:rsidR="009D498A">
              <w:rPr>
                <w:noProof/>
                <w:webHidden/>
              </w:rPr>
            </w:r>
            <w:r w:rsidR="009D498A">
              <w:rPr>
                <w:noProof/>
                <w:webHidden/>
              </w:rPr>
              <w:fldChar w:fldCharType="separate"/>
            </w:r>
            <w:r w:rsidR="00C817BE">
              <w:rPr>
                <w:noProof/>
                <w:webHidden/>
              </w:rPr>
              <w:t>183</w:t>
            </w:r>
            <w:r w:rsidR="009D498A">
              <w:rPr>
                <w:noProof/>
                <w:webHidden/>
              </w:rPr>
              <w:fldChar w:fldCharType="end"/>
            </w:r>
          </w:hyperlink>
        </w:p>
        <w:p w14:paraId="37E3C48E" w14:textId="77777777" w:rsidR="009D498A" w:rsidRDefault="0029111E">
          <w:pPr>
            <w:pStyle w:val="TOC3"/>
            <w:rPr>
              <w:rFonts w:asciiTheme="minorHAnsi" w:eastAsiaTheme="minorEastAsia" w:hAnsiTheme="minorHAnsi" w:cstheme="minorBidi"/>
              <w:noProof/>
              <w:sz w:val="22"/>
              <w:szCs w:val="22"/>
              <w:lang w:eastAsia="en-AU"/>
            </w:rPr>
          </w:pPr>
          <w:hyperlink w:anchor="_Toc525122160" w:history="1">
            <w:r w:rsidR="009D498A" w:rsidRPr="00C46616">
              <w:rPr>
                <w:rStyle w:val="Hyperlink"/>
                <w:noProof/>
              </w:rPr>
              <w:t>How we obtain our funding</w:t>
            </w:r>
            <w:r w:rsidR="009D498A">
              <w:rPr>
                <w:noProof/>
                <w:webHidden/>
              </w:rPr>
              <w:tab/>
            </w:r>
            <w:r w:rsidR="009D498A">
              <w:rPr>
                <w:noProof/>
                <w:webHidden/>
              </w:rPr>
              <w:fldChar w:fldCharType="begin"/>
            </w:r>
            <w:r w:rsidR="009D498A">
              <w:rPr>
                <w:noProof/>
                <w:webHidden/>
              </w:rPr>
              <w:instrText xml:space="preserve"> PAGEREF _Toc525122160 \h </w:instrText>
            </w:r>
            <w:r w:rsidR="009D498A">
              <w:rPr>
                <w:noProof/>
                <w:webHidden/>
              </w:rPr>
            </w:r>
            <w:r w:rsidR="009D498A">
              <w:rPr>
                <w:noProof/>
                <w:webHidden/>
              </w:rPr>
              <w:fldChar w:fldCharType="separate"/>
            </w:r>
            <w:r w:rsidR="00C817BE">
              <w:rPr>
                <w:noProof/>
                <w:webHidden/>
              </w:rPr>
              <w:t>183</w:t>
            </w:r>
            <w:r w:rsidR="009D498A">
              <w:rPr>
                <w:noProof/>
                <w:webHidden/>
              </w:rPr>
              <w:fldChar w:fldCharType="end"/>
            </w:r>
          </w:hyperlink>
        </w:p>
        <w:p w14:paraId="37F83CA0"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61" w:history="1">
            <w:r w:rsidR="009D498A" w:rsidRPr="00C46616">
              <w:rPr>
                <w:rStyle w:val="Hyperlink"/>
                <w:noProof/>
              </w:rPr>
              <w:t>3.1</w:t>
            </w:r>
            <w:r w:rsidR="009D498A">
              <w:rPr>
                <w:rFonts w:asciiTheme="minorHAnsi" w:eastAsiaTheme="minorEastAsia" w:hAnsiTheme="minorHAnsi" w:cstheme="minorBidi"/>
                <w:noProof/>
                <w:sz w:val="22"/>
                <w:szCs w:val="22"/>
                <w:lang w:eastAsia="en-AU"/>
              </w:rPr>
              <w:tab/>
            </w:r>
            <w:r w:rsidR="009D498A" w:rsidRPr="00C46616">
              <w:rPr>
                <w:rStyle w:val="Hyperlink"/>
                <w:noProof/>
              </w:rPr>
              <w:t>Insurer contributions</w:t>
            </w:r>
            <w:r w:rsidR="009D498A">
              <w:rPr>
                <w:noProof/>
                <w:webHidden/>
              </w:rPr>
              <w:tab/>
            </w:r>
            <w:r w:rsidR="009D498A">
              <w:rPr>
                <w:noProof/>
                <w:webHidden/>
              </w:rPr>
              <w:fldChar w:fldCharType="begin"/>
            </w:r>
            <w:r w:rsidR="009D498A">
              <w:rPr>
                <w:noProof/>
                <w:webHidden/>
              </w:rPr>
              <w:instrText xml:space="preserve"> PAGEREF _Toc525122161 \h </w:instrText>
            </w:r>
            <w:r w:rsidR="009D498A">
              <w:rPr>
                <w:noProof/>
                <w:webHidden/>
              </w:rPr>
            </w:r>
            <w:r w:rsidR="009D498A">
              <w:rPr>
                <w:noProof/>
                <w:webHidden/>
              </w:rPr>
              <w:fldChar w:fldCharType="separate"/>
            </w:r>
            <w:r w:rsidR="00C817BE">
              <w:rPr>
                <w:noProof/>
                <w:webHidden/>
              </w:rPr>
              <w:t>184</w:t>
            </w:r>
            <w:r w:rsidR="009D498A">
              <w:rPr>
                <w:noProof/>
                <w:webHidden/>
              </w:rPr>
              <w:fldChar w:fldCharType="end"/>
            </w:r>
          </w:hyperlink>
        </w:p>
        <w:p w14:paraId="493A9313"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62" w:history="1">
            <w:r w:rsidR="009D498A" w:rsidRPr="00C46616">
              <w:rPr>
                <w:rStyle w:val="Hyperlink"/>
                <w:noProof/>
              </w:rPr>
              <w:t>3.2</w:t>
            </w:r>
            <w:r w:rsidR="009D498A">
              <w:rPr>
                <w:rFonts w:asciiTheme="minorHAnsi" w:eastAsiaTheme="minorEastAsia" w:hAnsiTheme="minorHAnsi" w:cstheme="minorBidi"/>
                <w:noProof/>
                <w:sz w:val="22"/>
                <w:szCs w:val="22"/>
                <w:lang w:eastAsia="en-AU"/>
              </w:rPr>
              <w:tab/>
            </w:r>
            <w:r w:rsidR="009D498A" w:rsidRPr="00C46616">
              <w:rPr>
                <w:rStyle w:val="Hyperlink"/>
                <w:noProof/>
              </w:rPr>
              <w:t>Interest revenue</w:t>
            </w:r>
            <w:r w:rsidR="009D498A">
              <w:rPr>
                <w:noProof/>
                <w:webHidden/>
              </w:rPr>
              <w:tab/>
            </w:r>
            <w:r w:rsidR="009D498A">
              <w:rPr>
                <w:noProof/>
                <w:webHidden/>
              </w:rPr>
              <w:fldChar w:fldCharType="begin"/>
            </w:r>
            <w:r w:rsidR="009D498A">
              <w:rPr>
                <w:noProof/>
                <w:webHidden/>
              </w:rPr>
              <w:instrText xml:space="preserve"> PAGEREF _Toc525122162 \h </w:instrText>
            </w:r>
            <w:r w:rsidR="009D498A">
              <w:rPr>
                <w:noProof/>
                <w:webHidden/>
              </w:rPr>
            </w:r>
            <w:r w:rsidR="009D498A">
              <w:rPr>
                <w:noProof/>
                <w:webHidden/>
              </w:rPr>
              <w:fldChar w:fldCharType="separate"/>
            </w:r>
            <w:r w:rsidR="00C817BE">
              <w:rPr>
                <w:noProof/>
                <w:webHidden/>
              </w:rPr>
              <w:t>184</w:t>
            </w:r>
            <w:r w:rsidR="009D498A">
              <w:rPr>
                <w:noProof/>
                <w:webHidden/>
              </w:rPr>
              <w:fldChar w:fldCharType="end"/>
            </w:r>
          </w:hyperlink>
        </w:p>
        <w:p w14:paraId="67292EA5"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63" w:history="1">
            <w:r w:rsidR="009D498A" w:rsidRPr="00C46616">
              <w:rPr>
                <w:rStyle w:val="Hyperlink"/>
                <w:noProof/>
              </w:rPr>
              <w:t>3.3</w:t>
            </w:r>
            <w:r w:rsidR="009D498A">
              <w:rPr>
                <w:rFonts w:asciiTheme="minorHAnsi" w:eastAsiaTheme="minorEastAsia" w:hAnsiTheme="minorHAnsi" w:cstheme="minorBidi"/>
                <w:noProof/>
                <w:sz w:val="22"/>
                <w:szCs w:val="22"/>
                <w:lang w:eastAsia="en-AU"/>
              </w:rPr>
              <w:tab/>
            </w:r>
            <w:r w:rsidR="009D498A" w:rsidRPr="00C46616">
              <w:rPr>
                <w:rStyle w:val="Hyperlink"/>
                <w:noProof/>
              </w:rPr>
              <w:t>Other revenue</w:t>
            </w:r>
            <w:r w:rsidR="009D498A">
              <w:rPr>
                <w:noProof/>
                <w:webHidden/>
              </w:rPr>
              <w:tab/>
            </w:r>
            <w:r w:rsidR="009D498A">
              <w:rPr>
                <w:noProof/>
                <w:webHidden/>
              </w:rPr>
              <w:fldChar w:fldCharType="begin"/>
            </w:r>
            <w:r w:rsidR="009D498A">
              <w:rPr>
                <w:noProof/>
                <w:webHidden/>
              </w:rPr>
              <w:instrText xml:space="preserve"> PAGEREF _Toc525122163 \h </w:instrText>
            </w:r>
            <w:r w:rsidR="009D498A">
              <w:rPr>
                <w:noProof/>
                <w:webHidden/>
              </w:rPr>
            </w:r>
            <w:r w:rsidR="009D498A">
              <w:rPr>
                <w:noProof/>
                <w:webHidden/>
              </w:rPr>
              <w:fldChar w:fldCharType="separate"/>
            </w:r>
            <w:r w:rsidR="00C817BE">
              <w:rPr>
                <w:noProof/>
                <w:webHidden/>
              </w:rPr>
              <w:t>185</w:t>
            </w:r>
            <w:r w:rsidR="009D498A">
              <w:rPr>
                <w:noProof/>
                <w:webHidden/>
              </w:rPr>
              <w:fldChar w:fldCharType="end"/>
            </w:r>
          </w:hyperlink>
        </w:p>
        <w:p w14:paraId="31EF5B9D"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64" w:history="1">
            <w:r w:rsidR="009D498A" w:rsidRPr="00C46616">
              <w:rPr>
                <w:rStyle w:val="Hyperlink"/>
                <w:noProof/>
              </w:rPr>
              <w:t>3.4</w:t>
            </w:r>
            <w:r w:rsidR="009D498A">
              <w:rPr>
                <w:rFonts w:asciiTheme="minorHAnsi" w:eastAsiaTheme="minorEastAsia" w:hAnsiTheme="minorHAnsi" w:cstheme="minorBidi"/>
                <w:noProof/>
                <w:sz w:val="22"/>
                <w:szCs w:val="22"/>
                <w:lang w:eastAsia="en-AU"/>
              </w:rPr>
              <w:tab/>
            </w:r>
            <w:r w:rsidR="009D498A" w:rsidRPr="00C46616">
              <w:rPr>
                <w:rStyle w:val="Hyperlink"/>
                <w:noProof/>
              </w:rPr>
              <w:t>Employers’ Indemnity Supplementation Fund</w:t>
            </w:r>
            <w:r w:rsidR="009D498A">
              <w:rPr>
                <w:noProof/>
                <w:webHidden/>
              </w:rPr>
              <w:tab/>
            </w:r>
            <w:r w:rsidR="009D498A">
              <w:rPr>
                <w:noProof/>
                <w:webHidden/>
              </w:rPr>
              <w:fldChar w:fldCharType="begin"/>
            </w:r>
            <w:r w:rsidR="009D498A">
              <w:rPr>
                <w:noProof/>
                <w:webHidden/>
              </w:rPr>
              <w:instrText xml:space="preserve"> PAGEREF _Toc525122164 \h </w:instrText>
            </w:r>
            <w:r w:rsidR="009D498A">
              <w:rPr>
                <w:noProof/>
                <w:webHidden/>
              </w:rPr>
            </w:r>
            <w:r w:rsidR="009D498A">
              <w:rPr>
                <w:noProof/>
                <w:webHidden/>
              </w:rPr>
              <w:fldChar w:fldCharType="separate"/>
            </w:r>
            <w:r w:rsidR="00C817BE">
              <w:rPr>
                <w:noProof/>
                <w:webHidden/>
              </w:rPr>
              <w:t>185</w:t>
            </w:r>
            <w:r w:rsidR="009D498A">
              <w:rPr>
                <w:noProof/>
                <w:webHidden/>
              </w:rPr>
              <w:fldChar w:fldCharType="end"/>
            </w:r>
          </w:hyperlink>
        </w:p>
        <w:p w14:paraId="469A708C"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65" w:history="1">
            <w:r w:rsidR="009D498A" w:rsidRPr="00C46616">
              <w:rPr>
                <w:rStyle w:val="Hyperlink"/>
                <w:noProof/>
              </w:rPr>
              <w:t>3.5</w:t>
            </w:r>
            <w:r w:rsidR="009D498A">
              <w:rPr>
                <w:rFonts w:asciiTheme="minorHAnsi" w:eastAsiaTheme="minorEastAsia" w:hAnsiTheme="minorHAnsi" w:cstheme="minorBidi"/>
                <w:noProof/>
                <w:sz w:val="22"/>
                <w:szCs w:val="22"/>
                <w:lang w:eastAsia="en-AU"/>
              </w:rPr>
              <w:tab/>
            </w:r>
            <w:r w:rsidR="009D498A" w:rsidRPr="00C46616">
              <w:rPr>
                <w:rStyle w:val="Hyperlink"/>
                <w:noProof/>
              </w:rPr>
              <w:t>Services received free of charge</w:t>
            </w:r>
            <w:r w:rsidR="009D498A">
              <w:rPr>
                <w:noProof/>
                <w:webHidden/>
              </w:rPr>
              <w:tab/>
            </w:r>
            <w:r w:rsidR="009D498A">
              <w:rPr>
                <w:noProof/>
                <w:webHidden/>
              </w:rPr>
              <w:fldChar w:fldCharType="begin"/>
            </w:r>
            <w:r w:rsidR="009D498A">
              <w:rPr>
                <w:noProof/>
                <w:webHidden/>
              </w:rPr>
              <w:instrText xml:space="preserve"> PAGEREF _Toc525122165 \h </w:instrText>
            </w:r>
            <w:r w:rsidR="009D498A">
              <w:rPr>
                <w:noProof/>
                <w:webHidden/>
              </w:rPr>
            </w:r>
            <w:r w:rsidR="009D498A">
              <w:rPr>
                <w:noProof/>
                <w:webHidden/>
              </w:rPr>
              <w:fldChar w:fldCharType="separate"/>
            </w:r>
            <w:r w:rsidR="00C817BE">
              <w:rPr>
                <w:noProof/>
                <w:webHidden/>
              </w:rPr>
              <w:t>186</w:t>
            </w:r>
            <w:r w:rsidR="009D498A">
              <w:rPr>
                <w:noProof/>
                <w:webHidden/>
              </w:rPr>
              <w:fldChar w:fldCharType="end"/>
            </w:r>
          </w:hyperlink>
        </w:p>
        <w:p w14:paraId="2DDC94E2"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66" w:history="1">
            <w:r w:rsidR="009D498A" w:rsidRPr="00C46616">
              <w:rPr>
                <w:rStyle w:val="Hyperlink"/>
                <w:noProof/>
              </w:rPr>
              <w:t>4.</w:t>
            </w:r>
            <w:r w:rsidR="009D498A">
              <w:rPr>
                <w:rFonts w:asciiTheme="minorHAnsi" w:eastAsiaTheme="minorEastAsia" w:hAnsiTheme="minorHAnsi" w:cstheme="minorBidi"/>
                <w:noProof/>
                <w:sz w:val="22"/>
                <w:szCs w:val="22"/>
                <w:lang w:eastAsia="en-AU"/>
              </w:rPr>
              <w:tab/>
            </w:r>
            <w:r w:rsidR="009D498A" w:rsidRPr="00C46616">
              <w:rPr>
                <w:rStyle w:val="Hyperlink"/>
                <w:noProof/>
              </w:rPr>
              <w:t>Use of our funding</w:t>
            </w:r>
            <w:r w:rsidR="009D498A">
              <w:rPr>
                <w:noProof/>
                <w:webHidden/>
              </w:rPr>
              <w:tab/>
            </w:r>
            <w:r w:rsidR="009D498A">
              <w:rPr>
                <w:noProof/>
                <w:webHidden/>
              </w:rPr>
              <w:fldChar w:fldCharType="begin"/>
            </w:r>
            <w:r w:rsidR="009D498A">
              <w:rPr>
                <w:noProof/>
                <w:webHidden/>
              </w:rPr>
              <w:instrText xml:space="preserve"> PAGEREF _Toc525122166 \h </w:instrText>
            </w:r>
            <w:r w:rsidR="009D498A">
              <w:rPr>
                <w:noProof/>
                <w:webHidden/>
              </w:rPr>
            </w:r>
            <w:r w:rsidR="009D498A">
              <w:rPr>
                <w:noProof/>
                <w:webHidden/>
              </w:rPr>
              <w:fldChar w:fldCharType="separate"/>
            </w:r>
            <w:r w:rsidR="00C817BE">
              <w:rPr>
                <w:noProof/>
                <w:webHidden/>
              </w:rPr>
              <w:t>186</w:t>
            </w:r>
            <w:r w:rsidR="009D498A">
              <w:rPr>
                <w:noProof/>
                <w:webHidden/>
              </w:rPr>
              <w:fldChar w:fldCharType="end"/>
            </w:r>
          </w:hyperlink>
        </w:p>
        <w:p w14:paraId="02487CC5" w14:textId="77777777" w:rsidR="009D498A" w:rsidRDefault="0029111E">
          <w:pPr>
            <w:pStyle w:val="TOC3"/>
            <w:rPr>
              <w:rFonts w:asciiTheme="minorHAnsi" w:eastAsiaTheme="minorEastAsia" w:hAnsiTheme="minorHAnsi" w:cstheme="minorBidi"/>
              <w:noProof/>
              <w:sz w:val="22"/>
              <w:szCs w:val="22"/>
              <w:lang w:eastAsia="en-AU"/>
            </w:rPr>
          </w:pPr>
          <w:hyperlink w:anchor="_Toc525122167" w:history="1">
            <w:r w:rsidR="009D498A" w:rsidRPr="00C46616">
              <w:rPr>
                <w:rStyle w:val="Hyperlink"/>
                <w:noProof/>
              </w:rPr>
              <w:t>Expenses incurred in the delivery of services</w:t>
            </w:r>
            <w:r w:rsidR="009D498A">
              <w:rPr>
                <w:noProof/>
                <w:webHidden/>
              </w:rPr>
              <w:tab/>
            </w:r>
            <w:r w:rsidR="009D498A">
              <w:rPr>
                <w:noProof/>
                <w:webHidden/>
              </w:rPr>
              <w:fldChar w:fldCharType="begin"/>
            </w:r>
            <w:r w:rsidR="009D498A">
              <w:rPr>
                <w:noProof/>
                <w:webHidden/>
              </w:rPr>
              <w:instrText xml:space="preserve"> PAGEREF _Toc525122167 \h </w:instrText>
            </w:r>
            <w:r w:rsidR="009D498A">
              <w:rPr>
                <w:noProof/>
                <w:webHidden/>
              </w:rPr>
            </w:r>
            <w:r w:rsidR="009D498A">
              <w:rPr>
                <w:noProof/>
                <w:webHidden/>
              </w:rPr>
              <w:fldChar w:fldCharType="separate"/>
            </w:r>
            <w:r w:rsidR="00C817BE">
              <w:rPr>
                <w:noProof/>
                <w:webHidden/>
              </w:rPr>
              <w:t>186</w:t>
            </w:r>
            <w:r w:rsidR="009D498A">
              <w:rPr>
                <w:noProof/>
                <w:webHidden/>
              </w:rPr>
              <w:fldChar w:fldCharType="end"/>
            </w:r>
          </w:hyperlink>
        </w:p>
        <w:p w14:paraId="31E73CCD" w14:textId="77777777" w:rsidR="009D498A" w:rsidRDefault="0029111E">
          <w:pPr>
            <w:pStyle w:val="TOC3"/>
            <w:rPr>
              <w:rFonts w:asciiTheme="minorHAnsi" w:eastAsiaTheme="minorEastAsia" w:hAnsiTheme="minorHAnsi" w:cstheme="minorBidi"/>
              <w:noProof/>
              <w:sz w:val="22"/>
              <w:szCs w:val="22"/>
              <w:lang w:eastAsia="en-AU"/>
            </w:rPr>
          </w:pPr>
          <w:hyperlink w:anchor="_Toc525122168" w:history="1">
            <w:r w:rsidR="009D498A" w:rsidRPr="00C46616">
              <w:rPr>
                <w:rStyle w:val="Hyperlink"/>
                <w:noProof/>
              </w:rPr>
              <w:t>4.1(a) Employee benefits expense</w:t>
            </w:r>
            <w:r w:rsidR="009D498A">
              <w:rPr>
                <w:noProof/>
                <w:webHidden/>
              </w:rPr>
              <w:tab/>
            </w:r>
            <w:r w:rsidR="009D498A">
              <w:rPr>
                <w:noProof/>
                <w:webHidden/>
              </w:rPr>
              <w:fldChar w:fldCharType="begin"/>
            </w:r>
            <w:r w:rsidR="009D498A">
              <w:rPr>
                <w:noProof/>
                <w:webHidden/>
              </w:rPr>
              <w:instrText xml:space="preserve"> PAGEREF _Toc525122168 \h </w:instrText>
            </w:r>
            <w:r w:rsidR="009D498A">
              <w:rPr>
                <w:noProof/>
                <w:webHidden/>
              </w:rPr>
            </w:r>
            <w:r w:rsidR="009D498A">
              <w:rPr>
                <w:noProof/>
                <w:webHidden/>
              </w:rPr>
              <w:fldChar w:fldCharType="separate"/>
            </w:r>
            <w:r w:rsidR="00C817BE">
              <w:rPr>
                <w:noProof/>
                <w:webHidden/>
              </w:rPr>
              <w:t>187</w:t>
            </w:r>
            <w:r w:rsidR="009D498A">
              <w:rPr>
                <w:noProof/>
                <w:webHidden/>
              </w:rPr>
              <w:fldChar w:fldCharType="end"/>
            </w:r>
          </w:hyperlink>
        </w:p>
        <w:p w14:paraId="0F1456E6" w14:textId="77777777" w:rsidR="009D498A" w:rsidRDefault="0029111E">
          <w:pPr>
            <w:pStyle w:val="TOC3"/>
            <w:rPr>
              <w:rFonts w:asciiTheme="minorHAnsi" w:eastAsiaTheme="minorEastAsia" w:hAnsiTheme="minorHAnsi" w:cstheme="minorBidi"/>
              <w:noProof/>
              <w:sz w:val="22"/>
              <w:szCs w:val="22"/>
              <w:lang w:eastAsia="en-AU"/>
            </w:rPr>
          </w:pPr>
          <w:hyperlink w:anchor="_Toc525122169" w:history="1">
            <w:r w:rsidR="009D498A" w:rsidRPr="00C46616">
              <w:rPr>
                <w:rStyle w:val="Hyperlink"/>
                <w:noProof/>
                <w:lang w:val="en-US" w:eastAsia="en-AU"/>
              </w:rPr>
              <w:t>4.1(b) Employee benefits provisions</w:t>
            </w:r>
            <w:r w:rsidR="009D498A">
              <w:rPr>
                <w:noProof/>
                <w:webHidden/>
              </w:rPr>
              <w:tab/>
            </w:r>
            <w:r w:rsidR="009D498A">
              <w:rPr>
                <w:noProof/>
                <w:webHidden/>
              </w:rPr>
              <w:fldChar w:fldCharType="begin"/>
            </w:r>
            <w:r w:rsidR="009D498A">
              <w:rPr>
                <w:noProof/>
                <w:webHidden/>
              </w:rPr>
              <w:instrText xml:space="preserve"> PAGEREF _Toc525122169 \h </w:instrText>
            </w:r>
            <w:r w:rsidR="009D498A">
              <w:rPr>
                <w:noProof/>
                <w:webHidden/>
              </w:rPr>
            </w:r>
            <w:r w:rsidR="009D498A">
              <w:rPr>
                <w:noProof/>
                <w:webHidden/>
              </w:rPr>
              <w:fldChar w:fldCharType="separate"/>
            </w:r>
            <w:r w:rsidR="00C817BE">
              <w:rPr>
                <w:noProof/>
                <w:webHidden/>
              </w:rPr>
              <w:t>189</w:t>
            </w:r>
            <w:r w:rsidR="009D498A">
              <w:rPr>
                <w:noProof/>
                <w:webHidden/>
              </w:rPr>
              <w:fldChar w:fldCharType="end"/>
            </w:r>
          </w:hyperlink>
        </w:p>
        <w:p w14:paraId="1A56788B"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70" w:history="1">
            <w:r w:rsidR="009D498A" w:rsidRPr="00C46616">
              <w:rPr>
                <w:rStyle w:val="Hyperlink"/>
                <w:noProof/>
              </w:rPr>
              <w:t>(a)</w:t>
            </w:r>
            <w:r w:rsidR="009D498A">
              <w:rPr>
                <w:rFonts w:asciiTheme="minorHAnsi" w:eastAsiaTheme="minorEastAsia" w:hAnsiTheme="minorHAnsi" w:cstheme="minorBidi"/>
                <w:noProof/>
                <w:sz w:val="22"/>
                <w:szCs w:val="22"/>
                <w:lang w:eastAsia="en-AU"/>
              </w:rPr>
              <w:tab/>
            </w:r>
            <w:r w:rsidR="009D498A" w:rsidRPr="00C46616">
              <w:rPr>
                <w:rStyle w:val="Hyperlink"/>
                <w:noProof/>
              </w:rPr>
              <w:t>Annual leave liabilities</w:t>
            </w:r>
            <w:r w:rsidR="009D498A">
              <w:rPr>
                <w:noProof/>
                <w:webHidden/>
              </w:rPr>
              <w:tab/>
            </w:r>
            <w:r w:rsidR="009D498A">
              <w:rPr>
                <w:noProof/>
                <w:webHidden/>
              </w:rPr>
              <w:fldChar w:fldCharType="begin"/>
            </w:r>
            <w:r w:rsidR="009D498A">
              <w:rPr>
                <w:noProof/>
                <w:webHidden/>
              </w:rPr>
              <w:instrText xml:space="preserve"> PAGEREF _Toc525122170 \h </w:instrText>
            </w:r>
            <w:r w:rsidR="009D498A">
              <w:rPr>
                <w:noProof/>
                <w:webHidden/>
              </w:rPr>
            </w:r>
            <w:r w:rsidR="009D498A">
              <w:rPr>
                <w:noProof/>
                <w:webHidden/>
              </w:rPr>
              <w:fldChar w:fldCharType="separate"/>
            </w:r>
            <w:r w:rsidR="00C817BE">
              <w:rPr>
                <w:noProof/>
                <w:webHidden/>
              </w:rPr>
              <w:t>190</w:t>
            </w:r>
            <w:r w:rsidR="009D498A">
              <w:rPr>
                <w:noProof/>
                <w:webHidden/>
              </w:rPr>
              <w:fldChar w:fldCharType="end"/>
            </w:r>
          </w:hyperlink>
        </w:p>
        <w:p w14:paraId="025B2ED0"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71" w:history="1">
            <w:r w:rsidR="009D498A" w:rsidRPr="00C46616">
              <w:rPr>
                <w:rStyle w:val="Hyperlink"/>
                <w:noProof/>
              </w:rPr>
              <w:t>(b)</w:t>
            </w:r>
            <w:r w:rsidR="009D498A">
              <w:rPr>
                <w:rFonts w:asciiTheme="minorHAnsi" w:eastAsiaTheme="minorEastAsia" w:hAnsiTheme="minorHAnsi" w:cstheme="minorBidi"/>
                <w:noProof/>
                <w:sz w:val="22"/>
                <w:szCs w:val="22"/>
                <w:lang w:eastAsia="en-AU"/>
              </w:rPr>
              <w:tab/>
            </w:r>
            <w:r w:rsidR="009D498A" w:rsidRPr="00C46616">
              <w:rPr>
                <w:rStyle w:val="Hyperlink"/>
                <w:noProof/>
              </w:rPr>
              <w:t>Long service leave liabilities</w:t>
            </w:r>
            <w:r w:rsidR="009D498A">
              <w:rPr>
                <w:noProof/>
                <w:webHidden/>
              </w:rPr>
              <w:tab/>
            </w:r>
            <w:r w:rsidR="009D498A">
              <w:rPr>
                <w:noProof/>
                <w:webHidden/>
              </w:rPr>
              <w:fldChar w:fldCharType="begin"/>
            </w:r>
            <w:r w:rsidR="009D498A">
              <w:rPr>
                <w:noProof/>
                <w:webHidden/>
              </w:rPr>
              <w:instrText xml:space="preserve"> PAGEREF _Toc525122171 \h </w:instrText>
            </w:r>
            <w:r w:rsidR="009D498A">
              <w:rPr>
                <w:noProof/>
                <w:webHidden/>
              </w:rPr>
            </w:r>
            <w:r w:rsidR="009D498A">
              <w:rPr>
                <w:noProof/>
                <w:webHidden/>
              </w:rPr>
              <w:fldChar w:fldCharType="separate"/>
            </w:r>
            <w:r w:rsidR="00C817BE">
              <w:rPr>
                <w:noProof/>
                <w:webHidden/>
              </w:rPr>
              <w:t>190</w:t>
            </w:r>
            <w:r w:rsidR="009D498A">
              <w:rPr>
                <w:noProof/>
                <w:webHidden/>
              </w:rPr>
              <w:fldChar w:fldCharType="end"/>
            </w:r>
          </w:hyperlink>
        </w:p>
        <w:p w14:paraId="7F1F8B85"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72" w:history="1">
            <w:r w:rsidR="009D498A" w:rsidRPr="00C46616">
              <w:rPr>
                <w:rStyle w:val="Hyperlink"/>
                <w:noProof/>
              </w:rPr>
              <w:t>(c)</w:t>
            </w:r>
            <w:r w:rsidR="009D498A">
              <w:rPr>
                <w:rFonts w:asciiTheme="minorHAnsi" w:eastAsiaTheme="minorEastAsia" w:hAnsiTheme="minorHAnsi" w:cstheme="minorBidi"/>
                <w:noProof/>
                <w:sz w:val="22"/>
                <w:szCs w:val="22"/>
                <w:lang w:eastAsia="en-AU"/>
              </w:rPr>
              <w:tab/>
            </w:r>
            <w:r w:rsidR="009D498A" w:rsidRPr="00C46616">
              <w:rPr>
                <w:rStyle w:val="Hyperlink"/>
                <w:noProof/>
              </w:rPr>
              <w:t>Employment on-costs</w:t>
            </w:r>
            <w:r w:rsidR="009D498A">
              <w:rPr>
                <w:noProof/>
                <w:webHidden/>
              </w:rPr>
              <w:tab/>
            </w:r>
            <w:r w:rsidR="009D498A">
              <w:rPr>
                <w:noProof/>
                <w:webHidden/>
              </w:rPr>
              <w:fldChar w:fldCharType="begin"/>
            </w:r>
            <w:r w:rsidR="009D498A">
              <w:rPr>
                <w:noProof/>
                <w:webHidden/>
              </w:rPr>
              <w:instrText xml:space="preserve"> PAGEREF _Toc525122172 \h </w:instrText>
            </w:r>
            <w:r w:rsidR="009D498A">
              <w:rPr>
                <w:noProof/>
                <w:webHidden/>
              </w:rPr>
            </w:r>
            <w:r w:rsidR="009D498A">
              <w:rPr>
                <w:noProof/>
                <w:webHidden/>
              </w:rPr>
              <w:fldChar w:fldCharType="separate"/>
            </w:r>
            <w:r w:rsidR="00C817BE">
              <w:rPr>
                <w:noProof/>
                <w:webHidden/>
              </w:rPr>
              <w:t>191</w:t>
            </w:r>
            <w:r w:rsidR="009D498A">
              <w:rPr>
                <w:noProof/>
                <w:webHidden/>
              </w:rPr>
              <w:fldChar w:fldCharType="end"/>
            </w:r>
          </w:hyperlink>
        </w:p>
        <w:p w14:paraId="783862BA"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73" w:history="1">
            <w:r w:rsidR="009D498A" w:rsidRPr="00C46616">
              <w:rPr>
                <w:rStyle w:val="Hyperlink"/>
                <w:noProof/>
                <w:lang w:val="en-US" w:eastAsia="en-AU"/>
              </w:rPr>
              <w:t>(d)</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Defined benefit superannuation plans</w:t>
            </w:r>
            <w:r w:rsidR="009D498A">
              <w:rPr>
                <w:noProof/>
                <w:webHidden/>
              </w:rPr>
              <w:tab/>
            </w:r>
            <w:r w:rsidR="009D498A">
              <w:rPr>
                <w:noProof/>
                <w:webHidden/>
              </w:rPr>
              <w:fldChar w:fldCharType="begin"/>
            </w:r>
            <w:r w:rsidR="009D498A">
              <w:rPr>
                <w:noProof/>
                <w:webHidden/>
              </w:rPr>
              <w:instrText xml:space="preserve"> PAGEREF _Toc525122173 \h </w:instrText>
            </w:r>
            <w:r w:rsidR="009D498A">
              <w:rPr>
                <w:noProof/>
                <w:webHidden/>
              </w:rPr>
            </w:r>
            <w:r w:rsidR="009D498A">
              <w:rPr>
                <w:noProof/>
                <w:webHidden/>
              </w:rPr>
              <w:fldChar w:fldCharType="separate"/>
            </w:r>
            <w:r w:rsidR="00C817BE">
              <w:rPr>
                <w:noProof/>
                <w:webHidden/>
              </w:rPr>
              <w:t>193</w:t>
            </w:r>
            <w:r w:rsidR="009D498A">
              <w:rPr>
                <w:noProof/>
                <w:webHidden/>
              </w:rPr>
              <w:fldChar w:fldCharType="end"/>
            </w:r>
          </w:hyperlink>
        </w:p>
        <w:p w14:paraId="2630829E" w14:textId="77777777" w:rsidR="009D498A" w:rsidRDefault="0029111E">
          <w:pPr>
            <w:pStyle w:val="TOC3"/>
            <w:rPr>
              <w:rFonts w:asciiTheme="minorHAnsi" w:eastAsiaTheme="minorEastAsia" w:hAnsiTheme="minorHAnsi" w:cstheme="minorBidi"/>
              <w:noProof/>
              <w:sz w:val="22"/>
              <w:szCs w:val="22"/>
              <w:lang w:eastAsia="en-AU"/>
            </w:rPr>
          </w:pPr>
          <w:hyperlink w:anchor="_Toc525122174" w:history="1">
            <w:r w:rsidR="009D498A" w:rsidRPr="00C46616">
              <w:rPr>
                <w:rStyle w:val="Hyperlink"/>
                <w:noProof/>
                <w:lang w:val="en-US" w:eastAsia="en-AU"/>
              </w:rPr>
              <w:t>4.2 Grants and subsidies</w:t>
            </w:r>
            <w:r w:rsidR="009D498A">
              <w:rPr>
                <w:noProof/>
                <w:webHidden/>
              </w:rPr>
              <w:tab/>
            </w:r>
            <w:r w:rsidR="009D498A">
              <w:rPr>
                <w:noProof/>
                <w:webHidden/>
              </w:rPr>
              <w:fldChar w:fldCharType="begin"/>
            </w:r>
            <w:r w:rsidR="009D498A">
              <w:rPr>
                <w:noProof/>
                <w:webHidden/>
              </w:rPr>
              <w:instrText xml:space="preserve"> PAGEREF _Toc525122174 \h </w:instrText>
            </w:r>
            <w:r w:rsidR="009D498A">
              <w:rPr>
                <w:noProof/>
                <w:webHidden/>
              </w:rPr>
            </w:r>
            <w:r w:rsidR="009D498A">
              <w:rPr>
                <w:noProof/>
                <w:webHidden/>
              </w:rPr>
              <w:fldChar w:fldCharType="separate"/>
            </w:r>
            <w:r w:rsidR="00C817BE">
              <w:rPr>
                <w:noProof/>
                <w:webHidden/>
              </w:rPr>
              <w:t>197</w:t>
            </w:r>
            <w:r w:rsidR="009D498A">
              <w:rPr>
                <w:noProof/>
                <w:webHidden/>
              </w:rPr>
              <w:fldChar w:fldCharType="end"/>
            </w:r>
          </w:hyperlink>
        </w:p>
        <w:p w14:paraId="2E0FA36B" w14:textId="77777777" w:rsidR="009D498A" w:rsidRDefault="0029111E">
          <w:pPr>
            <w:pStyle w:val="TOC3"/>
            <w:rPr>
              <w:rFonts w:asciiTheme="minorHAnsi" w:eastAsiaTheme="minorEastAsia" w:hAnsiTheme="minorHAnsi" w:cstheme="minorBidi"/>
              <w:noProof/>
              <w:sz w:val="22"/>
              <w:szCs w:val="22"/>
              <w:lang w:eastAsia="en-AU"/>
            </w:rPr>
          </w:pPr>
          <w:hyperlink w:anchor="_Toc525122175" w:history="1">
            <w:r w:rsidR="009D498A" w:rsidRPr="00C46616">
              <w:rPr>
                <w:rStyle w:val="Hyperlink"/>
                <w:noProof/>
                <w:lang w:val="en-US" w:eastAsia="en-AU"/>
              </w:rPr>
              <w:t>4.3(a) Claims expense</w:t>
            </w:r>
            <w:r w:rsidR="009D498A">
              <w:rPr>
                <w:noProof/>
                <w:webHidden/>
              </w:rPr>
              <w:tab/>
            </w:r>
            <w:r w:rsidR="009D498A">
              <w:rPr>
                <w:noProof/>
                <w:webHidden/>
              </w:rPr>
              <w:fldChar w:fldCharType="begin"/>
            </w:r>
            <w:r w:rsidR="009D498A">
              <w:rPr>
                <w:noProof/>
                <w:webHidden/>
              </w:rPr>
              <w:instrText xml:space="preserve"> PAGEREF _Toc525122175 \h </w:instrText>
            </w:r>
            <w:r w:rsidR="009D498A">
              <w:rPr>
                <w:noProof/>
                <w:webHidden/>
              </w:rPr>
            </w:r>
            <w:r w:rsidR="009D498A">
              <w:rPr>
                <w:noProof/>
                <w:webHidden/>
              </w:rPr>
              <w:fldChar w:fldCharType="separate"/>
            </w:r>
            <w:r w:rsidR="00C817BE">
              <w:rPr>
                <w:noProof/>
                <w:webHidden/>
              </w:rPr>
              <w:t>197</w:t>
            </w:r>
            <w:r w:rsidR="009D498A">
              <w:rPr>
                <w:noProof/>
                <w:webHidden/>
              </w:rPr>
              <w:fldChar w:fldCharType="end"/>
            </w:r>
          </w:hyperlink>
        </w:p>
        <w:p w14:paraId="28FD064E" w14:textId="77777777" w:rsidR="009D498A" w:rsidRDefault="0029111E">
          <w:pPr>
            <w:pStyle w:val="TOC3"/>
            <w:rPr>
              <w:rFonts w:asciiTheme="minorHAnsi" w:eastAsiaTheme="minorEastAsia" w:hAnsiTheme="minorHAnsi" w:cstheme="minorBidi"/>
              <w:noProof/>
              <w:sz w:val="22"/>
              <w:szCs w:val="22"/>
              <w:lang w:eastAsia="en-AU"/>
            </w:rPr>
          </w:pPr>
          <w:hyperlink w:anchor="_Toc525122176" w:history="1">
            <w:r w:rsidR="009D498A" w:rsidRPr="00C46616">
              <w:rPr>
                <w:rStyle w:val="Hyperlink"/>
                <w:noProof/>
                <w:lang w:val="en-US" w:eastAsia="en-AU"/>
              </w:rPr>
              <w:t>4.3(b) Claims provisions</w:t>
            </w:r>
            <w:r w:rsidR="009D498A">
              <w:rPr>
                <w:noProof/>
                <w:webHidden/>
              </w:rPr>
              <w:tab/>
            </w:r>
            <w:r w:rsidR="009D498A">
              <w:rPr>
                <w:noProof/>
                <w:webHidden/>
              </w:rPr>
              <w:fldChar w:fldCharType="begin"/>
            </w:r>
            <w:r w:rsidR="009D498A">
              <w:rPr>
                <w:noProof/>
                <w:webHidden/>
              </w:rPr>
              <w:instrText xml:space="preserve"> PAGEREF _Toc525122176 \h </w:instrText>
            </w:r>
            <w:r w:rsidR="009D498A">
              <w:rPr>
                <w:noProof/>
                <w:webHidden/>
              </w:rPr>
            </w:r>
            <w:r w:rsidR="009D498A">
              <w:rPr>
                <w:noProof/>
                <w:webHidden/>
              </w:rPr>
              <w:fldChar w:fldCharType="separate"/>
            </w:r>
            <w:r w:rsidR="00C817BE">
              <w:rPr>
                <w:noProof/>
                <w:webHidden/>
              </w:rPr>
              <w:t>198</w:t>
            </w:r>
            <w:r w:rsidR="009D498A">
              <w:rPr>
                <w:noProof/>
                <w:webHidden/>
              </w:rPr>
              <w:fldChar w:fldCharType="end"/>
            </w:r>
          </w:hyperlink>
        </w:p>
        <w:p w14:paraId="0DE7AE4A" w14:textId="77777777" w:rsidR="009D498A" w:rsidRDefault="0029111E">
          <w:pPr>
            <w:pStyle w:val="TOC3"/>
            <w:rPr>
              <w:rFonts w:asciiTheme="minorHAnsi" w:eastAsiaTheme="minorEastAsia" w:hAnsiTheme="minorHAnsi" w:cstheme="minorBidi"/>
              <w:noProof/>
              <w:sz w:val="22"/>
              <w:szCs w:val="22"/>
              <w:lang w:eastAsia="en-AU"/>
            </w:rPr>
          </w:pPr>
          <w:hyperlink w:anchor="_Toc525122177" w:history="1">
            <w:r w:rsidR="009D498A" w:rsidRPr="00C46616">
              <w:rPr>
                <w:rStyle w:val="Hyperlink"/>
                <w:noProof/>
                <w:lang w:val="en-US" w:eastAsia="en-AU"/>
              </w:rPr>
              <w:t>4.3(b)(i) Employers’ Indemnity Supplementation Fund (EISF)</w:t>
            </w:r>
            <w:r w:rsidR="009D498A">
              <w:rPr>
                <w:noProof/>
                <w:webHidden/>
              </w:rPr>
              <w:tab/>
            </w:r>
            <w:r w:rsidR="009D498A">
              <w:rPr>
                <w:noProof/>
                <w:webHidden/>
              </w:rPr>
              <w:fldChar w:fldCharType="begin"/>
            </w:r>
            <w:r w:rsidR="009D498A">
              <w:rPr>
                <w:noProof/>
                <w:webHidden/>
              </w:rPr>
              <w:instrText xml:space="preserve"> PAGEREF _Toc525122177 \h </w:instrText>
            </w:r>
            <w:r w:rsidR="009D498A">
              <w:rPr>
                <w:noProof/>
                <w:webHidden/>
              </w:rPr>
            </w:r>
            <w:r w:rsidR="009D498A">
              <w:rPr>
                <w:noProof/>
                <w:webHidden/>
              </w:rPr>
              <w:fldChar w:fldCharType="separate"/>
            </w:r>
            <w:r w:rsidR="00C817BE">
              <w:rPr>
                <w:noProof/>
                <w:webHidden/>
              </w:rPr>
              <w:t>198</w:t>
            </w:r>
            <w:r w:rsidR="009D498A">
              <w:rPr>
                <w:noProof/>
                <w:webHidden/>
              </w:rPr>
              <w:fldChar w:fldCharType="end"/>
            </w:r>
          </w:hyperlink>
        </w:p>
        <w:p w14:paraId="0C15F918" w14:textId="77777777" w:rsidR="009D498A" w:rsidRDefault="0029111E">
          <w:pPr>
            <w:pStyle w:val="TOC3"/>
            <w:rPr>
              <w:rFonts w:asciiTheme="minorHAnsi" w:eastAsiaTheme="minorEastAsia" w:hAnsiTheme="minorHAnsi" w:cstheme="minorBidi"/>
              <w:noProof/>
              <w:sz w:val="22"/>
              <w:szCs w:val="22"/>
              <w:lang w:eastAsia="en-AU"/>
            </w:rPr>
          </w:pPr>
          <w:hyperlink w:anchor="_Toc525122178" w:history="1">
            <w:r w:rsidR="009D498A" w:rsidRPr="00C46616">
              <w:rPr>
                <w:rStyle w:val="Hyperlink"/>
                <w:noProof/>
                <w:lang w:val="en-US" w:eastAsia="en-AU"/>
              </w:rPr>
              <w:t>4.3(b)(ii) General Account</w:t>
            </w:r>
            <w:r w:rsidR="009D498A">
              <w:rPr>
                <w:noProof/>
                <w:webHidden/>
              </w:rPr>
              <w:tab/>
            </w:r>
            <w:r w:rsidR="009D498A">
              <w:rPr>
                <w:noProof/>
                <w:webHidden/>
              </w:rPr>
              <w:fldChar w:fldCharType="begin"/>
            </w:r>
            <w:r w:rsidR="009D498A">
              <w:rPr>
                <w:noProof/>
                <w:webHidden/>
              </w:rPr>
              <w:instrText xml:space="preserve"> PAGEREF _Toc525122178 \h </w:instrText>
            </w:r>
            <w:r w:rsidR="009D498A">
              <w:rPr>
                <w:noProof/>
                <w:webHidden/>
              </w:rPr>
            </w:r>
            <w:r w:rsidR="009D498A">
              <w:rPr>
                <w:noProof/>
                <w:webHidden/>
              </w:rPr>
              <w:fldChar w:fldCharType="separate"/>
            </w:r>
            <w:r w:rsidR="00C817BE">
              <w:rPr>
                <w:noProof/>
                <w:webHidden/>
              </w:rPr>
              <w:t>205</w:t>
            </w:r>
            <w:r w:rsidR="009D498A">
              <w:rPr>
                <w:noProof/>
                <w:webHidden/>
              </w:rPr>
              <w:fldChar w:fldCharType="end"/>
            </w:r>
          </w:hyperlink>
        </w:p>
        <w:p w14:paraId="4201C7A3"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79" w:history="1">
            <w:r w:rsidR="009D498A" w:rsidRPr="00C46616">
              <w:rPr>
                <w:rStyle w:val="Hyperlink"/>
                <w:noProof/>
              </w:rPr>
              <w:t>4.4</w:t>
            </w:r>
            <w:r w:rsidR="009D498A">
              <w:rPr>
                <w:rFonts w:asciiTheme="minorHAnsi" w:eastAsiaTheme="minorEastAsia" w:hAnsiTheme="minorHAnsi" w:cstheme="minorBidi"/>
                <w:noProof/>
                <w:sz w:val="22"/>
                <w:szCs w:val="22"/>
                <w:lang w:eastAsia="en-AU"/>
              </w:rPr>
              <w:tab/>
            </w:r>
            <w:r w:rsidR="009D498A" w:rsidRPr="00C46616">
              <w:rPr>
                <w:rStyle w:val="Hyperlink"/>
                <w:noProof/>
              </w:rPr>
              <w:t>Net gain/(loss) on disposal of non-current assets</w:t>
            </w:r>
            <w:r w:rsidR="009D498A">
              <w:rPr>
                <w:noProof/>
                <w:webHidden/>
              </w:rPr>
              <w:tab/>
            </w:r>
            <w:r w:rsidR="009D498A">
              <w:rPr>
                <w:noProof/>
                <w:webHidden/>
              </w:rPr>
              <w:fldChar w:fldCharType="begin"/>
            </w:r>
            <w:r w:rsidR="009D498A">
              <w:rPr>
                <w:noProof/>
                <w:webHidden/>
              </w:rPr>
              <w:instrText xml:space="preserve"> PAGEREF _Toc525122179 \h </w:instrText>
            </w:r>
            <w:r w:rsidR="009D498A">
              <w:rPr>
                <w:noProof/>
                <w:webHidden/>
              </w:rPr>
            </w:r>
            <w:r w:rsidR="009D498A">
              <w:rPr>
                <w:noProof/>
                <w:webHidden/>
              </w:rPr>
              <w:fldChar w:fldCharType="separate"/>
            </w:r>
            <w:r w:rsidR="00C817BE">
              <w:rPr>
                <w:noProof/>
                <w:webHidden/>
              </w:rPr>
              <w:t>214</w:t>
            </w:r>
            <w:r w:rsidR="009D498A">
              <w:rPr>
                <w:noProof/>
                <w:webHidden/>
              </w:rPr>
              <w:fldChar w:fldCharType="end"/>
            </w:r>
          </w:hyperlink>
        </w:p>
        <w:p w14:paraId="5954A1B6"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0" w:history="1">
            <w:r w:rsidR="009D498A" w:rsidRPr="00C46616">
              <w:rPr>
                <w:rStyle w:val="Hyperlink"/>
                <w:noProof/>
              </w:rPr>
              <w:t>4.5</w:t>
            </w:r>
            <w:r w:rsidR="009D498A">
              <w:rPr>
                <w:rFonts w:asciiTheme="minorHAnsi" w:eastAsiaTheme="minorEastAsia" w:hAnsiTheme="minorHAnsi" w:cstheme="minorBidi"/>
                <w:noProof/>
                <w:sz w:val="22"/>
                <w:szCs w:val="22"/>
                <w:lang w:eastAsia="en-AU"/>
              </w:rPr>
              <w:tab/>
            </w:r>
            <w:r w:rsidR="009D498A" w:rsidRPr="00C46616">
              <w:rPr>
                <w:rStyle w:val="Hyperlink"/>
                <w:noProof/>
              </w:rPr>
              <w:t>Other expenditures</w:t>
            </w:r>
            <w:r w:rsidR="009D498A">
              <w:rPr>
                <w:noProof/>
                <w:webHidden/>
              </w:rPr>
              <w:tab/>
            </w:r>
            <w:r w:rsidR="009D498A">
              <w:rPr>
                <w:noProof/>
                <w:webHidden/>
              </w:rPr>
              <w:fldChar w:fldCharType="begin"/>
            </w:r>
            <w:r w:rsidR="009D498A">
              <w:rPr>
                <w:noProof/>
                <w:webHidden/>
              </w:rPr>
              <w:instrText xml:space="preserve"> PAGEREF _Toc525122180 \h </w:instrText>
            </w:r>
            <w:r w:rsidR="009D498A">
              <w:rPr>
                <w:noProof/>
                <w:webHidden/>
              </w:rPr>
            </w:r>
            <w:r w:rsidR="009D498A">
              <w:rPr>
                <w:noProof/>
                <w:webHidden/>
              </w:rPr>
              <w:fldChar w:fldCharType="separate"/>
            </w:r>
            <w:r w:rsidR="00C817BE">
              <w:rPr>
                <w:noProof/>
                <w:webHidden/>
              </w:rPr>
              <w:t>215</w:t>
            </w:r>
            <w:r w:rsidR="009D498A">
              <w:rPr>
                <w:noProof/>
                <w:webHidden/>
              </w:rPr>
              <w:fldChar w:fldCharType="end"/>
            </w:r>
          </w:hyperlink>
        </w:p>
        <w:p w14:paraId="1ECCB9BB"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81" w:history="1">
            <w:r w:rsidR="009D498A" w:rsidRPr="00C46616">
              <w:rPr>
                <w:rStyle w:val="Hyperlink"/>
                <w:noProof/>
                <w:lang w:val="en-US" w:eastAsia="en-AU"/>
              </w:rPr>
              <w:t>5.</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Key assets</w:t>
            </w:r>
            <w:r w:rsidR="009D498A">
              <w:rPr>
                <w:noProof/>
                <w:webHidden/>
              </w:rPr>
              <w:tab/>
            </w:r>
            <w:r w:rsidR="009D498A">
              <w:rPr>
                <w:noProof/>
                <w:webHidden/>
              </w:rPr>
              <w:fldChar w:fldCharType="begin"/>
            </w:r>
            <w:r w:rsidR="009D498A">
              <w:rPr>
                <w:noProof/>
                <w:webHidden/>
              </w:rPr>
              <w:instrText xml:space="preserve"> PAGEREF _Toc525122181 \h </w:instrText>
            </w:r>
            <w:r w:rsidR="009D498A">
              <w:rPr>
                <w:noProof/>
                <w:webHidden/>
              </w:rPr>
            </w:r>
            <w:r w:rsidR="009D498A">
              <w:rPr>
                <w:noProof/>
                <w:webHidden/>
              </w:rPr>
              <w:fldChar w:fldCharType="separate"/>
            </w:r>
            <w:r w:rsidR="00C817BE">
              <w:rPr>
                <w:noProof/>
                <w:webHidden/>
              </w:rPr>
              <w:t>218</w:t>
            </w:r>
            <w:r w:rsidR="009D498A">
              <w:rPr>
                <w:noProof/>
                <w:webHidden/>
              </w:rPr>
              <w:fldChar w:fldCharType="end"/>
            </w:r>
          </w:hyperlink>
        </w:p>
        <w:p w14:paraId="2EFE0304"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2" w:history="1">
            <w:r w:rsidR="009D498A" w:rsidRPr="00C46616">
              <w:rPr>
                <w:rStyle w:val="Hyperlink"/>
                <w:noProof/>
              </w:rPr>
              <w:t>5.1</w:t>
            </w:r>
            <w:r w:rsidR="009D498A">
              <w:rPr>
                <w:rFonts w:asciiTheme="minorHAnsi" w:eastAsiaTheme="minorEastAsia" w:hAnsiTheme="minorHAnsi" w:cstheme="minorBidi"/>
                <w:noProof/>
                <w:sz w:val="22"/>
                <w:szCs w:val="22"/>
                <w:lang w:eastAsia="en-AU"/>
              </w:rPr>
              <w:tab/>
            </w:r>
            <w:r w:rsidR="009D498A" w:rsidRPr="00C46616">
              <w:rPr>
                <w:rStyle w:val="Hyperlink"/>
                <w:noProof/>
              </w:rPr>
              <w:t>Property, plant and equipment</w:t>
            </w:r>
            <w:r w:rsidR="009D498A">
              <w:rPr>
                <w:noProof/>
                <w:webHidden/>
              </w:rPr>
              <w:tab/>
            </w:r>
            <w:r w:rsidR="009D498A">
              <w:rPr>
                <w:noProof/>
                <w:webHidden/>
              </w:rPr>
              <w:fldChar w:fldCharType="begin"/>
            </w:r>
            <w:r w:rsidR="009D498A">
              <w:rPr>
                <w:noProof/>
                <w:webHidden/>
              </w:rPr>
              <w:instrText xml:space="preserve"> PAGEREF _Toc525122182 \h </w:instrText>
            </w:r>
            <w:r w:rsidR="009D498A">
              <w:rPr>
                <w:noProof/>
                <w:webHidden/>
              </w:rPr>
            </w:r>
            <w:r w:rsidR="009D498A">
              <w:rPr>
                <w:noProof/>
                <w:webHidden/>
              </w:rPr>
              <w:fldChar w:fldCharType="separate"/>
            </w:r>
            <w:r w:rsidR="00C817BE">
              <w:rPr>
                <w:noProof/>
                <w:webHidden/>
              </w:rPr>
              <w:t>218</w:t>
            </w:r>
            <w:r w:rsidR="009D498A">
              <w:rPr>
                <w:noProof/>
                <w:webHidden/>
              </w:rPr>
              <w:fldChar w:fldCharType="end"/>
            </w:r>
          </w:hyperlink>
        </w:p>
        <w:p w14:paraId="61C68040"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3" w:history="1">
            <w:r w:rsidR="009D498A" w:rsidRPr="00C46616">
              <w:rPr>
                <w:rStyle w:val="Hyperlink"/>
                <w:noProof/>
              </w:rPr>
              <w:t>5.2</w:t>
            </w:r>
            <w:r w:rsidR="009D498A">
              <w:rPr>
                <w:rFonts w:asciiTheme="minorHAnsi" w:eastAsiaTheme="minorEastAsia" w:hAnsiTheme="minorHAnsi" w:cstheme="minorBidi"/>
                <w:noProof/>
                <w:sz w:val="22"/>
                <w:szCs w:val="22"/>
                <w:lang w:eastAsia="en-AU"/>
              </w:rPr>
              <w:tab/>
            </w:r>
            <w:r w:rsidR="009D498A" w:rsidRPr="00C46616">
              <w:rPr>
                <w:rStyle w:val="Hyperlink"/>
                <w:noProof/>
              </w:rPr>
              <w:t>Intangible assets</w:t>
            </w:r>
            <w:r w:rsidR="009D498A">
              <w:rPr>
                <w:noProof/>
                <w:webHidden/>
              </w:rPr>
              <w:tab/>
            </w:r>
            <w:r w:rsidR="009D498A">
              <w:rPr>
                <w:noProof/>
                <w:webHidden/>
              </w:rPr>
              <w:fldChar w:fldCharType="begin"/>
            </w:r>
            <w:r w:rsidR="009D498A">
              <w:rPr>
                <w:noProof/>
                <w:webHidden/>
              </w:rPr>
              <w:instrText xml:space="preserve"> PAGEREF _Toc525122183 \h </w:instrText>
            </w:r>
            <w:r w:rsidR="009D498A">
              <w:rPr>
                <w:noProof/>
                <w:webHidden/>
              </w:rPr>
            </w:r>
            <w:r w:rsidR="009D498A">
              <w:rPr>
                <w:noProof/>
                <w:webHidden/>
              </w:rPr>
              <w:fldChar w:fldCharType="separate"/>
            </w:r>
            <w:r w:rsidR="00C817BE">
              <w:rPr>
                <w:noProof/>
                <w:webHidden/>
              </w:rPr>
              <w:t>224</w:t>
            </w:r>
            <w:r w:rsidR="009D498A">
              <w:rPr>
                <w:noProof/>
                <w:webHidden/>
              </w:rPr>
              <w:fldChar w:fldCharType="end"/>
            </w:r>
          </w:hyperlink>
        </w:p>
        <w:p w14:paraId="17330240"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84" w:history="1">
            <w:r w:rsidR="009D498A" w:rsidRPr="00C46616">
              <w:rPr>
                <w:rStyle w:val="Hyperlink"/>
                <w:noProof/>
              </w:rPr>
              <w:t>6.</w:t>
            </w:r>
            <w:r w:rsidR="009D498A">
              <w:rPr>
                <w:rFonts w:asciiTheme="minorHAnsi" w:eastAsiaTheme="minorEastAsia" w:hAnsiTheme="minorHAnsi" w:cstheme="minorBidi"/>
                <w:noProof/>
                <w:sz w:val="22"/>
                <w:szCs w:val="22"/>
                <w:lang w:eastAsia="en-AU"/>
              </w:rPr>
              <w:tab/>
            </w:r>
            <w:r w:rsidR="009D498A" w:rsidRPr="00C46616">
              <w:rPr>
                <w:rStyle w:val="Hyperlink"/>
                <w:noProof/>
              </w:rPr>
              <w:t>Other assets and liabilities</w:t>
            </w:r>
            <w:r w:rsidR="009D498A">
              <w:rPr>
                <w:noProof/>
                <w:webHidden/>
              </w:rPr>
              <w:tab/>
            </w:r>
            <w:r w:rsidR="009D498A">
              <w:rPr>
                <w:noProof/>
                <w:webHidden/>
              </w:rPr>
              <w:fldChar w:fldCharType="begin"/>
            </w:r>
            <w:r w:rsidR="009D498A">
              <w:rPr>
                <w:noProof/>
                <w:webHidden/>
              </w:rPr>
              <w:instrText xml:space="preserve"> PAGEREF _Toc525122184 \h </w:instrText>
            </w:r>
            <w:r w:rsidR="009D498A">
              <w:rPr>
                <w:noProof/>
                <w:webHidden/>
              </w:rPr>
            </w:r>
            <w:r w:rsidR="009D498A">
              <w:rPr>
                <w:noProof/>
                <w:webHidden/>
              </w:rPr>
              <w:fldChar w:fldCharType="separate"/>
            </w:r>
            <w:r w:rsidR="00C817BE">
              <w:rPr>
                <w:noProof/>
                <w:webHidden/>
              </w:rPr>
              <w:t>228</w:t>
            </w:r>
            <w:r w:rsidR="009D498A">
              <w:rPr>
                <w:noProof/>
                <w:webHidden/>
              </w:rPr>
              <w:fldChar w:fldCharType="end"/>
            </w:r>
          </w:hyperlink>
        </w:p>
        <w:p w14:paraId="1AEA136A"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5" w:history="1">
            <w:r w:rsidR="009D498A" w:rsidRPr="00C46616">
              <w:rPr>
                <w:rStyle w:val="Hyperlink"/>
                <w:noProof/>
              </w:rPr>
              <w:t>6.1</w:t>
            </w:r>
            <w:r w:rsidR="009D498A">
              <w:rPr>
                <w:rFonts w:asciiTheme="minorHAnsi" w:eastAsiaTheme="minorEastAsia" w:hAnsiTheme="minorHAnsi" w:cstheme="minorBidi"/>
                <w:noProof/>
                <w:sz w:val="22"/>
                <w:szCs w:val="22"/>
                <w:lang w:eastAsia="en-AU"/>
              </w:rPr>
              <w:tab/>
            </w:r>
            <w:r w:rsidR="009D498A" w:rsidRPr="00C46616">
              <w:rPr>
                <w:rStyle w:val="Hyperlink"/>
                <w:noProof/>
              </w:rPr>
              <w:t>Receivables</w:t>
            </w:r>
            <w:r w:rsidR="009D498A">
              <w:rPr>
                <w:noProof/>
                <w:webHidden/>
              </w:rPr>
              <w:tab/>
            </w:r>
            <w:r w:rsidR="009D498A">
              <w:rPr>
                <w:noProof/>
                <w:webHidden/>
              </w:rPr>
              <w:fldChar w:fldCharType="begin"/>
            </w:r>
            <w:r w:rsidR="009D498A">
              <w:rPr>
                <w:noProof/>
                <w:webHidden/>
              </w:rPr>
              <w:instrText xml:space="preserve"> PAGEREF _Toc525122185 \h </w:instrText>
            </w:r>
            <w:r w:rsidR="009D498A">
              <w:rPr>
                <w:noProof/>
                <w:webHidden/>
              </w:rPr>
            </w:r>
            <w:r w:rsidR="009D498A">
              <w:rPr>
                <w:noProof/>
                <w:webHidden/>
              </w:rPr>
              <w:fldChar w:fldCharType="separate"/>
            </w:r>
            <w:r w:rsidR="00C817BE">
              <w:rPr>
                <w:noProof/>
                <w:webHidden/>
              </w:rPr>
              <w:t>228</w:t>
            </w:r>
            <w:r w:rsidR="009D498A">
              <w:rPr>
                <w:noProof/>
                <w:webHidden/>
              </w:rPr>
              <w:fldChar w:fldCharType="end"/>
            </w:r>
          </w:hyperlink>
        </w:p>
        <w:p w14:paraId="20F78BE6"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6" w:history="1">
            <w:r w:rsidR="009D498A" w:rsidRPr="00C46616">
              <w:rPr>
                <w:rStyle w:val="Hyperlink"/>
                <w:noProof/>
                <w:lang w:val="en-US" w:eastAsia="en-AU"/>
              </w:rPr>
              <w:t>6.2</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Other assets</w:t>
            </w:r>
            <w:r w:rsidR="009D498A">
              <w:rPr>
                <w:noProof/>
                <w:webHidden/>
              </w:rPr>
              <w:tab/>
            </w:r>
            <w:r w:rsidR="009D498A">
              <w:rPr>
                <w:noProof/>
                <w:webHidden/>
              </w:rPr>
              <w:fldChar w:fldCharType="begin"/>
            </w:r>
            <w:r w:rsidR="009D498A">
              <w:rPr>
                <w:noProof/>
                <w:webHidden/>
              </w:rPr>
              <w:instrText xml:space="preserve"> PAGEREF _Toc525122186 \h </w:instrText>
            </w:r>
            <w:r w:rsidR="009D498A">
              <w:rPr>
                <w:noProof/>
                <w:webHidden/>
              </w:rPr>
            </w:r>
            <w:r w:rsidR="009D498A">
              <w:rPr>
                <w:noProof/>
                <w:webHidden/>
              </w:rPr>
              <w:fldChar w:fldCharType="separate"/>
            </w:r>
            <w:r w:rsidR="00C817BE">
              <w:rPr>
                <w:noProof/>
                <w:webHidden/>
              </w:rPr>
              <w:t>230</w:t>
            </w:r>
            <w:r w:rsidR="009D498A">
              <w:rPr>
                <w:noProof/>
                <w:webHidden/>
              </w:rPr>
              <w:fldChar w:fldCharType="end"/>
            </w:r>
          </w:hyperlink>
        </w:p>
        <w:p w14:paraId="53BEA77B"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87" w:history="1">
            <w:r w:rsidR="009D498A" w:rsidRPr="00C46616">
              <w:rPr>
                <w:rStyle w:val="Hyperlink"/>
                <w:noProof/>
                <w:lang w:val="en-US" w:eastAsia="en-AU"/>
              </w:rPr>
              <w:t>6.3</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Payables</w:t>
            </w:r>
            <w:r w:rsidR="009D498A">
              <w:rPr>
                <w:noProof/>
                <w:webHidden/>
              </w:rPr>
              <w:tab/>
            </w:r>
            <w:r w:rsidR="009D498A">
              <w:rPr>
                <w:noProof/>
                <w:webHidden/>
              </w:rPr>
              <w:fldChar w:fldCharType="begin"/>
            </w:r>
            <w:r w:rsidR="009D498A">
              <w:rPr>
                <w:noProof/>
                <w:webHidden/>
              </w:rPr>
              <w:instrText xml:space="preserve"> PAGEREF _Toc525122187 \h </w:instrText>
            </w:r>
            <w:r w:rsidR="009D498A">
              <w:rPr>
                <w:noProof/>
                <w:webHidden/>
              </w:rPr>
            </w:r>
            <w:r w:rsidR="009D498A">
              <w:rPr>
                <w:noProof/>
                <w:webHidden/>
              </w:rPr>
              <w:fldChar w:fldCharType="separate"/>
            </w:r>
            <w:r w:rsidR="00C817BE">
              <w:rPr>
                <w:noProof/>
                <w:webHidden/>
              </w:rPr>
              <w:t>230</w:t>
            </w:r>
            <w:r w:rsidR="009D498A">
              <w:rPr>
                <w:noProof/>
                <w:webHidden/>
              </w:rPr>
              <w:fldChar w:fldCharType="end"/>
            </w:r>
          </w:hyperlink>
        </w:p>
        <w:p w14:paraId="542C0AF9"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88" w:history="1">
            <w:r w:rsidR="009D498A" w:rsidRPr="00C46616">
              <w:rPr>
                <w:rStyle w:val="Hyperlink"/>
                <w:noProof/>
                <w:lang w:eastAsia="en-AU"/>
              </w:rPr>
              <w:t>7.</w:t>
            </w:r>
            <w:r w:rsidR="009D498A">
              <w:rPr>
                <w:rFonts w:asciiTheme="minorHAnsi" w:eastAsiaTheme="minorEastAsia" w:hAnsiTheme="minorHAnsi" w:cstheme="minorBidi"/>
                <w:noProof/>
                <w:sz w:val="22"/>
                <w:szCs w:val="22"/>
                <w:lang w:eastAsia="en-AU"/>
              </w:rPr>
              <w:tab/>
            </w:r>
            <w:r w:rsidR="009D498A" w:rsidRPr="00C46616">
              <w:rPr>
                <w:rStyle w:val="Hyperlink"/>
                <w:noProof/>
                <w:lang w:eastAsia="en-AU"/>
              </w:rPr>
              <w:t>Financing</w:t>
            </w:r>
            <w:r w:rsidR="009D498A">
              <w:rPr>
                <w:noProof/>
                <w:webHidden/>
              </w:rPr>
              <w:tab/>
            </w:r>
            <w:r w:rsidR="009D498A">
              <w:rPr>
                <w:noProof/>
                <w:webHidden/>
              </w:rPr>
              <w:fldChar w:fldCharType="begin"/>
            </w:r>
            <w:r w:rsidR="009D498A">
              <w:rPr>
                <w:noProof/>
                <w:webHidden/>
              </w:rPr>
              <w:instrText xml:space="preserve"> PAGEREF _Toc525122188 \h </w:instrText>
            </w:r>
            <w:r w:rsidR="009D498A">
              <w:rPr>
                <w:noProof/>
                <w:webHidden/>
              </w:rPr>
            </w:r>
            <w:r w:rsidR="009D498A">
              <w:rPr>
                <w:noProof/>
                <w:webHidden/>
              </w:rPr>
              <w:fldChar w:fldCharType="separate"/>
            </w:r>
            <w:r w:rsidR="00C817BE">
              <w:rPr>
                <w:noProof/>
                <w:webHidden/>
              </w:rPr>
              <w:t>231</w:t>
            </w:r>
            <w:r w:rsidR="009D498A">
              <w:rPr>
                <w:noProof/>
                <w:webHidden/>
              </w:rPr>
              <w:fldChar w:fldCharType="end"/>
            </w:r>
          </w:hyperlink>
        </w:p>
        <w:p w14:paraId="38ADE4E0" w14:textId="77777777" w:rsidR="009D498A" w:rsidRDefault="0029111E">
          <w:pPr>
            <w:pStyle w:val="TOC3"/>
            <w:rPr>
              <w:rFonts w:asciiTheme="minorHAnsi" w:eastAsiaTheme="minorEastAsia" w:hAnsiTheme="minorHAnsi" w:cstheme="minorBidi"/>
              <w:noProof/>
              <w:sz w:val="22"/>
              <w:szCs w:val="22"/>
              <w:lang w:eastAsia="en-AU"/>
            </w:rPr>
          </w:pPr>
          <w:hyperlink w:anchor="_Toc525122189" w:history="1">
            <w:r w:rsidR="009D498A" w:rsidRPr="00C46616">
              <w:rPr>
                <w:rStyle w:val="Hyperlink"/>
                <w:noProof/>
                <w:lang w:eastAsia="en-AU"/>
              </w:rPr>
              <w:t>7.1 Cash and cash equivalents</w:t>
            </w:r>
            <w:r w:rsidR="009D498A">
              <w:rPr>
                <w:noProof/>
                <w:webHidden/>
              </w:rPr>
              <w:tab/>
            </w:r>
            <w:r w:rsidR="009D498A">
              <w:rPr>
                <w:noProof/>
                <w:webHidden/>
              </w:rPr>
              <w:fldChar w:fldCharType="begin"/>
            </w:r>
            <w:r w:rsidR="009D498A">
              <w:rPr>
                <w:noProof/>
                <w:webHidden/>
              </w:rPr>
              <w:instrText xml:space="preserve"> PAGEREF _Toc525122189 \h </w:instrText>
            </w:r>
            <w:r w:rsidR="009D498A">
              <w:rPr>
                <w:noProof/>
                <w:webHidden/>
              </w:rPr>
            </w:r>
            <w:r w:rsidR="009D498A">
              <w:rPr>
                <w:noProof/>
                <w:webHidden/>
              </w:rPr>
              <w:fldChar w:fldCharType="separate"/>
            </w:r>
            <w:r w:rsidR="00C817BE">
              <w:rPr>
                <w:noProof/>
                <w:webHidden/>
              </w:rPr>
              <w:t>232</w:t>
            </w:r>
            <w:r w:rsidR="009D498A">
              <w:rPr>
                <w:noProof/>
                <w:webHidden/>
              </w:rPr>
              <w:fldChar w:fldCharType="end"/>
            </w:r>
          </w:hyperlink>
        </w:p>
        <w:p w14:paraId="023226DE" w14:textId="77777777" w:rsidR="009D498A" w:rsidRDefault="0029111E">
          <w:pPr>
            <w:pStyle w:val="TOC3"/>
            <w:rPr>
              <w:rFonts w:asciiTheme="minorHAnsi" w:eastAsiaTheme="minorEastAsia" w:hAnsiTheme="minorHAnsi" w:cstheme="minorBidi"/>
              <w:noProof/>
              <w:sz w:val="22"/>
              <w:szCs w:val="22"/>
              <w:lang w:eastAsia="en-AU"/>
            </w:rPr>
          </w:pPr>
          <w:hyperlink w:anchor="_Toc525122190" w:history="1">
            <w:r w:rsidR="009D498A" w:rsidRPr="00C46616">
              <w:rPr>
                <w:rStyle w:val="Hyperlink"/>
                <w:noProof/>
                <w:lang w:eastAsia="en-AU"/>
              </w:rPr>
              <w:t>7.2 Other financial assets</w:t>
            </w:r>
            <w:r w:rsidR="009D498A">
              <w:rPr>
                <w:noProof/>
                <w:webHidden/>
              </w:rPr>
              <w:tab/>
            </w:r>
            <w:r w:rsidR="009D498A">
              <w:rPr>
                <w:noProof/>
                <w:webHidden/>
              </w:rPr>
              <w:fldChar w:fldCharType="begin"/>
            </w:r>
            <w:r w:rsidR="009D498A">
              <w:rPr>
                <w:noProof/>
                <w:webHidden/>
              </w:rPr>
              <w:instrText xml:space="preserve"> PAGEREF _Toc525122190 \h </w:instrText>
            </w:r>
            <w:r w:rsidR="009D498A">
              <w:rPr>
                <w:noProof/>
                <w:webHidden/>
              </w:rPr>
            </w:r>
            <w:r w:rsidR="009D498A">
              <w:rPr>
                <w:noProof/>
                <w:webHidden/>
              </w:rPr>
              <w:fldChar w:fldCharType="separate"/>
            </w:r>
            <w:r w:rsidR="00C817BE">
              <w:rPr>
                <w:noProof/>
                <w:webHidden/>
              </w:rPr>
              <w:t>235</w:t>
            </w:r>
            <w:r w:rsidR="009D498A">
              <w:rPr>
                <w:noProof/>
                <w:webHidden/>
              </w:rPr>
              <w:fldChar w:fldCharType="end"/>
            </w:r>
          </w:hyperlink>
        </w:p>
        <w:p w14:paraId="5909BCAF"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91" w:history="1">
            <w:r w:rsidR="009D498A" w:rsidRPr="00C46616">
              <w:rPr>
                <w:rStyle w:val="Hyperlink"/>
                <w:noProof/>
                <w:lang w:eastAsia="en-AU"/>
              </w:rPr>
              <w:t>7.2</w:t>
            </w:r>
            <w:r w:rsidR="009D498A">
              <w:rPr>
                <w:rFonts w:asciiTheme="minorHAnsi" w:eastAsiaTheme="minorEastAsia" w:hAnsiTheme="minorHAnsi" w:cstheme="minorBidi"/>
                <w:noProof/>
                <w:sz w:val="22"/>
                <w:szCs w:val="22"/>
                <w:lang w:eastAsia="en-AU"/>
              </w:rPr>
              <w:tab/>
            </w:r>
            <w:r w:rsidR="009D498A" w:rsidRPr="00C46616">
              <w:rPr>
                <w:rStyle w:val="Hyperlink"/>
                <w:noProof/>
                <w:lang w:eastAsia="en-AU"/>
              </w:rPr>
              <w:t>Commitments</w:t>
            </w:r>
            <w:r w:rsidR="009D498A">
              <w:rPr>
                <w:noProof/>
                <w:webHidden/>
              </w:rPr>
              <w:tab/>
            </w:r>
            <w:r w:rsidR="009D498A">
              <w:rPr>
                <w:noProof/>
                <w:webHidden/>
              </w:rPr>
              <w:fldChar w:fldCharType="begin"/>
            </w:r>
            <w:r w:rsidR="009D498A">
              <w:rPr>
                <w:noProof/>
                <w:webHidden/>
              </w:rPr>
              <w:instrText xml:space="preserve"> PAGEREF _Toc525122191 \h </w:instrText>
            </w:r>
            <w:r w:rsidR="009D498A">
              <w:rPr>
                <w:noProof/>
                <w:webHidden/>
              </w:rPr>
            </w:r>
            <w:r w:rsidR="009D498A">
              <w:rPr>
                <w:noProof/>
                <w:webHidden/>
              </w:rPr>
              <w:fldChar w:fldCharType="separate"/>
            </w:r>
            <w:r w:rsidR="00C817BE">
              <w:rPr>
                <w:noProof/>
                <w:webHidden/>
              </w:rPr>
              <w:t>235</w:t>
            </w:r>
            <w:r w:rsidR="009D498A">
              <w:rPr>
                <w:noProof/>
                <w:webHidden/>
              </w:rPr>
              <w:fldChar w:fldCharType="end"/>
            </w:r>
          </w:hyperlink>
        </w:p>
        <w:p w14:paraId="65985B98"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92" w:history="1">
            <w:r w:rsidR="009D498A" w:rsidRPr="00C46616">
              <w:rPr>
                <w:rStyle w:val="Hyperlink"/>
                <w:noProof/>
                <w:lang w:eastAsia="en-AU"/>
              </w:rPr>
              <w:t>8.</w:t>
            </w:r>
            <w:r w:rsidR="009D498A">
              <w:rPr>
                <w:rFonts w:asciiTheme="minorHAnsi" w:eastAsiaTheme="minorEastAsia" w:hAnsiTheme="minorHAnsi" w:cstheme="minorBidi"/>
                <w:noProof/>
                <w:sz w:val="22"/>
                <w:szCs w:val="22"/>
                <w:lang w:eastAsia="en-AU"/>
              </w:rPr>
              <w:tab/>
            </w:r>
            <w:r w:rsidR="009D498A" w:rsidRPr="00C46616">
              <w:rPr>
                <w:rStyle w:val="Hyperlink"/>
                <w:noProof/>
                <w:lang w:eastAsia="en-AU"/>
              </w:rPr>
              <w:t>Risks and Contingencies</w:t>
            </w:r>
            <w:r w:rsidR="009D498A">
              <w:rPr>
                <w:noProof/>
                <w:webHidden/>
              </w:rPr>
              <w:tab/>
            </w:r>
            <w:r w:rsidR="009D498A">
              <w:rPr>
                <w:noProof/>
                <w:webHidden/>
              </w:rPr>
              <w:fldChar w:fldCharType="begin"/>
            </w:r>
            <w:r w:rsidR="009D498A">
              <w:rPr>
                <w:noProof/>
                <w:webHidden/>
              </w:rPr>
              <w:instrText xml:space="preserve"> PAGEREF _Toc525122192 \h </w:instrText>
            </w:r>
            <w:r w:rsidR="009D498A">
              <w:rPr>
                <w:noProof/>
                <w:webHidden/>
              </w:rPr>
            </w:r>
            <w:r w:rsidR="009D498A">
              <w:rPr>
                <w:noProof/>
                <w:webHidden/>
              </w:rPr>
              <w:fldChar w:fldCharType="separate"/>
            </w:r>
            <w:r w:rsidR="00C817BE">
              <w:rPr>
                <w:noProof/>
                <w:webHidden/>
              </w:rPr>
              <w:t>236</w:t>
            </w:r>
            <w:r w:rsidR="009D498A">
              <w:rPr>
                <w:noProof/>
                <w:webHidden/>
              </w:rPr>
              <w:fldChar w:fldCharType="end"/>
            </w:r>
          </w:hyperlink>
        </w:p>
        <w:p w14:paraId="20FEB4C8" w14:textId="77777777" w:rsidR="009D498A" w:rsidRDefault="0029111E">
          <w:pPr>
            <w:pStyle w:val="TOC3"/>
            <w:rPr>
              <w:rFonts w:asciiTheme="minorHAnsi" w:eastAsiaTheme="minorEastAsia" w:hAnsiTheme="minorHAnsi" w:cstheme="minorBidi"/>
              <w:noProof/>
              <w:sz w:val="22"/>
              <w:szCs w:val="22"/>
              <w:lang w:eastAsia="en-AU"/>
            </w:rPr>
          </w:pPr>
          <w:hyperlink w:anchor="_Toc525122193" w:history="1">
            <w:r w:rsidR="009D498A" w:rsidRPr="00C46616">
              <w:rPr>
                <w:rStyle w:val="Hyperlink"/>
                <w:noProof/>
                <w:lang w:eastAsia="en-AU"/>
              </w:rPr>
              <w:t>8.1 Financial risk management</w:t>
            </w:r>
            <w:r w:rsidR="009D498A">
              <w:rPr>
                <w:noProof/>
                <w:webHidden/>
              </w:rPr>
              <w:tab/>
            </w:r>
            <w:r w:rsidR="009D498A">
              <w:rPr>
                <w:noProof/>
                <w:webHidden/>
              </w:rPr>
              <w:fldChar w:fldCharType="begin"/>
            </w:r>
            <w:r w:rsidR="009D498A">
              <w:rPr>
                <w:noProof/>
                <w:webHidden/>
              </w:rPr>
              <w:instrText xml:space="preserve"> PAGEREF _Toc525122193 \h </w:instrText>
            </w:r>
            <w:r w:rsidR="009D498A">
              <w:rPr>
                <w:noProof/>
                <w:webHidden/>
              </w:rPr>
            </w:r>
            <w:r w:rsidR="009D498A">
              <w:rPr>
                <w:noProof/>
                <w:webHidden/>
              </w:rPr>
              <w:fldChar w:fldCharType="separate"/>
            </w:r>
            <w:r w:rsidR="00C817BE">
              <w:rPr>
                <w:noProof/>
                <w:webHidden/>
              </w:rPr>
              <w:t>236</w:t>
            </w:r>
            <w:r w:rsidR="009D498A">
              <w:rPr>
                <w:noProof/>
                <w:webHidden/>
              </w:rPr>
              <w:fldChar w:fldCharType="end"/>
            </w:r>
          </w:hyperlink>
        </w:p>
        <w:p w14:paraId="666A18F9" w14:textId="77777777" w:rsidR="009D498A" w:rsidRDefault="0029111E">
          <w:pPr>
            <w:pStyle w:val="TOC3"/>
            <w:rPr>
              <w:rFonts w:asciiTheme="minorHAnsi" w:eastAsiaTheme="minorEastAsia" w:hAnsiTheme="minorHAnsi" w:cstheme="minorBidi"/>
              <w:noProof/>
              <w:sz w:val="22"/>
              <w:szCs w:val="22"/>
              <w:lang w:eastAsia="en-AU"/>
            </w:rPr>
          </w:pPr>
          <w:hyperlink w:anchor="_Toc525122194" w:history="1">
            <w:r w:rsidR="009D498A" w:rsidRPr="00C46616">
              <w:rPr>
                <w:rStyle w:val="Hyperlink"/>
                <w:noProof/>
                <w:lang w:val="en-US" w:eastAsia="en-AU"/>
              </w:rPr>
              <w:t>8.2 Contingent assets and liabilities</w:t>
            </w:r>
            <w:r w:rsidR="009D498A">
              <w:rPr>
                <w:noProof/>
                <w:webHidden/>
              </w:rPr>
              <w:tab/>
            </w:r>
            <w:r w:rsidR="009D498A">
              <w:rPr>
                <w:noProof/>
                <w:webHidden/>
              </w:rPr>
              <w:fldChar w:fldCharType="begin"/>
            </w:r>
            <w:r w:rsidR="009D498A">
              <w:rPr>
                <w:noProof/>
                <w:webHidden/>
              </w:rPr>
              <w:instrText xml:space="preserve"> PAGEREF _Toc525122194 \h </w:instrText>
            </w:r>
            <w:r w:rsidR="009D498A">
              <w:rPr>
                <w:noProof/>
                <w:webHidden/>
              </w:rPr>
            </w:r>
            <w:r w:rsidR="009D498A">
              <w:rPr>
                <w:noProof/>
                <w:webHidden/>
              </w:rPr>
              <w:fldChar w:fldCharType="separate"/>
            </w:r>
            <w:r w:rsidR="00C817BE">
              <w:rPr>
                <w:noProof/>
                <w:webHidden/>
              </w:rPr>
              <w:t>246</w:t>
            </w:r>
            <w:r w:rsidR="009D498A">
              <w:rPr>
                <w:noProof/>
                <w:webHidden/>
              </w:rPr>
              <w:fldChar w:fldCharType="end"/>
            </w:r>
          </w:hyperlink>
        </w:p>
        <w:p w14:paraId="0F4CEAC4" w14:textId="77777777" w:rsidR="009D498A" w:rsidRDefault="0029111E">
          <w:pPr>
            <w:pStyle w:val="TOC3"/>
            <w:rPr>
              <w:rFonts w:asciiTheme="minorHAnsi" w:eastAsiaTheme="minorEastAsia" w:hAnsiTheme="minorHAnsi" w:cstheme="minorBidi"/>
              <w:noProof/>
              <w:sz w:val="22"/>
              <w:szCs w:val="22"/>
              <w:lang w:eastAsia="en-AU"/>
            </w:rPr>
          </w:pPr>
          <w:hyperlink w:anchor="_Toc525122195" w:history="1">
            <w:r w:rsidR="009D498A" w:rsidRPr="00C46616">
              <w:rPr>
                <w:rStyle w:val="Hyperlink"/>
                <w:noProof/>
                <w:lang w:val="en-US" w:eastAsia="en-AU"/>
              </w:rPr>
              <w:t>8.3 Fair value measurements</w:t>
            </w:r>
            <w:r w:rsidR="009D498A">
              <w:rPr>
                <w:noProof/>
                <w:webHidden/>
              </w:rPr>
              <w:tab/>
            </w:r>
            <w:r w:rsidR="009D498A">
              <w:rPr>
                <w:noProof/>
                <w:webHidden/>
              </w:rPr>
              <w:fldChar w:fldCharType="begin"/>
            </w:r>
            <w:r w:rsidR="009D498A">
              <w:rPr>
                <w:noProof/>
                <w:webHidden/>
              </w:rPr>
              <w:instrText xml:space="preserve"> PAGEREF _Toc525122195 \h </w:instrText>
            </w:r>
            <w:r w:rsidR="009D498A">
              <w:rPr>
                <w:noProof/>
                <w:webHidden/>
              </w:rPr>
            </w:r>
            <w:r w:rsidR="009D498A">
              <w:rPr>
                <w:noProof/>
                <w:webHidden/>
              </w:rPr>
              <w:fldChar w:fldCharType="separate"/>
            </w:r>
            <w:r w:rsidR="00C817BE">
              <w:rPr>
                <w:noProof/>
                <w:webHidden/>
              </w:rPr>
              <w:t>246</w:t>
            </w:r>
            <w:r w:rsidR="009D498A">
              <w:rPr>
                <w:noProof/>
                <w:webHidden/>
              </w:rPr>
              <w:fldChar w:fldCharType="end"/>
            </w:r>
          </w:hyperlink>
        </w:p>
        <w:p w14:paraId="14D720AC" w14:textId="77777777" w:rsidR="009D498A" w:rsidRDefault="0029111E">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25122196" w:history="1">
            <w:r w:rsidR="009D498A" w:rsidRPr="00C46616">
              <w:rPr>
                <w:rStyle w:val="Hyperlink"/>
                <w:noProof/>
                <w:lang w:val="en-US" w:eastAsia="en-AU"/>
              </w:rPr>
              <w:t>9.</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Other disclosures</w:t>
            </w:r>
            <w:r w:rsidR="009D498A">
              <w:rPr>
                <w:noProof/>
                <w:webHidden/>
              </w:rPr>
              <w:tab/>
            </w:r>
            <w:r w:rsidR="009D498A">
              <w:rPr>
                <w:noProof/>
                <w:webHidden/>
              </w:rPr>
              <w:fldChar w:fldCharType="begin"/>
            </w:r>
            <w:r w:rsidR="009D498A">
              <w:rPr>
                <w:noProof/>
                <w:webHidden/>
              </w:rPr>
              <w:instrText xml:space="preserve"> PAGEREF _Toc525122196 \h </w:instrText>
            </w:r>
            <w:r w:rsidR="009D498A">
              <w:rPr>
                <w:noProof/>
                <w:webHidden/>
              </w:rPr>
            </w:r>
            <w:r w:rsidR="009D498A">
              <w:rPr>
                <w:noProof/>
                <w:webHidden/>
              </w:rPr>
              <w:fldChar w:fldCharType="separate"/>
            </w:r>
            <w:r w:rsidR="00C817BE">
              <w:rPr>
                <w:noProof/>
                <w:webHidden/>
              </w:rPr>
              <w:t>247</w:t>
            </w:r>
            <w:r w:rsidR="009D498A">
              <w:rPr>
                <w:noProof/>
                <w:webHidden/>
              </w:rPr>
              <w:fldChar w:fldCharType="end"/>
            </w:r>
          </w:hyperlink>
        </w:p>
        <w:p w14:paraId="1C0D1431"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97" w:history="1">
            <w:r w:rsidR="009D498A" w:rsidRPr="00C46616">
              <w:rPr>
                <w:rStyle w:val="Hyperlink"/>
                <w:noProof/>
                <w:lang w:val="en-US" w:eastAsia="en-AU"/>
              </w:rPr>
              <w:t>9.1</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Events occurring after the end of the reporting period</w:t>
            </w:r>
            <w:r w:rsidR="009D498A">
              <w:rPr>
                <w:noProof/>
                <w:webHidden/>
              </w:rPr>
              <w:tab/>
            </w:r>
            <w:r w:rsidR="009D498A">
              <w:rPr>
                <w:noProof/>
                <w:webHidden/>
              </w:rPr>
              <w:fldChar w:fldCharType="begin"/>
            </w:r>
            <w:r w:rsidR="009D498A">
              <w:rPr>
                <w:noProof/>
                <w:webHidden/>
              </w:rPr>
              <w:instrText xml:space="preserve"> PAGEREF _Toc525122197 \h </w:instrText>
            </w:r>
            <w:r w:rsidR="009D498A">
              <w:rPr>
                <w:noProof/>
                <w:webHidden/>
              </w:rPr>
            </w:r>
            <w:r w:rsidR="009D498A">
              <w:rPr>
                <w:noProof/>
                <w:webHidden/>
              </w:rPr>
              <w:fldChar w:fldCharType="separate"/>
            </w:r>
            <w:r w:rsidR="00C817BE">
              <w:rPr>
                <w:noProof/>
                <w:webHidden/>
              </w:rPr>
              <w:t>248</w:t>
            </w:r>
            <w:r w:rsidR="009D498A">
              <w:rPr>
                <w:noProof/>
                <w:webHidden/>
              </w:rPr>
              <w:fldChar w:fldCharType="end"/>
            </w:r>
          </w:hyperlink>
        </w:p>
        <w:p w14:paraId="3CCC6DFF"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98" w:history="1">
            <w:r w:rsidR="009D498A" w:rsidRPr="00C46616">
              <w:rPr>
                <w:rStyle w:val="Hyperlink"/>
                <w:noProof/>
                <w:lang w:val="en-US" w:eastAsia="en-AU"/>
              </w:rPr>
              <w:t>9.2</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Future impact of Australian Accounting Standards not yet operative</w:t>
            </w:r>
            <w:r w:rsidR="009D498A">
              <w:rPr>
                <w:noProof/>
                <w:webHidden/>
              </w:rPr>
              <w:tab/>
            </w:r>
            <w:r w:rsidR="009D498A">
              <w:rPr>
                <w:noProof/>
                <w:webHidden/>
              </w:rPr>
              <w:fldChar w:fldCharType="begin"/>
            </w:r>
            <w:r w:rsidR="009D498A">
              <w:rPr>
                <w:noProof/>
                <w:webHidden/>
              </w:rPr>
              <w:instrText xml:space="preserve"> PAGEREF _Toc525122198 \h </w:instrText>
            </w:r>
            <w:r w:rsidR="009D498A">
              <w:rPr>
                <w:noProof/>
                <w:webHidden/>
              </w:rPr>
            </w:r>
            <w:r w:rsidR="009D498A">
              <w:rPr>
                <w:noProof/>
                <w:webHidden/>
              </w:rPr>
              <w:fldChar w:fldCharType="separate"/>
            </w:r>
            <w:r w:rsidR="00C817BE">
              <w:rPr>
                <w:noProof/>
                <w:webHidden/>
              </w:rPr>
              <w:t>248</w:t>
            </w:r>
            <w:r w:rsidR="009D498A">
              <w:rPr>
                <w:noProof/>
                <w:webHidden/>
              </w:rPr>
              <w:fldChar w:fldCharType="end"/>
            </w:r>
          </w:hyperlink>
        </w:p>
        <w:p w14:paraId="09A4B372"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199" w:history="1">
            <w:r w:rsidR="009D498A" w:rsidRPr="00C46616">
              <w:rPr>
                <w:rStyle w:val="Hyperlink"/>
                <w:noProof/>
                <w:lang w:val="en-US" w:eastAsia="en-AU"/>
              </w:rPr>
              <w:t>9.3</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Key management personnel</w:t>
            </w:r>
            <w:r w:rsidR="009D498A">
              <w:rPr>
                <w:noProof/>
                <w:webHidden/>
              </w:rPr>
              <w:tab/>
            </w:r>
            <w:r w:rsidR="009D498A">
              <w:rPr>
                <w:noProof/>
                <w:webHidden/>
              </w:rPr>
              <w:fldChar w:fldCharType="begin"/>
            </w:r>
            <w:r w:rsidR="009D498A">
              <w:rPr>
                <w:noProof/>
                <w:webHidden/>
              </w:rPr>
              <w:instrText xml:space="preserve"> PAGEREF _Toc525122199 \h </w:instrText>
            </w:r>
            <w:r w:rsidR="009D498A">
              <w:rPr>
                <w:noProof/>
                <w:webHidden/>
              </w:rPr>
            </w:r>
            <w:r w:rsidR="009D498A">
              <w:rPr>
                <w:noProof/>
                <w:webHidden/>
              </w:rPr>
              <w:fldChar w:fldCharType="separate"/>
            </w:r>
            <w:r w:rsidR="00C817BE">
              <w:rPr>
                <w:noProof/>
                <w:webHidden/>
              </w:rPr>
              <w:t>253</w:t>
            </w:r>
            <w:r w:rsidR="009D498A">
              <w:rPr>
                <w:noProof/>
                <w:webHidden/>
              </w:rPr>
              <w:fldChar w:fldCharType="end"/>
            </w:r>
          </w:hyperlink>
        </w:p>
        <w:p w14:paraId="0E84CDCC"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0" w:history="1">
            <w:r w:rsidR="009D498A" w:rsidRPr="00C46616">
              <w:rPr>
                <w:rStyle w:val="Hyperlink"/>
                <w:noProof/>
                <w:lang w:val="en-US" w:eastAsia="en-AU"/>
              </w:rPr>
              <w:t>9.4</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Related parties</w:t>
            </w:r>
            <w:r w:rsidR="009D498A">
              <w:rPr>
                <w:noProof/>
                <w:webHidden/>
              </w:rPr>
              <w:tab/>
            </w:r>
            <w:r w:rsidR="009D498A">
              <w:rPr>
                <w:noProof/>
                <w:webHidden/>
              </w:rPr>
              <w:fldChar w:fldCharType="begin"/>
            </w:r>
            <w:r w:rsidR="009D498A">
              <w:rPr>
                <w:noProof/>
                <w:webHidden/>
              </w:rPr>
              <w:instrText xml:space="preserve"> PAGEREF _Toc525122200 \h </w:instrText>
            </w:r>
            <w:r w:rsidR="009D498A">
              <w:rPr>
                <w:noProof/>
                <w:webHidden/>
              </w:rPr>
            </w:r>
            <w:r w:rsidR="009D498A">
              <w:rPr>
                <w:noProof/>
                <w:webHidden/>
              </w:rPr>
              <w:fldChar w:fldCharType="separate"/>
            </w:r>
            <w:r w:rsidR="00C817BE">
              <w:rPr>
                <w:noProof/>
                <w:webHidden/>
              </w:rPr>
              <w:t>255</w:t>
            </w:r>
            <w:r w:rsidR="009D498A">
              <w:rPr>
                <w:noProof/>
                <w:webHidden/>
              </w:rPr>
              <w:fldChar w:fldCharType="end"/>
            </w:r>
          </w:hyperlink>
        </w:p>
        <w:p w14:paraId="17D7B320"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1" w:history="1">
            <w:r w:rsidR="009D498A" w:rsidRPr="00C46616">
              <w:rPr>
                <w:rStyle w:val="Hyperlink"/>
                <w:noProof/>
                <w:lang w:val="en-US" w:eastAsia="en-AU"/>
              </w:rPr>
              <w:t>9.5</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Related bodies</w:t>
            </w:r>
            <w:r w:rsidR="009D498A">
              <w:rPr>
                <w:noProof/>
                <w:webHidden/>
              </w:rPr>
              <w:tab/>
            </w:r>
            <w:r w:rsidR="009D498A">
              <w:rPr>
                <w:noProof/>
                <w:webHidden/>
              </w:rPr>
              <w:fldChar w:fldCharType="begin"/>
            </w:r>
            <w:r w:rsidR="009D498A">
              <w:rPr>
                <w:noProof/>
                <w:webHidden/>
              </w:rPr>
              <w:instrText xml:space="preserve"> PAGEREF _Toc525122201 \h </w:instrText>
            </w:r>
            <w:r w:rsidR="009D498A">
              <w:rPr>
                <w:noProof/>
                <w:webHidden/>
              </w:rPr>
            </w:r>
            <w:r w:rsidR="009D498A">
              <w:rPr>
                <w:noProof/>
                <w:webHidden/>
              </w:rPr>
              <w:fldChar w:fldCharType="separate"/>
            </w:r>
            <w:r w:rsidR="00C817BE">
              <w:rPr>
                <w:noProof/>
                <w:webHidden/>
              </w:rPr>
              <w:t>257</w:t>
            </w:r>
            <w:r w:rsidR="009D498A">
              <w:rPr>
                <w:noProof/>
                <w:webHidden/>
              </w:rPr>
              <w:fldChar w:fldCharType="end"/>
            </w:r>
          </w:hyperlink>
        </w:p>
        <w:p w14:paraId="48FF85F3"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2" w:history="1">
            <w:r w:rsidR="009D498A" w:rsidRPr="00C46616">
              <w:rPr>
                <w:rStyle w:val="Hyperlink"/>
                <w:noProof/>
                <w:lang w:val="en-US" w:eastAsia="en-AU"/>
              </w:rPr>
              <w:t>9.6</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Affiliated bodies</w:t>
            </w:r>
            <w:r w:rsidR="009D498A">
              <w:rPr>
                <w:noProof/>
                <w:webHidden/>
              </w:rPr>
              <w:tab/>
            </w:r>
            <w:r w:rsidR="009D498A">
              <w:rPr>
                <w:noProof/>
                <w:webHidden/>
              </w:rPr>
              <w:fldChar w:fldCharType="begin"/>
            </w:r>
            <w:r w:rsidR="009D498A">
              <w:rPr>
                <w:noProof/>
                <w:webHidden/>
              </w:rPr>
              <w:instrText xml:space="preserve"> PAGEREF _Toc525122202 \h </w:instrText>
            </w:r>
            <w:r w:rsidR="009D498A">
              <w:rPr>
                <w:noProof/>
                <w:webHidden/>
              </w:rPr>
            </w:r>
            <w:r w:rsidR="009D498A">
              <w:rPr>
                <w:noProof/>
                <w:webHidden/>
              </w:rPr>
              <w:fldChar w:fldCharType="separate"/>
            </w:r>
            <w:r w:rsidR="00C817BE">
              <w:rPr>
                <w:noProof/>
                <w:webHidden/>
              </w:rPr>
              <w:t>257</w:t>
            </w:r>
            <w:r w:rsidR="009D498A">
              <w:rPr>
                <w:noProof/>
                <w:webHidden/>
              </w:rPr>
              <w:fldChar w:fldCharType="end"/>
            </w:r>
          </w:hyperlink>
        </w:p>
        <w:p w14:paraId="0DC2A561"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3" w:history="1">
            <w:r w:rsidR="009D498A" w:rsidRPr="00C46616">
              <w:rPr>
                <w:rStyle w:val="Hyperlink"/>
                <w:noProof/>
                <w:lang w:val="en-US" w:eastAsia="en-AU"/>
              </w:rPr>
              <w:t>9.7</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Indian Ocean Territories</w:t>
            </w:r>
            <w:r w:rsidR="009D498A">
              <w:rPr>
                <w:noProof/>
                <w:webHidden/>
              </w:rPr>
              <w:tab/>
            </w:r>
            <w:r w:rsidR="009D498A">
              <w:rPr>
                <w:noProof/>
                <w:webHidden/>
              </w:rPr>
              <w:fldChar w:fldCharType="begin"/>
            </w:r>
            <w:r w:rsidR="009D498A">
              <w:rPr>
                <w:noProof/>
                <w:webHidden/>
              </w:rPr>
              <w:instrText xml:space="preserve"> PAGEREF _Toc525122203 \h </w:instrText>
            </w:r>
            <w:r w:rsidR="009D498A">
              <w:rPr>
                <w:noProof/>
                <w:webHidden/>
              </w:rPr>
            </w:r>
            <w:r w:rsidR="009D498A">
              <w:rPr>
                <w:noProof/>
                <w:webHidden/>
              </w:rPr>
              <w:fldChar w:fldCharType="separate"/>
            </w:r>
            <w:r w:rsidR="00C817BE">
              <w:rPr>
                <w:noProof/>
                <w:webHidden/>
              </w:rPr>
              <w:t>257</w:t>
            </w:r>
            <w:r w:rsidR="009D498A">
              <w:rPr>
                <w:noProof/>
                <w:webHidden/>
              </w:rPr>
              <w:fldChar w:fldCharType="end"/>
            </w:r>
          </w:hyperlink>
        </w:p>
        <w:p w14:paraId="7F4F3581"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4" w:history="1">
            <w:r w:rsidR="009D498A" w:rsidRPr="00C46616">
              <w:rPr>
                <w:rStyle w:val="Hyperlink"/>
                <w:noProof/>
                <w:lang w:val="en-US" w:eastAsia="en-AU"/>
              </w:rPr>
              <w:t>9.8</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Workers’ Compensation and Injury Management Trust Account</w:t>
            </w:r>
            <w:r w:rsidR="009D498A">
              <w:rPr>
                <w:noProof/>
                <w:webHidden/>
              </w:rPr>
              <w:tab/>
            </w:r>
            <w:r w:rsidR="009D498A">
              <w:rPr>
                <w:noProof/>
                <w:webHidden/>
              </w:rPr>
              <w:fldChar w:fldCharType="begin"/>
            </w:r>
            <w:r w:rsidR="009D498A">
              <w:rPr>
                <w:noProof/>
                <w:webHidden/>
              </w:rPr>
              <w:instrText xml:space="preserve"> PAGEREF _Toc525122204 \h </w:instrText>
            </w:r>
            <w:r w:rsidR="009D498A">
              <w:rPr>
                <w:noProof/>
                <w:webHidden/>
              </w:rPr>
            </w:r>
            <w:r w:rsidR="009D498A">
              <w:rPr>
                <w:noProof/>
                <w:webHidden/>
              </w:rPr>
              <w:fldChar w:fldCharType="separate"/>
            </w:r>
            <w:r w:rsidR="00C817BE">
              <w:rPr>
                <w:noProof/>
                <w:webHidden/>
              </w:rPr>
              <w:t>258</w:t>
            </w:r>
            <w:r w:rsidR="009D498A">
              <w:rPr>
                <w:noProof/>
                <w:webHidden/>
              </w:rPr>
              <w:fldChar w:fldCharType="end"/>
            </w:r>
          </w:hyperlink>
        </w:p>
        <w:p w14:paraId="1CC489B4" w14:textId="77777777" w:rsidR="009D498A" w:rsidRDefault="0029111E">
          <w:pPr>
            <w:pStyle w:val="TOC3"/>
            <w:tabs>
              <w:tab w:val="left" w:pos="1100"/>
            </w:tabs>
            <w:rPr>
              <w:rFonts w:asciiTheme="minorHAnsi" w:eastAsiaTheme="minorEastAsia" w:hAnsiTheme="minorHAnsi" w:cstheme="minorBidi"/>
              <w:noProof/>
              <w:sz w:val="22"/>
              <w:szCs w:val="22"/>
              <w:lang w:eastAsia="en-AU"/>
            </w:rPr>
          </w:pPr>
          <w:hyperlink w:anchor="_Toc525122205" w:history="1">
            <w:r w:rsidR="009D498A" w:rsidRPr="00C46616">
              <w:rPr>
                <w:rStyle w:val="Hyperlink"/>
                <w:noProof/>
                <w:lang w:val="en-US" w:eastAsia="en-AU"/>
              </w:rPr>
              <w:t>9.9</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Remuneration of auditor</w:t>
            </w:r>
            <w:r w:rsidR="009D498A">
              <w:rPr>
                <w:noProof/>
                <w:webHidden/>
              </w:rPr>
              <w:tab/>
            </w:r>
            <w:r w:rsidR="009D498A">
              <w:rPr>
                <w:noProof/>
                <w:webHidden/>
              </w:rPr>
              <w:fldChar w:fldCharType="begin"/>
            </w:r>
            <w:r w:rsidR="009D498A">
              <w:rPr>
                <w:noProof/>
                <w:webHidden/>
              </w:rPr>
              <w:instrText xml:space="preserve"> PAGEREF _Toc525122205 \h </w:instrText>
            </w:r>
            <w:r w:rsidR="009D498A">
              <w:rPr>
                <w:noProof/>
                <w:webHidden/>
              </w:rPr>
            </w:r>
            <w:r w:rsidR="009D498A">
              <w:rPr>
                <w:noProof/>
                <w:webHidden/>
              </w:rPr>
              <w:fldChar w:fldCharType="separate"/>
            </w:r>
            <w:r w:rsidR="00C817BE">
              <w:rPr>
                <w:noProof/>
                <w:webHidden/>
              </w:rPr>
              <w:t>259</w:t>
            </w:r>
            <w:r w:rsidR="009D498A">
              <w:rPr>
                <w:noProof/>
                <w:webHidden/>
              </w:rPr>
              <w:fldChar w:fldCharType="end"/>
            </w:r>
          </w:hyperlink>
        </w:p>
        <w:p w14:paraId="3AE39156" w14:textId="77777777" w:rsidR="009D498A" w:rsidRDefault="0029111E">
          <w:pPr>
            <w:pStyle w:val="TOC3"/>
            <w:tabs>
              <w:tab w:val="left" w:pos="1320"/>
            </w:tabs>
            <w:rPr>
              <w:rFonts w:asciiTheme="minorHAnsi" w:eastAsiaTheme="minorEastAsia" w:hAnsiTheme="minorHAnsi" w:cstheme="minorBidi"/>
              <w:noProof/>
              <w:sz w:val="22"/>
              <w:szCs w:val="22"/>
              <w:lang w:eastAsia="en-AU"/>
            </w:rPr>
          </w:pPr>
          <w:hyperlink w:anchor="_Toc525122206" w:history="1">
            <w:r w:rsidR="009D498A" w:rsidRPr="00C46616">
              <w:rPr>
                <w:rStyle w:val="Hyperlink"/>
                <w:noProof/>
                <w:lang w:val="en-US" w:eastAsia="en-AU"/>
              </w:rPr>
              <w:t>9.10</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Equity</w:t>
            </w:r>
            <w:r w:rsidR="009D498A">
              <w:rPr>
                <w:noProof/>
                <w:webHidden/>
              </w:rPr>
              <w:tab/>
            </w:r>
            <w:r w:rsidR="009D498A">
              <w:rPr>
                <w:noProof/>
                <w:webHidden/>
              </w:rPr>
              <w:fldChar w:fldCharType="begin"/>
            </w:r>
            <w:r w:rsidR="009D498A">
              <w:rPr>
                <w:noProof/>
                <w:webHidden/>
              </w:rPr>
              <w:instrText xml:space="preserve"> PAGEREF _Toc525122206 \h </w:instrText>
            </w:r>
            <w:r w:rsidR="009D498A">
              <w:rPr>
                <w:noProof/>
                <w:webHidden/>
              </w:rPr>
            </w:r>
            <w:r w:rsidR="009D498A">
              <w:rPr>
                <w:noProof/>
                <w:webHidden/>
              </w:rPr>
              <w:fldChar w:fldCharType="separate"/>
            </w:r>
            <w:r w:rsidR="00C817BE">
              <w:rPr>
                <w:noProof/>
                <w:webHidden/>
              </w:rPr>
              <w:t>259</w:t>
            </w:r>
            <w:r w:rsidR="009D498A">
              <w:rPr>
                <w:noProof/>
                <w:webHidden/>
              </w:rPr>
              <w:fldChar w:fldCharType="end"/>
            </w:r>
          </w:hyperlink>
        </w:p>
        <w:p w14:paraId="474B6D01" w14:textId="77777777" w:rsidR="009D498A" w:rsidRDefault="0029111E">
          <w:pPr>
            <w:pStyle w:val="TOC3"/>
            <w:tabs>
              <w:tab w:val="left" w:pos="1320"/>
            </w:tabs>
            <w:rPr>
              <w:rFonts w:asciiTheme="minorHAnsi" w:eastAsiaTheme="minorEastAsia" w:hAnsiTheme="minorHAnsi" w:cstheme="minorBidi"/>
              <w:noProof/>
              <w:sz w:val="22"/>
              <w:szCs w:val="22"/>
              <w:lang w:eastAsia="en-AU"/>
            </w:rPr>
          </w:pPr>
          <w:hyperlink w:anchor="_Toc525122207" w:history="1">
            <w:r w:rsidR="009D498A" w:rsidRPr="00C46616">
              <w:rPr>
                <w:rStyle w:val="Hyperlink"/>
                <w:noProof/>
                <w:lang w:val="en-US" w:eastAsia="en-AU"/>
              </w:rPr>
              <w:t>9.11</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Supplementary financial information</w:t>
            </w:r>
            <w:r w:rsidR="009D498A">
              <w:rPr>
                <w:noProof/>
                <w:webHidden/>
              </w:rPr>
              <w:tab/>
            </w:r>
            <w:r w:rsidR="009D498A">
              <w:rPr>
                <w:noProof/>
                <w:webHidden/>
              </w:rPr>
              <w:fldChar w:fldCharType="begin"/>
            </w:r>
            <w:r w:rsidR="009D498A">
              <w:rPr>
                <w:noProof/>
                <w:webHidden/>
              </w:rPr>
              <w:instrText xml:space="preserve"> PAGEREF _Toc525122207 \h </w:instrText>
            </w:r>
            <w:r w:rsidR="009D498A">
              <w:rPr>
                <w:noProof/>
                <w:webHidden/>
              </w:rPr>
            </w:r>
            <w:r w:rsidR="009D498A">
              <w:rPr>
                <w:noProof/>
                <w:webHidden/>
              </w:rPr>
              <w:fldChar w:fldCharType="separate"/>
            </w:r>
            <w:r w:rsidR="00C817BE">
              <w:rPr>
                <w:noProof/>
                <w:webHidden/>
              </w:rPr>
              <w:t>260</w:t>
            </w:r>
            <w:r w:rsidR="009D498A">
              <w:rPr>
                <w:noProof/>
                <w:webHidden/>
              </w:rPr>
              <w:fldChar w:fldCharType="end"/>
            </w:r>
          </w:hyperlink>
        </w:p>
        <w:p w14:paraId="33A19442" w14:textId="77777777" w:rsidR="009D498A" w:rsidRDefault="0029111E">
          <w:pPr>
            <w:pStyle w:val="TOC3"/>
            <w:tabs>
              <w:tab w:val="left" w:pos="1320"/>
            </w:tabs>
            <w:rPr>
              <w:rFonts w:asciiTheme="minorHAnsi" w:eastAsiaTheme="minorEastAsia" w:hAnsiTheme="minorHAnsi" w:cstheme="minorBidi"/>
              <w:noProof/>
              <w:sz w:val="22"/>
              <w:szCs w:val="22"/>
              <w:lang w:eastAsia="en-AU"/>
            </w:rPr>
          </w:pPr>
          <w:hyperlink w:anchor="_Toc525122208" w:history="1">
            <w:r w:rsidR="009D498A" w:rsidRPr="00C46616">
              <w:rPr>
                <w:rStyle w:val="Hyperlink"/>
                <w:noProof/>
                <w:lang w:val="en-US" w:eastAsia="en-AU"/>
              </w:rPr>
              <w:t>9.12</w:t>
            </w:r>
            <w:r w:rsidR="009D498A">
              <w:rPr>
                <w:rFonts w:asciiTheme="minorHAnsi" w:eastAsiaTheme="minorEastAsia" w:hAnsiTheme="minorHAnsi" w:cstheme="minorBidi"/>
                <w:noProof/>
                <w:sz w:val="22"/>
                <w:szCs w:val="22"/>
                <w:lang w:eastAsia="en-AU"/>
              </w:rPr>
              <w:tab/>
            </w:r>
            <w:r w:rsidR="009D498A" w:rsidRPr="00C46616">
              <w:rPr>
                <w:rStyle w:val="Hyperlink"/>
                <w:noProof/>
                <w:lang w:val="en-US" w:eastAsia="en-AU"/>
              </w:rPr>
              <w:t>Explanatory statement</w:t>
            </w:r>
            <w:r w:rsidR="009D498A">
              <w:rPr>
                <w:noProof/>
                <w:webHidden/>
              </w:rPr>
              <w:tab/>
            </w:r>
            <w:r w:rsidR="009D498A">
              <w:rPr>
                <w:noProof/>
                <w:webHidden/>
              </w:rPr>
              <w:fldChar w:fldCharType="begin"/>
            </w:r>
            <w:r w:rsidR="009D498A">
              <w:rPr>
                <w:noProof/>
                <w:webHidden/>
              </w:rPr>
              <w:instrText xml:space="preserve"> PAGEREF _Toc525122208 \h </w:instrText>
            </w:r>
            <w:r w:rsidR="009D498A">
              <w:rPr>
                <w:noProof/>
                <w:webHidden/>
              </w:rPr>
            </w:r>
            <w:r w:rsidR="009D498A">
              <w:rPr>
                <w:noProof/>
                <w:webHidden/>
              </w:rPr>
              <w:fldChar w:fldCharType="separate"/>
            </w:r>
            <w:r w:rsidR="00C817BE">
              <w:rPr>
                <w:noProof/>
                <w:webHidden/>
              </w:rPr>
              <w:t>262</w:t>
            </w:r>
            <w:r w:rsidR="009D498A">
              <w:rPr>
                <w:noProof/>
                <w:webHidden/>
              </w:rPr>
              <w:fldChar w:fldCharType="end"/>
            </w:r>
          </w:hyperlink>
        </w:p>
        <w:p w14:paraId="22A93E4F" w14:textId="016D3F43" w:rsidR="00667578" w:rsidRPr="008447ED" w:rsidRDefault="00CB6B28" w:rsidP="008447ED">
          <w:pPr>
            <w:sectPr w:rsidR="00667578" w:rsidRPr="008447ED" w:rsidSect="00054DD4">
              <w:pgSz w:w="11906" w:h="16838" w:code="9"/>
              <w:pgMar w:top="1440" w:right="1440" w:bottom="851" w:left="1440" w:header="680" w:footer="0" w:gutter="0"/>
              <w:cols w:space="708"/>
              <w:titlePg/>
              <w:docGrid w:linePitch="360"/>
            </w:sectPr>
          </w:pPr>
          <w:r>
            <w:rPr>
              <w:b/>
              <w:bCs/>
              <w:noProof/>
            </w:rPr>
            <w:fldChar w:fldCharType="end"/>
          </w:r>
        </w:p>
      </w:sdtContent>
    </w:sdt>
    <w:p w14:paraId="51C824DB" w14:textId="77777777" w:rsidR="00EC44DA" w:rsidRPr="00746341" w:rsidRDefault="00EC44DA" w:rsidP="00B459DB">
      <w:pPr>
        <w:pStyle w:val="CoverTitle"/>
        <w:ind w:left="0"/>
      </w:pPr>
      <w:bookmarkStart w:id="2" w:name="_Toc450900600"/>
      <w:r w:rsidRPr="00746341">
        <w:t>Introduction</w:t>
      </w:r>
      <w:bookmarkEnd w:id="2"/>
      <w:bookmarkEnd w:id="1"/>
      <w:bookmarkEnd w:id="0"/>
      <w:r w:rsidRPr="00746341">
        <w:t xml:space="preserve"> </w:t>
      </w:r>
    </w:p>
    <w:p w14:paraId="063ABC54" w14:textId="77777777" w:rsidR="00EC44DA" w:rsidRDefault="00EC44DA" w:rsidP="008807AF">
      <w:pPr>
        <w:pStyle w:val="Heading1nonumber"/>
      </w:pPr>
      <w:bookmarkStart w:id="3" w:name="_Toc399316899"/>
      <w:bookmarkStart w:id="4" w:name="_Toc426617387"/>
      <w:bookmarkStart w:id="5" w:name="_Toc450900601"/>
      <w:bookmarkStart w:id="6" w:name="_Toc525121892"/>
      <w:r>
        <w:t>About this report</w:t>
      </w:r>
      <w:bookmarkEnd w:id="3"/>
      <w:bookmarkEnd w:id="4"/>
      <w:bookmarkEnd w:id="5"/>
      <w:bookmarkEnd w:id="6"/>
    </w:p>
    <w:p w14:paraId="1657A308" w14:textId="44CFBA0B" w:rsidR="00EC44DA" w:rsidRDefault="00EC44DA" w:rsidP="008807AF">
      <w:pPr>
        <w:pStyle w:val="Heading2nonumber"/>
      </w:pPr>
      <w:bookmarkStart w:id="7" w:name="_Toc399316900"/>
      <w:bookmarkStart w:id="8" w:name="_Toc426617388"/>
      <w:bookmarkStart w:id="9" w:name="_Toc450900602"/>
      <w:bookmarkStart w:id="10" w:name="_Toc525121893"/>
      <w:r>
        <w:t>Welcome to our 201</w:t>
      </w:r>
      <w:r w:rsidR="00570143">
        <w:t>7</w:t>
      </w:r>
      <w:r>
        <w:t>/1</w:t>
      </w:r>
      <w:r w:rsidR="00570143">
        <w:t>8</w:t>
      </w:r>
      <w:r>
        <w:t xml:space="preserve"> Annual Report</w:t>
      </w:r>
      <w:bookmarkEnd w:id="7"/>
      <w:bookmarkEnd w:id="8"/>
      <w:bookmarkEnd w:id="9"/>
      <w:bookmarkEnd w:id="10"/>
      <w:r>
        <w:t xml:space="preserve"> </w:t>
      </w:r>
    </w:p>
    <w:p w14:paraId="4B533A36" w14:textId="67032BBC" w:rsidR="00C8169B" w:rsidRDefault="00FB4111" w:rsidP="00C8169B">
      <w:r>
        <w:t xml:space="preserve">This report provides a comprehensive account of our oversight and regulation of Western Australia’s workers’ compensation and injury management scheme over the past year. An introduction to WorkCover WA (the Agency) and our year in review begins on </w:t>
      </w:r>
      <w:r w:rsidRPr="00A056E1">
        <w:t xml:space="preserve">page </w:t>
      </w:r>
      <w:r w:rsidR="00A056E1" w:rsidRPr="00A056E1">
        <w:t>14</w:t>
      </w:r>
      <w:r>
        <w:t>. For detailed information refer to section(s):</w:t>
      </w:r>
    </w:p>
    <w:p w14:paraId="363A0F0F" w14:textId="43464B8E" w:rsidR="00FB4111" w:rsidRPr="00FB4111" w:rsidRDefault="00FB4111" w:rsidP="00026A6F">
      <w:pPr>
        <w:pStyle w:val="ListParagraph"/>
        <w:numPr>
          <w:ilvl w:val="0"/>
          <w:numId w:val="38"/>
        </w:numPr>
        <w:rPr>
          <w:rStyle w:val="Emphasis"/>
          <w:i w:val="0"/>
        </w:rPr>
      </w:pPr>
      <w:r w:rsidRPr="00FB4111">
        <w:rPr>
          <w:rStyle w:val="Emphasis"/>
          <w:i w:val="0"/>
        </w:rPr>
        <w:t xml:space="preserve">Agency in focus – </w:t>
      </w:r>
      <w:r w:rsidR="00A056E1" w:rsidRPr="00A056E1">
        <w:rPr>
          <w:rStyle w:val="Emphasis"/>
          <w:i w:val="0"/>
        </w:rPr>
        <w:t>page 24</w:t>
      </w:r>
      <w:r>
        <w:rPr>
          <w:rStyle w:val="Emphasis"/>
          <w:i w:val="0"/>
          <w:color w:val="FF0000"/>
        </w:rPr>
        <w:br/>
      </w:r>
    </w:p>
    <w:p w14:paraId="241B02AD" w14:textId="1F6226B9" w:rsidR="00FB4111" w:rsidRPr="00FB4111" w:rsidRDefault="00FB4111" w:rsidP="00026A6F">
      <w:pPr>
        <w:pStyle w:val="ListParagraph"/>
        <w:numPr>
          <w:ilvl w:val="0"/>
          <w:numId w:val="38"/>
        </w:numPr>
        <w:rPr>
          <w:rStyle w:val="Emphasis"/>
          <w:i w:val="0"/>
        </w:rPr>
      </w:pPr>
      <w:r w:rsidRPr="00FB4111">
        <w:rPr>
          <w:rStyle w:val="Emphasis"/>
          <w:i w:val="0"/>
        </w:rPr>
        <w:t xml:space="preserve">Scheme performance – </w:t>
      </w:r>
      <w:r w:rsidRPr="00A056E1">
        <w:rPr>
          <w:rStyle w:val="Emphasis"/>
          <w:i w:val="0"/>
        </w:rPr>
        <w:t xml:space="preserve">page </w:t>
      </w:r>
      <w:r w:rsidR="00A056E1" w:rsidRPr="00A056E1">
        <w:rPr>
          <w:rStyle w:val="Emphasis"/>
          <w:i w:val="0"/>
        </w:rPr>
        <w:t>58</w:t>
      </w:r>
      <w:r>
        <w:rPr>
          <w:rStyle w:val="Emphasis"/>
          <w:i w:val="0"/>
          <w:color w:val="FF0000"/>
        </w:rPr>
        <w:br/>
      </w:r>
    </w:p>
    <w:p w14:paraId="42572816" w14:textId="70A812F4" w:rsidR="00FB4111" w:rsidRPr="00FB4111" w:rsidRDefault="00FB4111" w:rsidP="00026A6F">
      <w:pPr>
        <w:pStyle w:val="ListParagraph"/>
        <w:numPr>
          <w:ilvl w:val="0"/>
          <w:numId w:val="38"/>
        </w:numPr>
        <w:rPr>
          <w:rStyle w:val="Emphasis"/>
          <w:i w:val="0"/>
        </w:rPr>
      </w:pPr>
      <w:r w:rsidRPr="00FB4111">
        <w:rPr>
          <w:rStyle w:val="Emphasis"/>
          <w:i w:val="0"/>
        </w:rPr>
        <w:t xml:space="preserve">Report on operations – </w:t>
      </w:r>
      <w:r w:rsidR="00A056E1" w:rsidRPr="00A056E1">
        <w:rPr>
          <w:rStyle w:val="Emphasis"/>
          <w:i w:val="0"/>
        </w:rPr>
        <w:t>page 70</w:t>
      </w:r>
      <w:r>
        <w:rPr>
          <w:rStyle w:val="Emphasis"/>
          <w:i w:val="0"/>
          <w:color w:val="FF0000"/>
        </w:rPr>
        <w:br/>
      </w:r>
    </w:p>
    <w:p w14:paraId="20D546C8" w14:textId="52A7BA4E" w:rsidR="00FB4111" w:rsidRPr="00FB4111" w:rsidRDefault="00FB4111" w:rsidP="00026A6F">
      <w:pPr>
        <w:pStyle w:val="ListParagraph"/>
        <w:numPr>
          <w:ilvl w:val="0"/>
          <w:numId w:val="38"/>
        </w:numPr>
        <w:rPr>
          <w:rStyle w:val="Emphasis"/>
          <w:i w:val="0"/>
        </w:rPr>
      </w:pPr>
      <w:r w:rsidRPr="00FB4111">
        <w:rPr>
          <w:rStyle w:val="Emphasis"/>
          <w:i w:val="0"/>
        </w:rPr>
        <w:t xml:space="preserve">Opportunities and challenges – </w:t>
      </w:r>
      <w:r w:rsidRPr="00A056E1">
        <w:rPr>
          <w:rStyle w:val="Emphasis"/>
          <w:i w:val="0"/>
        </w:rPr>
        <w:t xml:space="preserve">page </w:t>
      </w:r>
      <w:r w:rsidR="00A056E1" w:rsidRPr="00A056E1">
        <w:rPr>
          <w:rStyle w:val="Emphasis"/>
          <w:i w:val="0"/>
        </w:rPr>
        <w:t>109</w:t>
      </w:r>
      <w:r>
        <w:rPr>
          <w:rStyle w:val="Emphasis"/>
          <w:i w:val="0"/>
          <w:color w:val="FF0000"/>
        </w:rPr>
        <w:br/>
      </w:r>
    </w:p>
    <w:p w14:paraId="48FDF914" w14:textId="136730D2" w:rsidR="00FB4111" w:rsidRPr="00FB4111" w:rsidRDefault="00FB4111" w:rsidP="00026A6F">
      <w:pPr>
        <w:pStyle w:val="ListParagraph"/>
        <w:numPr>
          <w:ilvl w:val="0"/>
          <w:numId w:val="38"/>
        </w:numPr>
        <w:rPr>
          <w:rStyle w:val="Emphasis"/>
          <w:i w:val="0"/>
        </w:rPr>
      </w:pPr>
      <w:r w:rsidRPr="00FB4111">
        <w:rPr>
          <w:rStyle w:val="Emphasis"/>
          <w:i w:val="0"/>
        </w:rPr>
        <w:t xml:space="preserve">Disclosures and legal compliance – </w:t>
      </w:r>
      <w:r w:rsidRPr="00A056E1">
        <w:rPr>
          <w:rStyle w:val="Emphasis"/>
          <w:i w:val="0"/>
        </w:rPr>
        <w:t xml:space="preserve">page </w:t>
      </w:r>
      <w:r w:rsidR="00A056E1" w:rsidRPr="00A056E1">
        <w:rPr>
          <w:rStyle w:val="Emphasis"/>
          <w:i w:val="0"/>
        </w:rPr>
        <w:t>120</w:t>
      </w:r>
      <w:r>
        <w:rPr>
          <w:rStyle w:val="Emphasis"/>
          <w:i w:val="0"/>
          <w:color w:val="FF0000"/>
        </w:rPr>
        <w:br/>
      </w:r>
    </w:p>
    <w:p w14:paraId="02C328B8" w14:textId="46A4567E" w:rsidR="00FB4111" w:rsidRPr="00FB4111" w:rsidRDefault="00FB4111" w:rsidP="00026A6F">
      <w:pPr>
        <w:pStyle w:val="ListParagraph"/>
        <w:numPr>
          <w:ilvl w:val="0"/>
          <w:numId w:val="38"/>
        </w:numPr>
        <w:rPr>
          <w:rStyle w:val="Emphasis"/>
          <w:i w:val="0"/>
        </w:rPr>
      </w:pPr>
      <w:r w:rsidRPr="00FB4111">
        <w:rPr>
          <w:rStyle w:val="Emphasis"/>
          <w:i w:val="0"/>
        </w:rPr>
        <w:t xml:space="preserve">Key Performance Indicators – </w:t>
      </w:r>
      <w:r w:rsidR="00A056E1" w:rsidRPr="00A056E1">
        <w:rPr>
          <w:rStyle w:val="Emphasis"/>
          <w:i w:val="0"/>
        </w:rPr>
        <w:t>page 144</w:t>
      </w:r>
      <w:r>
        <w:rPr>
          <w:rStyle w:val="Emphasis"/>
          <w:i w:val="0"/>
          <w:color w:val="FF0000"/>
        </w:rPr>
        <w:br/>
      </w:r>
    </w:p>
    <w:p w14:paraId="183F98B0" w14:textId="79FF5E8C" w:rsidR="00FB4111" w:rsidRPr="00FB4111" w:rsidRDefault="00FB4111" w:rsidP="00026A6F">
      <w:pPr>
        <w:pStyle w:val="ListParagraph"/>
        <w:numPr>
          <w:ilvl w:val="0"/>
          <w:numId w:val="38"/>
        </w:numPr>
        <w:rPr>
          <w:rStyle w:val="Emphasis"/>
          <w:i w:val="0"/>
        </w:rPr>
      </w:pPr>
      <w:r w:rsidRPr="00FB4111">
        <w:rPr>
          <w:rStyle w:val="Emphasis"/>
          <w:i w:val="0"/>
        </w:rPr>
        <w:t xml:space="preserve">Financial statements and notes – </w:t>
      </w:r>
      <w:r w:rsidRPr="00961DBF">
        <w:rPr>
          <w:rStyle w:val="Emphasis"/>
          <w:i w:val="0"/>
        </w:rPr>
        <w:t xml:space="preserve">page </w:t>
      </w:r>
      <w:r w:rsidR="00961DBF" w:rsidRPr="00961DBF">
        <w:rPr>
          <w:rStyle w:val="Emphasis"/>
          <w:i w:val="0"/>
        </w:rPr>
        <w:t>165</w:t>
      </w:r>
      <w:r w:rsidRPr="00961DBF">
        <w:rPr>
          <w:rStyle w:val="Emphasis"/>
          <w:i w:val="0"/>
        </w:rPr>
        <w:t>.</w:t>
      </w:r>
    </w:p>
    <w:p w14:paraId="015B0978" w14:textId="0E317A57" w:rsidR="00FB4111" w:rsidRDefault="00FB4111" w:rsidP="00FB4111">
      <w:pPr>
        <w:rPr>
          <w:rStyle w:val="Emphasis"/>
          <w:i w:val="0"/>
        </w:rPr>
      </w:pPr>
      <w:r>
        <w:rPr>
          <w:rStyle w:val="Emphasis"/>
          <w:i w:val="0"/>
        </w:rPr>
        <w:br/>
        <w:t xml:space="preserve">This report is consistent with the Public Sector Commission’s </w:t>
      </w:r>
      <w:r w:rsidRPr="007B7D68">
        <w:rPr>
          <w:rStyle w:val="Emphasis"/>
          <w:i w:val="0"/>
        </w:rPr>
        <w:t xml:space="preserve">Western Australian Public Sector Annual Reporting Framework </w:t>
      </w:r>
      <w:r w:rsidR="00A25B45" w:rsidRPr="007B7D68">
        <w:rPr>
          <w:rStyle w:val="Emphasis"/>
          <w:i w:val="0"/>
        </w:rPr>
        <w:t>(</w:t>
      </w:r>
      <w:r w:rsidRPr="007B7D68">
        <w:rPr>
          <w:rStyle w:val="Emphasis"/>
          <w:i w:val="0"/>
        </w:rPr>
        <w:t>2017/18</w:t>
      </w:r>
      <w:r w:rsidR="00A25B45" w:rsidRPr="007B7D68">
        <w:rPr>
          <w:rStyle w:val="Emphasis"/>
          <w:i w:val="0"/>
        </w:rPr>
        <w:t>)</w:t>
      </w:r>
      <w:r w:rsidRPr="007B7D68">
        <w:rPr>
          <w:rStyle w:val="Emphasis"/>
          <w:i w:val="0"/>
        </w:rPr>
        <w:t xml:space="preserve"> </w:t>
      </w:r>
      <w:r>
        <w:rPr>
          <w:rStyle w:val="Emphasis"/>
          <w:i w:val="0"/>
        </w:rPr>
        <w:t>and the Department of Treasury’s Model Annual Report for Net Cost of Service Statutory Authorities.</w:t>
      </w:r>
    </w:p>
    <w:p w14:paraId="226EB041" w14:textId="55AF86F2" w:rsidR="00FB4111" w:rsidRDefault="00FB4111" w:rsidP="00FB4111">
      <w:pPr>
        <w:rPr>
          <w:rStyle w:val="Emphasis"/>
          <w:i w:val="0"/>
        </w:rPr>
      </w:pPr>
      <w:r>
        <w:rPr>
          <w:rStyle w:val="Emphasis"/>
          <w:i w:val="0"/>
        </w:rPr>
        <w:t xml:space="preserve">In compliance with these guidelines, </w:t>
      </w:r>
      <w:r w:rsidR="00A25B45">
        <w:rPr>
          <w:rStyle w:val="Emphasis"/>
          <w:i w:val="0"/>
        </w:rPr>
        <w:t xml:space="preserve">production and printing </w:t>
      </w:r>
      <w:r>
        <w:rPr>
          <w:rStyle w:val="Emphasis"/>
          <w:i w:val="0"/>
        </w:rPr>
        <w:t xml:space="preserve">costs were minimised. As printed copies are limited, </w:t>
      </w:r>
      <w:r w:rsidR="00C629F6">
        <w:rPr>
          <w:rStyle w:val="Emphasis"/>
          <w:i w:val="0"/>
        </w:rPr>
        <w:t>the report is</w:t>
      </w:r>
      <w:r>
        <w:rPr>
          <w:rStyle w:val="Emphasis"/>
          <w:i w:val="0"/>
        </w:rPr>
        <w:t xml:space="preserve"> </w:t>
      </w:r>
      <w:r w:rsidR="00C629F6">
        <w:rPr>
          <w:rStyle w:val="Emphasis"/>
          <w:i w:val="0"/>
        </w:rPr>
        <w:t>available</w:t>
      </w:r>
      <w:r>
        <w:rPr>
          <w:rStyle w:val="Emphasis"/>
          <w:i w:val="0"/>
        </w:rPr>
        <w:t xml:space="preserve"> on the WorkCover WA website </w:t>
      </w:r>
      <w:hyperlink r:id="rId14" w:history="1">
        <w:r w:rsidRPr="00516521">
          <w:rPr>
            <w:rStyle w:val="Hyperlink"/>
          </w:rPr>
          <w:t>www.workcover.wa.gov.au</w:t>
        </w:r>
      </w:hyperlink>
      <w:r>
        <w:rPr>
          <w:rStyle w:val="Emphasis"/>
          <w:i w:val="0"/>
        </w:rPr>
        <w:t xml:space="preserve">. </w:t>
      </w:r>
    </w:p>
    <w:p w14:paraId="2D0F75BD" w14:textId="1A210395" w:rsidR="00FB4111" w:rsidRDefault="00C629F6" w:rsidP="00FB4111">
      <w:pPr>
        <w:rPr>
          <w:rStyle w:val="Emphasis"/>
          <w:i w:val="0"/>
        </w:rPr>
      </w:pPr>
      <w:r>
        <w:rPr>
          <w:rStyle w:val="Emphasis"/>
          <w:i w:val="0"/>
        </w:rPr>
        <w:t>The report confo</w:t>
      </w:r>
      <w:r w:rsidR="00FB4111">
        <w:rPr>
          <w:rStyle w:val="Emphasis"/>
          <w:i w:val="0"/>
        </w:rPr>
        <w:t xml:space="preserve">rms to State Government requirements for accessibility and readability and can be viewed </w:t>
      </w:r>
      <w:r>
        <w:rPr>
          <w:rStyle w:val="Emphasis"/>
          <w:i w:val="0"/>
        </w:rPr>
        <w:t xml:space="preserve">online </w:t>
      </w:r>
      <w:r w:rsidR="00FB4111">
        <w:rPr>
          <w:rStyle w:val="Emphasis"/>
          <w:i w:val="0"/>
        </w:rPr>
        <w:t>in PDF format as a whole, in sections or in an accessible Microsoft Word format. Alternative formats are available on request.</w:t>
      </w:r>
    </w:p>
    <w:p w14:paraId="3E5C5E11" w14:textId="0EA4B97B" w:rsidR="00FB4111" w:rsidRDefault="00FB4111" w:rsidP="00FB4111">
      <w:pPr>
        <w:rPr>
          <w:rStyle w:val="Emphasis"/>
          <w:i w:val="0"/>
        </w:rPr>
      </w:pPr>
      <w:r>
        <w:rPr>
          <w:rStyle w:val="Emphasis"/>
          <w:i w:val="0"/>
        </w:rPr>
        <w:t>This publication may be copied in whole or part, with acknowledgement of WorkCover WA.</w:t>
      </w:r>
    </w:p>
    <w:p w14:paraId="66017E12" w14:textId="77777777" w:rsidR="00FB4111" w:rsidRPr="00FB4111" w:rsidRDefault="00FB4111" w:rsidP="00FB4111">
      <w:pPr>
        <w:rPr>
          <w:rStyle w:val="Emphasis"/>
          <w:i w:val="0"/>
        </w:rPr>
      </w:pPr>
    </w:p>
    <w:p w14:paraId="50D8CCEA" w14:textId="77777777" w:rsidR="00FB4111" w:rsidRPr="00FB4111" w:rsidRDefault="00FB4111" w:rsidP="00FB4111">
      <w:pPr>
        <w:rPr>
          <w:rStyle w:val="Emphasis"/>
        </w:rPr>
      </w:pPr>
    </w:p>
    <w:p w14:paraId="73CECD1A" w14:textId="77777777" w:rsidR="00EC44DA" w:rsidRDefault="00EC44DA" w:rsidP="008807AF">
      <w:pPr>
        <w:pStyle w:val="Heading1nonumber"/>
      </w:pPr>
      <w:bookmarkStart w:id="11" w:name="_Toc399316901"/>
      <w:bookmarkStart w:id="12" w:name="_Toc426617389"/>
      <w:bookmarkStart w:id="13" w:name="_Toc450900603"/>
      <w:bookmarkStart w:id="14" w:name="_Toc525121894"/>
      <w:r>
        <w:t>Statement of compliance</w:t>
      </w:r>
      <w:bookmarkEnd w:id="11"/>
      <w:bookmarkEnd w:id="12"/>
      <w:bookmarkEnd w:id="13"/>
      <w:bookmarkEnd w:id="14"/>
    </w:p>
    <w:p w14:paraId="38F31681" w14:textId="03D08C94" w:rsidR="00043D43" w:rsidRDefault="00712F59" w:rsidP="00043D43">
      <w:r>
        <w:t>To the Hon. William (Bill) Johnston MLA, Minister for Commerce and Industrial Relations, Mines and Petroleum, Electoral Affairs, and Asian Engagement.</w:t>
      </w:r>
    </w:p>
    <w:p w14:paraId="4966B23C" w14:textId="100510E5" w:rsidR="00712F59" w:rsidRDefault="00712F59" w:rsidP="00043D43">
      <w:r>
        <w:t xml:space="preserve">In accordance with section 63 of the </w:t>
      </w:r>
      <w:r w:rsidRPr="00712F59">
        <w:rPr>
          <w:i/>
        </w:rPr>
        <w:t>Financial Management Act 2006</w:t>
      </w:r>
      <w:r>
        <w:t>, we hereby submit for your information and presentation to Parliament the report of the WorkCover Western Australia Authority for the financial year ended 30 June 2018.</w:t>
      </w:r>
    </w:p>
    <w:p w14:paraId="2D65D977" w14:textId="22323F08" w:rsidR="00712F59" w:rsidRDefault="00712F59" w:rsidP="00043D43">
      <w:r>
        <w:t xml:space="preserve">The Annual Report has been prepared in accordance with the provisions of the </w:t>
      </w:r>
      <w:r w:rsidRPr="00712F59">
        <w:rPr>
          <w:i/>
        </w:rPr>
        <w:t>Financial Management Act 2006</w:t>
      </w:r>
      <w:r>
        <w:t xml:space="preserve"> and, where applicable, a statement acknowledging the incorporation within the Report of any special reporting requirements imposed upon WorkCover Western Australia </w:t>
      </w:r>
      <w:r w:rsidR="00995D96">
        <w:t xml:space="preserve">Authority </w:t>
      </w:r>
      <w:r>
        <w:t>by any other written law.</w:t>
      </w:r>
    </w:p>
    <w:p w14:paraId="72ADC901" w14:textId="32C39F85" w:rsidR="00712F59" w:rsidRPr="00712F59" w:rsidRDefault="001F5538" w:rsidP="00043D43">
      <w:r>
        <w:rPr>
          <w:noProof/>
          <w:lang w:eastAsia="en-AU"/>
        </w:rPr>
        <w:drawing>
          <wp:anchor distT="0" distB="0" distL="114300" distR="114300" simplePos="0" relativeHeight="251660288" behindDoc="1" locked="0" layoutInCell="1" allowOverlap="1" wp14:anchorId="6011EA30" wp14:editId="0F4F1F62">
            <wp:simplePos x="0" y="0"/>
            <wp:positionH relativeFrom="column">
              <wp:posOffset>-173702</wp:posOffset>
            </wp:positionH>
            <wp:positionV relativeFrom="paragraph">
              <wp:posOffset>109220</wp:posOffset>
            </wp:positionV>
            <wp:extent cx="1609725" cy="610585"/>
            <wp:effectExtent l="0" t="0" r="0" b="0"/>
            <wp:wrapTight wrapText="bothSides">
              <wp:wrapPolygon edited="0">
                <wp:start x="0" y="0"/>
                <wp:lineTo x="0" y="20903"/>
                <wp:lineTo x="21217" y="20903"/>
                <wp:lineTo x="21217" y="0"/>
                <wp:lineTo x="0" y="0"/>
              </wp:wrapPolygon>
            </wp:wrapTight>
            <wp:docPr id="15" name="Picture 15" descr="Chairman Greg Joyce's signature on the Statement of compliance. " title="Signature - Greg J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g Joyce.jpg"/>
                    <pic:cNvPicPr/>
                  </pic:nvPicPr>
                  <pic:blipFill>
                    <a:blip r:embed="rId15">
                      <a:extLst>
                        <a:ext uri="{28A0092B-C50C-407E-A947-70E740481C1C}">
                          <a14:useLocalDpi xmlns:a14="http://schemas.microsoft.com/office/drawing/2010/main" val="0"/>
                        </a:ext>
                      </a:extLst>
                    </a:blip>
                    <a:stretch>
                      <a:fillRect/>
                    </a:stretch>
                  </pic:blipFill>
                  <pic:spPr>
                    <a:xfrm>
                      <a:off x="0" y="0"/>
                      <a:ext cx="1609725" cy="610585"/>
                    </a:xfrm>
                    <a:prstGeom prst="rect">
                      <a:avLst/>
                    </a:prstGeom>
                  </pic:spPr>
                </pic:pic>
              </a:graphicData>
            </a:graphic>
            <wp14:sizeRelH relativeFrom="page">
              <wp14:pctWidth>0</wp14:pctWidth>
            </wp14:sizeRelH>
            <wp14:sizeRelV relativeFrom="page">
              <wp14:pctHeight>0</wp14:pctHeight>
            </wp14:sizeRelV>
          </wp:anchor>
        </w:drawing>
      </w:r>
    </w:p>
    <w:p w14:paraId="4C0365E3" w14:textId="349427B2" w:rsidR="00B13501" w:rsidRDefault="00B13501" w:rsidP="00EC44DA"/>
    <w:p w14:paraId="39689154" w14:textId="03B3AD87" w:rsidR="002A39EF" w:rsidRDefault="00E005D9" w:rsidP="00E005D9">
      <w:r>
        <w:t>Greg Joyce</w:t>
      </w:r>
      <w:r>
        <w:br/>
        <w:t>Chairman</w:t>
      </w:r>
      <w:r>
        <w:br/>
      </w:r>
      <w:r w:rsidR="00616E8C" w:rsidRPr="00291DA6">
        <w:t>WorkCover WA</w:t>
      </w:r>
      <w:r w:rsidR="00EC3A7C" w:rsidRPr="00291DA6">
        <w:br/>
      </w:r>
      <w:r w:rsidR="00772EDE">
        <w:t>31</w:t>
      </w:r>
      <w:r w:rsidR="00570143" w:rsidRPr="001F5538">
        <w:t xml:space="preserve"> August 2018</w:t>
      </w:r>
    </w:p>
    <w:p w14:paraId="43836D99" w14:textId="42C70CDD" w:rsidR="00B13501" w:rsidRDefault="00070E47" w:rsidP="00B13501">
      <w:r>
        <w:rPr>
          <w:noProof/>
          <w:lang w:eastAsia="en-AU"/>
        </w:rPr>
        <w:drawing>
          <wp:inline distT="0" distB="0" distL="0" distR="0" wp14:anchorId="172E76B2" wp14:editId="52C954DE">
            <wp:extent cx="1435100" cy="520700"/>
            <wp:effectExtent l="0" t="0" r="0" b="0"/>
            <wp:docPr id="1" name="Picture 1" descr="CEO Chris White's signature on the Statement of compliance. "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r>
        <w:rPr>
          <w:noProof/>
          <w:lang w:eastAsia="en-AU"/>
        </w:rPr>
        <w:br/>
      </w:r>
      <w:r w:rsidR="00DD4825">
        <w:t>Chris White</w:t>
      </w:r>
      <w:r w:rsidR="00B13501">
        <w:br/>
      </w:r>
      <w:r w:rsidR="00DD4825">
        <w:t>A/</w:t>
      </w:r>
      <w:r w:rsidR="00B13501">
        <w:t>Chief Executive Officer</w:t>
      </w:r>
      <w:r w:rsidR="00B13501">
        <w:br/>
      </w:r>
      <w:r w:rsidR="00616E8C">
        <w:t>WorkCover WA</w:t>
      </w:r>
      <w:r w:rsidR="00291DA6">
        <w:br/>
      </w:r>
      <w:r w:rsidR="00772EDE">
        <w:t>31</w:t>
      </w:r>
      <w:r w:rsidR="00570143" w:rsidRPr="001F5538">
        <w:t xml:space="preserve"> August 2018</w:t>
      </w:r>
      <w:r w:rsidR="00EC3A7C">
        <w:br/>
      </w:r>
    </w:p>
    <w:p w14:paraId="24106658" w14:textId="0CB50983" w:rsidR="007C698C" w:rsidRDefault="007C698C">
      <w:pPr>
        <w:keepLines w:val="0"/>
        <w:spacing w:after="0" w:line="240" w:lineRule="auto"/>
        <w:rPr>
          <w:rFonts w:eastAsiaTheme="majorEastAsia" w:cs="Arial"/>
          <w:b/>
          <w:bCs/>
          <w:iCs/>
          <w:color w:val="205352"/>
          <w:sz w:val="30"/>
          <w:szCs w:val="30"/>
        </w:rPr>
      </w:pPr>
      <w:r>
        <w:br w:type="page"/>
      </w:r>
    </w:p>
    <w:p w14:paraId="2432F6B1" w14:textId="77777777" w:rsidR="00EC44DA" w:rsidRPr="00302712" w:rsidRDefault="00EC44DA" w:rsidP="008807AF">
      <w:pPr>
        <w:pStyle w:val="Heading1nonumber"/>
      </w:pPr>
      <w:bookmarkStart w:id="15" w:name="_Toc399316902"/>
      <w:bookmarkStart w:id="16" w:name="_Toc426617390"/>
      <w:bookmarkStart w:id="17" w:name="_Toc450900604"/>
      <w:bookmarkStart w:id="18" w:name="_Toc525121895"/>
      <w:r w:rsidRPr="00302712">
        <w:t>About us</w:t>
      </w:r>
      <w:bookmarkEnd w:id="15"/>
      <w:bookmarkEnd w:id="16"/>
      <w:bookmarkEnd w:id="17"/>
      <w:bookmarkEnd w:id="18"/>
    </w:p>
    <w:p w14:paraId="522EAB08" w14:textId="77777777" w:rsidR="00EC44DA" w:rsidRDefault="00EC44DA" w:rsidP="008807AF">
      <w:pPr>
        <w:pStyle w:val="Heading2nonumber"/>
      </w:pPr>
      <w:bookmarkStart w:id="19" w:name="_Toc399316903"/>
      <w:bookmarkStart w:id="20" w:name="_Toc426617391"/>
      <w:bookmarkStart w:id="21" w:name="_Toc450900605"/>
      <w:bookmarkStart w:id="22" w:name="_Toc525121896"/>
      <w:r>
        <w:t>Our profile</w:t>
      </w:r>
      <w:bookmarkEnd w:id="19"/>
      <w:bookmarkEnd w:id="20"/>
      <w:bookmarkEnd w:id="21"/>
      <w:bookmarkEnd w:id="22"/>
    </w:p>
    <w:p w14:paraId="5580CA37" w14:textId="77777777" w:rsidR="007A4280" w:rsidRPr="0050741C" w:rsidRDefault="007A4280" w:rsidP="007A4280">
      <w:pPr>
        <w:rPr>
          <w:szCs w:val="22"/>
        </w:rPr>
      </w:pPr>
      <w:bookmarkStart w:id="23" w:name="_Toc399316904"/>
      <w:bookmarkStart w:id="24" w:name="_Toc426617393"/>
      <w:bookmarkStart w:id="25" w:name="_Toc450900607"/>
      <w:r w:rsidRPr="0050741C">
        <w:rPr>
          <w:szCs w:val="22"/>
        </w:rPr>
        <w:t xml:space="preserve">WorkCover WA is the government agency responsible for managing the </w:t>
      </w:r>
      <w:r w:rsidRPr="001F5538">
        <w:rPr>
          <w:szCs w:val="22"/>
        </w:rPr>
        <w:t>workers' compensation and injury management scheme (the scheme) in Western Australia (WA).</w:t>
      </w:r>
    </w:p>
    <w:p w14:paraId="48DA8522" w14:textId="77777777" w:rsidR="007A4280" w:rsidRPr="0050741C" w:rsidRDefault="007A4280" w:rsidP="007A4280">
      <w:pPr>
        <w:rPr>
          <w:szCs w:val="22"/>
        </w:rPr>
      </w:pPr>
      <w:r w:rsidRPr="0050741C">
        <w:rPr>
          <w:szCs w:val="22"/>
        </w:rPr>
        <w:t>Our role includes:</w:t>
      </w:r>
    </w:p>
    <w:p w14:paraId="02324B70" w14:textId="77777777" w:rsidR="007A4280" w:rsidRPr="00806B29" w:rsidRDefault="007A4280" w:rsidP="00806B29">
      <w:pPr>
        <w:pStyle w:val="BulletListLevel1"/>
      </w:pPr>
      <w:r w:rsidRPr="00806B29">
        <w:t xml:space="preserve">providing strategic policy advice to Government regarding workers’ compensation </w:t>
      </w:r>
    </w:p>
    <w:p w14:paraId="5E84B23F" w14:textId="77777777" w:rsidR="007A4280" w:rsidRPr="00806B29" w:rsidRDefault="007A4280" w:rsidP="00806B29">
      <w:pPr>
        <w:pStyle w:val="BulletListLevel1"/>
      </w:pPr>
      <w:r w:rsidRPr="00806B29">
        <w:t xml:space="preserve">regulating employers and service providers, and monitoring compliance with the </w:t>
      </w:r>
      <w:r w:rsidRPr="00300480">
        <w:rPr>
          <w:rStyle w:val="Emphasis"/>
          <w:rFonts w:cs="Arial"/>
          <w:iCs w:val="0"/>
        </w:rPr>
        <w:t xml:space="preserve">Workers' Compensation and Injury Management Act </w:t>
      </w:r>
      <w:r w:rsidRPr="001F5538">
        <w:rPr>
          <w:rStyle w:val="Emphasis"/>
          <w:rFonts w:cs="Arial"/>
          <w:iCs w:val="0"/>
        </w:rPr>
        <w:t>1981</w:t>
      </w:r>
      <w:r w:rsidRPr="001F5538">
        <w:rPr>
          <w:rStyle w:val="Emphasis"/>
          <w:rFonts w:cs="Arial"/>
          <w:i w:val="0"/>
          <w:iCs w:val="0"/>
        </w:rPr>
        <w:t xml:space="preserve"> </w:t>
      </w:r>
      <w:r w:rsidRPr="00C51FF4">
        <w:t>(the Act)</w:t>
      </w:r>
    </w:p>
    <w:p w14:paraId="23B6FB53" w14:textId="77777777" w:rsidR="007A4280" w:rsidRPr="00806B29" w:rsidRDefault="007A4280" w:rsidP="00806B29">
      <w:pPr>
        <w:pStyle w:val="BulletListLevel1"/>
      </w:pPr>
      <w:r w:rsidRPr="00806B29">
        <w:t>educating workers, employers and others about workers' compensation and injury management</w:t>
      </w:r>
    </w:p>
    <w:p w14:paraId="3DD460DD" w14:textId="77777777" w:rsidR="007A4280" w:rsidRPr="00806B29" w:rsidRDefault="007A4280" w:rsidP="00806B29">
      <w:pPr>
        <w:pStyle w:val="BulletListLevel1"/>
      </w:pPr>
      <w:r w:rsidRPr="00806B29">
        <w:t>providing an independent dispute resolution service for workers’ compensation issues.</w:t>
      </w:r>
    </w:p>
    <w:p w14:paraId="3FD9D29E" w14:textId="77777777" w:rsidR="00EC44DA" w:rsidRDefault="00EC44DA" w:rsidP="008807AF">
      <w:pPr>
        <w:pStyle w:val="Heading2nonumber"/>
      </w:pPr>
      <w:bookmarkStart w:id="26" w:name="_Toc525121897"/>
      <w:r>
        <w:t>Our purpose</w:t>
      </w:r>
      <w:bookmarkEnd w:id="23"/>
      <w:bookmarkEnd w:id="24"/>
      <w:bookmarkEnd w:id="25"/>
      <w:bookmarkEnd w:id="26"/>
    </w:p>
    <w:p w14:paraId="466F2DBC" w14:textId="77777777" w:rsidR="00806B29" w:rsidRPr="001E4264" w:rsidRDefault="00806B29" w:rsidP="00806B29">
      <w:pPr>
        <w:rPr>
          <w:szCs w:val="22"/>
        </w:rPr>
      </w:pPr>
      <w:bookmarkStart w:id="27" w:name="_Toc426617392"/>
      <w:bookmarkStart w:id="28" w:name="_Toc450900606"/>
      <w:bookmarkStart w:id="29" w:name="_Toc399316905"/>
      <w:bookmarkStart w:id="30" w:name="_Toc426617394"/>
      <w:bookmarkStart w:id="31" w:name="_Toc450900608"/>
      <w:r w:rsidRPr="001E4264">
        <w:rPr>
          <w:szCs w:val="22"/>
        </w:rPr>
        <w:t>WorkCover WA’s purpose is to lead a contemporary, healthy and integrated workers’ compensation scheme that is fair, accessible and cost-effective for all stakeholders through:</w:t>
      </w:r>
    </w:p>
    <w:p w14:paraId="323A6189" w14:textId="77777777" w:rsidR="00806B29" w:rsidRPr="00806B29" w:rsidRDefault="00806B29" w:rsidP="00806B29">
      <w:pPr>
        <w:pStyle w:val="BulletListLevel1"/>
      </w:pPr>
      <w:r w:rsidRPr="00806B29">
        <w:t>providing advice and guidance about workers’ compensation, injury management and return to work practices</w:t>
      </w:r>
    </w:p>
    <w:p w14:paraId="04BC8F41" w14:textId="77777777" w:rsidR="00806B29" w:rsidRPr="00806B29" w:rsidRDefault="00806B29" w:rsidP="00806B29">
      <w:pPr>
        <w:pStyle w:val="BulletListLevel1"/>
      </w:pPr>
      <w:r w:rsidRPr="00806B29">
        <w:t xml:space="preserve">active, responsive and transparent management of the scheme </w:t>
      </w:r>
    </w:p>
    <w:p w14:paraId="50D052DB" w14:textId="77777777" w:rsidR="00806B29" w:rsidRPr="00806B29" w:rsidRDefault="00806B29" w:rsidP="00806B29">
      <w:pPr>
        <w:pStyle w:val="BulletListLevel1"/>
      </w:pPr>
      <w:r w:rsidRPr="00806B29">
        <w:t xml:space="preserve">focused information, education and compliance activities </w:t>
      </w:r>
    </w:p>
    <w:p w14:paraId="630775C5" w14:textId="77777777" w:rsidR="00806B29" w:rsidRPr="00806B29" w:rsidRDefault="00806B29" w:rsidP="00806B29">
      <w:pPr>
        <w:pStyle w:val="BulletListLevel1"/>
      </w:pPr>
      <w:r w:rsidRPr="00806B29">
        <w:t>fair and timely dispute resolution</w:t>
      </w:r>
    </w:p>
    <w:p w14:paraId="0E19C3EE" w14:textId="2859B485" w:rsidR="00570143" w:rsidRDefault="00806B29" w:rsidP="00806B29">
      <w:pPr>
        <w:pStyle w:val="BulletListLevel1"/>
      </w:pPr>
      <w:r w:rsidRPr="00806B29">
        <w:t>a strong service focus.</w:t>
      </w:r>
      <w:bookmarkEnd w:id="27"/>
      <w:bookmarkEnd w:id="28"/>
    </w:p>
    <w:p w14:paraId="239C7443" w14:textId="5B70B698" w:rsidR="00EC44DA" w:rsidRPr="00570143" w:rsidRDefault="00EC44DA" w:rsidP="00570143">
      <w:pPr>
        <w:pStyle w:val="Heading2nonumber"/>
        <w:rPr>
          <w:color w:val="auto"/>
        </w:rPr>
      </w:pPr>
      <w:bookmarkStart w:id="32" w:name="_Toc525121898"/>
      <w:r w:rsidRPr="00A74E13">
        <w:t>Our strategic direction</w:t>
      </w:r>
      <w:bookmarkEnd w:id="29"/>
      <w:bookmarkEnd w:id="30"/>
      <w:bookmarkEnd w:id="31"/>
      <w:bookmarkEnd w:id="32"/>
    </w:p>
    <w:p w14:paraId="3FF00098" w14:textId="6148A70B" w:rsidR="00806B29" w:rsidRPr="001E4264" w:rsidRDefault="00806B29" w:rsidP="00806B29">
      <w:pPr>
        <w:rPr>
          <w:szCs w:val="22"/>
        </w:rPr>
      </w:pPr>
      <w:bookmarkStart w:id="33" w:name="_Toc399316906"/>
      <w:bookmarkStart w:id="34" w:name="_Toc426617395"/>
      <w:bookmarkStart w:id="35" w:name="_Toc450900609"/>
      <w:r w:rsidRPr="001E4264">
        <w:rPr>
          <w:szCs w:val="22"/>
          <w:lang w:val="en-GB" w:eastAsia="en-AU"/>
        </w:rPr>
        <w:t xml:space="preserve">This year was the </w:t>
      </w:r>
      <w:r>
        <w:rPr>
          <w:szCs w:val="22"/>
          <w:lang w:val="en-GB" w:eastAsia="en-AU"/>
        </w:rPr>
        <w:t>third</w:t>
      </w:r>
      <w:r w:rsidRPr="001E4264">
        <w:rPr>
          <w:szCs w:val="22"/>
          <w:lang w:val="en-GB" w:eastAsia="en-AU"/>
        </w:rPr>
        <w:t xml:space="preserve"> year of WorkCover WA’s </w:t>
      </w:r>
      <w:r w:rsidRPr="001E4264">
        <w:rPr>
          <w:i/>
          <w:szCs w:val="22"/>
          <w:lang w:val="en-GB" w:eastAsia="en-AU"/>
        </w:rPr>
        <w:t>2015–2018 Strategic Plan</w:t>
      </w:r>
      <w:r w:rsidR="00300480">
        <w:rPr>
          <w:szCs w:val="22"/>
          <w:lang w:val="en-GB" w:eastAsia="en-AU"/>
        </w:rPr>
        <w:t xml:space="preserve"> </w:t>
      </w:r>
      <w:r w:rsidR="00C817BE">
        <w:rPr>
          <w:szCs w:val="22"/>
          <w:lang w:val="en-GB" w:eastAsia="en-AU"/>
        </w:rPr>
        <w:br/>
      </w:r>
      <w:r w:rsidR="00300480">
        <w:rPr>
          <w:szCs w:val="22"/>
          <w:lang w:val="en-GB" w:eastAsia="en-AU"/>
        </w:rPr>
        <w:t xml:space="preserve">(see </w:t>
      </w:r>
      <w:r w:rsidR="00300480" w:rsidRPr="00961DBF">
        <w:rPr>
          <w:szCs w:val="22"/>
          <w:lang w:val="en-GB" w:eastAsia="en-AU"/>
        </w:rPr>
        <w:t xml:space="preserve">page </w:t>
      </w:r>
      <w:r w:rsidR="00961DBF" w:rsidRPr="00961DBF">
        <w:rPr>
          <w:szCs w:val="22"/>
          <w:lang w:val="en-GB" w:eastAsia="en-AU"/>
        </w:rPr>
        <w:t>33</w:t>
      </w:r>
      <w:r w:rsidRPr="00961DBF">
        <w:rPr>
          <w:szCs w:val="22"/>
          <w:lang w:val="en-GB" w:eastAsia="en-AU"/>
        </w:rPr>
        <w:t xml:space="preserve"> </w:t>
      </w:r>
      <w:r w:rsidRPr="001E4264">
        <w:rPr>
          <w:szCs w:val="22"/>
          <w:lang w:val="en-GB" w:eastAsia="en-AU"/>
        </w:rPr>
        <w:t>for more detail).</w:t>
      </w:r>
      <w:r w:rsidRPr="001E4264">
        <w:rPr>
          <w:szCs w:val="22"/>
        </w:rPr>
        <w:t xml:space="preserve"> </w:t>
      </w:r>
    </w:p>
    <w:p w14:paraId="7553AB52" w14:textId="77777777" w:rsidR="00806B29" w:rsidRPr="001E4264" w:rsidRDefault="00806B29" w:rsidP="00806B29">
      <w:pPr>
        <w:rPr>
          <w:color w:val="000000"/>
          <w:szCs w:val="22"/>
        </w:rPr>
      </w:pPr>
      <w:r w:rsidRPr="001E4264">
        <w:rPr>
          <w:szCs w:val="22"/>
        </w:rPr>
        <w:t xml:space="preserve">The </w:t>
      </w:r>
      <w:r w:rsidRPr="001E4264">
        <w:rPr>
          <w:i/>
          <w:color w:val="000000"/>
          <w:szCs w:val="22"/>
        </w:rPr>
        <w:t>2015–2018</w:t>
      </w:r>
      <w:r w:rsidRPr="001E4264">
        <w:rPr>
          <w:color w:val="000000"/>
          <w:szCs w:val="22"/>
        </w:rPr>
        <w:t xml:space="preserve"> </w:t>
      </w:r>
      <w:r w:rsidRPr="001E4264">
        <w:rPr>
          <w:i/>
          <w:color w:val="000000"/>
          <w:szCs w:val="22"/>
        </w:rPr>
        <w:t xml:space="preserve">Strategic Plan </w:t>
      </w:r>
      <w:r w:rsidRPr="001E4264">
        <w:rPr>
          <w:color w:val="000000"/>
          <w:szCs w:val="22"/>
        </w:rPr>
        <w:t>sets out three goals directing WorkCover WA’s activities:</w:t>
      </w:r>
    </w:p>
    <w:p w14:paraId="25E05C68" w14:textId="77777777" w:rsidR="00806B29" w:rsidRPr="00806B29" w:rsidRDefault="00806B29" w:rsidP="00806B29">
      <w:pPr>
        <w:pStyle w:val="BulletListLevel1"/>
      </w:pPr>
      <w:r w:rsidRPr="00806B29">
        <w:rPr>
          <w:rStyle w:val="Strong"/>
          <w:rFonts w:cs="Arial"/>
          <w:bCs/>
        </w:rPr>
        <w:t>Goal 1: Strategic scheme management</w:t>
      </w:r>
      <w:r w:rsidRPr="00806B29">
        <w:rPr>
          <w:rStyle w:val="Strong"/>
          <w:rFonts w:cs="Arial"/>
          <w:b w:val="0"/>
          <w:bCs/>
        </w:rPr>
        <w:br/>
      </w:r>
      <w:r w:rsidRPr="00806B29">
        <w:t>We will ensure the sustainability and strong performance of the scheme.</w:t>
      </w:r>
    </w:p>
    <w:p w14:paraId="2B45BFC0" w14:textId="77777777" w:rsidR="00806B29" w:rsidRPr="00806B29" w:rsidRDefault="00806B29" w:rsidP="00806B29">
      <w:pPr>
        <w:pStyle w:val="BulletListLevel1"/>
      </w:pPr>
      <w:r w:rsidRPr="00806B29">
        <w:rPr>
          <w:rStyle w:val="Strong"/>
          <w:rFonts w:cs="Arial"/>
          <w:bCs/>
        </w:rPr>
        <w:t>Goal 2: Leadership</w:t>
      </w:r>
      <w:r w:rsidRPr="00806B29">
        <w:rPr>
          <w:rStyle w:val="Strong"/>
          <w:rFonts w:cs="Arial"/>
          <w:b w:val="0"/>
          <w:bCs/>
        </w:rPr>
        <w:br/>
      </w:r>
      <w:r w:rsidRPr="00806B29">
        <w:t>We will lead continuous improvement of the scheme.</w:t>
      </w:r>
    </w:p>
    <w:p w14:paraId="2DD9E48B" w14:textId="77777777" w:rsidR="00806B29" w:rsidRPr="00806B29" w:rsidRDefault="00806B29" w:rsidP="00806B29">
      <w:pPr>
        <w:pStyle w:val="BulletListLevel1"/>
      </w:pPr>
      <w:r w:rsidRPr="00806B29">
        <w:rPr>
          <w:rStyle w:val="Strong"/>
          <w:rFonts w:cs="Arial"/>
          <w:bCs/>
        </w:rPr>
        <w:t>Goal 3: Agile and innovative organisation</w:t>
      </w:r>
      <w:r w:rsidRPr="00806B29">
        <w:rPr>
          <w:rStyle w:val="Strong"/>
          <w:rFonts w:cs="Arial"/>
          <w:b w:val="0"/>
          <w:bCs/>
        </w:rPr>
        <w:br/>
      </w:r>
      <w:r w:rsidRPr="00806B29">
        <w:t>We will strive to ensure WorkCover WA has the right people, culture, systems and processes.</w:t>
      </w:r>
    </w:p>
    <w:p w14:paraId="4BA99506" w14:textId="60B4A56D" w:rsidR="00EC44DA" w:rsidRPr="0051288E" w:rsidRDefault="00EC44DA" w:rsidP="0051288E">
      <w:pPr>
        <w:pStyle w:val="Heading2nonumber"/>
      </w:pPr>
      <w:bookmarkStart w:id="36" w:name="_Toc525121899"/>
      <w:r>
        <w:t>Our values</w:t>
      </w:r>
      <w:bookmarkEnd w:id="33"/>
      <w:bookmarkEnd w:id="34"/>
      <w:bookmarkEnd w:id="35"/>
      <w:bookmarkEnd w:id="36"/>
    </w:p>
    <w:p w14:paraId="616BCE72" w14:textId="77777777" w:rsidR="00806B29" w:rsidRPr="00806B29" w:rsidRDefault="00806B29" w:rsidP="00806B29">
      <w:pPr>
        <w:rPr>
          <w:rStyle w:val="Strong"/>
        </w:rPr>
      </w:pPr>
      <w:bookmarkStart w:id="37" w:name="_Toc399316907"/>
      <w:bookmarkStart w:id="38" w:name="_Toc426617396"/>
      <w:bookmarkStart w:id="39" w:name="_Toc450900610"/>
      <w:r w:rsidRPr="00806B29">
        <w:rPr>
          <w:rStyle w:val="Strong"/>
        </w:rPr>
        <w:t>Service</w:t>
      </w:r>
    </w:p>
    <w:p w14:paraId="7FDBE4B8" w14:textId="77777777" w:rsidR="00806B29" w:rsidRPr="00806B29" w:rsidRDefault="00806B29" w:rsidP="00806B29">
      <w:pPr>
        <w:pStyle w:val="BulletListLevel1"/>
      </w:pPr>
      <w:r w:rsidRPr="00806B29">
        <w:t>We are clear about what we will deliver</w:t>
      </w:r>
    </w:p>
    <w:p w14:paraId="31E269F8" w14:textId="77777777" w:rsidR="00806B29" w:rsidRPr="00806B29" w:rsidRDefault="00806B29" w:rsidP="00806B29">
      <w:pPr>
        <w:pStyle w:val="BulletListLevel1"/>
      </w:pPr>
      <w:r w:rsidRPr="00806B29">
        <w:t>We consider our customers and their needs</w:t>
      </w:r>
    </w:p>
    <w:p w14:paraId="56082423" w14:textId="77777777" w:rsidR="00806B29" w:rsidRPr="00806B29" w:rsidRDefault="00806B29" w:rsidP="00806B29">
      <w:pPr>
        <w:pStyle w:val="BulletListLevel1"/>
      </w:pPr>
      <w:r w:rsidRPr="00806B29">
        <w:t>We commit, act and deliver</w:t>
      </w:r>
    </w:p>
    <w:p w14:paraId="115F32C7" w14:textId="77777777" w:rsidR="00806B29" w:rsidRPr="00806B29" w:rsidRDefault="00806B29" w:rsidP="00806B29">
      <w:pPr>
        <w:rPr>
          <w:rStyle w:val="Strong"/>
        </w:rPr>
      </w:pPr>
      <w:r w:rsidRPr="00806B29">
        <w:rPr>
          <w:rStyle w:val="Strong"/>
        </w:rPr>
        <w:t>Excellence</w:t>
      </w:r>
    </w:p>
    <w:p w14:paraId="0C2BAA87" w14:textId="77777777" w:rsidR="00806B29" w:rsidRPr="00806B29" w:rsidRDefault="00806B29" w:rsidP="00806B29">
      <w:pPr>
        <w:pStyle w:val="BulletListLevel1"/>
      </w:pPr>
      <w:r w:rsidRPr="00806B29">
        <w:t>We are proactive, positive, flexible and act strategically</w:t>
      </w:r>
    </w:p>
    <w:p w14:paraId="0239B34C" w14:textId="77777777" w:rsidR="00806B29" w:rsidRPr="00806B29" w:rsidRDefault="00806B29" w:rsidP="00806B29">
      <w:pPr>
        <w:pStyle w:val="BulletListLevel1"/>
      </w:pPr>
      <w:r w:rsidRPr="00806B29">
        <w:t>We recognise that change is constant and that it can bring opportunity</w:t>
      </w:r>
    </w:p>
    <w:p w14:paraId="7AA00B33" w14:textId="77777777" w:rsidR="00806B29" w:rsidRPr="00806B29" w:rsidRDefault="00806B29" w:rsidP="00806B29">
      <w:pPr>
        <w:pStyle w:val="BulletListLevel1"/>
      </w:pPr>
      <w:r w:rsidRPr="00806B29">
        <w:t>We build on opportunities</w:t>
      </w:r>
    </w:p>
    <w:p w14:paraId="68DAA441" w14:textId="77777777" w:rsidR="00806B29" w:rsidRPr="00806B29" w:rsidRDefault="00806B29" w:rsidP="00806B29">
      <w:pPr>
        <w:rPr>
          <w:rStyle w:val="Strong"/>
        </w:rPr>
      </w:pPr>
      <w:r w:rsidRPr="00806B29">
        <w:rPr>
          <w:rStyle w:val="Strong"/>
        </w:rPr>
        <w:t>Respect</w:t>
      </w:r>
    </w:p>
    <w:p w14:paraId="26DC44C8" w14:textId="77777777" w:rsidR="00806B29" w:rsidRPr="00806B29" w:rsidRDefault="00806B29" w:rsidP="00806B29">
      <w:pPr>
        <w:pStyle w:val="BulletListLevel1"/>
      </w:pPr>
      <w:r w:rsidRPr="00806B29">
        <w:t>We embrace diversity and individual differences</w:t>
      </w:r>
    </w:p>
    <w:p w14:paraId="6B476719" w14:textId="77777777" w:rsidR="00806B29" w:rsidRPr="00806B29" w:rsidRDefault="00806B29" w:rsidP="00806B29">
      <w:pPr>
        <w:pStyle w:val="BulletListLevel1"/>
      </w:pPr>
      <w:r w:rsidRPr="00806B29">
        <w:t>We seek to understand and recognise people’s interests and rights</w:t>
      </w:r>
    </w:p>
    <w:p w14:paraId="2D4B1DFF" w14:textId="77777777" w:rsidR="00806B29" w:rsidRPr="00806B29" w:rsidRDefault="00806B29" w:rsidP="00806B29">
      <w:pPr>
        <w:pStyle w:val="BulletListLevel1"/>
        <w:rPr>
          <w:rStyle w:val="Strong"/>
          <w:rFonts w:cs="Arial"/>
          <w:b w:val="0"/>
          <w:bCs/>
        </w:rPr>
      </w:pPr>
      <w:r w:rsidRPr="00806B29">
        <w:t>We are fair and prompt in our actions and dealings with others</w:t>
      </w:r>
    </w:p>
    <w:p w14:paraId="35CA997A" w14:textId="77777777" w:rsidR="00806B29" w:rsidRPr="00806B29" w:rsidRDefault="00806B29" w:rsidP="00806B29">
      <w:pPr>
        <w:rPr>
          <w:rStyle w:val="Strong"/>
        </w:rPr>
      </w:pPr>
      <w:r w:rsidRPr="00806B29">
        <w:rPr>
          <w:rStyle w:val="Strong"/>
        </w:rPr>
        <w:t>Integrity</w:t>
      </w:r>
    </w:p>
    <w:p w14:paraId="386EAEFE" w14:textId="77777777" w:rsidR="00806B29" w:rsidRPr="00806B29" w:rsidRDefault="00806B29" w:rsidP="00806B29">
      <w:pPr>
        <w:pStyle w:val="BulletListLevel1"/>
      </w:pPr>
      <w:r w:rsidRPr="00806B29">
        <w:t>We are trustworthy and accountable</w:t>
      </w:r>
    </w:p>
    <w:p w14:paraId="093C1FAB" w14:textId="77777777" w:rsidR="00806B29" w:rsidRPr="00806B29" w:rsidRDefault="00806B29" w:rsidP="00806B29">
      <w:pPr>
        <w:pStyle w:val="BulletListLevel1"/>
      </w:pPr>
      <w:r w:rsidRPr="00806B29">
        <w:t>We act in a consistent and impartial manner</w:t>
      </w:r>
    </w:p>
    <w:p w14:paraId="62978AFB" w14:textId="77777777" w:rsidR="00806B29" w:rsidRPr="00806B29" w:rsidRDefault="00806B29" w:rsidP="00806B29">
      <w:pPr>
        <w:pStyle w:val="BulletListLevel1"/>
      </w:pPr>
      <w:r w:rsidRPr="00806B29">
        <w:t>We are transparent in our decision making</w:t>
      </w:r>
    </w:p>
    <w:p w14:paraId="6ABBB14C" w14:textId="77777777" w:rsidR="00806B29" w:rsidRPr="00806B29" w:rsidRDefault="00806B29" w:rsidP="00806B29">
      <w:pPr>
        <w:rPr>
          <w:rStyle w:val="Strong"/>
        </w:rPr>
      </w:pPr>
      <w:r w:rsidRPr="00806B29">
        <w:rPr>
          <w:rStyle w:val="Strong"/>
        </w:rPr>
        <w:t>Collaboration</w:t>
      </w:r>
    </w:p>
    <w:p w14:paraId="3D8DA2F3" w14:textId="77777777" w:rsidR="00806B29" w:rsidRPr="00806B29" w:rsidRDefault="00806B29" w:rsidP="00806B29">
      <w:pPr>
        <w:pStyle w:val="BulletListLevel1"/>
      </w:pPr>
      <w:r w:rsidRPr="00806B29">
        <w:t>We work as a team</w:t>
      </w:r>
    </w:p>
    <w:p w14:paraId="7DB12528" w14:textId="77777777" w:rsidR="00806B29" w:rsidRPr="00806B29" w:rsidRDefault="00806B29" w:rsidP="00806B29">
      <w:pPr>
        <w:pStyle w:val="BulletListLevel1"/>
      </w:pPr>
      <w:r w:rsidRPr="00806B29">
        <w:t>We value the contribution of others</w:t>
      </w:r>
    </w:p>
    <w:p w14:paraId="0FEB6A6B" w14:textId="77777777" w:rsidR="00806B29" w:rsidRPr="00806B29" w:rsidRDefault="00806B29" w:rsidP="00806B29">
      <w:pPr>
        <w:pStyle w:val="BulletListLevel1"/>
      </w:pPr>
      <w:r w:rsidRPr="00806B29">
        <w:t>We embrace a culture of open communication</w:t>
      </w:r>
    </w:p>
    <w:p w14:paraId="4A4D8D68" w14:textId="77777777" w:rsidR="00D27EBB" w:rsidRDefault="00D27EBB" w:rsidP="00D27EBB">
      <w:pPr>
        <w:pStyle w:val="Heading2nonumber"/>
      </w:pPr>
      <w:bookmarkStart w:id="40" w:name="_Toc525121900"/>
      <w:r>
        <w:t>Our vision</w:t>
      </w:r>
      <w:bookmarkEnd w:id="40"/>
    </w:p>
    <w:p w14:paraId="3E8466B7" w14:textId="77777777" w:rsidR="00DA7862" w:rsidRPr="00DA7862" w:rsidRDefault="00DA7862" w:rsidP="00DA7862">
      <w:pPr>
        <w:rPr>
          <w:rStyle w:val="Strong"/>
          <w:b w:val="0"/>
        </w:rPr>
      </w:pPr>
      <w:r w:rsidRPr="00DA7862">
        <w:rPr>
          <w:rStyle w:val="Strong"/>
          <w:b w:val="0"/>
        </w:rPr>
        <w:t>Our vision is a workers’ compensation and injury management scheme that works for all.</w:t>
      </w:r>
    </w:p>
    <w:p w14:paraId="3B80D326" w14:textId="447FC51F" w:rsidR="00E8092F" w:rsidRDefault="00E8092F" w:rsidP="00EE6766">
      <w:pPr>
        <w:pStyle w:val="Heading2nonumber"/>
      </w:pPr>
      <w:bookmarkStart w:id="41" w:name="_Toc525121901"/>
      <w:r w:rsidRPr="006F0FDE">
        <w:t>Our stakeholders</w:t>
      </w:r>
      <w:bookmarkEnd w:id="37"/>
      <w:bookmarkEnd w:id="38"/>
      <w:bookmarkEnd w:id="39"/>
      <w:bookmarkEnd w:id="41"/>
      <w:r w:rsidRPr="006F0FDE">
        <w:t xml:space="preserve"> </w:t>
      </w:r>
    </w:p>
    <w:p w14:paraId="0F6EA93B" w14:textId="0BADD4C0" w:rsidR="000F64A0" w:rsidRDefault="000F64A0" w:rsidP="000F64A0">
      <w:r>
        <w:t xml:space="preserve">Workers and employers are the primary stakeholders of the </w:t>
      </w:r>
      <w:r w:rsidRPr="001F5538">
        <w:t>WA scheme.</w:t>
      </w:r>
    </w:p>
    <w:p w14:paraId="235EECC4" w14:textId="2DC04149" w:rsidR="000F64A0" w:rsidRDefault="000F64A0" w:rsidP="000F64A0">
      <w:r>
        <w:t xml:space="preserve">Many other stakeholders support the </w:t>
      </w:r>
      <w:r w:rsidR="00A25B45">
        <w:t>scheme to operate effectively</w:t>
      </w:r>
      <w:r>
        <w:t xml:space="preserve"> by providing services to workers </w:t>
      </w:r>
      <w:r w:rsidR="00A25B45">
        <w:t>with a</w:t>
      </w:r>
      <w:r>
        <w:t xml:space="preserve"> work-related injury or disease and assisting empl</w:t>
      </w:r>
      <w:r w:rsidR="00A25B45">
        <w:t>oyers to meet their legal obligations.</w:t>
      </w:r>
    </w:p>
    <w:p w14:paraId="5250F163" w14:textId="2D0631A5" w:rsidR="00B459DB" w:rsidRPr="000F64A0" w:rsidRDefault="000F64A0" w:rsidP="000F64A0">
      <w:pPr>
        <w:rPr>
          <w:rStyle w:val="Strong"/>
          <w:b w:val="0"/>
          <w:bCs w:val="0"/>
        </w:rPr>
      </w:pPr>
      <w:r>
        <w:t>The following stakeholders contribute to the objective of returning an injured worker to safe and sustainable work:</w:t>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WorkCover WA Stakeholders"/>
        <w:tblDescription w:val="This table explains who WorkCover WA's stakeholders are. They are categorised into primary stakeholders, stakeholders who provide claims assessment, claims management and dispute resolution, and stakeholders who provide services for injury management and return to work. "/>
      </w:tblPr>
      <w:tblGrid>
        <w:gridCol w:w="3005"/>
        <w:gridCol w:w="3005"/>
        <w:gridCol w:w="3006"/>
      </w:tblGrid>
      <w:tr w:rsidR="0045383D" w:rsidRPr="008C602A" w14:paraId="45DC4296" w14:textId="77777777" w:rsidTr="00553134">
        <w:trPr>
          <w:tblHeader/>
        </w:trPr>
        <w:tc>
          <w:tcPr>
            <w:tcW w:w="3005" w:type="dxa"/>
            <w:tcBorders>
              <w:top w:val="single" w:sz="4" w:space="0" w:color="9FBCD0"/>
              <w:left w:val="single" w:sz="4" w:space="0" w:color="9FBCD0"/>
              <w:right w:val="single" w:sz="4" w:space="0" w:color="9FBCD0"/>
            </w:tcBorders>
            <w:shd w:val="clear" w:color="auto" w:fill="9FBCD0"/>
          </w:tcPr>
          <w:p w14:paraId="1B063A5F" w14:textId="46FD9754" w:rsidR="000F64A0" w:rsidRPr="00300480" w:rsidRDefault="000F64A0" w:rsidP="00300480">
            <w:pPr>
              <w:rPr>
                <w:rStyle w:val="Strong"/>
                <w:rFonts w:cs="Arial"/>
                <w:b w:val="0"/>
              </w:rPr>
            </w:pPr>
            <w:r w:rsidRPr="00300480">
              <w:t>Primary stakeholders</w:t>
            </w:r>
          </w:p>
        </w:tc>
        <w:tc>
          <w:tcPr>
            <w:tcW w:w="3005" w:type="dxa"/>
            <w:tcBorders>
              <w:top w:val="single" w:sz="4" w:space="0" w:color="9FBCD0"/>
              <w:left w:val="single" w:sz="4" w:space="0" w:color="9FBCD0"/>
              <w:right w:val="single" w:sz="4" w:space="0" w:color="9FBCD0"/>
            </w:tcBorders>
            <w:shd w:val="clear" w:color="auto" w:fill="9FBCD0"/>
          </w:tcPr>
          <w:p w14:paraId="58FA097B" w14:textId="346727DE" w:rsidR="0045383D" w:rsidRPr="008C602A" w:rsidRDefault="000F64A0" w:rsidP="00300480">
            <w:pPr>
              <w:rPr>
                <w:rStyle w:val="Strong"/>
                <w:rFonts w:cs="Arial"/>
              </w:rPr>
            </w:pPr>
            <w:r w:rsidRPr="00300480">
              <w:t>Stakeholders who provide</w:t>
            </w:r>
            <w:r>
              <w:rPr>
                <w:rStyle w:val="Strong"/>
                <w:rFonts w:cs="Arial"/>
              </w:rPr>
              <w:t xml:space="preserve"> </w:t>
            </w:r>
            <w:r w:rsidRPr="00300480">
              <w:t>claims assessment,</w:t>
            </w:r>
            <w:r>
              <w:rPr>
                <w:rStyle w:val="Strong"/>
                <w:rFonts w:cs="Arial"/>
              </w:rPr>
              <w:t xml:space="preserve"> </w:t>
            </w:r>
            <w:r w:rsidRPr="00300480">
              <w:t>claims management and</w:t>
            </w:r>
            <w:r>
              <w:rPr>
                <w:rStyle w:val="Strong"/>
                <w:rFonts w:cs="Arial"/>
              </w:rPr>
              <w:t xml:space="preserve"> </w:t>
            </w:r>
            <w:r w:rsidRPr="00300480">
              <w:t>dispute resolution</w:t>
            </w:r>
            <w:r w:rsidR="00D0747D">
              <w:t xml:space="preserve"> services</w:t>
            </w:r>
          </w:p>
        </w:tc>
        <w:tc>
          <w:tcPr>
            <w:tcW w:w="3006" w:type="dxa"/>
            <w:tcBorders>
              <w:top w:val="single" w:sz="4" w:space="0" w:color="9FBCD0"/>
              <w:left w:val="single" w:sz="4" w:space="0" w:color="9FBCD0"/>
              <w:right w:val="single" w:sz="4" w:space="0" w:color="9FBCD0"/>
            </w:tcBorders>
            <w:shd w:val="clear" w:color="auto" w:fill="9FBCD0"/>
          </w:tcPr>
          <w:p w14:paraId="0B4A8BA7" w14:textId="7F6F1421" w:rsidR="0045383D" w:rsidRPr="008C602A" w:rsidRDefault="000F64A0" w:rsidP="00300480">
            <w:pPr>
              <w:rPr>
                <w:rStyle w:val="Strong"/>
                <w:rFonts w:cs="Arial"/>
              </w:rPr>
            </w:pPr>
            <w:r w:rsidRPr="00300480">
              <w:t>Stakeholders who provide</w:t>
            </w:r>
            <w:r>
              <w:rPr>
                <w:rStyle w:val="Strong"/>
                <w:rFonts w:cs="Arial"/>
              </w:rPr>
              <w:t xml:space="preserve"> </w:t>
            </w:r>
            <w:r w:rsidRPr="00300480">
              <w:t>services for injury</w:t>
            </w:r>
            <w:r>
              <w:rPr>
                <w:rStyle w:val="Strong"/>
                <w:rFonts w:cs="Arial"/>
              </w:rPr>
              <w:t xml:space="preserve"> </w:t>
            </w:r>
            <w:r w:rsidRPr="00300480">
              <w:t>management and return to</w:t>
            </w:r>
            <w:r>
              <w:rPr>
                <w:rStyle w:val="Strong"/>
                <w:rFonts w:cs="Arial"/>
              </w:rPr>
              <w:t xml:space="preserve"> </w:t>
            </w:r>
            <w:r w:rsidRPr="00300480">
              <w:t>work</w:t>
            </w:r>
          </w:p>
        </w:tc>
      </w:tr>
      <w:tr w:rsidR="0045383D" w:rsidRPr="008C602A" w14:paraId="4019D7B8" w14:textId="77777777" w:rsidTr="00553134">
        <w:tc>
          <w:tcPr>
            <w:tcW w:w="3005" w:type="dxa"/>
            <w:tcBorders>
              <w:left w:val="single" w:sz="4" w:space="0" w:color="9FBCD0"/>
              <w:bottom w:val="single" w:sz="4" w:space="0" w:color="9FBCD0"/>
              <w:right w:val="single" w:sz="4" w:space="0" w:color="9FBCD0"/>
            </w:tcBorders>
          </w:tcPr>
          <w:p w14:paraId="0DD865C7" w14:textId="429FAF5F" w:rsidR="0045383D" w:rsidRDefault="00300480" w:rsidP="000F64A0">
            <w:pPr>
              <w:pStyle w:val="BulletListLevel1"/>
              <w:rPr>
                <w:rStyle w:val="Strong"/>
                <w:rFonts w:cs="Arial"/>
                <w:b w:val="0"/>
                <w:bCs/>
              </w:rPr>
            </w:pPr>
            <w:r>
              <w:rPr>
                <w:rStyle w:val="Strong"/>
                <w:rFonts w:cs="Arial"/>
                <w:b w:val="0"/>
                <w:bCs/>
              </w:rPr>
              <w:t>w</w:t>
            </w:r>
            <w:r w:rsidR="000F64A0">
              <w:rPr>
                <w:rStyle w:val="Strong"/>
                <w:rFonts w:cs="Arial"/>
                <w:b w:val="0"/>
                <w:bCs/>
              </w:rPr>
              <w:t>orkers</w:t>
            </w:r>
          </w:p>
          <w:p w14:paraId="2DF341D2" w14:textId="3CC03F44" w:rsidR="000F64A0" w:rsidRPr="000F64A0" w:rsidRDefault="00300480" w:rsidP="000F64A0">
            <w:pPr>
              <w:pStyle w:val="BulletListLevel1"/>
              <w:rPr>
                <w:rStyle w:val="Strong"/>
                <w:rFonts w:cs="Arial"/>
                <w:b w:val="0"/>
                <w:bCs/>
              </w:rPr>
            </w:pPr>
            <w:r>
              <w:rPr>
                <w:rStyle w:val="Strong"/>
                <w:rFonts w:cs="Arial"/>
                <w:b w:val="0"/>
                <w:bCs/>
              </w:rPr>
              <w:t>e</w:t>
            </w:r>
            <w:r w:rsidR="000F64A0">
              <w:rPr>
                <w:rStyle w:val="Strong"/>
                <w:rFonts w:cs="Arial"/>
                <w:b w:val="0"/>
                <w:bCs/>
              </w:rPr>
              <w:t>mployers</w:t>
            </w:r>
          </w:p>
        </w:tc>
        <w:tc>
          <w:tcPr>
            <w:tcW w:w="3005" w:type="dxa"/>
            <w:tcBorders>
              <w:left w:val="single" w:sz="4" w:space="0" w:color="9FBCD0"/>
              <w:bottom w:val="single" w:sz="4" w:space="0" w:color="9FBCD0"/>
              <w:right w:val="single" w:sz="4" w:space="0" w:color="9FBCD0"/>
            </w:tcBorders>
          </w:tcPr>
          <w:p w14:paraId="2A1B1AAF" w14:textId="34F27D4F" w:rsidR="0045383D" w:rsidRDefault="00300480" w:rsidP="000F64A0">
            <w:pPr>
              <w:pStyle w:val="BulletListLevel1"/>
              <w:rPr>
                <w:rStyle w:val="Strong"/>
                <w:rFonts w:cs="Arial"/>
                <w:b w:val="0"/>
                <w:bCs/>
              </w:rPr>
            </w:pPr>
            <w:r>
              <w:rPr>
                <w:rStyle w:val="Strong"/>
                <w:rFonts w:cs="Arial"/>
                <w:b w:val="0"/>
                <w:bCs/>
              </w:rPr>
              <w:t>i</w:t>
            </w:r>
            <w:r w:rsidR="000F64A0">
              <w:rPr>
                <w:rStyle w:val="Strong"/>
                <w:rFonts w:cs="Arial"/>
                <w:b w:val="0"/>
                <w:bCs/>
              </w:rPr>
              <w:t xml:space="preserve">nsurers and </w:t>
            </w:r>
            <w:r>
              <w:rPr>
                <w:rStyle w:val="Strong"/>
                <w:rFonts w:cs="Arial"/>
                <w:b w:val="0"/>
                <w:bCs/>
              </w:rPr>
              <w:t>self</w:t>
            </w:r>
            <w:r>
              <w:rPr>
                <w:rStyle w:val="Strong"/>
                <w:rFonts w:cs="Arial"/>
                <w:b w:val="0"/>
                <w:bCs/>
              </w:rPr>
              <w:noBreakHyphen/>
            </w:r>
            <w:r w:rsidR="000F64A0">
              <w:rPr>
                <w:rStyle w:val="Strong"/>
                <w:rFonts w:cs="Arial"/>
                <w:b w:val="0"/>
                <w:bCs/>
              </w:rPr>
              <w:t>insurers</w:t>
            </w:r>
          </w:p>
          <w:p w14:paraId="00F418E0" w14:textId="78AD1763" w:rsidR="000F64A0" w:rsidRDefault="00300480" w:rsidP="000F64A0">
            <w:pPr>
              <w:pStyle w:val="BulletListLevel1"/>
              <w:rPr>
                <w:rStyle w:val="Strong"/>
                <w:rFonts w:cs="Arial"/>
                <w:b w:val="0"/>
                <w:bCs/>
              </w:rPr>
            </w:pPr>
            <w:r>
              <w:rPr>
                <w:rStyle w:val="Strong"/>
                <w:rFonts w:cs="Arial"/>
                <w:b w:val="0"/>
                <w:bCs/>
              </w:rPr>
              <w:t>i</w:t>
            </w:r>
            <w:r w:rsidR="000F64A0">
              <w:rPr>
                <w:rStyle w:val="Strong"/>
                <w:rFonts w:cs="Arial"/>
                <w:b w:val="0"/>
                <w:bCs/>
              </w:rPr>
              <w:t>nsurance brokers</w:t>
            </w:r>
          </w:p>
          <w:p w14:paraId="1883E230" w14:textId="499F4751" w:rsidR="000F64A0" w:rsidRDefault="00300480" w:rsidP="000F64A0">
            <w:pPr>
              <w:pStyle w:val="BulletListLevel1"/>
              <w:rPr>
                <w:rStyle w:val="Strong"/>
                <w:rFonts w:cs="Arial"/>
                <w:b w:val="0"/>
                <w:bCs/>
              </w:rPr>
            </w:pPr>
            <w:r>
              <w:rPr>
                <w:rStyle w:val="Strong"/>
                <w:rFonts w:cs="Arial"/>
                <w:b w:val="0"/>
                <w:bCs/>
              </w:rPr>
              <w:t>a</w:t>
            </w:r>
            <w:r w:rsidR="000F64A0">
              <w:rPr>
                <w:rStyle w:val="Strong"/>
                <w:rFonts w:cs="Arial"/>
                <w:b w:val="0"/>
                <w:bCs/>
              </w:rPr>
              <w:t>pproved medical specialists</w:t>
            </w:r>
          </w:p>
          <w:p w14:paraId="296375AD" w14:textId="0B56B595" w:rsidR="000F64A0" w:rsidRDefault="00DF580B" w:rsidP="000F64A0">
            <w:pPr>
              <w:pStyle w:val="BulletListLevel1"/>
              <w:rPr>
                <w:rStyle w:val="Strong"/>
                <w:rFonts w:cs="Arial"/>
                <w:b w:val="0"/>
                <w:bCs/>
              </w:rPr>
            </w:pPr>
            <w:r>
              <w:rPr>
                <w:rStyle w:val="Strong"/>
                <w:rFonts w:cs="Arial"/>
                <w:b w:val="0"/>
                <w:bCs/>
              </w:rPr>
              <w:t xml:space="preserve">audiologists and </w:t>
            </w:r>
            <w:r w:rsidR="000F64A0">
              <w:rPr>
                <w:rStyle w:val="Strong"/>
                <w:rFonts w:cs="Arial"/>
                <w:b w:val="0"/>
                <w:bCs/>
              </w:rPr>
              <w:t>audiometric officers</w:t>
            </w:r>
          </w:p>
          <w:p w14:paraId="571F390B" w14:textId="77777777" w:rsidR="000F64A0" w:rsidRDefault="00300480" w:rsidP="000F64A0">
            <w:pPr>
              <w:pStyle w:val="BulletListLevel1"/>
              <w:rPr>
                <w:rStyle w:val="Strong"/>
                <w:rFonts w:cs="Arial"/>
                <w:b w:val="0"/>
                <w:bCs/>
              </w:rPr>
            </w:pPr>
            <w:r>
              <w:rPr>
                <w:rStyle w:val="Strong"/>
                <w:rFonts w:cs="Arial"/>
                <w:b w:val="0"/>
                <w:bCs/>
              </w:rPr>
              <w:t>l</w:t>
            </w:r>
            <w:r w:rsidR="000F64A0">
              <w:rPr>
                <w:rStyle w:val="Strong"/>
                <w:rFonts w:cs="Arial"/>
                <w:b w:val="0"/>
                <w:bCs/>
              </w:rPr>
              <w:t>egal practitioners and registered agents</w:t>
            </w:r>
          </w:p>
          <w:p w14:paraId="22AEF679" w14:textId="4261AFD6" w:rsidR="0018168A" w:rsidRPr="000F64A0" w:rsidRDefault="00951D2F" w:rsidP="000F64A0">
            <w:pPr>
              <w:pStyle w:val="BulletListLevel1"/>
              <w:rPr>
                <w:rStyle w:val="Strong"/>
                <w:rFonts w:cs="Arial"/>
                <w:b w:val="0"/>
                <w:bCs/>
              </w:rPr>
            </w:pPr>
            <w:r>
              <w:rPr>
                <w:rStyle w:val="Strong"/>
                <w:rFonts w:cs="Arial"/>
                <w:b w:val="0"/>
                <w:bCs/>
              </w:rPr>
              <w:t>unions and other</w:t>
            </w:r>
            <w:r w:rsidR="007F2611">
              <w:rPr>
                <w:rStyle w:val="Strong"/>
                <w:rFonts w:cs="Arial"/>
                <w:b w:val="0"/>
                <w:bCs/>
              </w:rPr>
              <w:t xml:space="preserve"> representative bodies</w:t>
            </w:r>
          </w:p>
        </w:tc>
        <w:tc>
          <w:tcPr>
            <w:tcW w:w="3006" w:type="dxa"/>
            <w:tcBorders>
              <w:left w:val="single" w:sz="4" w:space="0" w:color="9FBCD0"/>
              <w:bottom w:val="single" w:sz="4" w:space="0" w:color="9FBCD0"/>
              <w:right w:val="single" w:sz="4" w:space="0" w:color="9FBCD0"/>
            </w:tcBorders>
          </w:tcPr>
          <w:p w14:paraId="782965D3" w14:textId="55BD53A7" w:rsidR="0045383D" w:rsidRDefault="00300480" w:rsidP="000F64A0">
            <w:pPr>
              <w:pStyle w:val="BulletListLevel1"/>
              <w:rPr>
                <w:rStyle w:val="Strong"/>
                <w:rFonts w:cs="Arial"/>
                <w:b w:val="0"/>
                <w:bCs/>
              </w:rPr>
            </w:pPr>
            <w:r>
              <w:rPr>
                <w:rStyle w:val="Strong"/>
                <w:rFonts w:cs="Arial"/>
                <w:b w:val="0"/>
                <w:bCs/>
              </w:rPr>
              <w:t>insurers and self</w:t>
            </w:r>
            <w:r>
              <w:rPr>
                <w:rStyle w:val="Strong"/>
                <w:rFonts w:cs="Arial"/>
                <w:b w:val="0"/>
                <w:bCs/>
              </w:rPr>
              <w:noBreakHyphen/>
            </w:r>
            <w:r w:rsidR="000F64A0">
              <w:rPr>
                <w:rStyle w:val="Strong"/>
                <w:rFonts w:cs="Arial"/>
                <w:b w:val="0"/>
                <w:bCs/>
              </w:rPr>
              <w:t>insurers</w:t>
            </w:r>
          </w:p>
          <w:p w14:paraId="367E2B35" w14:textId="7BA8F0A7" w:rsidR="000F64A0" w:rsidRDefault="00300480" w:rsidP="000F64A0">
            <w:pPr>
              <w:pStyle w:val="BulletListLevel1"/>
              <w:rPr>
                <w:rStyle w:val="Strong"/>
                <w:rFonts w:cs="Arial"/>
                <w:b w:val="0"/>
                <w:bCs/>
              </w:rPr>
            </w:pPr>
            <w:r>
              <w:rPr>
                <w:rStyle w:val="Strong"/>
                <w:rFonts w:cs="Arial"/>
                <w:b w:val="0"/>
                <w:bCs/>
              </w:rPr>
              <w:t>g</w:t>
            </w:r>
            <w:r w:rsidR="000F64A0">
              <w:rPr>
                <w:rStyle w:val="Strong"/>
                <w:rFonts w:cs="Arial"/>
                <w:b w:val="0"/>
                <w:bCs/>
              </w:rPr>
              <w:t>eneral practitioners and medical specialists</w:t>
            </w:r>
          </w:p>
          <w:p w14:paraId="190C3F87" w14:textId="2557158F" w:rsidR="000F64A0" w:rsidRDefault="00300480" w:rsidP="000F64A0">
            <w:pPr>
              <w:pStyle w:val="BulletListLevel1"/>
              <w:rPr>
                <w:rStyle w:val="Strong"/>
                <w:rFonts w:cs="Arial"/>
                <w:b w:val="0"/>
                <w:bCs/>
              </w:rPr>
            </w:pPr>
            <w:r>
              <w:rPr>
                <w:rStyle w:val="Strong"/>
                <w:rFonts w:cs="Arial"/>
                <w:b w:val="0"/>
                <w:bCs/>
              </w:rPr>
              <w:t>a</w:t>
            </w:r>
            <w:r w:rsidR="000F64A0">
              <w:rPr>
                <w:rStyle w:val="Strong"/>
                <w:rFonts w:cs="Arial"/>
                <w:b w:val="0"/>
                <w:bCs/>
              </w:rPr>
              <w:t xml:space="preserve">llied health practitioners </w:t>
            </w:r>
            <w:r>
              <w:rPr>
                <w:rStyle w:val="Strong"/>
                <w:rFonts w:cs="Arial"/>
                <w:b w:val="0"/>
                <w:bCs/>
              </w:rPr>
              <w:t>(</w:t>
            </w:r>
            <w:r w:rsidR="000F64A0">
              <w:rPr>
                <w:rStyle w:val="Strong"/>
                <w:rFonts w:cs="Arial"/>
                <w:b w:val="0"/>
                <w:bCs/>
              </w:rPr>
              <w:t>such as physiotherapists and psychologists</w:t>
            </w:r>
            <w:r>
              <w:rPr>
                <w:rStyle w:val="Strong"/>
                <w:rFonts w:cs="Arial"/>
                <w:b w:val="0"/>
                <w:bCs/>
              </w:rPr>
              <w:t>)</w:t>
            </w:r>
          </w:p>
          <w:p w14:paraId="04580739" w14:textId="41C92BC1" w:rsidR="000F64A0" w:rsidRPr="000F64A0" w:rsidRDefault="00300480" w:rsidP="000F64A0">
            <w:pPr>
              <w:pStyle w:val="BulletListLevel1"/>
              <w:rPr>
                <w:rStyle w:val="Strong"/>
                <w:rFonts w:cs="Arial"/>
                <w:b w:val="0"/>
                <w:bCs/>
              </w:rPr>
            </w:pPr>
            <w:r>
              <w:rPr>
                <w:rStyle w:val="Strong"/>
                <w:rFonts w:cs="Arial"/>
                <w:b w:val="0"/>
                <w:bCs/>
              </w:rPr>
              <w:t>w</w:t>
            </w:r>
            <w:r w:rsidR="000F64A0">
              <w:rPr>
                <w:rStyle w:val="Strong"/>
                <w:rFonts w:cs="Arial"/>
                <w:b w:val="0"/>
                <w:bCs/>
              </w:rPr>
              <w:t>orkplace rehabilitation providers</w:t>
            </w:r>
          </w:p>
        </w:tc>
      </w:tr>
    </w:tbl>
    <w:p w14:paraId="6C766D69" w14:textId="05EDEDB2" w:rsidR="00EC44DA" w:rsidRPr="00B459DB" w:rsidRDefault="00EC44DA" w:rsidP="00B459DB">
      <w:pPr>
        <w:pStyle w:val="Heading1nonumber"/>
      </w:pPr>
      <w:bookmarkStart w:id="42" w:name="_Toc399316908"/>
      <w:bookmarkStart w:id="43" w:name="_Toc426617397"/>
      <w:bookmarkStart w:id="44" w:name="_Toc450900611"/>
      <w:bookmarkStart w:id="45" w:name="_Toc525121902"/>
      <w:r>
        <w:t>Year in review</w:t>
      </w:r>
      <w:bookmarkEnd w:id="42"/>
      <w:bookmarkEnd w:id="43"/>
      <w:bookmarkEnd w:id="44"/>
      <w:bookmarkEnd w:id="45"/>
    </w:p>
    <w:p w14:paraId="1953C887" w14:textId="77777777" w:rsidR="00BD5D80" w:rsidRPr="00291EEE" w:rsidRDefault="00BD5D80" w:rsidP="00291EEE">
      <w:pPr>
        <w:rPr>
          <w:b/>
        </w:rPr>
      </w:pPr>
      <w:r w:rsidRPr="00291EEE">
        <w:rPr>
          <w:b/>
        </w:rPr>
        <w:t>CEO quote</w:t>
      </w:r>
    </w:p>
    <w:p w14:paraId="5BBA9F82" w14:textId="1154BADF" w:rsidR="00EB23D3" w:rsidRDefault="00EB23D3" w:rsidP="00EB23D3">
      <w:pPr>
        <w:keepLines w:val="0"/>
        <w:spacing w:after="160" w:line="259" w:lineRule="auto"/>
      </w:pPr>
      <w:bookmarkStart w:id="46" w:name="_Toc399316914"/>
      <w:bookmarkStart w:id="47" w:name="_Toc426617402"/>
      <w:bookmarkStart w:id="48" w:name="_Toc450900617"/>
      <w:bookmarkStart w:id="49" w:name="_Toc399316909"/>
      <w:bookmarkStart w:id="50" w:name="_Toc426617398"/>
      <w:bookmarkStart w:id="51" w:name="_Toc450900612"/>
      <w:r>
        <w:t xml:space="preserve">“Our priorities and goals continue to revolve around supporting and achieving the best outcomes for injured workers and employers. With the introduction of new legislation and the commencement of a new Strategic Plan for 2018-2021, we look forward to what the next financial year brings.” </w:t>
      </w:r>
    </w:p>
    <w:p w14:paraId="79742373" w14:textId="2A990312" w:rsidR="00076F16" w:rsidRDefault="003243D0" w:rsidP="00076F16">
      <w:pPr>
        <w:pStyle w:val="Heading2nonumber"/>
      </w:pPr>
      <w:bookmarkStart w:id="52" w:name="_Toc525121903"/>
      <w:r>
        <w:t>WorkCover WA</w:t>
      </w:r>
      <w:r w:rsidR="00076F16">
        <w:t xml:space="preserve"> </w:t>
      </w:r>
      <w:r w:rsidR="00076F16" w:rsidRPr="00302712">
        <w:t xml:space="preserve">Chairman and CEO </w:t>
      </w:r>
      <w:r w:rsidR="00076F16">
        <w:t>r</w:t>
      </w:r>
      <w:r w:rsidR="00076F16" w:rsidRPr="00302712">
        <w:t>eport</w:t>
      </w:r>
      <w:bookmarkEnd w:id="46"/>
      <w:bookmarkEnd w:id="47"/>
      <w:bookmarkEnd w:id="48"/>
      <w:bookmarkEnd w:id="52"/>
      <w:r w:rsidR="00076F16" w:rsidRPr="00302712">
        <w:t xml:space="preserve"> </w:t>
      </w:r>
    </w:p>
    <w:p w14:paraId="1339A76A" w14:textId="77777777" w:rsidR="00EB23D3" w:rsidRDefault="00EB23D3" w:rsidP="00EB23D3">
      <w:r>
        <w:t xml:space="preserve">This financial year has been one of sustained performance and ongoing commitment to ensuring the workers’ compensation scheme is operating effectively, and is fair, accessible and cost effective for stakeholders. </w:t>
      </w:r>
    </w:p>
    <w:p w14:paraId="25D853DE" w14:textId="37454029" w:rsidR="00EB23D3" w:rsidRDefault="00EB23D3" w:rsidP="00EB23D3">
      <w:r>
        <w:t>One of the most noteworthy developments in the last year is the introduction of new legislation, which will come into effect on 1 July 2018. WorkCover WA finalised drafting and implementation of new legislation to significantly improve entitlements to dependants of workers who die from a workplace injury. Additionally, in February 2018, the State Government approved the drafting of a Bill to modernise the State’s workers’ compensation legislation based on recommendations from WorkCover WA’s legislative review. Refer to the Legislative Review on page</w:t>
      </w:r>
      <w:r w:rsidRPr="004044EB">
        <w:t xml:space="preserve"> </w:t>
      </w:r>
      <w:r w:rsidR="004044EB" w:rsidRPr="004044EB">
        <w:t>34</w:t>
      </w:r>
      <w:r w:rsidRPr="004044EB">
        <w:t xml:space="preserve"> </w:t>
      </w:r>
      <w:r>
        <w:t xml:space="preserve">and Progressing legislative reform on page </w:t>
      </w:r>
      <w:r w:rsidR="004044EB">
        <w:t>88</w:t>
      </w:r>
      <w:r>
        <w:t xml:space="preserve"> for more information about these changes. </w:t>
      </w:r>
    </w:p>
    <w:p w14:paraId="771634A0" w14:textId="778E5A8B" w:rsidR="00EB23D3" w:rsidRDefault="00EB23D3" w:rsidP="00EB23D3">
      <w:r>
        <w:t xml:space="preserve">We are pleased with how the scheme has performed again this year, and have continued to work with stakeholders to deliver good outcomes for workers, and at a sustainable cost for employers. Premium rates remained low and nearly three quarters of scheme costs were expended on injured workers in the form of payments and services to support their recovery. Data and analysis about statistics and trends across the scheme are available on page </w:t>
      </w:r>
      <w:r w:rsidR="004044EB">
        <w:t>58</w:t>
      </w:r>
      <w:r>
        <w:t xml:space="preserve"> in Section 2: Scheme performance.</w:t>
      </w:r>
    </w:p>
    <w:p w14:paraId="29EDDB2F" w14:textId="46D70878" w:rsidR="00EB23D3" w:rsidRDefault="00EB23D3" w:rsidP="00EB23D3">
      <w:r>
        <w:t>We rely heavily on service providers to perform various roles within the scheme, and as such, maintained regulation of those providers in 2017/18. Details of these activities are outlined on page</w:t>
      </w:r>
      <w:r w:rsidR="004044EB">
        <w:t xml:space="preserve"> 79</w:t>
      </w:r>
      <w:r w:rsidRPr="006863A2">
        <w:rPr>
          <w:color w:val="FF0000"/>
        </w:rPr>
        <w:t xml:space="preserve"> </w:t>
      </w:r>
      <w:r>
        <w:t xml:space="preserve">in Regulating service providers. We value the importance of engaging and communicating with service providers, and our biennial conferences are an excellent way of achieving this. Planning for the 2019 Conference commenced in 2017/18 and will be delivered in May 2019, with the theme confirmed as ‘Facing forward’. More announcements will be made throughout the next year about speakers, topics and registrations. </w:t>
      </w:r>
    </w:p>
    <w:p w14:paraId="24FE53B2" w14:textId="4E4C8F38" w:rsidR="00EB23D3" w:rsidRDefault="00EB23D3" w:rsidP="00EB23D3">
      <w:r>
        <w:t>Another of our priorities for the year focused on continuing to deliver high service standards in the context of the State Government’s Machinery of Government reforms. Our Regulatory Services Division allocated more resources to front-line roles and service delivery, and the Corporate Resources and Legislation and Scheme Information Divisions merged to form the Scheme and Corporate Resources Division. Additionally, 14 positions within the Agency were abolished under a voluntary targeted separation scheme. Notwithstanding these changes, the dedicated staff at WorkCover WA continued to maintain service standards at a high quality (see Key</w:t>
      </w:r>
      <w:r w:rsidR="008121F9">
        <w:t xml:space="preserve"> Performance Indicators on page </w:t>
      </w:r>
      <w:r w:rsidR="004044EB">
        <w:t>144</w:t>
      </w:r>
      <w:r>
        <w:t>.)</w:t>
      </w:r>
    </w:p>
    <w:p w14:paraId="4BDDA14A" w14:textId="77777777" w:rsidR="00EB23D3" w:rsidRDefault="00EB23D3" w:rsidP="00EB23D3">
      <w:r>
        <w:t xml:space="preserve">As we now look ahead to 2018/19, we would like to take this opportunity to thank members of the WorkCover WA Board and Agency staff for their continued excellence and hard work.  </w:t>
      </w:r>
    </w:p>
    <w:p w14:paraId="1081749E" w14:textId="77777777" w:rsidR="00EB23D3" w:rsidRDefault="00EB23D3" w:rsidP="00EB23D3">
      <w:pPr>
        <w:keepLines w:val="0"/>
        <w:spacing w:after="160" w:line="259" w:lineRule="auto"/>
      </w:pPr>
      <w:r>
        <w:br w:type="page"/>
      </w:r>
    </w:p>
    <w:p w14:paraId="32EA8C11" w14:textId="52C47E91" w:rsidR="007C3CD9" w:rsidRDefault="00EC44DA" w:rsidP="0048036E">
      <w:pPr>
        <w:pStyle w:val="Heading2nonumber"/>
      </w:pPr>
      <w:bookmarkStart w:id="53" w:name="_Toc525121904"/>
      <w:r w:rsidRPr="00A73F0A">
        <w:t>Year in numbers</w:t>
      </w:r>
      <w:bookmarkEnd w:id="49"/>
      <w:bookmarkEnd w:id="50"/>
      <w:bookmarkEnd w:id="51"/>
      <w:bookmarkEnd w:id="53"/>
    </w:p>
    <w:tbl>
      <w:tblPr>
        <w:tblStyle w:val="TableGrid2"/>
        <w:tblW w:w="0" w:type="auto"/>
        <w:tblInd w:w="-5" w:type="dxa"/>
        <w:tblBorders>
          <w:top w:val="single" w:sz="4" w:space="0" w:color="BAD0CD"/>
          <w:left w:val="single" w:sz="4" w:space="0" w:color="BAD0CD"/>
          <w:bottom w:val="single" w:sz="4" w:space="0" w:color="BAD0CD"/>
          <w:right w:val="single" w:sz="4" w:space="0" w:color="BAD0CD"/>
          <w:insideH w:val="single" w:sz="4" w:space="0" w:color="BAD0CD"/>
          <w:insideV w:val="single" w:sz="4" w:space="0" w:color="BAD0CD"/>
        </w:tblBorders>
        <w:tblLook w:val="06A0" w:firstRow="1" w:lastRow="0" w:firstColumn="1" w:lastColumn="0" w:noHBand="1" w:noVBand="1"/>
        <w:tblCaption w:val="Figure - Year in numbers"/>
        <w:tblDescription w:val="This figure highlights the year in numbers for WorkCover WA. It includes the number of enquiries into expired policies and cancellations, investigations into potential breaches of the Act, infringement notices and prosecutions issues or completed against non-compliant employers, registrations of Memoranda of Agreements, conciliations and arbitrations completed, publications mailed out, visits to the website, requests for advice and assistance and hours of staff training completed. "/>
      </w:tblPr>
      <w:tblGrid>
        <w:gridCol w:w="3007"/>
        <w:gridCol w:w="4364"/>
        <w:gridCol w:w="1650"/>
      </w:tblGrid>
      <w:tr w:rsidR="008A673B" w:rsidRPr="001C3C25" w14:paraId="1535815D" w14:textId="77777777" w:rsidTr="00553134">
        <w:trPr>
          <w:tblHeader/>
        </w:trPr>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58F4734B" w14:textId="40B083B5" w:rsidR="008A673B" w:rsidRPr="001C3C25" w:rsidRDefault="008A673B" w:rsidP="00224DD5">
            <w:pPr>
              <w:rPr>
                <w:b/>
                <w:bCs/>
              </w:rPr>
            </w:pPr>
            <w:r>
              <w:rPr>
                <w:b/>
                <w:bCs/>
              </w:rPr>
              <w:t>Enquiries</w:t>
            </w:r>
          </w:p>
        </w:tc>
        <w:tc>
          <w:tcPr>
            <w:tcW w:w="4364" w:type="dxa"/>
            <w:tcBorders>
              <w:top w:val="single" w:sz="4" w:space="0" w:color="9FBCD0"/>
              <w:left w:val="single" w:sz="4" w:space="0" w:color="9FBCD0"/>
              <w:bottom w:val="single" w:sz="4" w:space="0" w:color="9FBCD0"/>
              <w:right w:val="single" w:sz="4" w:space="0" w:color="9FBCD0"/>
            </w:tcBorders>
          </w:tcPr>
          <w:p w14:paraId="34F7F072" w14:textId="28B552A1" w:rsidR="008A673B" w:rsidRPr="001C3C25" w:rsidRDefault="008A673B" w:rsidP="00224DD5">
            <w:pPr>
              <w:rPr>
                <w:lang w:val="en-GB" w:eastAsia="en-AU"/>
              </w:rPr>
            </w:pPr>
            <w:r>
              <w:rPr>
                <w:lang w:val="en-GB" w:eastAsia="en-AU"/>
              </w:rPr>
              <w:t>into expired policies and cancellations</w:t>
            </w:r>
          </w:p>
        </w:tc>
        <w:tc>
          <w:tcPr>
            <w:tcW w:w="1650" w:type="dxa"/>
            <w:tcBorders>
              <w:top w:val="single" w:sz="4" w:space="0" w:color="9FBCD0"/>
              <w:left w:val="single" w:sz="4" w:space="0" w:color="9FBCD0"/>
              <w:bottom w:val="single" w:sz="4" w:space="0" w:color="9FBCD0"/>
              <w:right w:val="single" w:sz="4" w:space="0" w:color="9FBCD0"/>
            </w:tcBorders>
          </w:tcPr>
          <w:p w14:paraId="26D003FB" w14:textId="7E597C36" w:rsidR="008A673B" w:rsidRPr="001C3C25" w:rsidRDefault="002B7750" w:rsidP="00224DD5">
            <w:pPr>
              <w:jc w:val="right"/>
              <w:rPr>
                <w:lang w:val="en-GB" w:eastAsia="en-AU"/>
              </w:rPr>
            </w:pPr>
            <w:r>
              <w:rPr>
                <w:lang w:val="en-GB" w:eastAsia="en-AU"/>
              </w:rPr>
              <w:t>11,222</w:t>
            </w:r>
          </w:p>
        </w:tc>
      </w:tr>
      <w:tr w:rsidR="008A673B" w:rsidRPr="001C3C25" w14:paraId="41F1089F"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17BD2EBE" w14:textId="77777777" w:rsidR="008A673B" w:rsidRPr="001C3C25" w:rsidRDefault="008A673B" w:rsidP="00224DD5">
            <w:pPr>
              <w:rPr>
                <w:b/>
                <w:bCs/>
              </w:rPr>
            </w:pPr>
            <w:bookmarkStart w:id="54" w:name="_Toc399316911"/>
            <w:bookmarkStart w:id="55" w:name="_Toc426617400"/>
            <w:bookmarkStart w:id="56" w:name="_Toc450900614"/>
            <w:r w:rsidRPr="001C3C25">
              <w:rPr>
                <w:b/>
                <w:bCs/>
              </w:rPr>
              <w:t>Investigations</w:t>
            </w:r>
          </w:p>
        </w:tc>
        <w:tc>
          <w:tcPr>
            <w:tcW w:w="4364" w:type="dxa"/>
            <w:tcBorders>
              <w:top w:val="single" w:sz="4" w:space="0" w:color="9FBCD0"/>
              <w:left w:val="single" w:sz="4" w:space="0" w:color="9FBCD0"/>
              <w:bottom w:val="single" w:sz="4" w:space="0" w:color="9FBCD0"/>
              <w:right w:val="single" w:sz="4" w:space="0" w:color="9FBCD0"/>
            </w:tcBorders>
          </w:tcPr>
          <w:p w14:paraId="4FB6DEE7" w14:textId="77777777" w:rsidR="008A673B" w:rsidRPr="001C3C25" w:rsidRDefault="008A673B" w:rsidP="00224DD5">
            <w:pPr>
              <w:rPr>
                <w:lang w:val="en-GB" w:eastAsia="en-AU"/>
              </w:rPr>
            </w:pPr>
            <w:r w:rsidRPr="001C3C25">
              <w:rPr>
                <w:lang w:val="en-GB" w:eastAsia="en-AU"/>
              </w:rPr>
              <w:t xml:space="preserve">into potential breaches of the </w:t>
            </w:r>
            <w:r w:rsidRPr="001F5538">
              <w:rPr>
                <w:lang w:val="en-GB" w:eastAsia="en-AU"/>
              </w:rPr>
              <w:t>Act</w:t>
            </w:r>
          </w:p>
        </w:tc>
        <w:tc>
          <w:tcPr>
            <w:tcW w:w="1650" w:type="dxa"/>
            <w:tcBorders>
              <w:top w:val="single" w:sz="4" w:space="0" w:color="9FBCD0"/>
              <w:left w:val="single" w:sz="4" w:space="0" w:color="9FBCD0"/>
              <w:bottom w:val="single" w:sz="4" w:space="0" w:color="9FBCD0"/>
              <w:right w:val="single" w:sz="4" w:space="0" w:color="9FBCD0"/>
            </w:tcBorders>
          </w:tcPr>
          <w:p w14:paraId="35922061" w14:textId="77777777" w:rsidR="008A673B" w:rsidRPr="001C3C25" w:rsidRDefault="008A673B" w:rsidP="00224DD5">
            <w:pPr>
              <w:jc w:val="right"/>
              <w:rPr>
                <w:lang w:val="en-GB" w:eastAsia="en-AU"/>
              </w:rPr>
            </w:pPr>
            <w:r w:rsidRPr="001C3C25">
              <w:rPr>
                <w:lang w:val="en-GB" w:eastAsia="en-AU"/>
              </w:rPr>
              <w:t>2,512</w:t>
            </w:r>
          </w:p>
        </w:tc>
      </w:tr>
      <w:tr w:rsidR="008A673B" w:rsidRPr="001C3C25" w14:paraId="49EEC165"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088E29EA" w14:textId="75F902C8" w:rsidR="008A673B" w:rsidRPr="001C3C25" w:rsidRDefault="008A673B" w:rsidP="00224DD5">
            <w:pPr>
              <w:rPr>
                <w:b/>
                <w:bCs/>
              </w:rPr>
            </w:pPr>
            <w:r>
              <w:rPr>
                <w:b/>
                <w:bCs/>
              </w:rPr>
              <w:t>Infringement notices and prosecutions</w:t>
            </w:r>
          </w:p>
        </w:tc>
        <w:tc>
          <w:tcPr>
            <w:tcW w:w="4364" w:type="dxa"/>
            <w:tcBorders>
              <w:top w:val="single" w:sz="4" w:space="0" w:color="9FBCD0"/>
              <w:left w:val="single" w:sz="4" w:space="0" w:color="9FBCD0"/>
              <w:bottom w:val="single" w:sz="4" w:space="0" w:color="9FBCD0"/>
              <w:right w:val="single" w:sz="4" w:space="0" w:color="9FBCD0"/>
            </w:tcBorders>
          </w:tcPr>
          <w:p w14:paraId="50EA98EC" w14:textId="6DD0882C" w:rsidR="008A673B" w:rsidRPr="001C3C25" w:rsidRDefault="008A673B" w:rsidP="00224DD5">
            <w:pPr>
              <w:rPr>
                <w:lang w:val="en-GB" w:eastAsia="en-AU"/>
              </w:rPr>
            </w:pPr>
            <w:r>
              <w:rPr>
                <w:lang w:val="en-GB" w:eastAsia="en-AU"/>
              </w:rPr>
              <w:t xml:space="preserve">issued or completed against </w:t>
            </w:r>
            <w:r>
              <w:rPr>
                <w:lang w:val="en-GB" w:eastAsia="en-AU"/>
              </w:rPr>
              <w:br/>
              <w:t>non-compliant employers</w:t>
            </w:r>
          </w:p>
        </w:tc>
        <w:tc>
          <w:tcPr>
            <w:tcW w:w="1650" w:type="dxa"/>
            <w:tcBorders>
              <w:top w:val="single" w:sz="4" w:space="0" w:color="9FBCD0"/>
              <w:left w:val="single" w:sz="4" w:space="0" w:color="9FBCD0"/>
              <w:bottom w:val="single" w:sz="4" w:space="0" w:color="9FBCD0"/>
              <w:right w:val="single" w:sz="4" w:space="0" w:color="9FBCD0"/>
            </w:tcBorders>
          </w:tcPr>
          <w:p w14:paraId="52F9884D" w14:textId="7404FCD0" w:rsidR="008A673B" w:rsidRPr="001C3C25" w:rsidRDefault="008A673B" w:rsidP="00224DD5">
            <w:pPr>
              <w:jc w:val="right"/>
              <w:rPr>
                <w:lang w:val="en-GB" w:eastAsia="en-AU"/>
              </w:rPr>
            </w:pPr>
            <w:r>
              <w:rPr>
                <w:lang w:val="en-GB" w:eastAsia="en-AU"/>
              </w:rPr>
              <w:t>572</w:t>
            </w:r>
          </w:p>
        </w:tc>
      </w:tr>
      <w:tr w:rsidR="008A673B" w:rsidRPr="001C3C25" w14:paraId="1330965C"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25531F55" w14:textId="7E63A913" w:rsidR="008A673B" w:rsidRPr="001C3C25" w:rsidRDefault="008A673B" w:rsidP="00224DD5">
            <w:pPr>
              <w:rPr>
                <w:b/>
                <w:bCs/>
              </w:rPr>
            </w:pPr>
            <w:r>
              <w:rPr>
                <w:b/>
                <w:bCs/>
              </w:rPr>
              <w:t>Registrations</w:t>
            </w:r>
          </w:p>
        </w:tc>
        <w:tc>
          <w:tcPr>
            <w:tcW w:w="4364" w:type="dxa"/>
            <w:tcBorders>
              <w:top w:val="single" w:sz="4" w:space="0" w:color="9FBCD0"/>
              <w:left w:val="single" w:sz="4" w:space="0" w:color="9FBCD0"/>
              <w:bottom w:val="single" w:sz="4" w:space="0" w:color="9FBCD0"/>
              <w:right w:val="single" w:sz="4" w:space="0" w:color="9FBCD0"/>
            </w:tcBorders>
          </w:tcPr>
          <w:p w14:paraId="00E5D59A" w14:textId="14925BDA" w:rsidR="008A673B" w:rsidRPr="001C3C25" w:rsidRDefault="008A673B" w:rsidP="00224DD5">
            <w:pPr>
              <w:rPr>
                <w:lang w:val="en-GB" w:eastAsia="en-AU"/>
              </w:rPr>
            </w:pPr>
            <w:r>
              <w:rPr>
                <w:lang w:val="en-GB" w:eastAsia="en-AU"/>
              </w:rPr>
              <w:t>of Memoranda of Agreement for finalising workers’ compensation claims via settlement</w:t>
            </w:r>
          </w:p>
        </w:tc>
        <w:tc>
          <w:tcPr>
            <w:tcW w:w="1650" w:type="dxa"/>
            <w:tcBorders>
              <w:top w:val="single" w:sz="4" w:space="0" w:color="9FBCD0"/>
              <w:left w:val="single" w:sz="4" w:space="0" w:color="9FBCD0"/>
              <w:bottom w:val="single" w:sz="4" w:space="0" w:color="9FBCD0"/>
              <w:right w:val="single" w:sz="4" w:space="0" w:color="9FBCD0"/>
            </w:tcBorders>
          </w:tcPr>
          <w:p w14:paraId="0C4020A2" w14:textId="4DDA8306" w:rsidR="008A673B" w:rsidRPr="001C3C25" w:rsidRDefault="008A673B" w:rsidP="00224DD5">
            <w:pPr>
              <w:jc w:val="right"/>
              <w:rPr>
                <w:lang w:val="en-GB" w:eastAsia="en-AU"/>
              </w:rPr>
            </w:pPr>
            <w:r>
              <w:rPr>
                <w:lang w:val="en-GB" w:eastAsia="en-AU"/>
              </w:rPr>
              <w:t>3,859</w:t>
            </w:r>
          </w:p>
        </w:tc>
      </w:tr>
      <w:tr w:rsidR="008A673B" w:rsidRPr="001C3C25" w14:paraId="1726C39A"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1E57D049" w14:textId="452AB1FA" w:rsidR="008A673B" w:rsidRDefault="008A673B" w:rsidP="00224DD5">
            <w:pPr>
              <w:rPr>
                <w:b/>
                <w:bCs/>
              </w:rPr>
            </w:pPr>
            <w:r>
              <w:rPr>
                <w:b/>
                <w:bCs/>
              </w:rPr>
              <w:t>Conciliations</w:t>
            </w:r>
          </w:p>
        </w:tc>
        <w:tc>
          <w:tcPr>
            <w:tcW w:w="4364" w:type="dxa"/>
            <w:tcBorders>
              <w:top w:val="single" w:sz="4" w:space="0" w:color="9FBCD0"/>
              <w:left w:val="single" w:sz="4" w:space="0" w:color="9FBCD0"/>
              <w:bottom w:val="single" w:sz="4" w:space="0" w:color="9FBCD0"/>
              <w:right w:val="single" w:sz="4" w:space="0" w:color="9FBCD0"/>
            </w:tcBorders>
          </w:tcPr>
          <w:p w14:paraId="29DE4994" w14:textId="25CF08B5" w:rsidR="008A673B" w:rsidRDefault="008A673B" w:rsidP="00224DD5">
            <w:pPr>
              <w:rPr>
                <w:lang w:val="en-GB" w:eastAsia="en-AU"/>
              </w:rPr>
            </w:pPr>
            <w:r>
              <w:rPr>
                <w:lang w:val="en-GB" w:eastAsia="en-AU"/>
              </w:rPr>
              <w:t>completed</w:t>
            </w:r>
          </w:p>
        </w:tc>
        <w:tc>
          <w:tcPr>
            <w:tcW w:w="1650" w:type="dxa"/>
            <w:tcBorders>
              <w:top w:val="single" w:sz="4" w:space="0" w:color="9FBCD0"/>
              <w:left w:val="single" w:sz="4" w:space="0" w:color="9FBCD0"/>
              <w:bottom w:val="single" w:sz="4" w:space="0" w:color="9FBCD0"/>
              <w:right w:val="single" w:sz="4" w:space="0" w:color="9FBCD0"/>
            </w:tcBorders>
          </w:tcPr>
          <w:p w14:paraId="4FB96A10" w14:textId="128DCAF8" w:rsidR="008A673B" w:rsidRDefault="008A673B" w:rsidP="00224DD5">
            <w:pPr>
              <w:jc w:val="right"/>
              <w:rPr>
                <w:lang w:val="en-GB" w:eastAsia="en-AU"/>
              </w:rPr>
            </w:pPr>
            <w:r>
              <w:rPr>
                <w:lang w:val="en-GB" w:eastAsia="en-AU"/>
              </w:rPr>
              <w:t>2,035</w:t>
            </w:r>
          </w:p>
        </w:tc>
      </w:tr>
      <w:tr w:rsidR="008A673B" w:rsidRPr="001C3C25" w14:paraId="3FB39819"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492F925B" w14:textId="67DECE12" w:rsidR="008A673B" w:rsidRDefault="008A673B" w:rsidP="00224DD5">
            <w:pPr>
              <w:rPr>
                <w:b/>
                <w:bCs/>
              </w:rPr>
            </w:pPr>
            <w:r>
              <w:rPr>
                <w:b/>
                <w:bCs/>
              </w:rPr>
              <w:t>Arbitrations</w:t>
            </w:r>
          </w:p>
        </w:tc>
        <w:tc>
          <w:tcPr>
            <w:tcW w:w="4364" w:type="dxa"/>
            <w:tcBorders>
              <w:top w:val="single" w:sz="4" w:space="0" w:color="9FBCD0"/>
              <w:left w:val="single" w:sz="4" w:space="0" w:color="9FBCD0"/>
              <w:bottom w:val="single" w:sz="4" w:space="0" w:color="9FBCD0"/>
              <w:right w:val="single" w:sz="4" w:space="0" w:color="9FBCD0"/>
            </w:tcBorders>
          </w:tcPr>
          <w:p w14:paraId="410E80FB" w14:textId="554ACC82" w:rsidR="008A673B" w:rsidRDefault="008A673B" w:rsidP="00224DD5">
            <w:pPr>
              <w:rPr>
                <w:lang w:val="en-GB" w:eastAsia="en-AU"/>
              </w:rPr>
            </w:pPr>
            <w:r>
              <w:rPr>
                <w:lang w:val="en-GB" w:eastAsia="en-AU"/>
              </w:rPr>
              <w:t>completed</w:t>
            </w:r>
          </w:p>
        </w:tc>
        <w:tc>
          <w:tcPr>
            <w:tcW w:w="1650" w:type="dxa"/>
            <w:tcBorders>
              <w:top w:val="single" w:sz="4" w:space="0" w:color="9FBCD0"/>
              <w:left w:val="single" w:sz="4" w:space="0" w:color="9FBCD0"/>
              <w:bottom w:val="single" w:sz="4" w:space="0" w:color="9FBCD0"/>
              <w:right w:val="single" w:sz="4" w:space="0" w:color="9FBCD0"/>
            </w:tcBorders>
          </w:tcPr>
          <w:p w14:paraId="6476E171" w14:textId="319475A3" w:rsidR="008A673B" w:rsidRDefault="008A673B" w:rsidP="00224DD5">
            <w:pPr>
              <w:jc w:val="right"/>
              <w:rPr>
                <w:lang w:val="en-GB" w:eastAsia="en-AU"/>
              </w:rPr>
            </w:pPr>
            <w:r>
              <w:rPr>
                <w:lang w:val="en-GB" w:eastAsia="en-AU"/>
              </w:rPr>
              <w:t>578</w:t>
            </w:r>
          </w:p>
        </w:tc>
      </w:tr>
      <w:tr w:rsidR="008A673B" w:rsidRPr="001C3C25" w14:paraId="5E3DE71C"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2AF5C616" w14:textId="07D7F9C9" w:rsidR="008A673B" w:rsidRDefault="008A673B" w:rsidP="00224DD5">
            <w:pPr>
              <w:rPr>
                <w:b/>
                <w:bCs/>
              </w:rPr>
            </w:pPr>
            <w:r>
              <w:rPr>
                <w:b/>
                <w:bCs/>
              </w:rPr>
              <w:t>Publications</w:t>
            </w:r>
          </w:p>
        </w:tc>
        <w:tc>
          <w:tcPr>
            <w:tcW w:w="4364" w:type="dxa"/>
            <w:tcBorders>
              <w:top w:val="single" w:sz="4" w:space="0" w:color="9FBCD0"/>
              <w:left w:val="single" w:sz="4" w:space="0" w:color="9FBCD0"/>
              <w:bottom w:val="single" w:sz="4" w:space="0" w:color="9FBCD0"/>
              <w:right w:val="single" w:sz="4" w:space="0" w:color="9FBCD0"/>
            </w:tcBorders>
          </w:tcPr>
          <w:p w14:paraId="31BD0F09" w14:textId="79A55BCE" w:rsidR="008A673B" w:rsidRDefault="008A673B" w:rsidP="00224DD5">
            <w:pPr>
              <w:rPr>
                <w:lang w:val="en-GB" w:eastAsia="en-AU"/>
              </w:rPr>
            </w:pPr>
            <w:r>
              <w:rPr>
                <w:lang w:val="en-GB" w:eastAsia="en-AU"/>
              </w:rPr>
              <w:t>mailed to workers, employers and service providers</w:t>
            </w:r>
          </w:p>
        </w:tc>
        <w:tc>
          <w:tcPr>
            <w:tcW w:w="1650" w:type="dxa"/>
            <w:tcBorders>
              <w:top w:val="single" w:sz="4" w:space="0" w:color="9FBCD0"/>
              <w:left w:val="single" w:sz="4" w:space="0" w:color="9FBCD0"/>
              <w:bottom w:val="single" w:sz="4" w:space="0" w:color="9FBCD0"/>
              <w:right w:val="single" w:sz="4" w:space="0" w:color="9FBCD0"/>
            </w:tcBorders>
          </w:tcPr>
          <w:p w14:paraId="3CF6AC54" w14:textId="57BFDBE8" w:rsidR="008A673B" w:rsidRDefault="008A673B" w:rsidP="00224DD5">
            <w:pPr>
              <w:jc w:val="right"/>
              <w:rPr>
                <w:lang w:val="en-GB" w:eastAsia="en-AU"/>
              </w:rPr>
            </w:pPr>
            <w:r>
              <w:rPr>
                <w:lang w:val="en-GB" w:eastAsia="en-AU"/>
              </w:rPr>
              <w:t>6,896</w:t>
            </w:r>
          </w:p>
        </w:tc>
      </w:tr>
      <w:tr w:rsidR="008A673B" w:rsidRPr="001C3C25" w14:paraId="5DFCAD07"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724C63D7" w14:textId="4186CBE5" w:rsidR="008A673B" w:rsidRDefault="008A673B" w:rsidP="00224DD5">
            <w:pPr>
              <w:rPr>
                <w:b/>
                <w:bCs/>
              </w:rPr>
            </w:pPr>
            <w:r>
              <w:rPr>
                <w:b/>
                <w:bCs/>
              </w:rPr>
              <w:t xml:space="preserve">Visits </w:t>
            </w:r>
          </w:p>
        </w:tc>
        <w:tc>
          <w:tcPr>
            <w:tcW w:w="4364" w:type="dxa"/>
            <w:tcBorders>
              <w:top w:val="single" w:sz="4" w:space="0" w:color="9FBCD0"/>
              <w:left w:val="single" w:sz="4" w:space="0" w:color="9FBCD0"/>
              <w:bottom w:val="single" w:sz="4" w:space="0" w:color="9FBCD0"/>
              <w:right w:val="single" w:sz="4" w:space="0" w:color="9FBCD0"/>
            </w:tcBorders>
          </w:tcPr>
          <w:p w14:paraId="779F2437" w14:textId="2949CC7A" w:rsidR="008A673B" w:rsidRDefault="008A673B" w:rsidP="00224DD5">
            <w:pPr>
              <w:rPr>
                <w:lang w:val="en-GB" w:eastAsia="en-AU"/>
              </w:rPr>
            </w:pPr>
            <w:r>
              <w:rPr>
                <w:lang w:val="en-GB" w:eastAsia="en-AU"/>
              </w:rPr>
              <w:t>to the WorkCover WA website</w:t>
            </w:r>
          </w:p>
        </w:tc>
        <w:tc>
          <w:tcPr>
            <w:tcW w:w="1650" w:type="dxa"/>
            <w:tcBorders>
              <w:top w:val="single" w:sz="4" w:space="0" w:color="9FBCD0"/>
              <w:left w:val="single" w:sz="4" w:space="0" w:color="9FBCD0"/>
              <w:bottom w:val="single" w:sz="4" w:space="0" w:color="9FBCD0"/>
              <w:right w:val="single" w:sz="4" w:space="0" w:color="9FBCD0"/>
            </w:tcBorders>
          </w:tcPr>
          <w:p w14:paraId="2F3D4E96" w14:textId="0F362330" w:rsidR="008A673B" w:rsidRDefault="008A673B" w:rsidP="00224DD5">
            <w:pPr>
              <w:jc w:val="right"/>
              <w:rPr>
                <w:lang w:val="en-GB" w:eastAsia="en-AU"/>
              </w:rPr>
            </w:pPr>
            <w:r>
              <w:rPr>
                <w:lang w:val="en-GB" w:eastAsia="en-AU"/>
              </w:rPr>
              <w:t>268,429</w:t>
            </w:r>
          </w:p>
        </w:tc>
      </w:tr>
      <w:tr w:rsidR="008A673B" w:rsidRPr="001C3C25" w14:paraId="6E06C173"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3E10B055" w14:textId="14384CFE" w:rsidR="008A673B" w:rsidRDefault="008A673B" w:rsidP="00224DD5">
            <w:pPr>
              <w:rPr>
                <w:b/>
                <w:bCs/>
              </w:rPr>
            </w:pPr>
            <w:r>
              <w:rPr>
                <w:b/>
                <w:bCs/>
              </w:rPr>
              <w:t>Requests</w:t>
            </w:r>
          </w:p>
        </w:tc>
        <w:tc>
          <w:tcPr>
            <w:tcW w:w="4364" w:type="dxa"/>
            <w:tcBorders>
              <w:top w:val="single" w:sz="4" w:space="0" w:color="9FBCD0"/>
              <w:left w:val="single" w:sz="4" w:space="0" w:color="9FBCD0"/>
              <w:bottom w:val="single" w:sz="4" w:space="0" w:color="9FBCD0"/>
              <w:right w:val="single" w:sz="4" w:space="0" w:color="9FBCD0"/>
            </w:tcBorders>
          </w:tcPr>
          <w:p w14:paraId="214986A5" w14:textId="1F2AD59D" w:rsidR="008A673B" w:rsidRDefault="008A673B" w:rsidP="00224DD5">
            <w:pPr>
              <w:rPr>
                <w:lang w:val="en-GB" w:eastAsia="en-AU"/>
              </w:rPr>
            </w:pPr>
            <w:r>
              <w:rPr>
                <w:lang w:val="en-GB" w:eastAsia="en-AU"/>
              </w:rPr>
              <w:t>for advice and assistance handled by the Advice and Assistance unit</w:t>
            </w:r>
          </w:p>
        </w:tc>
        <w:tc>
          <w:tcPr>
            <w:tcW w:w="1650" w:type="dxa"/>
            <w:tcBorders>
              <w:top w:val="single" w:sz="4" w:space="0" w:color="9FBCD0"/>
              <w:left w:val="single" w:sz="4" w:space="0" w:color="9FBCD0"/>
              <w:bottom w:val="single" w:sz="4" w:space="0" w:color="9FBCD0"/>
              <w:right w:val="single" w:sz="4" w:space="0" w:color="9FBCD0"/>
            </w:tcBorders>
          </w:tcPr>
          <w:p w14:paraId="1CBF32A6" w14:textId="4951A798" w:rsidR="008A673B" w:rsidRDefault="008A673B" w:rsidP="00224DD5">
            <w:pPr>
              <w:jc w:val="right"/>
              <w:rPr>
                <w:lang w:val="en-GB" w:eastAsia="en-AU"/>
              </w:rPr>
            </w:pPr>
            <w:r>
              <w:rPr>
                <w:lang w:val="en-GB" w:eastAsia="en-AU"/>
              </w:rPr>
              <w:t>19,939</w:t>
            </w:r>
          </w:p>
        </w:tc>
      </w:tr>
      <w:tr w:rsidR="008A673B" w:rsidRPr="001C3C25" w14:paraId="404041DB"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tcPr>
          <w:p w14:paraId="17628DDA" w14:textId="7C2B3DAE" w:rsidR="008A673B" w:rsidRDefault="008A673B" w:rsidP="00224DD5">
            <w:pPr>
              <w:rPr>
                <w:b/>
                <w:bCs/>
              </w:rPr>
            </w:pPr>
            <w:r>
              <w:rPr>
                <w:b/>
                <w:bCs/>
              </w:rPr>
              <w:t xml:space="preserve">Hours </w:t>
            </w:r>
          </w:p>
        </w:tc>
        <w:tc>
          <w:tcPr>
            <w:tcW w:w="4364" w:type="dxa"/>
            <w:tcBorders>
              <w:top w:val="single" w:sz="4" w:space="0" w:color="9FBCD0"/>
              <w:left w:val="single" w:sz="4" w:space="0" w:color="9FBCD0"/>
              <w:bottom w:val="single" w:sz="4" w:space="0" w:color="9FBCD0"/>
              <w:right w:val="single" w:sz="4" w:space="0" w:color="9FBCD0"/>
            </w:tcBorders>
          </w:tcPr>
          <w:p w14:paraId="3AE8902E" w14:textId="487942AD" w:rsidR="008A673B" w:rsidRDefault="008A673B" w:rsidP="00224DD5">
            <w:pPr>
              <w:rPr>
                <w:lang w:val="en-GB" w:eastAsia="en-AU"/>
              </w:rPr>
            </w:pPr>
            <w:r>
              <w:rPr>
                <w:lang w:val="en-GB" w:eastAsia="en-AU"/>
              </w:rPr>
              <w:t>of staff training completed</w:t>
            </w:r>
          </w:p>
        </w:tc>
        <w:tc>
          <w:tcPr>
            <w:tcW w:w="1650" w:type="dxa"/>
            <w:tcBorders>
              <w:top w:val="single" w:sz="4" w:space="0" w:color="9FBCD0"/>
              <w:left w:val="single" w:sz="4" w:space="0" w:color="9FBCD0"/>
              <w:bottom w:val="single" w:sz="4" w:space="0" w:color="9FBCD0"/>
              <w:right w:val="single" w:sz="4" w:space="0" w:color="9FBCD0"/>
            </w:tcBorders>
          </w:tcPr>
          <w:p w14:paraId="06F00018" w14:textId="6EFFBFA3" w:rsidR="008A673B" w:rsidRDefault="008A673B" w:rsidP="00224DD5">
            <w:pPr>
              <w:jc w:val="right"/>
              <w:rPr>
                <w:lang w:val="en-GB" w:eastAsia="en-AU"/>
              </w:rPr>
            </w:pPr>
            <w:r>
              <w:rPr>
                <w:lang w:val="en-GB" w:eastAsia="en-AU"/>
              </w:rPr>
              <w:t>675</w:t>
            </w:r>
          </w:p>
        </w:tc>
      </w:tr>
    </w:tbl>
    <w:p w14:paraId="28EF0BDC" w14:textId="77777777" w:rsidR="001A51CF" w:rsidRDefault="001A51CF">
      <w:pPr>
        <w:keepLines w:val="0"/>
        <w:spacing w:after="0" w:line="240" w:lineRule="auto"/>
        <w:rPr>
          <w:rFonts w:eastAsiaTheme="majorEastAsia" w:cs="Arial"/>
          <w:b/>
          <w:bCs/>
          <w:iCs/>
          <w:color w:val="205352"/>
          <w:sz w:val="30"/>
          <w:szCs w:val="30"/>
        </w:rPr>
      </w:pPr>
      <w:r>
        <w:br w:type="page"/>
      </w:r>
    </w:p>
    <w:p w14:paraId="11A8FFCE" w14:textId="64F51337" w:rsidR="00EC44DA" w:rsidRPr="007D1495" w:rsidRDefault="00EC44DA" w:rsidP="007D1495">
      <w:pPr>
        <w:pStyle w:val="Heading2nonumber"/>
      </w:pPr>
      <w:bookmarkStart w:id="57" w:name="_Toc525121905"/>
      <w:r>
        <w:t>Year in dollars</w:t>
      </w:r>
      <w:bookmarkEnd w:id="54"/>
      <w:bookmarkEnd w:id="55"/>
      <w:bookmarkEnd w:id="56"/>
      <w:bookmarkEnd w:id="57"/>
    </w:p>
    <w:p w14:paraId="2FA89495" w14:textId="5F082B6B" w:rsidR="00AA5D8E" w:rsidRDefault="00AA5D8E" w:rsidP="00AA5D8E">
      <w:r>
        <w:t xml:space="preserve">The majority </w:t>
      </w:r>
      <w:r w:rsidRPr="009B44ED">
        <w:rPr>
          <w:color w:val="080808"/>
        </w:rPr>
        <w:t>of funding (</w:t>
      </w:r>
      <w:r w:rsidR="001144BF" w:rsidRPr="00FE41ED">
        <w:t>85.61 percent</w:t>
      </w:r>
      <w:r w:rsidRPr="009B44ED">
        <w:rPr>
          <w:color w:val="080808"/>
        </w:rPr>
        <w:t>) for WorkCover WA’s activities is derived from insurer and self-insurer contributions</w:t>
      </w:r>
      <w:r>
        <w:t xml:space="preserve"> and by a direct levy on employers who are approved by WorkCover WA to self-insure.</w:t>
      </w:r>
    </w:p>
    <w:p w14:paraId="7158E23B" w14:textId="3FFA6FE0" w:rsidR="00AA5D8E" w:rsidRPr="00F93C3E" w:rsidRDefault="00AA5D8E" w:rsidP="00AA5D8E">
      <w:r>
        <w:t xml:space="preserve">The snapshot </w:t>
      </w:r>
      <w:r w:rsidRPr="00E870C3">
        <w:t xml:space="preserve">in Table </w:t>
      </w:r>
      <w:r w:rsidR="00E870C3" w:rsidRPr="00E870C3">
        <w:t>1</w:t>
      </w:r>
      <w:r w:rsidRPr="00E870C3">
        <w:t xml:space="preserve"> represents </w:t>
      </w:r>
      <w:r>
        <w:t xml:space="preserve">a consolidation of the General and Supplementation Funds. Please refer </w:t>
      </w:r>
      <w:r w:rsidRPr="00291DA6">
        <w:t xml:space="preserve">to </w:t>
      </w:r>
      <w:r w:rsidRPr="00291DA6">
        <w:rPr>
          <w:i/>
        </w:rPr>
        <w:t>Section 7: Financial statements and notes</w:t>
      </w:r>
      <w:r w:rsidRPr="00291DA6">
        <w:t xml:space="preserve"> </w:t>
      </w:r>
      <w:r w:rsidRPr="00903B6B">
        <w:t xml:space="preserve">on </w:t>
      </w:r>
      <w:r w:rsidRPr="004044EB">
        <w:t xml:space="preserve">page </w:t>
      </w:r>
      <w:r w:rsidR="004044EB" w:rsidRPr="004044EB">
        <w:t>165</w:t>
      </w:r>
      <w:r w:rsidRPr="004044EB">
        <w:t xml:space="preserve"> </w:t>
      </w:r>
      <w:r w:rsidRPr="00903B6B">
        <w:t xml:space="preserve">for </w:t>
      </w:r>
      <w:r>
        <w:t>more detailed analysis and disclosure.</w:t>
      </w:r>
    </w:p>
    <w:p w14:paraId="62B2E814" w14:textId="77777777" w:rsidR="001144BF" w:rsidRPr="00FE41ED" w:rsidRDefault="001144BF" w:rsidP="001144BF">
      <w:r w:rsidRPr="00FE41ED">
        <w:t>Employee benefits (wages, salaries and superannuation) account for the majority of Agency expenditure. The remaining funds were expended on supplies and services, accommodation, grants, uninsured claims and other expenses.</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1: WorkCover WA totals for 2017/18"/>
        <w:tblDescription w:val="This table outlines WorkCover WA's total revenue and expenditure for 2017/18. "/>
      </w:tblPr>
      <w:tblGrid>
        <w:gridCol w:w="2551"/>
        <w:gridCol w:w="2552"/>
      </w:tblGrid>
      <w:tr w:rsidR="001B4122" w14:paraId="19804294" w14:textId="77777777" w:rsidTr="0043459F">
        <w:trPr>
          <w:tblHeader/>
        </w:trPr>
        <w:tc>
          <w:tcPr>
            <w:tcW w:w="5103" w:type="dxa"/>
            <w:gridSpan w:val="2"/>
            <w:shd w:val="clear" w:color="auto" w:fill="003F5F"/>
          </w:tcPr>
          <w:p w14:paraId="0C57A5CC" w14:textId="77777777" w:rsidR="001B4122" w:rsidRPr="001B4122" w:rsidRDefault="001B4122" w:rsidP="00A03DDD">
            <w:pPr>
              <w:rPr>
                <w:rStyle w:val="Strong"/>
                <w:color w:val="FFFFFF" w:themeColor="background1"/>
              </w:rPr>
            </w:pPr>
            <w:r w:rsidRPr="0043459F">
              <w:rPr>
                <w:rStyle w:val="Strong"/>
                <w:color w:val="FFFFFF" w:themeColor="background1"/>
              </w:rPr>
              <w:t xml:space="preserve">Table </w:t>
            </w:r>
            <w:r w:rsidR="00A21413" w:rsidRPr="0043459F">
              <w:rPr>
                <w:rStyle w:val="Strong"/>
                <w:color w:val="FFFFFF" w:themeColor="background1"/>
              </w:rPr>
              <w:t>1</w:t>
            </w:r>
            <w:r w:rsidR="00092CFD" w:rsidRPr="00A21413">
              <w:rPr>
                <w:rStyle w:val="Strong"/>
                <w:color w:val="FFFFFF" w:themeColor="background1"/>
              </w:rPr>
              <w:t xml:space="preserve">: </w:t>
            </w:r>
            <w:r w:rsidR="00AA5D8E" w:rsidRPr="00AA5D8E">
              <w:rPr>
                <w:rStyle w:val="Strong"/>
                <w:color w:val="FFFFFF" w:themeColor="background1"/>
              </w:rPr>
              <w:t>WorkCover WA totals for 2017/18</w:t>
            </w:r>
          </w:p>
        </w:tc>
      </w:tr>
      <w:tr w:rsidR="001144BF" w14:paraId="15A79CFA" w14:textId="77777777" w:rsidTr="008121F9">
        <w:tc>
          <w:tcPr>
            <w:tcW w:w="2551" w:type="dxa"/>
            <w:tcBorders>
              <w:top w:val="single" w:sz="4" w:space="0" w:color="FFFFFF" w:themeColor="background1"/>
              <w:bottom w:val="single" w:sz="4" w:space="0" w:color="9FBCD0"/>
              <w:right w:val="single" w:sz="4" w:space="0" w:color="9FBCD0"/>
            </w:tcBorders>
            <w:shd w:val="clear" w:color="auto" w:fill="CEDCE8"/>
          </w:tcPr>
          <w:p w14:paraId="6886D578" w14:textId="77777777" w:rsidR="001144BF" w:rsidRPr="00B90ED7" w:rsidRDefault="001144BF" w:rsidP="001144BF">
            <w:pPr>
              <w:rPr>
                <w:rStyle w:val="Strong"/>
              </w:rPr>
            </w:pPr>
            <w:r w:rsidRPr="00B90ED7">
              <w:rPr>
                <w:rStyle w:val="Strong"/>
              </w:rPr>
              <w:t>Revenue</w:t>
            </w:r>
          </w:p>
        </w:tc>
        <w:tc>
          <w:tcPr>
            <w:tcW w:w="2552" w:type="dxa"/>
            <w:tcBorders>
              <w:left w:val="single" w:sz="4" w:space="0" w:color="9FBCD0"/>
              <w:bottom w:val="single" w:sz="4" w:space="0" w:color="9FBCD0"/>
              <w:right w:val="single" w:sz="4" w:space="0" w:color="9FBCD0"/>
            </w:tcBorders>
          </w:tcPr>
          <w:p w14:paraId="17B85528" w14:textId="5D122214" w:rsidR="001144BF" w:rsidRPr="00A03DDD" w:rsidRDefault="001144BF" w:rsidP="001144BF">
            <w:pPr>
              <w:jc w:val="right"/>
              <w:rPr>
                <w:color w:val="FF0000"/>
                <w:lang w:val="en-GB" w:eastAsia="en-AU"/>
              </w:rPr>
            </w:pPr>
            <w:r w:rsidRPr="00FE41ED">
              <w:t>$23.225 million</w:t>
            </w:r>
          </w:p>
        </w:tc>
      </w:tr>
      <w:tr w:rsidR="001144BF" w14:paraId="2698559C" w14:textId="77777777" w:rsidTr="008121F9">
        <w:tc>
          <w:tcPr>
            <w:tcW w:w="2551" w:type="dxa"/>
            <w:tcBorders>
              <w:top w:val="single" w:sz="4" w:space="0" w:color="9FBCD0"/>
              <w:right w:val="single" w:sz="4" w:space="0" w:color="9FBCD0"/>
            </w:tcBorders>
            <w:shd w:val="clear" w:color="auto" w:fill="CEDCE8"/>
          </w:tcPr>
          <w:p w14:paraId="5A3DD432" w14:textId="77777777" w:rsidR="001144BF" w:rsidRPr="00D20D46" w:rsidRDefault="001144BF" w:rsidP="001144BF">
            <w:pPr>
              <w:rPr>
                <w:rStyle w:val="Strong"/>
              </w:rPr>
            </w:pPr>
            <w:r w:rsidRPr="00B90ED7">
              <w:rPr>
                <w:rStyle w:val="Strong"/>
              </w:rPr>
              <w:t>Expenditure</w:t>
            </w:r>
          </w:p>
        </w:tc>
        <w:tc>
          <w:tcPr>
            <w:tcW w:w="2552" w:type="dxa"/>
            <w:tcBorders>
              <w:top w:val="single" w:sz="4" w:space="0" w:color="9FBCD0"/>
              <w:left w:val="single" w:sz="4" w:space="0" w:color="9FBCD0"/>
              <w:bottom w:val="single" w:sz="4" w:space="0" w:color="9FBCD0"/>
              <w:right w:val="single" w:sz="4" w:space="0" w:color="9FBCD0"/>
            </w:tcBorders>
          </w:tcPr>
          <w:p w14:paraId="110276E8" w14:textId="203C8F04" w:rsidR="001144BF" w:rsidRPr="00A03DDD" w:rsidRDefault="001144BF" w:rsidP="001144BF">
            <w:pPr>
              <w:jc w:val="right"/>
              <w:rPr>
                <w:color w:val="FF0000"/>
                <w:lang w:val="en-GB" w:eastAsia="en-AU"/>
              </w:rPr>
            </w:pPr>
            <w:r w:rsidRPr="00FE41ED">
              <w:t>$23.664 million</w:t>
            </w:r>
          </w:p>
        </w:tc>
      </w:tr>
    </w:tbl>
    <w:p w14:paraId="09324EBF" w14:textId="3540F8DF" w:rsidR="00B459DB" w:rsidRPr="00903B6B" w:rsidRDefault="00B459DB" w:rsidP="00A03DDD"/>
    <w:tbl>
      <w:tblPr>
        <w:tblStyle w:val="TableGrid1"/>
        <w:tblW w:w="9356" w:type="dxa"/>
        <w:tblInd w:w="-5" w:type="dxa"/>
        <w:tblBorders>
          <w:top w:val="single" w:sz="4" w:space="0" w:color="D4E2E0"/>
          <w:left w:val="single" w:sz="4" w:space="0" w:color="D4E2E0"/>
          <w:bottom w:val="single" w:sz="4" w:space="0" w:color="D4E2E0"/>
          <w:right w:val="single" w:sz="4" w:space="0" w:color="D4E2E0"/>
          <w:insideH w:val="single" w:sz="4" w:space="0" w:color="D4E2E0"/>
          <w:insideV w:val="single" w:sz="4" w:space="0" w:color="D4E2E0"/>
        </w:tblBorders>
        <w:tblLook w:val="04A0" w:firstRow="1" w:lastRow="0" w:firstColumn="1" w:lastColumn="0" w:noHBand="0" w:noVBand="1"/>
        <w:tblCaption w:val="Table 2: WorkCover WA income for 2017/18"/>
        <w:tblDescription w:val="This table outlines WorkCover WA's income for 2017/18 including through insurer contribution, interest revenue, Employers' Indemnity Supplementation Fund and other revenue. "/>
      </w:tblPr>
      <w:tblGrid>
        <w:gridCol w:w="6379"/>
        <w:gridCol w:w="2977"/>
      </w:tblGrid>
      <w:tr w:rsidR="00B459DB" w:rsidRPr="005214D6" w14:paraId="08D8F304" w14:textId="77777777" w:rsidTr="0043459F">
        <w:trPr>
          <w:tblHeader/>
        </w:trPr>
        <w:tc>
          <w:tcPr>
            <w:tcW w:w="9356" w:type="dxa"/>
            <w:gridSpan w:val="2"/>
            <w:shd w:val="clear" w:color="auto" w:fill="003F5F"/>
          </w:tcPr>
          <w:p w14:paraId="270513E5" w14:textId="29F140BF" w:rsidR="00B459DB" w:rsidRPr="005214D6" w:rsidRDefault="005611A3" w:rsidP="00A21413">
            <w:pPr>
              <w:rPr>
                <w:b/>
                <w:bCs/>
                <w:color w:val="FFFFFF"/>
              </w:rPr>
            </w:pPr>
            <w:r w:rsidRPr="0043459F">
              <w:rPr>
                <w:b/>
                <w:bCs/>
                <w:color w:val="FFFFFF" w:themeColor="background1"/>
              </w:rPr>
              <w:t>T</w:t>
            </w:r>
            <w:r w:rsidR="00A03DDD" w:rsidRPr="0043459F">
              <w:rPr>
                <w:b/>
                <w:bCs/>
                <w:color w:val="FFFFFF" w:themeColor="background1"/>
              </w:rPr>
              <w:t xml:space="preserve">able </w:t>
            </w:r>
            <w:r w:rsidR="00A21413" w:rsidRPr="0043459F">
              <w:rPr>
                <w:b/>
                <w:bCs/>
                <w:color w:val="FFFFFF" w:themeColor="background1"/>
              </w:rPr>
              <w:t>2</w:t>
            </w:r>
            <w:r w:rsidR="00B459DB" w:rsidRPr="0043459F">
              <w:rPr>
                <w:b/>
                <w:bCs/>
                <w:color w:val="FFFFFF" w:themeColor="background1"/>
              </w:rPr>
              <w:t xml:space="preserve">: </w:t>
            </w:r>
            <w:r w:rsidR="00AA5D8E" w:rsidRPr="00AA5D8E">
              <w:rPr>
                <w:b/>
                <w:bCs/>
                <w:color w:val="FFFFFF" w:themeColor="background1"/>
              </w:rPr>
              <w:t>WorkCover WA income for 2017/18</w:t>
            </w:r>
          </w:p>
        </w:tc>
      </w:tr>
      <w:tr w:rsidR="001144BF" w:rsidRPr="00881FC6" w14:paraId="7FAF21CF" w14:textId="77777777" w:rsidTr="008121F9">
        <w:tc>
          <w:tcPr>
            <w:tcW w:w="6379" w:type="dxa"/>
            <w:tcBorders>
              <w:top w:val="single" w:sz="4" w:space="0" w:color="BAD0CD"/>
              <w:left w:val="single" w:sz="4" w:space="0" w:color="9FBCD0"/>
              <w:bottom w:val="single" w:sz="4" w:space="0" w:color="9FBCD0"/>
              <w:right w:val="single" w:sz="4" w:space="0" w:color="9FBCD0"/>
            </w:tcBorders>
            <w:shd w:val="clear" w:color="auto" w:fill="CEDCE8"/>
          </w:tcPr>
          <w:p w14:paraId="05EF841F" w14:textId="4A60EDDA" w:rsidR="001144BF" w:rsidRPr="001A51CF" w:rsidRDefault="001144BF" w:rsidP="001144BF">
            <w:pPr>
              <w:ind w:right="-562"/>
              <w:rPr>
                <w:bCs/>
                <w:color w:val="FF0000"/>
                <w:highlight w:val="yellow"/>
              </w:rPr>
            </w:pPr>
            <w:r w:rsidRPr="00FE41ED">
              <w:rPr>
                <w:bCs/>
              </w:rPr>
              <w:t>Insurer contribution</w:t>
            </w:r>
          </w:p>
        </w:tc>
        <w:tc>
          <w:tcPr>
            <w:tcW w:w="2977" w:type="dxa"/>
            <w:tcBorders>
              <w:left w:val="single" w:sz="4" w:space="0" w:color="9FBCD0"/>
              <w:bottom w:val="single" w:sz="4" w:space="0" w:color="9FBCD0"/>
              <w:right w:val="single" w:sz="4" w:space="0" w:color="9FBCD0"/>
            </w:tcBorders>
          </w:tcPr>
          <w:p w14:paraId="50AC5E6B" w14:textId="0320DFB0" w:rsidR="001144BF" w:rsidRPr="001A51CF" w:rsidRDefault="001144BF" w:rsidP="001144BF">
            <w:pPr>
              <w:jc w:val="right"/>
              <w:rPr>
                <w:color w:val="FF0000"/>
                <w:highlight w:val="yellow"/>
                <w:lang w:val="en-GB"/>
              </w:rPr>
            </w:pPr>
            <w:r w:rsidRPr="00FE41ED">
              <w:rPr>
                <w:lang w:val="en-GB"/>
              </w:rPr>
              <w:t>$19.883 million</w:t>
            </w:r>
            <w:r w:rsidRPr="00FE41ED">
              <w:rPr>
                <w:lang w:val="en-GB"/>
              </w:rPr>
              <w:br/>
              <w:t>(85.61%)</w:t>
            </w:r>
          </w:p>
        </w:tc>
      </w:tr>
      <w:tr w:rsidR="001144BF" w:rsidRPr="00881FC6" w14:paraId="1A486B08" w14:textId="77777777" w:rsidTr="008121F9">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7CB0F476" w14:textId="60EBA2A9" w:rsidR="001144BF" w:rsidRPr="001A51CF" w:rsidRDefault="001144BF" w:rsidP="001144BF">
            <w:pPr>
              <w:rPr>
                <w:bCs/>
                <w:color w:val="FF0000"/>
                <w:highlight w:val="yellow"/>
              </w:rPr>
            </w:pPr>
            <w:r w:rsidRPr="00FE41ED">
              <w:rPr>
                <w:bCs/>
              </w:rPr>
              <w:t>Interest revenue</w:t>
            </w:r>
          </w:p>
        </w:tc>
        <w:tc>
          <w:tcPr>
            <w:tcW w:w="2977" w:type="dxa"/>
            <w:tcBorders>
              <w:top w:val="single" w:sz="4" w:space="0" w:color="9FBCD0"/>
              <w:left w:val="single" w:sz="4" w:space="0" w:color="9FBCD0"/>
              <w:bottom w:val="single" w:sz="4" w:space="0" w:color="9FBCD0"/>
              <w:right w:val="single" w:sz="4" w:space="0" w:color="9FBCD0"/>
            </w:tcBorders>
          </w:tcPr>
          <w:p w14:paraId="2B9F5339" w14:textId="14408C4D" w:rsidR="001144BF" w:rsidRPr="001A51CF" w:rsidRDefault="001144BF" w:rsidP="001144BF">
            <w:pPr>
              <w:jc w:val="right"/>
              <w:rPr>
                <w:color w:val="FF0000"/>
                <w:highlight w:val="yellow"/>
                <w:lang w:val="en-GB"/>
              </w:rPr>
            </w:pPr>
            <w:r w:rsidRPr="00FE41ED">
              <w:rPr>
                <w:lang w:val="en-GB"/>
              </w:rPr>
              <w:t>$2.298 million</w:t>
            </w:r>
            <w:r w:rsidRPr="00FE41ED">
              <w:rPr>
                <w:lang w:val="en-GB"/>
              </w:rPr>
              <w:br/>
              <w:t>(9.89%)</w:t>
            </w:r>
          </w:p>
        </w:tc>
      </w:tr>
      <w:tr w:rsidR="001144BF" w:rsidRPr="00881FC6" w14:paraId="03A15D57" w14:textId="77777777" w:rsidTr="008121F9">
        <w:trPr>
          <w:trHeight w:val="296"/>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673EC3A8" w14:textId="0E194112" w:rsidR="001144BF" w:rsidRPr="001A51CF" w:rsidRDefault="001144BF" w:rsidP="009E4116">
            <w:pPr>
              <w:rPr>
                <w:bCs/>
                <w:color w:val="FF0000"/>
                <w:highlight w:val="yellow"/>
              </w:rPr>
            </w:pPr>
            <w:r w:rsidRPr="00FE41ED">
              <w:rPr>
                <w:bCs/>
              </w:rPr>
              <w:t xml:space="preserve">Other </w:t>
            </w:r>
            <w:r w:rsidR="009E4116">
              <w:rPr>
                <w:bCs/>
              </w:rPr>
              <w:t>r</w:t>
            </w:r>
            <w:r w:rsidRPr="00FE41ED">
              <w:rPr>
                <w:bCs/>
              </w:rPr>
              <w:t>evenue</w:t>
            </w:r>
          </w:p>
        </w:tc>
        <w:tc>
          <w:tcPr>
            <w:tcW w:w="2977" w:type="dxa"/>
            <w:tcBorders>
              <w:top w:val="single" w:sz="4" w:space="0" w:color="9FBCD0"/>
              <w:left w:val="single" w:sz="4" w:space="0" w:color="9FBCD0"/>
              <w:bottom w:val="single" w:sz="4" w:space="0" w:color="9FBCD0"/>
              <w:right w:val="single" w:sz="4" w:space="0" w:color="9FBCD0"/>
            </w:tcBorders>
          </w:tcPr>
          <w:p w14:paraId="6DE4F53F" w14:textId="0EF20527" w:rsidR="001144BF" w:rsidRPr="001A51CF" w:rsidRDefault="001144BF" w:rsidP="001144BF">
            <w:pPr>
              <w:jc w:val="right"/>
              <w:rPr>
                <w:color w:val="FF0000"/>
                <w:highlight w:val="yellow"/>
                <w:lang w:val="en-GB"/>
              </w:rPr>
            </w:pPr>
            <w:r w:rsidRPr="00FE41ED">
              <w:rPr>
                <w:lang w:val="en-GB"/>
              </w:rPr>
              <w:t>$1.044 million</w:t>
            </w:r>
            <w:r w:rsidRPr="00FE41ED">
              <w:rPr>
                <w:lang w:val="en-GB"/>
              </w:rPr>
              <w:br/>
              <w:t>(4.5%)</w:t>
            </w:r>
          </w:p>
        </w:tc>
      </w:tr>
    </w:tbl>
    <w:p w14:paraId="53641DD2" w14:textId="64B91C62" w:rsidR="00D20D46" w:rsidRPr="00B459DB" w:rsidRDefault="00D20D46" w:rsidP="00B459DB">
      <w:pPr>
        <w:pStyle w:val="BulletListLevel1"/>
        <w:numPr>
          <w:ilvl w:val="0"/>
          <w:numId w:val="0"/>
        </w:numPr>
      </w:pPr>
    </w:p>
    <w:tbl>
      <w:tblPr>
        <w:tblStyle w:val="TableGrid2"/>
        <w:tblW w:w="9356" w:type="dxa"/>
        <w:tblInd w:w="-5" w:type="dxa"/>
        <w:tblBorders>
          <w:top w:val="single" w:sz="4" w:space="0" w:color="D4E2E0"/>
          <w:left w:val="single" w:sz="4" w:space="0" w:color="D4E2E0"/>
          <w:bottom w:val="single" w:sz="4" w:space="0" w:color="D4E2E0"/>
          <w:right w:val="single" w:sz="4" w:space="0" w:color="D4E2E0"/>
          <w:insideH w:val="single" w:sz="4" w:space="0" w:color="D4E2E0"/>
          <w:insideV w:val="single" w:sz="4" w:space="0" w:color="D4E2E0"/>
        </w:tblBorders>
        <w:tblLayout w:type="fixed"/>
        <w:tblLook w:val="04A0" w:firstRow="1" w:lastRow="0" w:firstColumn="1" w:lastColumn="0" w:noHBand="0" w:noVBand="1"/>
        <w:tblCaption w:val="Table 3: WorkCover WA expenditure for 2017/18"/>
        <w:tblDescription w:val="This table outlines WorkCover WA's expenditure for 2017/18, including employee benefits, supplies and services, depreciation and amortisation, accommodation, grants and subsidies, claims expenses, loss on disposal of non-current assets and other expenses. "/>
      </w:tblPr>
      <w:tblGrid>
        <w:gridCol w:w="6379"/>
        <w:gridCol w:w="2977"/>
      </w:tblGrid>
      <w:tr w:rsidR="00D20D46" w:rsidRPr="00342C84" w14:paraId="02C0DE58" w14:textId="77777777" w:rsidTr="00E74094">
        <w:trPr>
          <w:cantSplit/>
          <w:tblHeader/>
        </w:trPr>
        <w:tc>
          <w:tcPr>
            <w:tcW w:w="9356" w:type="dxa"/>
            <w:gridSpan w:val="2"/>
            <w:shd w:val="clear" w:color="auto" w:fill="003F5F"/>
          </w:tcPr>
          <w:p w14:paraId="00E8EC60" w14:textId="330423FF" w:rsidR="00D20D46" w:rsidRPr="00342C84" w:rsidRDefault="00A03DDD" w:rsidP="00A21413">
            <w:pPr>
              <w:rPr>
                <w:b/>
                <w:bCs/>
                <w:color w:val="FFFFFF"/>
              </w:rPr>
            </w:pPr>
            <w:bookmarkStart w:id="58" w:name="_Toc399316912"/>
            <w:bookmarkStart w:id="59" w:name="_Toc426617401"/>
            <w:bookmarkStart w:id="60" w:name="_Toc450900615"/>
            <w:r w:rsidRPr="0043459F">
              <w:rPr>
                <w:b/>
                <w:bCs/>
                <w:color w:val="FFFFFF" w:themeColor="background1"/>
              </w:rPr>
              <w:t xml:space="preserve">Table </w:t>
            </w:r>
            <w:r w:rsidR="00A21413" w:rsidRPr="0043459F">
              <w:rPr>
                <w:b/>
                <w:bCs/>
                <w:color w:val="FFFFFF" w:themeColor="background1"/>
              </w:rPr>
              <w:t>3</w:t>
            </w:r>
            <w:r w:rsidR="00D20D46" w:rsidRPr="0043459F">
              <w:rPr>
                <w:b/>
                <w:bCs/>
                <w:color w:val="FFFFFF" w:themeColor="background1"/>
              </w:rPr>
              <w:t>:</w:t>
            </w:r>
            <w:r w:rsidR="00D20D46" w:rsidRPr="00A03DDD">
              <w:rPr>
                <w:b/>
                <w:bCs/>
                <w:color w:val="FF0000"/>
              </w:rPr>
              <w:t xml:space="preserve"> </w:t>
            </w:r>
            <w:r w:rsidR="00AA5D8E" w:rsidRPr="00AA5D8E">
              <w:rPr>
                <w:b/>
                <w:bCs/>
                <w:color w:val="FFFFFF" w:themeColor="background1"/>
              </w:rPr>
              <w:t>WorkCover WA expenditure for 2017/18</w:t>
            </w:r>
          </w:p>
        </w:tc>
      </w:tr>
      <w:tr w:rsidR="001144BF" w:rsidRPr="00342C84" w14:paraId="31E0ECFC" w14:textId="77777777" w:rsidTr="00553134">
        <w:trPr>
          <w:cantSplit/>
        </w:trPr>
        <w:tc>
          <w:tcPr>
            <w:tcW w:w="6379" w:type="dxa"/>
            <w:tcBorders>
              <w:top w:val="single" w:sz="4" w:space="0" w:color="BAD0CD"/>
              <w:left w:val="single" w:sz="4" w:space="0" w:color="9FBCD0"/>
              <w:bottom w:val="single" w:sz="4" w:space="0" w:color="9FBCD0"/>
              <w:right w:val="single" w:sz="4" w:space="0" w:color="9FBCD0"/>
            </w:tcBorders>
            <w:shd w:val="clear" w:color="auto" w:fill="CEDCE8"/>
          </w:tcPr>
          <w:p w14:paraId="3C1E83AD" w14:textId="2B3BE99C" w:rsidR="001144BF" w:rsidRPr="001A51CF" w:rsidRDefault="001144BF" w:rsidP="001144BF">
            <w:pPr>
              <w:rPr>
                <w:bCs/>
                <w:color w:val="FF0000"/>
              </w:rPr>
            </w:pPr>
            <w:r w:rsidRPr="00FE41ED">
              <w:rPr>
                <w:bCs/>
              </w:rPr>
              <w:t>Employee benefits expense</w:t>
            </w:r>
          </w:p>
        </w:tc>
        <w:tc>
          <w:tcPr>
            <w:tcW w:w="2977" w:type="dxa"/>
            <w:tcBorders>
              <w:top w:val="single" w:sz="4" w:space="0" w:color="BAD0CD"/>
              <w:left w:val="single" w:sz="4" w:space="0" w:color="9FBCD0"/>
              <w:bottom w:val="single" w:sz="4" w:space="0" w:color="9FBCD0"/>
              <w:right w:val="single" w:sz="4" w:space="0" w:color="9FBCD0"/>
            </w:tcBorders>
          </w:tcPr>
          <w:p w14:paraId="5BFFF5BE" w14:textId="77777777" w:rsidR="001144BF" w:rsidRPr="00FE41ED" w:rsidRDefault="001144BF" w:rsidP="001144BF">
            <w:pPr>
              <w:jc w:val="right"/>
              <w:rPr>
                <w:lang w:val="en-GB"/>
              </w:rPr>
            </w:pPr>
            <w:r w:rsidRPr="00FE41ED">
              <w:rPr>
                <w:lang w:val="en-GB"/>
              </w:rPr>
              <w:t>$14.853 million</w:t>
            </w:r>
          </w:p>
          <w:p w14:paraId="79AE618A" w14:textId="0583694C" w:rsidR="001144BF" w:rsidRPr="001A51CF" w:rsidRDefault="001144BF" w:rsidP="001144BF">
            <w:pPr>
              <w:jc w:val="right"/>
              <w:rPr>
                <w:color w:val="FF0000"/>
                <w:highlight w:val="yellow"/>
                <w:lang w:val="en-GB"/>
              </w:rPr>
            </w:pPr>
            <w:r w:rsidRPr="00FE41ED">
              <w:rPr>
                <w:lang w:val="en-GB"/>
              </w:rPr>
              <w:t>(62.77%)</w:t>
            </w:r>
          </w:p>
        </w:tc>
      </w:tr>
      <w:tr w:rsidR="001144BF" w:rsidRPr="00342C84" w14:paraId="3E2452A2"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1CF05125" w14:textId="3468DB20" w:rsidR="001144BF" w:rsidRPr="001A51CF" w:rsidRDefault="001144BF" w:rsidP="001144BF">
            <w:pPr>
              <w:rPr>
                <w:bCs/>
                <w:color w:val="FF0000"/>
              </w:rPr>
            </w:pPr>
            <w:r w:rsidRPr="00FE41ED">
              <w:rPr>
                <w:bCs/>
              </w:rPr>
              <w:t>Supplies and services</w:t>
            </w:r>
          </w:p>
        </w:tc>
        <w:tc>
          <w:tcPr>
            <w:tcW w:w="2977" w:type="dxa"/>
            <w:tcBorders>
              <w:top w:val="single" w:sz="4" w:space="0" w:color="9FBCD0"/>
              <w:left w:val="single" w:sz="4" w:space="0" w:color="9FBCD0"/>
              <w:bottom w:val="single" w:sz="4" w:space="0" w:color="9FBCD0"/>
              <w:right w:val="single" w:sz="4" w:space="0" w:color="9FBCD0"/>
            </w:tcBorders>
          </w:tcPr>
          <w:p w14:paraId="011A4CA9" w14:textId="77777777" w:rsidR="001144BF" w:rsidRPr="00FE41ED" w:rsidRDefault="001144BF" w:rsidP="001144BF">
            <w:pPr>
              <w:jc w:val="right"/>
              <w:rPr>
                <w:lang w:val="en-GB"/>
              </w:rPr>
            </w:pPr>
            <w:r w:rsidRPr="00FE41ED">
              <w:rPr>
                <w:lang w:val="en-GB"/>
              </w:rPr>
              <w:t>$2.729 million</w:t>
            </w:r>
          </w:p>
          <w:p w14:paraId="4A65CADD" w14:textId="68FBA3D8" w:rsidR="001144BF" w:rsidRPr="001A51CF" w:rsidRDefault="001144BF" w:rsidP="001144BF">
            <w:pPr>
              <w:jc w:val="right"/>
              <w:rPr>
                <w:color w:val="FF0000"/>
                <w:highlight w:val="yellow"/>
                <w:lang w:val="en-GB"/>
              </w:rPr>
            </w:pPr>
            <w:r w:rsidRPr="00FE41ED">
              <w:rPr>
                <w:lang w:val="en-GB"/>
              </w:rPr>
              <w:t>(11.53%)</w:t>
            </w:r>
          </w:p>
        </w:tc>
      </w:tr>
      <w:tr w:rsidR="001144BF" w:rsidRPr="00342C84" w14:paraId="71DCA9F2"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1282DC3C" w14:textId="039A7D03" w:rsidR="001144BF" w:rsidRPr="001A51CF" w:rsidRDefault="001144BF" w:rsidP="001144BF">
            <w:pPr>
              <w:rPr>
                <w:bCs/>
                <w:color w:val="FF0000"/>
              </w:rPr>
            </w:pPr>
            <w:r w:rsidRPr="00FE41ED">
              <w:rPr>
                <w:bCs/>
              </w:rPr>
              <w:t>Depreciation and amortisation expense</w:t>
            </w:r>
          </w:p>
        </w:tc>
        <w:tc>
          <w:tcPr>
            <w:tcW w:w="2977" w:type="dxa"/>
            <w:tcBorders>
              <w:top w:val="single" w:sz="4" w:space="0" w:color="9FBCD0"/>
              <w:left w:val="single" w:sz="4" w:space="0" w:color="9FBCD0"/>
              <w:bottom w:val="single" w:sz="4" w:space="0" w:color="9FBCD0"/>
              <w:right w:val="single" w:sz="4" w:space="0" w:color="9FBCD0"/>
            </w:tcBorders>
          </w:tcPr>
          <w:p w14:paraId="05EC38D4" w14:textId="77777777" w:rsidR="001144BF" w:rsidRPr="00FE41ED" w:rsidRDefault="001144BF" w:rsidP="001144BF">
            <w:pPr>
              <w:jc w:val="right"/>
              <w:rPr>
                <w:lang w:val="en-GB"/>
              </w:rPr>
            </w:pPr>
            <w:r w:rsidRPr="00FE41ED">
              <w:rPr>
                <w:lang w:val="en-GB"/>
              </w:rPr>
              <w:t>0.955 million</w:t>
            </w:r>
          </w:p>
          <w:p w14:paraId="414792EF" w14:textId="524CD643" w:rsidR="001144BF" w:rsidRPr="001A51CF" w:rsidRDefault="001144BF" w:rsidP="001144BF">
            <w:pPr>
              <w:jc w:val="right"/>
              <w:rPr>
                <w:color w:val="FF0000"/>
                <w:highlight w:val="yellow"/>
                <w:lang w:val="en-GB"/>
              </w:rPr>
            </w:pPr>
            <w:r w:rsidRPr="00FE41ED">
              <w:rPr>
                <w:lang w:val="en-GB"/>
              </w:rPr>
              <w:t>(4.04%)</w:t>
            </w:r>
          </w:p>
        </w:tc>
      </w:tr>
      <w:tr w:rsidR="001144BF" w:rsidRPr="00342C84" w14:paraId="0521A5CD"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3970A1ED" w14:textId="59411F62" w:rsidR="001144BF" w:rsidRPr="001A51CF" w:rsidRDefault="001144BF" w:rsidP="001144BF">
            <w:pPr>
              <w:rPr>
                <w:bCs/>
                <w:color w:val="FF0000"/>
              </w:rPr>
            </w:pPr>
            <w:r w:rsidRPr="00FE41ED">
              <w:rPr>
                <w:bCs/>
              </w:rPr>
              <w:t xml:space="preserve">Accommodation expenses </w:t>
            </w:r>
          </w:p>
        </w:tc>
        <w:tc>
          <w:tcPr>
            <w:tcW w:w="2977" w:type="dxa"/>
            <w:tcBorders>
              <w:top w:val="single" w:sz="4" w:space="0" w:color="9FBCD0"/>
              <w:left w:val="single" w:sz="4" w:space="0" w:color="9FBCD0"/>
              <w:bottom w:val="single" w:sz="4" w:space="0" w:color="9FBCD0"/>
              <w:right w:val="single" w:sz="4" w:space="0" w:color="9FBCD0"/>
            </w:tcBorders>
          </w:tcPr>
          <w:p w14:paraId="560DFEFA" w14:textId="77777777" w:rsidR="001144BF" w:rsidRPr="00FE41ED" w:rsidRDefault="001144BF" w:rsidP="001144BF">
            <w:pPr>
              <w:jc w:val="right"/>
              <w:rPr>
                <w:lang w:val="en-GB"/>
              </w:rPr>
            </w:pPr>
            <w:r w:rsidRPr="00FE41ED">
              <w:rPr>
                <w:lang w:val="en-GB"/>
              </w:rPr>
              <w:t>0.686 million</w:t>
            </w:r>
          </w:p>
          <w:p w14:paraId="3100C210" w14:textId="71FBA172" w:rsidR="001144BF" w:rsidRPr="001A51CF" w:rsidRDefault="001144BF" w:rsidP="001144BF">
            <w:pPr>
              <w:jc w:val="right"/>
              <w:rPr>
                <w:color w:val="FF0000"/>
                <w:highlight w:val="yellow"/>
                <w:lang w:val="en-GB"/>
              </w:rPr>
            </w:pPr>
            <w:r w:rsidRPr="00FE41ED">
              <w:rPr>
                <w:lang w:val="en-GB"/>
              </w:rPr>
              <w:t>(2.90%)</w:t>
            </w:r>
          </w:p>
        </w:tc>
      </w:tr>
      <w:tr w:rsidR="001144BF" w:rsidRPr="00342C84" w14:paraId="37864E21"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76E24F9C" w14:textId="4F4B2CF8" w:rsidR="001144BF" w:rsidRPr="001A51CF" w:rsidRDefault="001144BF" w:rsidP="001144BF">
            <w:pPr>
              <w:rPr>
                <w:bCs/>
                <w:color w:val="FF0000"/>
              </w:rPr>
            </w:pPr>
            <w:r w:rsidRPr="00FE41ED">
              <w:rPr>
                <w:bCs/>
              </w:rPr>
              <w:t>Grants and subsidies</w:t>
            </w:r>
          </w:p>
        </w:tc>
        <w:tc>
          <w:tcPr>
            <w:tcW w:w="2977" w:type="dxa"/>
            <w:tcBorders>
              <w:top w:val="single" w:sz="4" w:space="0" w:color="9FBCD0"/>
              <w:left w:val="single" w:sz="4" w:space="0" w:color="9FBCD0"/>
              <w:bottom w:val="single" w:sz="4" w:space="0" w:color="9FBCD0"/>
              <w:right w:val="single" w:sz="4" w:space="0" w:color="9FBCD0"/>
            </w:tcBorders>
          </w:tcPr>
          <w:p w14:paraId="00FE4697" w14:textId="77777777" w:rsidR="001144BF" w:rsidRPr="00FE41ED" w:rsidRDefault="001144BF" w:rsidP="001144BF">
            <w:pPr>
              <w:jc w:val="right"/>
              <w:rPr>
                <w:lang w:val="en-GB"/>
              </w:rPr>
            </w:pPr>
            <w:r w:rsidRPr="00FE41ED">
              <w:rPr>
                <w:lang w:val="en-GB"/>
              </w:rPr>
              <w:t>$50K</w:t>
            </w:r>
          </w:p>
          <w:p w14:paraId="6314FEF8" w14:textId="35E6CE65" w:rsidR="001144BF" w:rsidRPr="001A51CF" w:rsidRDefault="001144BF" w:rsidP="001144BF">
            <w:pPr>
              <w:jc w:val="right"/>
              <w:rPr>
                <w:color w:val="FF0000"/>
                <w:highlight w:val="yellow"/>
                <w:lang w:val="en-GB"/>
              </w:rPr>
            </w:pPr>
            <w:r w:rsidRPr="00FE41ED">
              <w:rPr>
                <w:lang w:val="en-GB"/>
              </w:rPr>
              <w:t>(0.21%)</w:t>
            </w:r>
          </w:p>
        </w:tc>
      </w:tr>
      <w:tr w:rsidR="001144BF" w:rsidRPr="00342C84" w14:paraId="323DF0A0"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36702041" w14:textId="062F867A" w:rsidR="001144BF" w:rsidRPr="001A51CF" w:rsidRDefault="001144BF" w:rsidP="001144BF">
            <w:pPr>
              <w:rPr>
                <w:bCs/>
                <w:color w:val="FF0000"/>
              </w:rPr>
            </w:pPr>
            <w:r w:rsidRPr="00FE41ED">
              <w:rPr>
                <w:bCs/>
              </w:rPr>
              <w:t>Claims expense</w:t>
            </w:r>
          </w:p>
        </w:tc>
        <w:tc>
          <w:tcPr>
            <w:tcW w:w="2977" w:type="dxa"/>
            <w:tcBorders>
              <w:top w:val="single" w:sz="4" w:space="0" w:color="9FBCD0"/>
              <w:left w:val="single" w:sz="4" w:space="0" w:color="9FBCD0"/>
              <w:bottom w:val="single" w:sz="4" w:space="0" w:color="9FBCD0"/>
              <w:right w:val="single" w:sz="4" w:space="0" w:color="9FBCD0"/>
            </w:tcBorders>
          </w:tcPr>
          <w:p w14:paraId="7A48C4A4" w14:textId="77777777" w:rsidR="001144BF" w:rsidRPr="00FE41ED" w:rsidRDefault="001144BF" w:rsidP="001144BF">
            <w:pPr>
              <w:jc w:val="right"/>
              <w:rPr>
                <w:lang w:val="en-GB"/>
              </w:rPr>
            </w:pPr>
            <w:r w:rsidRPr="00FE41ED">
              <w:rPr>
                <w:lang w:val="en-GB"/>
              </w:rPr>
              <w:t>$3.065 million</w:t>
            </w:r>
          </w:p>
          <w:p w14:paraId="06923668" w14:textId="54ACB68C" w:rsidR="001144BF" w:rsidRPr="001A51CF" w:rsidRDefault="001144BF" w:rsidP="001144BF">
            <w:pPr>
              <w:jc w:val="right"/>
              <w:rPr>
                <w:color w:val="FF0000"/>
                <w:highlight w:val="yellow"/>
                <w:lang w:val="en-GB"/>
              </w:rPr>
            </w:pPr>
            <w:r w:rsidRPr="00FE41ED">
              <w:rPr>
                <w:lang w:val="en-GB"/>
              </w:rPr>
              <w:t>(12.95%)</w:t>
            </w:r>
          </w:p>
        </w:tc>
      </w:tr>
      <w:tr w:rsidR="001144BF" w:rsidRPr="00342C84" w14:paraId="7DB7793B"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0D44F07C" w14:textId="43F3CDEC" w:rsidR="001144BF" w:rsidRPr="001A51CF" w:rsidRDefault="001144BF" w:rsidP="001144BF">
            <w:pPr>
              <w:rPr>
                <w:bCs/>
                <w:color w:val="FF0000"/>
              </w:rPr>
            </w:pPr>
            <w:r w:rsidRPr="00FE41ED">
              <w:rPr>
                <w:bCs/>
              </w:rPr>
              <w:t>Loss on disposal of non-current assets</w:t>
            </w:r>
          </w:p>
        </w:tc>
        <w:tc>
          <w:tcPr>
            <w:tcW w:w="2977" w:type="dxa"/>
            <w:tcBorders>
              <w:top w:val="single" w:sz="4" w:space="0" w:color="9FBCD0"/>
              <w:left w:val="single" w:sz="4" w:space="0" w:color="9FBCD0"/>
              <w:bottom w:val="single" w:sz="4" w:space="0" w:color="9FBCD0"/>
              <w:right w:val="single" w:sz="4" w:space="0" w:color="9FBCD0"/>
            </w:tcBorders>
          </w:tcPr>
          <w:p w14:paraId="718FBDC6" w14:textId="77777777" w:rsidR="001144BF" w:rsidRPr="00FE41ED" w:rsidRDefault="001144BF" w:rsidP="001144BF">
            <w:pPr>
              <w:jc w:val="right"/>
              <w:rPr>
                <w:lang w:val="en-GB"/>
              </w:rPr>
            </w:pPr>
            <w:r w:rsidRPr="00FE41ED">
              <w:rPr>
                <w:lang w:val="en-GB"/>
              </w:rPr>
              <w:t>$3K</w:t>
            </w:r>
          </w:p>
          <w:p w14:paraId="28CA8E07" w14:textId="32705056" w:rsidR="001144BF" w:rsidRPr="001A51CF" w:rsidRDefault="001144BF" w:rsidP="001144BF">
            <w:pPr>
              <w:jc w:val="right"/>
              <w:rPr>
                <w:color w:val="FF0000"/>
                <w:highlight w:val="yellow"/>
                <w:lang w:val="en-GB"/>
              </w:rPr>
            </w:pPr>
            <w:r w:rsidRPr="00FE41ED">
              <w:rPr>
                <w:lang w:val="en-GB"/>
              </w:rPr>
              <w:t>(0.01%)</w:t>
            </w:r>
          </w:p>
        </w:tc>
      </w:tr>
      <w:tr w:rsidR="001144BF" w:rsidRPr="00342C84" w14:paraId="36301100" w14:textId="77777777" w:rsidTr="00553134">
        <w:trPr>
          <w:cantSplit/>
        </w:trPr>
        <w:tc>
          <w:tcPr>
            <w:tcW w:w="6379" w:type="dxa"/>
            <w:tcBorders>
              <w:top w:val="single" w:sz="4" w:space="0" w:color="9FBCD0"/>
              <w:left w:val="single" w:sz="4" w:space="0" w:color="9FBCD0"/>
              <w:bottom w:val="single" w:sz="4" w:space="0" w:color="9FBCD0"/>
              <w:right w:val="single" w:sz="4" w:space="0" w:color="9FBCD0"/>
            </w:tcBorders>
            <w:shd w:val="clear" w:color="auto" w:fill="CEDCE8"/>
          </w:tcPr>
          <w:p w14:paraId="02B2D2B6" w14:textId="7BA7E56F" w:rsidR="001144BF" w:rsidRPr="001A51CF" w:rsidRDefault="001144BF" w:rsidP="001144BF">
            <w:pPr>
              <w:rPr>
                <w:bCs/>
                <w:color w:val="FF0000"/>
              </w:rPr>
            </w:pPr>
            <w:r w:rsidRPr="00FE41ED">
              <w:rPr>
                <w:bCs/>
              </w:rPr>
              <w:t xml:space="preserve">Other expenses </w:t>
            </w:r>
          </w:p>
        </w:tc>
        <w:tc>
          <w:tcPr>
            <w:tcW w:w="2977" w:type="dxa"/>
            <w:tcBorders>
              <w:top w:val="single" w:sz="4" w:space="0" w:color="9FBCD0"/>
              <w:left w:val="single" w:sz="4" w:space="0" w:color="9FBCD0"/>
              <w:bottom w:val="single" w:sz="4" w:space="0" w:color="9FBCD0"/>
              <w:right w:val="single" w:sz="4" w:space="0" w:color="9FBCD0"/>
            </w:tcBorders>
          </w:tcPr>
          <w:p w14:paraId="40A0F61E" w14:textId="77777777" w:rsidR="001144BF" w:rsidRPr="00FE41ED" w:rsidRDefault="001144BF" w:rsidP="001144BF">
            <w:pPr>
              <w:jc w:val="right"/>
              <w:rPr>
                <w:lang w:val="en-GB"/>
              </w:rPr>
            </w:pPr>
            <w:r w:rsidRPr="00FE41ED">
              <w:rPr>
                <w:lang w:val="en-GB"/>
              </w:rPr>
              <w:t>$1.323 million</w:t>
            </w:r>
          </w:p>
          <w:p w14:paraId="214A306A" w14:textId="7A0EBAC8" w:rsidR="001144BF" w:rsidRPr="001A51CF" w:rsidRDefault="001144BF" w:rsidP="001144BF">
            <w:pPr>
              <w:jc w:val="right"/>
              <w:rPr>
                <w:color w:val="FF0000"/>
                <w:highlight w:val="yellow"/>
                <w:lang w:val="en-GB"/>
              </w:rPr>
            </w:pPr>
            <w:r w:rsidRPr="00FE41ED">
              <w:rPr>
                <w:lang w:val="en-GB"/>
              </w:rPr>
              <w:t>(5.59%)</w:t>
            </w:r>
          </w:p>
        </w:tc>
      </w:tr>
    </w:tbl>
    <w:p w14:paraId="735B5CCA" w14:textId="649009FA" w:rsidR="00EC44DA" w:rsidRPr="00B459DB" w:rsidRDefault="00EC44DA" w:rsidP="00B459DB">
      <w:pPr>
        <w:pStyle w:val="Heading2nonumber"/>
      </w:pPr>
      <w:bookmarkStart w:id="61" w:name="_Toc525121906"/>
      <w:r w:rsidRPr="00EB157E">
        <w:t>Year scorecard</w:t>
      </w:r>
      <w:bookmarkEnd w:id="58"/>
      <w:bookmarkEnd w:id="59"/>
      <w:bookmarkEnd w:id="60"/>
      <w:bookmarkEnd w:id="61"/>
    </w:p>
    <w:p w14:paraId="4254F6C8" w14:textId="23ED1B95" w:rsidR="00323DE2" w:rsidRPr="00DD0352" w:rsidRDefault="002A39EF" w:rsidP="000041A3">
      <w:pPr>
        <w:pStyle w:val="Heading3nonumber"/>
      </w:pPr>
      <w:bookmarkStart w:id="62" w:name="_Toc525121907"/>
      <w:r>
        <w:t>201</w:t>
      </w:r>
      <w:r w:rsidR="00A03DDD">
        <w:t>7</w:t>
      </w:r>
      <w:r>
        <w:t>/1</w:t>
      </w:r>
      <w:r w:rsidR="00A03DDD">
        <w:t>8</w:t>
      </w:r>
      <w:r>
        <w:t xml:space="preserve"> performance snapshot</w:t>
      </w:r>
      <w:bookmarkEnd w:id="62"/>
      <w:r w:rsidR="00323DE2" w:rsidRPr="00DD0352">
        <w:rPr>
          <w:highlight w:val="cyan"/>
        </w:rPr>
        <w:t xml:space="preserve"> </w:t>
      </w:r>
    </w:p>
    <w:p w14:paraId="7AA63A9C" w14:textId="449BF8B1" w:rsidR="008F2AF7" w:rsidRDefault="000F64A0" w:rsidP="000F64A0">
      <w:r>
        <w:t>The outcomes of WorkCover WA’s activities and</w:t>
      </w:r>
      <w:r w:rsidRPr="001F5538">
        <w:t xml:space="preserve"> services are measured by Key Performance Indicators (KPIs) indicating </w:t>
      </w:r>
      <w:r>
        <w:t>effectiveness and efficiency. The 2017/18 scorecard provides a snapshot view of our performance for the year.</w:t>
      </w:r>
    </w:p>
    <w:p w14:paraId="09DEEF24" w14:textId="1FEEEE69" w:rsidR="00E45730" w:rsidRDefault="000F64A0" w:rsidP="00090F58">
      <w:r>
        <w:t xml:space="preserve">Full explanations on all measures, analysed against previous years and set targets, are located on the page(s) referenced beside each indicator in </w:t>
      </w:r>
      <w:r w:rsidRPr="00E870C3">
        <w:t>Table</w:t>
      </w:r>
      <w:r w:rsidR="001A51CF" w:rsidRPr="00E870C3">
        <w:t>s</w:t>
      </w:r>
      <w:r w:rsidRPr="00E870C3">
        <w:t xml:space="preserve"> </w:t>
      </w:r>
      <w:r w:rsidR="00E870C3" w:rsidRPr="00E870C3">
        <w:t>4</w:t>
      </w:r>
      <w:r w:rsidRPr="00E870C3">
        <w:t xml:space="preserve"> and </w:t>
      </w:r>
      <w:r w:rsidR="00E870C3" w:rsidRPr="00E870C3">
        <w:t>5</w:t>
      </w:r>
      <w:r w:rsidRPr="00E870C3">
        <w:t xml:space="preserve"> on </w:t>
      </w:r>
      <w:r w:rsidRPr="004044EB">
        <w:t xml:space="preserve">page </w:t>
      </w:r>
      <w:r w:rsidR="004044EB" w:rsidRPr="004044EB">
        <w:t>22</w:t>
      </w:r>
      <w:r>
        <w:t>.</w:t>
      </w:r>
    </w:p>
    <w:p w14:paraId="314B0540" w14:textId="3E9F7763" w:rsidR="00B04C35" w:rsidRPr="002F12D6" w:rsidRDefault="00B04C35" w:rsidP="00090F58">
      <w:r>
        <w:t xml:space="preserve">A summary of the delivery of our 2017/18 Strategic Initiatives is located on page </w:t>
      </w:r>
      <w:r w:rsidR="004044EB">
        <w:t>23</w:t>
      </w:r>
      <w:r>
        <w:t xml:space="preserve">. </w:t>
      </w:r>
      <w:r w:rsidR="005B6DC0">
        <w:br/>
      </w: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4: Indicators of effectiveness snapshot "/>
        <w:tblDescription w:val="This table provides a snapshot of the indicators of effectiveness for 2017/18, which are the number of non-compliance events identified, proportion of conciliations completed within eight weeks and proportion of disputes resolved within six months. "/>
      </w:tblPr>
      <w:tblGrid>
        <w:gridCol w:w="709"/>
        <w:gridCol w:w="3827"/>
        <w:gridCol w:w="1843"/>
        <w:gridCol w:w="1418"/>
        <w:gridCol w:w="1530"/>
      </w:tblGrid>
      <w:tr w:rsidR="0036300F" w14:paraId="4ACF5515" w14:textId="77777777" w:rsidTr="00E74094">
        <w:trPr>
          <w:tblHeader/>
        </w:trPr>
        <w:tc>
          <w:tcPr>
            <w:tcW w:w="9327" w:type="dxa"/>
            <w:gridSpan w:val="5"/>
            <w:shd w:val="clear" w:color="auto" w:fill="003F5F"/>
          </w:tcPr>
          <w:p w14:paraId="4888FFEF" w14:textId="490A4000" w:rsidR="0036300F" w:rsidRPr="002F12D6" w:rsidRDefault="0036300F" w:rsidP="004A3909">
            <w:pPr>
              <w:rPr>
                <w:rStyle w:val="Strong"/>
                <w:color w:val="FFFFFF" w:themeColor="background1"/>
              </w:rPr>
            </w:pPr>
            <w:r w:rsidRPr="001F5538">
              <w:rPr>
                <w:rStyle w:val="Strong"/>
                <w:color w:val="FFFFFF" w:themeColor="background1"/>
              </w:rPr>
              <w:t>Tabl</w:t>
            </w:r>
            <w:r w:rsidR="005611A3" w:rsidRPr="001F5538">
              <w:rPr>
                <w:rStyle w:val="Strong"/>
                <w:color w:val="FFFFFF" w:themeColor="background1"/>
              </w:rPr>
              <w:t>e</w:t>
            </w:r>
            <w:r w:rsidR="00E141E9" w:rsidRPr="001F5538">
              <w:rPr>
                <w:rStyle w:val="Strong"/>
                <w:color w:val="FFFFFF" w:themeColor="background1"/>
              </w:rPr>
              <w:t xml:space="preserve"> </w:t>
            </w:r>
            <w:r w:rsidR="004A3909" w:rsidRPr="001F5538">
              <w:rPr>
                <w:rStyle w:val="Strong"/>
                <w:color w:val="FFFFFF" w:themeColor="background1"/>
              </w:rPr>
              <w:t>4</w:t>
            </w:r>
            <w:r w:rsidR="00A03DDD" w:rsidRPr="001F5538">
              <w:rPr>
                <w:rStyle w:val="Strong"/>
                <w:color w:val="FFFFFF" w:themeColor="background1"/>
              </w:rPr>
              <w:t xml:space="preserve">: </w:t>
            </w:r>
            <w:r w:rsidR="00A03DDD" w:rsidRPr="000622CC">
              <w:rPr>
                <w:rStyle w:val="Strong"/>
                <w:color w:val="FFFFFF" w:themeColor="background1"/>
              </w:rPr>
              <w:t>2017/18</w:t>
            </w:r>
            <w:r w:rsidR="006604EB" w:rsidRPr="000622CC">
              <w:rPr>
                <w:rStyle w:val="Strong"/>
                <w:color w:val="FFFFFF" w:themeColor="background1"/>
              </w:rPr>
              <w:t xml:space="preserve"> i</w:t>
            </w:r>
            <w:r w:rsidRPr="000622CC">
              <w:rPr>
                <w:rStyle w:val="Strong"/>
                <w:color w:val="FFFFFF" w:themeColor="background1"/>
              </w:rPr>
              <w:t>ndicators of effectiveness snapshot</w:t>
            </w:r>
            <w:r w:rsidR="006B3F3C" w:rsidRPr="000622CC">
              <w:rPr>
                <w:rStyle w:val="Strong"/>
                <w:color w:val="FFFFFF" w:themeColor="background1"/>
              </w:rPr>
              <w:t xml:space="preserve"> </w:t>
            </w:r>
          </w:p>
        </w:tc>
      </w:tr>
      <w:tr w:rsidR="00E7569C" w14:paraId="53842424" w14:textId="77777777" w:rsidTr="00553134">
        <w:trPr>
          <w:trHeight w:val="682"/>
        </w:trPr>
        <w:tc>
          <w:tcPr>
            <w:tcW w:w="709" w:type="dxa"/>
            <w:tcBorders>
              <w:left w:val="single" w:sz="4" w:space="0" w:color="9FBCD0"/>
              <w:bottom w:val="single" w:sz="4" w:space="0" w:color="9FBCD0"/>
              <w:right w:val="single" w:sz="4" w:space="0" w:color="9FBCD0"/>
            </w:tcBorders>
            <w:shd w:val="clear" w:color="auto" w:fill="CEDCE8"/>
          </w:tcPr>
          <w:p w14:paraId="0EFFD7A1" w14:textId="77777777" w:rsidR="00E7569C" w:rsidRPr="00495D17" w:rsidRDefault="00E7569C" w:rsidP="00EC44DA">
            <w:pPr>
              <w:rPr>
                <w:rStyle w:val="Strong"/>
              </w:rPr>
            </w:pPr>
            <w:r>
              <w:rPr>
                <w:rStyle w:val="Strong"/>
              </w:rPr>
              <w:t>#</w:t>
            </w:r>
          </w:p>
        </w:tc>
        <w:tc>
          <w:tcPr>
            <w:tcW w:w="3827" w:type="dxa"/>
            <w:tcBorders>
              <w:left w:val="single" w:sz="4" w:space="0" w:color="9FBCD0"/>
              <w:bottom w:val="single" w:sz="4" w:space="0" w:color="9FBCD0"/>
              <w:right w:val="single" w:sz="4" w:space="0" w:color="9FBCD0"/>
            </w:tcBorders>
            <w:shd w:val="clear" w:color="auto" w:fill="CEDCE8"/>
          </w:tcPr>
          <w:p w14:paraId="07FFFC88" w14:textId="77777777" w:rsidR="00E7569C" w:rsidRPr="00495D17" w:rsidRDefault="00E7569C" w:rsidP="00EC44DA">
            <w:pPr>
              <w:rPr>
                <w:rStyle w:val="Strong"/>
              </w:rPr>
            </w:pPr>
            <w:r w:rsidRPr="00495D17">
              <w:rPr>
                <w:rStyle w:val="Strong"/>
              </w:rPr>
              <w:t>Description</w:t>
            </w:r>
          </w:p>
        </w:tc>
        <w:tc>
          <w:tcPr>
            <w:tcW w:w="1843" w:type="dxa"/>
            <w:tcBorders>
              <w:left w:val="single" w:sz="4" w:space="0" w:color="9FBCD0"/>
              <w:bottom w:val="single" w:sz="4" w:space="0" w:color="9FBCD0"/>
              <w:right w:val="single" w:sz="4" w:space="0" w:color="9FBCD0"/>
            </w:tcBorders>
            <w:shd w:val="clear" w:color="auto" w:fill="CEDCE8"/>
          </w:tcPr>
          <w:p w14:paraId="02879400" w14:textId="5275EBB2" w:rsidR="00E7569C" w:rsidRPr="00495D17" w:rsidRDefault="00092CFD" w:rsidP="009E121D">
            <w:pPr>
              <w:jc w:val="right"/>
              <w:rPr>
                <w:rStyle w:val="Strong"/>
              </w:rPr>
            </w:pPr>
            <w:r>
              <w:rPr>
                <w:rStyle w:val="Strong"/>
              </w:rPr>
              <w:t>201</w:t>
            </w:r>
            <w:r w:rsidR="00A03DDD">
              <w:rPr>
                <w:rStyle w:val="Strong"/>
              </w:rPr>
              <w:t>7</w:t>
            </w:r>
            <w:r>
              <w:rPr>
                <w:rStyle w:val="Strong"/>
              </w:rPr>
              <w:t>/1</w:t>
            </w:r>
            <w:r w:rsidR="00A03DDD">
              <w:rPr>
                <w:rStyle w:val="Strong"/>
              </w:rPr>
              <w:t>8</w:t>
            </w:r>
            <w:r w:rsidR="00E7569C" w:rsidRPr="00495D17">
              <w:rPr>
                <w:rStyle w:val="Strong"/>
              </w:rPr>
              <w:t xml:space="preserve"> Target</w:t>
            </w:r>
          </w:p>
        </w:tc>
        <w:tc>
          <w:tcPr>
            <w:tcW w:w="1418" w:type="dxa"/>
            <w:tcBorders>
              <w:left w:val="single" w:sz="4" w:space="0" w:color="9FBCD0"/>
              <w:bottom w:val="single" w:sz="4" w:space="0" w:color="9FBCD0"/>
              <w:right w:val="single" w:sz="4" w:space="0" w:color="9FBCD0"/>
            </w:tcBorders>
            <w:shd w:val="clear" w:color="auto" w:fill="CEDCE8"/>
          </w:tcPr>
          <w:p w14:paraId="26456605" w14:textId="7AE4681C" w:rsidR="00E7569C" w:rsidRPr="00495D17" w:rsidRDefault="00092CFD" w:rsidP="009E121D">
            <w:pPr>
              <w:jc w:val="right"/>
              <w:rPr>
                <w:rStyle w:val="Strong"/>
              </w:rPr>
            </w:pPr>
            <w:r>
              <w:rPr>
                <w:rStyle w:val="Strong"/>
              </w:rPr>
              <w:t>201</w:t>
            </w:r>
            <w:r w:rsidR="00A03DDD">
              <w:rPr>
                <w:rStyle w:val="Strong"/>
              </w:rPr>
              <w:t>7</w:t>
            </w:r>
            <w:r>
              <w:rPr>
                <w:rStyle w:val="Strong"/>
              </w:rPr>
              <w:t>/1</w:t>
            </w:r>
            <w:r w:rsidR="00A03DDD">
              <w:rPr>
                <w:rStyle w:val="Strong"/>
              </w:rPr>
              <w:t>8</w:t>
            </w:r>
            <w:r w:rsidR="00E7569C" w:rsidRPr="00495D17">
              <w:rPr>
                <w:rStyle w:val="Strong"/>
              </w:rPr>
              <w:t xml:space="preserve"> Result</w:t>
            </w:r>
          </w:p>
        </w:tc>
        <w:tc>
          <w:tcPr>
            <w:tcW w:w="1530" w:type="dxa"/>
            <w:tcBorders>
              <w:left w:val="single" w:sz="4" w:space="0" w:color="9FBCD0"/>
              <w:bottom w:val="single" w:sz="4" w:space="0" w:color="9FBCD0"/>
              <w:right w:val="single" w:sz="4" w:space="0" w:color="9FBCD0"/>
            </w:tcBorders>
            <w:shd w:val="clear" w:color="auto" w:fill="CEDCE8"/>
          </w:tcPr>
          <w:p w14:paraId="4F679320" w14:textId="77777777" w:rsidR="00E7569C" w:rsidRPr="00495D17" w:rsidRDefault="00E7569C" w:rsidP="009E121D">
            <w:pPr>
              <w:jc w:val="right"/>
              <w:rPr>
                <w:rStyle w:val="Strong"/>
              </w:rPr>
            </w:pPr>
            <w:r w:rsidRPr="00495D17">
              <w:rPr>
                <w:rStyle w:val="Strong"/>
              </w:rPr>
              <w:t>Reference</w:t>
            </w:r>
          </w:p>
        </w:tc>
      </w:tr>
      <w:tr w:rsidR="00034A7F" w14:paraId="594920AD" w14:textId="77777777" w:rsidTr="00553134">
        <w:tc>
          <w:tcPr>
            <w:tcW w:w="709"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F6B5A0A" w14:textId="77777777" w:rsidR="00034A7F" w:rsidRPr="00E7569C" w:rsidRDefault="00034A7F" w:rsidP="00034A7F">
            <w:r w:rsidRPr="00E7569C">
              <w:t>1.1</w:t>
            </w:r>
          </w:p>
        </w:tc>
        <w:tc>
          <w:tcPr>
            <w:tcW w:w="3827" w:type="dxa"/>
            <w:tcBorders>
              <w:top w:val="single" w:sz="4" w:space="0" w:color="9FBCD0"/>
              <w:left w:val="single" w:sz="4" w:space="0" w:color="9FBCD0"/>
              <w:bottom w:val="single" w:sz="4" w:space="0" w:color="9FBCD0"/>
              <w:right w:val="single" w:sz="4" w:space="0" w:color="9FBCD0"/>
            </w:tcBorders>
            <w:vAlign w:val="center"/>
          </w:tcPr>
          <w:p w14:paraId="2469E6C2" w14:textId="77777777" w:rsidR="00034A7F" w:rsidRPr="00A40E88" w:rsidRDefault="00034A7F" w:rsidP="00034A7F">
            <w:pPr>
              <w:rPr>
                <w:i/>
              </w:rPr>
            </w:pPr>
            <w:r w:rsidRPr="00A40E88">
              <w:t>Number of non-compliance events identified as a result of a claim on the General Account</w:t>
            </w:r>
          </w:p>
        </w:tc>
        <w:tc>
          <w:tcPr>
            <w:tcW w:w="1843" w:type="dxa"/>
            <w:tcBorders>
              <w:top w:val="single" w:sz="4" w:space="0" w:color="9FBCD0"/>
              <w:left w:val="single" w:sz="4" w:space="0" w:color="9FBCD0"/>
              <w:bottom w:val="single" w:sz="4" w:space="0" w:color="9FBCD0"/>
              <w:right w:val="single" w:sz="4" w:space="0" w:color="9FBCD0"/>
            </w:tcBorders>
            <w:vAlign w:val="center"/>
          </w:tcPr>
          <w:p w14:paraId="0DC67200" w14:textId="3BDE8409" w:rsidR="00034A7F" w:rsidRPr="00070289" w:rsidRDefault="00034A7F" w:rsidP="00034A7F">
            <w:pPr>
              <w:jc w:val="right"/>
              <w:rPr>
                <w:i/>
              </w:rPr>
            </w:pPr>
            <w:r w:rsidRPr="00070289">
              <w:t>6</w:t>
            </w:r>
          </w:p>
        </w:tc>
        <w:tc>
          <w:tcPr>
            <w:tcW w:w="1418" w:type="dxa"/>
            <w:tcBorders>
              <w:top w:val="single" w:sz="4" w:space="0" w:color="9FBCD0"/>
              <w:left w:val="single" w:sz="4" w:space="0" w:color="9FBCD0"/>
              <w:bottom w:val="single" w:sz="4" w:space="0" w:color="9FBCD0"/>
              <w:right w:val="single" w:sz="4" w:space="0" w:color="9FBCD0"/>
            </w:tcBorders>
            <w:vAlign w:val="center"/>
          </w:tcPr>
          <w:p w14:paraId="11103575" w14:textId="591E8B09" w:rsidR="00034A7F" w:rsidRPr="00034A7F" w:rsidRDefault="00034A7F" w:rsidP="00034A7F">
            <w:pPr>
              <w:jc w:val="right"/>
              <w:rPr>
                <w:i/>
              </w:rPr>
            </w:pPr>
            <w:r w:rsidRPr="00034A7F">
              <w:t>4</w:t>
            </w:r>
          </w:p>
        </w:tc>
        <w:tc>
          <w:tcPr>
            <w:tcW w:w="1530" w:type="dxa"/>
            <w:tcBorders>
              <w:top w:val="single" w:sz="4" w:space="0" w:color="9FBCD0"/>
              <w:left w:val="single" w:sz="4" w:space="0" w:color="9FBCD0"/>
              <w:bottom w:val="single" w:sz="4" w:space="0" w:color="9FBCD0"/>
              <w:right w:val="single" w:sz="4" w:space="0" w:color="9FBCD0"/>
            </w:tcBorders>
            <w:vAlign w:val="center"/>
          </w:tcPr>
          <w:p w14:paraId="35DF799C" w14:textId="57D940E3" w:rsidR="00034A7F" w:rsidRPr="007C3CD9" w:rsidRDefault="00034A7F" w:rsidP="004044EB">
            <w:pPr>
              <w:jc w:val="right"/>
              <w:rPr>
                <w:color w:val="FF0000"/>
                <w:highlight w:val="lightGray"/>
              </w:rPr>
            </w:pPr>
            <w:r w:rsidRPr="004044EB">
              <w:t xml:space="preserve">p. </w:t>
            </w:r>
            <w:r w:rsidR="004044EB" w:rsidRPr="004044EB">
              <w:t>150</w:t>
            </w:r>
          </w:p>
        </w:tc>
      </w:tr>
      <w:tr w:rsidR="00034A7F" w14:paraId="3B959476" w14:textId="77777777" w:rsidTr="00553134">
        <w:trPr>
          <w:trHeight w:val="693"/>
        </w:trPr>
        <w:tc>
          <w:tcPr>
            <w:tcW w:w="709"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65775FDE" w14:textId="77777777" w:rsidR="00034A7F" w:rsidRPr="00E7569C" w:rsidRDefault="00034A7F" w:rsidP="00034A7F">
            <w:r w:rsidRPr="00E7569C">
              <w:t>1.2</w:t>
            </w:r>
          </w:p>
        </w:tc>
        <w:tc>
          <w:tcPr>
            <w:tcW w:w="3827" w:type="dxa"/>
            <w:tcBorders>
              <w:top w:val="single" w:sz="4" w:space="0" w:color="9FBCD0"/>
              <w:left w:val="single" w:sz="4" w:space="0" w:color="9FBCD0"/>
              <w:bottom w:val="single" w:sz="4" w:space="0" w:color="9FBCD0"/>
              <w:right w:val="single" w:sz="4" w:space="0" w:color="9FBCD0"/>
            </w:tcBorders>
            <w:vAlign w:val="center"/>
          </w:tcPr>
          <w:p w14:paraId="2FA5AB61" w14:textId="77777777" w:rsidR="00034A7F" w:rsidRPr="00A40E88" w:rsidRDefault="00034A7F" w:rsidP="00034A7F">
            <w:pPr>
              <w:rPr>
                <w:i/>
              </w:rPr>
            </w:pPr>
            <w:r w:rsidRPr="00A40E88">
              <w:t xml:space="preserve">Proportion of </w:t>
            </w:r>
            <w:r>
              <w:t>conciliations completed within eight</w:t>
            </w:r>
            <w:r w:rsidRPr="00A40E88">
              <w:t xml:space="preserve"> weeks</w:t>
            </w:r>
          </w:p>
        </w:tc>
        <w:tc>
          <w:tcPr>
            <w:tcW w:w="1843" w:type="dxa"/>
            <w:tcBorders>
              <w:top w:val="single" w:sz="4" w:space="0" w:color="9FBCD0"/>
              <w:left w:val="single" w:sz="4" w:space="0" w:color="9FBCD0"/>
              <w:bottom w:val="single" w:sz="4" w:space="0" w:color="9FBCD0"/>
              <w:right w:val="single" w:sz="4" w:space="0" w:color="9FBCD0"/>
            </w:tcBorders>
            <w:vAlign w:val="center"/>
          </w:tcPr>
          <w:p w14:paraId="01AC7904" w14:textId="54E02A5C" w:rsidR="00034A7F" w:rsidRPr="00070289" w:rsidRDefault="00034A7F" w:rsidP="00034A7F">
            <w:pPr>
              <w:jc w:val="right"/>
              <w:rPr>
                <w:i/>
              </w:rPr>
            </w:pPr>
            <w:r w:rsidRPr="00070289">
              <w:t>97.0%</w:t>
            </w:r>
          </w:p>
        </w:tc>
        <w:tc>
          <w:tcPr>
            <w:tcW w:w="1418" w:type="dxa"/>
            <w:tcBorders>
              <w:top w:val="single" w:sz="4" w:space="0" w:color="9FBCD0"/>
              <w:left w:val="single" w:sz="4" w:space="0" w:color="9FBCD0"/>
              <w:bottom w:val="single" w:sz="4" w:space="0" w:color="9FBCD0"/>
              <w:right w:val="single" w:sz="4" w:space="0" w:color="9FBCD0"/>
            </w:tcBorders>
            <w:vAlign w:val="center"/>
          </w:tcPr>
          <w:p w14:paraId="50AB3A96" w14:textId="48DB0603" w:rsidR="00034A7F" w:rsidRPr="00034A7F" w:rsidRDefault="00034A7F" w:rsidP="00034A7F">
            <w:pPr>
              <w:jc w:val="right"/>
            </w:pPr>
            <w:r w:rsidRPr="00034A7F">
              <w:t>96.7%</w:t>
            </w:r>
          </w:p>
        </w:tc>
        <w:tc>
          <w:tcPr>
            <w:tcW w:w="1530" w:type="dxa"/>
            <w:tcBorders>
              <w:top w:val="single" w:sz="4" w:space="0" w:color="9FBCD0"/>
              <w:left w:val="single" w:sz="4" w:space="0" w:color="9FBCD0"/>
              <w:bottom w:val="single" w:sz="4" w:space="0" w:color="9FBCD0"/>
              <w:right w:val="single" w:sz="4" w:space="0" w:color="9FBCD0"/>
            </w:tcBorders>
            <w:vAlign w:val="center"/>
          </w:tcPr>
          <w:p w14:paraId="53F365CF" w14:textId="2AB5298B" w:rsidR="00034A7F" w:rsidRPr="007C3CD9" w:rsidRDefault="00034A7F" w:rsidP="004044EB">
            <w:pPr>
              <w:jc w:val="right"/>
              <w:rPr>
                <w:color w:val="FF0000"/>
                <w:highlight w:val="lightGray"/>
              </w:rPr>
            </w:pPr>
            <w:r w:rsidRPr="004044EB">
              <w:t xml:space="preserve">p. </w:t>
            </w:r>
            <w:r w:rsidR="004044EB" w:rsidRPr="004044EB">
              <w:t>152</w:t>
            </w:r>
          </w:p>
        </w:tc>
      </w:tr>
      <w:tr w:rsidR="00034A7F" w14:paraId="2D708269" w14:textId="77777777" w:rsidTr="00553134">
        <w:trPr>
          <w:trHeight w:val="1230"/>
        </w:trPr>
        <w:tc>
          <w:tcPr>
            <w:tcW w:w="709"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46D39AC" w14:textId="77777777" w:rsidR="00034A7F" w:rsidRPr="00E7569C" w:rsidRDefault="00034A7F" w:rsidP="00034A7F">
            <w:r w:rsidRPr="00E7569C">
              <w:t>1.3</w:t>
            </w:r>
          </w:p>
        </w:tc>
        <w:tc>
          <w:tcPr>
            <w:tcW w:w="3827" w:type="dxa"/>
            <w:tcBorders>
              <w:top w:val="single" w:sz="4" w:space="0" w:color="9FBCD0"/>
              <w:left w:val="single" w:sz="4" w:space="0" w:color="9FBCD0"/>
              <w:bottom w:val="single" w:sz="4" w:space="0" w:color="9FBCD0"/>
              <w:right w:val="single" w:sz="4" w:space="0" w:color="9FBCD0"/>
            </w:tcBorders>
            <w:vAlign w:val="center"/>
          </w:tcPr>
          <w:p w14:paraId="1D4A6E47" w14:textId="77777777" w:rsidR="00034A7F" w:rsidRPr="00A40E88" w:rsidRDefault="00034A7F" w:rsidP="00034A7F">
            <w:pPr>
              <w:rPr>
                <w:i/>
              </w:rPr>
            </w:pPr>
            <w:r w:rsidRPr="00A40E88">
              <w:t>Proportion of disputes resolved within six months</w:t>
            </w:r>
          </w:p>
        </w:tc>
        <w:tc>
          <w:tcPr>
            <w:tcW w:w="1843" w:type="dxa"/>
            <w:tcBorders>
              <w:top w:val="single" w:sz="4" w:space="0" w:color="9FBCD0"/>
              <w:left w:val="single" w:sz="4" w:space="0" w:color="9FBCD0"/>
              <w:bottom w:val="single" w:sz="4" w:space="0" w:color="9FBCD0"/>
              <w:right w:val="single" w:sz="4" w:space="0" w:color="9FBCD0"/>
            </w:tcBorders>
            <w:vAlign w:val="center"/>
          </w:tcPr>
          <w:p w14:paraId="4B7557C2" w14:textId="74D516EE" w:rsidR="00034A7F" w:rsidRPr="00070289" w:rsidRDefault="00034A7F" w:rsidP="00034A7F">
            <w:pPr>
              <w:jc w:val="right"/>
              <w:rPr>
                <w:i/>
              </w:rPr>
            </w:pPr>
            <w:r w:rsidRPr="00070289">
              <w:t>90.0%</w:t>
            </w:r>
          </w:p>
        </w:tc>
        <w:tc>
          <w:tcPr>
            <w:tcW w:w="1418" w:type="dxa"/>
            <w:tcBorders>
              <w:top w:val="single" w:sz="4" w:space="0" w:color="9FBCD0"/>
              <w:left w:val="single" w:sz="4" w:space="0" w:color="9FBCD0"/>
              <w:bottom w:val="single" w:sz="4" w:space="0" w:color="9FBCD0"/>
              <w:right w:val="single" w:sz="4" w:space="0" w:color="9FBCD0"/>
            </w:tcBorders>
            <w:vAlign w:val="center"/>
          </w:tcPr>
          <w:p w14:paraId="6FB48FA1" w14:textId="49231499" w:rsidR="00034A7F" w:rsidRPr="00034A7F" w:rsidRDefault="00034A7F" w:rsidP="00034A7F">
            <w:pPr>
              <w:jc w:val="right"/>
              <w:rPr>
                <w:i/>
              </w:rPr>
            </w:pPr>
            <w:r w:rsidRPr="00034A7F">
              <w:t>84.1%</w:t>
            </w:r>
          </w:p>
        </w:tc>
        <w:tc>
          <w:tcPr>
            <w:tcW w:w="1530" w:type="dxa"/>
            <w:tcBorders>
              <w:top w:val="single" w:sz="4" w:space="0" w:color="9FBCD0"/>
              <w:left w:val="single" w:sz="4" w:space="0" w:color="9FBCD0"/>
              <w:bottom w:val="single" w:sz="4" w:space="0" w:color="9FBCD0"/>
              <w:right w:val="single" w:sz="4" w:space="0" w:color="9FBCD0"/>
            </w:tcBorders>
            <w:vAlign w:val="center"/>
          </w:tcPr>
          <w:p w14:paraId="7CF711BD" w14:textId="798A6B71" w:rsidR="00034A7F" w:rsidRPr="007C3CD9" w:rsidRDefault="00034A7F" w:rsidP="004044EB">
            <w:pPr>
              <w:jc w:val="right"/>
              <w:rPr>
                <w:color w:val="FF0000"/>
                <w:highlight w:val="lightGray"/>
              </w:rPr>
            </w:pPr>
            <w:r w:rsidRPr="004044EB">
              <w:t xml:space="preserve">p. </w:t>
            </w:r>
            <w:r w:rsidR="004044EB" w:rsidRPr="004044EB">
              <w:t>155</w:t>
            </w:r>
          </w:p>
        </w:tc>
      </w:tr>
    </w:tbl>
    <w:p w14:paraId="0780B79C" w14:textId="77777777" w:rsidR="00B459DB" w:rsidRDefault="00B459DB" w:rsidP="00184DF0">
      <w:pPr>
        <w:keepLines w:val="0"/>
        <w:spacing w:after="0" w:line="240" w:lineRule="auto"/>
        <w:rPr>
          <w:i/>
        </w:rPr>
      </w:pPr>
    </w:p>
    <w:tbl>
      <w:tblPr>
        <w:tblStyle w:val="TableGrid"/>
        <w:tblW w:w="9327"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5: Indicators of efficiency snapshot "/>
        <w:tblDescription w:val="This table provides a snapshot of the indicators of efficiency for 2017/18. This includes the average cost per employer compliance activity, average cost per approved and monitored service provider, average cost per client contact, average cost to complete a conciliation, average cost to complete an arbitration and average cost to process a Memorandum of Agreement. "/>
      </w:tblPr>
      <w:tblGrid>
        <w:gridCol w:w="851"/>
        <w:gridCol w:w="3685"/>
        <w:gridCol w:w="1843"/>
        <w:gridCol w:w="1418"/>
        <w:gridCol w:w="1530"/>
      </w:tblGrid>
      <w:tr w:rsidR="00B459DB" w14:paraId="479B079B" w14:textId="77777777" w:rsidTr="00E74094">
        <w:trPr>
          <w:tblHeader/>
        </w:trPr>
        <w:tc>
          <w:tcPr>
            <w:tcW w:w="9327" w:type="dxa"/>
            <w:gridSpan w:val="5"/>
            <w:shd w:val="clear" w:color="auto" w:fill="003F5F"/>
          </w:tcPr>
          <w:p w14:paraId="701097C3" w14:textId="3549E1E4" w:rsidR="00B459DB" w:rsidRPr="002F12D6" w:rsidRDefault="00B459DB" w:rsidP="004A3909">
            <w:pPr>
              <w:rPr>
                <w:rStyle w:val="Strong"/>
                <w:color w:val="FFFFFF" w:themeColor="background1"/>
              </w:rPr>
            </w:pPr>
            <w:r w:rsidRPr="00E74094">
              <w:rPr>
                <w:rStyle w:val="Strong"/>
                <w:color w:val="FFFFFF" w:themeColor="background1"/>
              </w:rPr>
              <w:t xml:space="preserve">Table </w:t>
            </w:r>
            <w:r w:rsidR="004A3909" w:rsidRPr="00E74094">
              <w:rPr>
                <w:rStyle w:val="Strong"/>
                <w:color w:val="FFFFFF" w:themeColor="background1"/>
              </w:rPr>
              <w:t>5</w:t>
            </w:r>
            <w:r w:rsidR="00A03DDD" w:rsidRPr="00E74094">
              <w:rPr>
                <w:rStyle w:val="Strong"/>
                <w:color w:val="FFFFFF" w:themeColor="background1"/>
              </w:rPr>
              <w:t xml:space="preserve">: </w:t>
            </w:r>
            <w:r w:rsidR="00A03DDD" w:rsidRPr="00690B99">
              <w:rPr>
                <w:rStyle w:val="Strong"/>
                <w:color w:val="FFFFFF" w:themeColor="background1"/>
              </w:rPr>
              <w:t>2017/18</w:t>
            </w:r>
            <w:r w:rsidRPr="00690B99">
              <w:rPr>
                <w:rStyle w:val="Strong"/>
                <w:color w:val="FFFFFF" w:themeColor="background1"/>
              </w:rPr>
              <w:t xml:space="preserve"> indicators of efficiency snapshot </w:t>
            </w:r>
          </w:p>
        </w:tc>
      </w:tr>
      <w:tr w:rsidR="00B459DB" w14:paraId="50E99696" w14:textId="77777777" w:rsidTr="00553134">
        <w:tc>
          <w:tcPr>
            <w:tcW w:w="851" w:type="dxa"/>
            <w:tcBorders>
              <w:left w:val="single" w:sz="4" w:space="0" w:color="9FBCD0"/>
              <w:bottom w:val="single" w:sz="4" w:space="0" w:color="9FBCD0"/>
              <w:right w:val="single" w:sz="4" w:space="0" w:color="9FBCD0"/>
            </w:tcBorders>
            <w:shd w:val="clear" w:color="auto" w:fill="CEDCE8"/>
          </w:tcPr>
          <w:p w14:paraId="217F9137" w14:textId="77777777" w:rsidR="00B459DB" w:rsidRPr="002F12D6" w:rsidRDefault="00B459DB" w:rsidP="005611A3">
            <w:pPr>
              <w:rPr>
                <w:rStyle w:val="Strong"/>
              </w:rPr>
            </w:pPr>
            <w:r>
              <w:rPr>
                <w:rStyle w:val="Strong"/>
              </w:rPr>
              <w:t>#</w:t>
            </w:r>
          </w:p>
        </w:tc>
        <w:tc>
          <w:tcPr>
            <w:tcW w:w="3685" w:type="dxa"/>
            <w:tcBorders>
              <w:left w:val="single" w:sz="4" w:space="0" w:color="9FBCD0"/>
              <w:bottom w:val="single" w:sz="4" w:space="0" w:color="9FBCD0"/>
              <w:right w:val="single" w:sz="4" w:space="0" w:color="9FBCD0"/>
            </w:tcBorders>
            <w:shd w:val="clear" w:color="auto" w:fill="CEDCE8"/>
          </w:tcPr>
          <w:p w14:paraId="35F29E88" w14:textId="77777777" w:rsidR="00B459DB" w:rsidRPr="002F12D6" w:rsidRDefault="00B459DB" w:rsidP="005611A3">
            <w:pPr>
              <w:rPr>
                <w:rStyle w:val="Strong"/>
              </w:rPr>
            </w:pPr>
            <w:r w:rsidRPr="002F12D6">
              <w:rPr>
                <w:rStyle w:val="Strong"/>
              </w:rPr>
              <w:t>Description</w:t>
            </w:r>
          </w:p>
        </w:tc>
        <w:tc>
          <w:tcPr>
            <w:tcW w:w="1843" w:type="dxa"/>
            <w:tcBorders>
              <w:left w:val="single" w:sz="4" w:space="0" w:color="9FBCD0"/>
              <w:bottom w:val="single" w:sz="4" w:space="0" w:color="9FBCD0"/>
              <w:right w:val="single" w:sz="4" w:space="0" w:color="9FBCD0"/>
            </w:tcBorders>
            <w:shd w:val="clear" w:color="auto" w:fill="CEDCE8"/>
          </w:tcPr>
          <w:p w14:paraId="37B8A00C" w14:textId="281A3392" w:rsidR="00B459DB" w:rsidRPr="002F12D6" w:rsidRDefault="00A03DDD" w:rsidP="005611A3">
            <w:pPr>
              <w:jc w:val="right"/>
              <w:rPr>
                <w:rStyle w:val="Strong"/>
              </w:rPr>
            </w:pPr>
            <w:r>
              <w:rPr>
                <w:rStyle w:val="Strong"/>
              </w:rPr>
              <w:t>2017/18</w:t>
            </w:r>
            <w:r w:rsidR="00B459DB">
              <w:rPr>
                <w:rStyle w:val="Strong"/>
              </w:rPr>
              <w:t xml:space="preserve"> </w:t>
            </w:r>
            <w:r w:rsidR="00B459DB" w:rsidRPr="002F12D6">
              <w:rPr>
                <w:rStyle w:val="Strong"/>
              </w:rPr>
              <w:t>Target</w:t>
            </w:r>
          </w:p>
        </w:tc>
        <w:tc>
          <w:tcPr>
            <w:tcW w:w="1418" w:type="dxa"/>
            <w:tcBorders>
              <w:left w:val="single" w:sz="4" w:space="0" w:color="9FBCD0"/>
              <w:bottom w:val="single" w:sz="4" w:space="0" w:color="9FBCD0"/>
              <w:right w:val="single" w:sz="4" w:space="0" w:color="9FBCD0"/>
            </w:tcBorders>
            <w:shd w:val="clear" w:color="auto" w:fill="CEDCE8"/>
          </w:tcPr>
          <w:p w14:paraId="40E0C1A1" w14:textId="69776BDE" w:rsidR="00B459DB" w:rsidRPr="002F12D6" w:rsidRDefault="00A03DDD" w:rsidP="005611A3">
            <w:pPr>
              <w:jc w:val="right"/>
              <w:rPr>
                <w:rStyle w:val="Strong"/>
              </w:rPr>
            </w:pPr>
            <w:r>
              <w:rPr>
                <w:rStyle w:val="Strong"/>
              </w:rPr>
              <w:t>2017/18</w:t>
            </w:r>
            <w:r w:rsidR="00B459DB" w:rsidRPr="002F12D6">
              <w:rPr>
                <w:rStyle w:val="Strong"/>
              </w:rPr>
              <w:t xml:space="preserve"> Result</w:t>
            </w:r>
          </w:p>
        </w:tc>
        <w:tc>
          <w:tcPr>
            <w:tcW w:w="1530" w:type="dxa"/>
            <w:tcBorders>
              <w:left w:val="single" w:sz="4" w:space="0" w:color="9FBCD0"/>
              <w:bottom w:val="single" w:sz="4" w:space="0" w:color="9FBCD0"/>
              <w:right w:val="single" w:sz="4" w:space="0" w:color="9FBCD0"/>
            </w:tcBorders>
            <w:shd w:val="clear" w:color="auto" w:fill="CEDCE8"/>
          </w:tcPr>
          <w:p w14:paraId="09710C17" w14:textId="77777777" w:rsidR="00B459DB" w:rsidRPr="002F12D6" w:rsidRDefault="00B459DB" w:rsidP="005611A3">
            <w:pPr>
              <w:jc w:val="right"/>
              <w:rPr>
                <w:rStyle w:val="Strong"/>
              </w:rPr>
            </w:pPr>
            <w:r w:rsidRPr="002F12D6">
              <w:rPr>
                <w:rStyle w:val="Strong"/>
              </w:rPr>
              <w:t>Reference</w:t>
            </w:r>
          </w:p>
        </w:tc>
      </w:tr>
      <w:tr w:rsidR="00034A7F" w14:paraId="293AB0E8" w14:textId="77777777" w:rsidTr="004044EB">
        <w:tc>
          <w:tcPr>
            <w:tcW w:w="851"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2C42D63B" w14:textId="77777777" w:rsidR="00034A7F" w:rsidRDefault="00034A7F" w:rsidP="00034A7F">
            <w:r>
              <w:t>1.1</w:t>
            </w:r>
          </w:p>
        </w:tc>
        <w:tc>
          <w:tcPr>
            <w:tcW w:w="3685" w:type="dxa"/>
            <w:tcBorders>
              <w:top w:val="single" w:sz="4" w:space="0" w:color="9FBCD0"/>
              <w:left w:val="single" w:sz="4" w:space="0" w:color="9FBCD0"/>
              <w:bottom w:val="single" w:sz="4" w:space="0" w:color="9FBCD0"/>
              <w:right w:val="single" w:sz="4" w:space="0" w:color="9FBCD0"/>
            </w:tcBorders>
          </w:tcPr>
          <w:p w14:paraId="1B2151D4" w14:textId="77777777" w:rsidR="00034A7F" w:rsidRPr="002C6864" w:rsidRDefault="00034A7F" w:rsidP="00034A7F">
            <w:pPr>
              <w:rPr>
                <w:i/>
              </w:rPr>
            </w:pPr>
            <w:r w:rsidRPr="002C6864">
              <w:t>Average cost per employer compliance activity</w:t>
            </w:r>
          </w:p>
        </w:tc>
        <w:tc>
          <w:tcPr>
            <w:tcW w:w="1843" w:type="dxa"/>
            <w:tcBorders>
              <w:top w:val="single" w:sz="4" w:space="0" w:color="9FBCD0"/>
              <w:left w:val="single" w:sz="4" w:space="0" w:color="9FBCD0"/>
              <w:bottom w:val="single" w:sz="4" w:space="0" w:color="9FBCD0"/>
              <w:right w:val="single" w:sz="4" w:space="0" w:color="9FBCD0"/>
            </w:tcBorders>
          </w:tcPr>
          <w:p w14:paraId="684CF4ED" w14:textId="5EE89256" w:rsidR="00034A7F" w:rsidRPr="00070289" w:rsidRDefault="00034A7F" w:rsidP="00034A7F">
            <w:pPr>
              <w:jc w:val="right"/>
              <w:rPr>
                <w:i/>
              </w:rPr>
            </w:pPr>
            <w:r w:rsidRPr="00070289">
              <w:t>$290</w:t>
            </w:r>
          </w:p>
        </w:tc>
        <w:tc>
          <w:tcPr>
            <w:tcW w:w="1418" w:type="dxa"/>
            <w:tcBorders>
              <w:top w:val="single" w:sz="4" w:space="0" w:color="9FBCD0"/>
              <w:left w:val="single" w:sz="4" w:space="0" w:color="9FBCD0"/>
              <w:bottom w:val="single" w:sz="4" w:space="0" w:color="9FBCD0"/>
              <w:right w:val="single" w:sz="4" w:space="0" w:color="9FBCD0"/>
            </w:tcBorders>
          </w:tcPr>
          <w:p w14:paraId="6B5D09CD" w14:textId="3C95B413" w:rsidR="00034A7F" w:rsidRPr="00034A7F" w:rsidRDefault="001F5538" w:rsidP="00034A7F">
            <w:pPr>
              <w:jc w:val="right"/>
              <w:rPr>
                <w:i/>
              </w:rPr>
            </w:pPr>
            <w:r>
              <w:t>$261</w:t>
            </w:r>
          </w:p>
        </w:tc>
        <w:tc>
          <w:tcPr>
            <w:tcW w:w="1530" w:type="dxa"/>
            <w:tcBorders>
              <w:top w:val="single" w:sz="4" w:space="0" w:color="9FBCD0"/>
              <w:left w:val="single" w:sz="4" w:space="0" w:color="9FBCD0"/>
              <w:bottom w:val="single" w:sz="4" w:space="0" w:color="9FBCD0"/>
              <w:right w:val="single" w:sz="4" w:space="0" w:color="9FBCD0"/>
            </w:tcBorders>
            <w:shd w:val="clear" w:color="auto" w:fill="auto"/>
          </w:tcPr>
          <w:p w14:paraId="6B4DF847" w14:textId="1B803132" w:rsidR="00034A7F" w:rsidRPr="007C3CD9" w:rsidRDefault="00034A7F" w:rsidP="004044EB">
            <w:pPr>
              <w:jc w:val="right"/>
              <w:rPr>
                <w:color w:val="FF0000"/>
                <w:highlight w:val="lightGray"/>
              </w:rPr>
            </w:pPr>
            <w:r w:rsidRPr="004044EB">
              <w:t xml:space="preserve">p. </w:t>
            </w:r>
            <w:r w:rsidR="004044EB" w:rsidRPr="004044EB">
              <w:t>156</w:t>
            </w:r>
          </w:p>
        </w:tc>
      </w:tr>
      <w:tr w:rsidR="00034A7F" w14:paraId="6B30C032" w14:textId="77777777" w:rsidTr="00553134">
        <w:tc>
          <w:tcPr>
            <w:tcW w:w="851"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BA18A86" w14:textId="77777777" w:rsidR="00034A7F" w:rsidRDefault="00034A7F" w:rsidP="00034A7F">
            <w:r>
              <w:t>1.2</w:t>
            </w:r>
          </w:p>
        </w:tc>
        <w:tc>
          <w:tcPr>
            <w:tcW w:w="3685" w:type="dxa"/>
            <w:tcBorders>
              <w:top w:val="single" w:sz="4" w:space="0" w:color="9FBCD0"/>
              <w:left w:val="single" w:sz="4" w:space="0" w:color="9FBCD0"/>
              <w:bottom w:val="single" w:sz="4" w:space="0" w:color="9FBCD0"/>
              <w:right w:val="single" w:sz="4" w:space="0" w:color="9FBCD0"/>
            </w:tcBorders>
          </w:tcPr>
          <w:p w14:paraId="0F4C1325" w14:textId="77777777" w:rsidR="00034A7F" w:rsidRPr="002C6864" w:rsidRDefault="00034A7F" w:rsidP="00034A7F">
            <w:pPr>
              <w:rPr>
                <w:i/>
              </w:rPr>
            </w:pPr>
            <w:r w:rsidRPr="002C6864">
              <w:t>Average cost per approved and monitored service provider</w:t>
            </w:r>
          </w:p>
        </w:tc>
        <w:tc>
          <w:tcPr>
            <w:tcW w:w="1843" w:type="dxa"/>
            <w:tcBorders>
              <w:top w:val="single" w:sz="4" w:space="0" w:color="9FBCD0"/>
              <w:left w:val="single" w:sz="4" w:space="0" w:color="9FBCD0"/>
              <w:bottom w:val="single" w:sz="4" w:space="0" w:color="9FBCD0"/>
              <w:right w:val="single" w:sz="4" w:space="0" w:color="9FBCD0"/>
            </w:tcBorders>
          </w:tcPr>
          <w:p w14:paraId="74872B75" w14:textId="5A02A19C" w:rsidR="00034A7F" w:rsidRPr="00070289" w:rsidRDefault="00034A7F" w:rsidP="00034A7F">
            <w:pPr>
              <w:jc w:val="right"/>
              <w:rPr>
                <w:i/>
              </w:rPr>
            </w:pPr>
            <w:r w:rsidRPr="00070289">
              <w:t>$3,221</w:t>
            </w:r>
          </w:p>
        </w:tc>
        <w:tc>
          <w:tcPr>
            <w:tcW w:w="1418" w:type="dxa"/>
            <w:tcBorders>
              <w:top w:val="single" w:sz="4" w:space="0" w:color="9FBCD0"/>
              <w:left w:val="single" w:sz="4" w:space="0" w:color="9FBCD0"/>
              <w:bottom w:val="single" w:sz="4" w:space="0" w:color="9FBCD0"/>
              <w:right w:val="single" w:sz="4" w:space="0" w:color="9FBCD0"/>
            </w:tcBorders>
          </w:tcPr>
          <w:p w14:paraId="009B307A" w14:textId="62AFB734" w:rsidR="00034A7F" w:rsidRPr="00034A7F" w:rsidRDefault="001F5538" w:rsidP="00034A7F">
            <w:pPr>
              <w:jc w:val="right"/>
              <w:rPr>
                <w:i/>
              </w:rPr>
            </w:pPr>
            <w:r>
              <w:t>$3,522</w:t>
            </w:r>
          </w:p>
        </w:tc>
        <w:tc>
          <w:tcPr>
            <w:tcW w:w="1530" w:type="dxa"/>
            <w:tcBorders>
              <w:top w:val="single" w:sz="4" w:space="0" w:color="9FBCD0"/>
              <w:left w:val="single" w:sz="4" w:space="0" w:color="9FBCD0"/>
              <w:bottom w:val="single" w:sz="4" w:space="0" w:color="9FBCD0"/>
              <w:right w:val="single" w:sz="4" w:space="0" w:color="9FBCD0"/>
            </w:tcBorders>
          </w:tcPr>
          <w:p w14:paraId="5C9F6D4B" w14:textId="55BC4441" w:rsidR="00034A7F" w:rsidRPr="007C3CD9" w:rsidRDefault="00034A7F" w:rsidP="004044EB">
            <w:pPr>
              <w:jc w:val="right"/>
              <w:rPr>
                <w:color w:val="FF0000"/>
                <w:highlight w:val="lightGray"/>
              </w:rPr>
            </w:pPr>
            <w:r w:rsidRPr="004044EB">
              <w:t xml:space="preserve">p. </w:t>
            </w:r>
            <w:r w:rsidR="004044EB" w:rsidRPr="004044EB">
              <w:t>157</w:t>
            </w:r>
          </w:p>
        </w:tc>
      </w:tr>
      <w:tr w:rsidR="00034A7F" w14:paraId="66E12706" w14:textId="77777777" w:rsidTr="00553134">
        <w:tc>
          <w:tcPr>
            <w:tcW w:w="851" w:type="dxa"/>
            <w:tcBorders>
              <w:top w:val="single" w:sz="4" w:space="0" w:color="9FBCD0"/>
              <w:left w:val="single" w:sz="4" w:space="0" w:color="9FBCD0"/>
              <w:bottom w:val="single" w:sz="4" w:space="0" w:color="003F5F"/>
              <w:right w:val="single" w:sz="4" w:space="0" w:color="9FBCD0"/>
            </w:tcBorders>
            <w:shd w:val="clear" w:color="auto" w:fill="CEDCE8"/>
            <w:vAlign w:val="center"/>
          </w:tcPr>
          <w:p w14:paraId="484A1D53" w14:textId="77777777" w:rsidR="00034A7F" w:rsidRDefault="00034A7F" w:rsidP="00034A7F">
            <w:r>
              <w:t>1.3</w:t>
            </w:r>
          </w:p>
        </w:tc>
        <w:tc>
          <w:tcPr>
            <w:tcW w:w="3685" w:type="dxa"/>
            <w:tcBorders>
              <w:top w:val="single" w:sz="4" w:space="0" w:color="9FBCD0"/>
              <w:left w:val="single" w:sz="4" w:space="0" w:color="9FBCD0"/>
              <w:bottom w:val="single" w:sz="4" w:space="0" w:color="003F5F"/>
              <w:right w:val="single" w:sz="4" w:space="0" w:color="9FBCD0"/>
            </w:tcBorders>
          </w:tcPr>
          <w:p w14:paraId="5E53C700" w14:textId="77777777" w:rsidR="00034A7F" w:rsidRPr="002C6864" w:rsidRDefault="00034A7F" w:rsidP="00034A7F">
            <w:pPr>
              <w:rPr>
                <w:i/>
              </w:rPr>
            </w:pPr>
            <w:r w:rsidRPr="002C6864">
              <w:t>Average cost per client contact to provide information and advice</w:t>
            </w:r>
          </w:p>
        </w:tc>
        <w:tc>
          <w:tcPr>
            <w:tcW w:w="1843" w:type="dxa"/>
            <w:tcBorders>
              <w:top w:val="single" w:sz="4" w:space="0" w:color="9FBCD0"/>
              <w:left w:val="single" w:sz="4" w:space="0" w:color="9FBCD0"/>
              <w:bottom w:val="single" w:sz="4" w:space="0" w:color="003F5F"/>
              <w:right w:val="single" w:sz="4" w:space="0" w:color="9FBCD0"/>
            </w:tcBorders>
          </w:tcPr>
          <w:p w14:paraId="4F0640A3" w14:textId="3F1AF054" w:rsidR="00034A7F" w:rsidRPr="00070289" w:rsidRDefault="00034A7F" w:rsidP="00034A7F">
            <w:pPr>
              <w:jc w:val="right"/>
              <w:rPr>
                <w:i/>
              </w:rPr>
            </w:pPr>
            <w:r w:rsidRPr="00070289">
              <w:t>$104</w:t>
            </w:r>
          </w:p>
        </w:tc>
        <w:tc>
          <w:tcPr>
            <w:tcW w:w="1418" w:type="dxa"/>
            <w:tcBorders>
              <w:top w:val="single" w:sz="4" w:space="0" w:color="9FBCD0"/>
              <w:left w:val="single" w:sz="4" w:space="0" w:color="9FBCD0"/>
              <w:bottom w:val="single" w:sz="4" w:space="0" w:color="003F5F"/>
              <w:right w:val="single" w:sz="4" w:space="0" w:color="9FBCD0"/>
            </w:tcBorders>
          </w:tcPr>
          <w:p w14:paraId="3DEA8DCC" w14:textId="43CF7B0D" w:rsidR="00034A7F" w:rsidRPr="00034A7F" w:rsidRDefault="00034A7F" w:rsidP="001F5538">
            <w:pPr>
              <w:jc w:val="right"/>
              <w:rPr>
                <w:i/>
              </w:rPr>
            </w:pPr>
            <w:r w:rsidRPr="00034A7F">
              <w:t>$7</w:t>
            </w:r>
            <w:r w:rsidR="001F5538">
              <w:t>5</w:t>
            </w:r>
          </w:p>
        </w:tc>
        <w:tc>
          <w:tcPr>
            <w:tcW w:w="1530" w:type="dxa"/>
            <w:tcBorders>
              <w:top w:val="single" w:sz="4" w:space="0" w:color="9FBCD0"/>
              <w:left w:val="single" w:sz="4" w:space="0" w:color="9FBCD0"/>
              <w:bottom w:val="single" w:sz="4" w:space="0" w:color="003F5F"/>
              <w:right w:val="single" w:sz="4" w:space="0" w:color="9FBCD0"/>
            </w:tcBorders>
          </w:tcPr>
          <w:p w14:paraId="6A4EAA1E" w14:textId="7C64E3F8" w:rsidR="00034A7F" w:rsidRPr="007C3CD9" w:rsidRDefault="00034A7F" w:rsidP="004044EB">
            <w:pPr>
              <w:jc w:val="right"/>
              <w:rPr>
                <w:color w:val="FF0000"/>
                <w:highlight w:val="lightGray"/>
              </w:rPr>
            </w:pPr>
            <w:r w:rsidRPr="004044EB">
              <w:t xml:space="preserve">p. </w:t>
            </w:r>
            <w:r w:rsidR="004044EB" w:rsidRPr="004044EB">
              <w:t>159</w:t>
            </w:r>
          </w:p>
        </w:tc>
      </w:tr>
      <w:tr w:rsidR="00034A7F" w14:paraId="77044E08" w14:textId="77777777" w:rsidTr="00553134">
        <w:tc>
          <w:tcPr>
            <w:tcW w:w="851" w:type="dxa"/>
            <w:tcBorders>
              <w:top w:val="single" w:sz="4" w:space="0" w:color="003F5F"/>
              <w:left w:val="single" w:sz="4" w:space="0" w:color="9FBCD0"/>
              <w:bottom w:val="single" w:sz="4" w:space="0" w:color="9FBCD0"/>
              <w:right w:val="single" w:sz="4" w:space="0" w:color="9FBCD0"/>
            </w:tcBorders>
            <w:shd w:val="clear" w:color="auto" w:fill="CEDCE8"/>
            <w:vAlign w:val="center"/>
          </w:tcPr>
          <w:p w14:paraId="66A3011F" w14:textId="77777777" w:rsidR="00034A7F" w:rsidRDefault="00034A7F" w:rsidP="00034A7F">
            <w:r>
              <w:t>2.1</w:t>
            </w:r>
          </w:p>
        </w:tc>
        <w:tc>
          <w:tcPr>
            <w:tcW w:w="3685" w:type="dxa"/>
            <w:tcBorders>
              <w:top w:val="single" w:sz="4" w:space="0" w:color="003F5F"/>
              <w:left w:val="single" w:sz="4" w:space="0" w:color="9FBCD0"/>
              <w:bottom w:val="single" w:sz="4" w:space="0" w:color="9FBCD0"/>
              <w:right w:val="single" w:sz="4" w:space="0" w:color="9FBCD0"/>
            </w:tcBorders>
          </w:tcPr>
          <w:p w14:paraId="166EEA57" w14:textId="77777777" w:rsidR="00034A7F" w:rsidRPr="002C6864" w:rsidRDefault="00034A7F" w:rsidP="00034A7F">
            <w:pPr>
              <w:rPr>
                <w:i/>
              </w:rPr>
            </w:pPr>
            <w:r w:rsidRPr="002C6864">
              <w:t>Average cost to complete a conciliation</w:t>
            </w:r>
          </w:p>
        </w:tc>
        <w:tc>
          <w:tcPr>
            <w:tcW w:w="1843" w:type="dxa"/>
            <w:tcBorders>
              <w:top w:val="single" w:sz="4" w:space="0" w:color="003F5F"/>
              <w:left w:val="single" w:sz="4" w:space="0" w:color="9FBCD0"/>
              <w:bottom w:val="single" w:sz="4" w:space="0" w:color="9FBCD0"/>
              <w:right w:val="single" w:sz="4" w:space="0" w:color="9FBCD0"/>
            </w:tcBorders>
          </w:tcPr>
          <w:p w14:paraId="3820CA8C" w14:textId="77217595" w:rsidR="00034A7F" w:rsidRPr="00070289" w:rsidRDefault="00034A7F" w:rsidP="00034A7F">
            <w:pPr>
              <w:jc w:val="right"/>
              <w:rPr>
                <w:i/>
              </w:rPr>
            </w:pPr>
            <w:r w:rsidRPr="00070289">
              <w:t>$2,194</w:t>
            </w:r>
          </w:p>
        </w:tc>
        <w:tc>
          <w:tcPr>
            <w:tcW w:w="1418" w:type="dxa"/>
            <w:tcBorders>
              <w:top w:val="single" w:sz="4" w:space="0" w:color="003F5F"/>
              <w:left w:val="single" w:sz="4" w:space="0" w:color="9FBCD0"/>
              <w:bottom w:val="single" w:sz="4" w:space="0" w:color="9FBCD0"/>
              <w:right w:val="single" w:sz="4" w:space="0" w:color="9FBCD0"/>
            </w:tcBorders>
          </w:tcPr>
          <w:p w14:paraId="5D072683" w14:textId="0690BEFD" w:rsidR="00034A7F" w:rsidRPr="00034A7F" w:rsidRDefault="001F5538" w:rsidP="001F5538">
            <w:pPr>
              <w:jc w:val="right"/>
              <w:rPr>
                <w:i/>
              </w:rPr>
            </w:pPr>
            <w:r>
              <w:t>$2,353</w:t>
            </w:r>
          </w:p>
        </w:tc>
        <w:tc>
          <w:tcPr>
            <w:tcW w:w="1530" w:type="dxa"/>
            <w:tcBorders>
              <w:top w:val="single" w:sz="4" w:space="0" w:color="003F5F"/>
              <w:left w:val="single" w:sz="4" w:space="0" w:color="9FBCD0"/>
              <w:bottom w:val="single" w:sz="4" w:space="0" w:color="9FBCD0"/>
              <w:right w:val="single" w:sz="4" w:space="0" w:color="9FBCD0"/>
            </w:tcBorders>
          </w:tcPr>
          <w:p w14:paraId="765D5EA1" w14:textId="66115B4C" w:rsidR="00034A7F" w:rsidRPr="007C3CD9" w:rsidRDefault="00034A7F" w:rsidP="004044EB">
            <w:pPr>
              <w:jc w:val="right"/>
              <w:rPr>
                <w:color w:val="FF0000"/>
                <w:highlight w:val="lightGray"/>
              </w:rPr>
            </w:pPr>
            <w:r w:rsidRPr="004044EB">
              <w:t xml:space="preserve">p. </w:t>
            </w:r>
            <w:r w:rsidR="004044EB" w:rsidRPr="004044EB">
              <w:t>161</w:t>
            </w:r>
          </w:p>
        </w:tc>
      </w:tr>
      <w:tr w:rsidR="00034A7F" w14:paraId="7AE7B924" w14:textId="77777777" w:rsidTr="00553134">
        <w:tc>
          <w:tcPr>
            <w:tcW w:w="851" w:type="dxa"/>
            <w:tcBorders>
              <w:top w:val="single" w:sz="4" w:space="0" w:color="FFFFFF" w:themeColor="background1"/>
              <w:left w:val="single" w:sz="4" w:space="0" w:color="9FBCD0"/>
              <w:bottom w:val="single" w:sz="4" w:space="0" w:color="BAD0CD" w:themeColor="accent5" w:themeShade="E6"/>
              <w:right w:val="single" w:sz="4" w:space="0" w:color="9FBCD0"/>
            </w:tcBorders>
            <w:shd w:val="clear" w:color="auto" w:fill="CEDCE8"/>
            <w:vAlign w:val="center"/>
          </w:tcPr>
          <w:p w14:paraId="7B32795F" w14:textId="77777777" w:rsidR="00034A7F" w:rsidRDefault="00034A7F" w:rsidP="00034A7F">
            <w:r>
              <w:t>2.2</w:t>
            </w:r>
          </w:p>
        </w:tc>
        <w:tc>
          <w:tcPr>
            <w:tcW w:w="3685" w:type="dxa"/>
            <w:tcBorders>
              <w:top w:val="single" w:sz="4" w:space="0" w:color="CEDCE8"/>
              <w:left w:val="single" w:sz="4" w:space="0" w:color="9FBCD0"/>
              <w:bottom w:val="single" w:sz="4" w:space="0" w:color="BAD0CD" w:themeColor="accent5" w:themeShade="E6"/>
              <w:right w:val="single" w:sz="4" w:space="0" w:color="9FBCD0"/>
            </w:tcBorders>
          </w:tcPr>
          <w:p w14:paraId="5A672413" w14:textId="77777777" w:rsidR="00034A7F" w:rsidRPr="002C6864" w:rsidRDefault="00034A7F" w:rsidP="00034A7F">
            <w:pPr>
              <w:rPr>
                <w:i/>
              </w:rPr>
            </w:pPr>
            <w:r w:rsidRPr="002C6864">
              <w:t>Average cost to complete an arbitration</w:t>
            </w:r>
          </w:p>
        </w:tc>
        <w:tc>
          <w:tcPr>
            <w:tcW w:w="1843" w:type="dxa"/>
            <w:tcBorders>
              <w:top w:val="single" w:sz="4" w:space="0" w:color="CEDCE8"/>
              <w:left w:val="single" w:sz="4" w:space="0" w:color="9FBCD0"/>
              <w:bottom w:val="single" w:sz="4" w:space="0" w:color="BAD0CD" w:themeColor="accent5" w:themeShade="E6"/>
              <w:right w:val="single" w:sz="4" w:space="0" w:color="9FBCD0"/>
            </w:tcBorders>
          </w:tcPr>
          <w:p w14:paraId="41DFE2C4" w14:textId="59D69E60" w:rsidR="00034A7F" w:rsidRPr="00070289" w:rsidRDefault="00034A7F" w:rsidP="00034A7F">
            <w:pPr>
              <w:jc w:val="right"/>
              <w:rPr>
                <w:i/>
              </w:rPr>
            </w:pPr>
            <w:r w:rsidRPr="00070289">
              <w:t>$10,819</w:t>
            </w:r>
          </w:p>
        </w:tc>
        <w:tc>
          <w:tcPr>
            <w:tcW w:w="1418" w:type="dxa"/>
            <w:tcBorders>
              <w:top w:val="single" w:sz="4" w:space="0" w:color="CEDCE8"/>
              <w:left w:val="single" w:sz="4" w:space="0" w:color="9FBCD0"/>
              <w:bottom w:val="single" w:sz="4" w:space="0" w:color="BAD0CD" w:themeColor="accent5" w:themeShade="E6"/>
              <w:right w:val="single" w:sz="4" w:space="0" w:color="9FBCD0"/>
            </w:tcBorders>
          </w:tcPr>
          <w:p w14:paraId="450B4854" w14:textId="6D3409A3" w:rsidR="00034A7F" w:rsidRPr="00034A7F" w:rsidRDefault="00034A7F" w:rsidP="001F5538">
            <w:pPr>
              <w:jc w:val="right"/>
              <w:rPr>
                <w:i/>
              </w:rPr>
            </w:pPr>
            <w:r w:rsidRPr="00034A7F">
              <w:t>$8,5</w:t>
            </w:r>
            <w:r w:rsidR="001F5538">
              <w:t>79</w:t>
            </w:r>
          </w:p>
        </w:tc>
        <w:tc>
          <w:tcPr>
            <w:tcW w:w="1530" w:type="dxa"/>
            <w:tcBorders>
              <w:top w:val="single" w:sz="4" w:space="0" w:color="CEDCE8"/>
              <w:left w:val="single" w:sz="4" w:space="0" w:color="9FBCD0"/>
              <w:bottom w:val="single" w:sz="4" w:space="0" w:color="BAD0CD" w:themeColor="accent5" w:themeShade="E6"/>
              <w:right w:val="single" w:sz="4" w:space="0" w:color="9FBCD0"/>
            </w:tcBorders>
          </w:tcPr>
          <w:p w14:paraId="5CE29129" w14:textId="61B51B8E" w:rsidR="00034A7F" w:rsidRPr="007C3CD9" w:rsidRDefault="00034A7F" w:rsidP="004044EB">
            <w:pPr>
              <w:jc w:val="right"/>
              <w:rPr>
                <w:color w:val="FF0000"/>
                <w:highlight w:val="lightGray"/>
              </w:rPr>
            </w:pPr>
            <w:r w:rsidRPr="004044EB">
              <w:t xml:space="preserve">p. </w:t>
            </w:r>
            <w:r w:rsidR="004044EB" w:rsidRPr="004044EB">
              <w:t>162</w:t>
            </w:r>
          </w:p>
        </w:tc>
      </w:tr>
      <w:tr w:rsidR="00034A7F" w14:paraId="06CAC0A0" w14:textId="77777777" w:rsidTr="00553134">
        <w:tc>
          <w:tcPr>
            <w:tcW w:w="851"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26B6A5D2" w14:textId="77777777" w:rsidR="00034A7F" w:rsidRDefault="00034A7F" w:rsidP="00034A7F">
            <w:r>
              <w:t>2.3</w:t>
            </w:r>
          </w:p>
        </w:tc>
        <w:tc>
          <w:tcPr>
            <w:tcW w:w="3685" w:type="dxa"/>
            <w:tcBorders>
              <w:top w:val="single" w:sz="4" w:space="0" w:color="9FBCD0"/>
              <w:left w:val="single" w:sz="4" w:space="0" w:color="9FBCD0"/>
              <w:bottom w:val="single" w:sz="4" w:space="0" w:color="9FBCD0"/>
              <w:right w:val="single" w:sz="4" w:space="0" w:color="9FBCD0"/>
            </w:tcBorders>
            <w:vAlign w:val="center"/>
          </w:tcPr>
          <w:p w14:paraId="480439FD" w14:textId="77777777" w:rsidR="00034A7F" w:rsidRPr="002C6864" w:rsidRDefault="00034A7F" w:rsidP="00034A7F">
            <w:pPr>
              <w:rPr>
                <w:i/>
              </w:rPr>
            </w:pPr>
            <w:r w:rsidRPr="002C6864">
              <w:t>Average cost to process a Memorandum of Agreement</w:t>
            </w:r>
          </w:p>
        </w:tc>
        <w:tc>
          <w:tcPr>
            <w:tcW w:w="1843" w:type="dxa"/>
            <w:tcBorders>
              <w:top w:val="single" w:sz="4" w:space="0" w:color="9FBCD0"/>
              <w:left w:val="single" w:sz="4" w:space="0" w:color="9FBCD0"/>
              <w:bottom w:val="single" w:sz="4" w:space="0" w:color="9FBCD0"/>
              <w:right w:val="single" w:sz="4" w:space="0" w:color="9FBCD0"/>
            </w:tcBorders>
          </w:tcPr>
          <w:p w14:paraId="65316A70" w14:textId="22D340DA" w:rsidR="00034A7F" w:rsidRPr="00070289" w:rsidRDefault="00034A7F" w:rsidP="00034A7F">
            <w:pPr>
              <w:jc w:val="right"/>
              <w:rPr>
                <w:i/>
              </w:rPr>
            </w:pPr>
            <w:r w:rsidRPr="00070289">
              <w:t>$345</w:t>
            </w:r>
          </w:p>
        </w:tc>
        <w:tc>
          <w:tcPr>
            <w:tcW w:w="1418" w:type="dxa"/>
            <w:tcBorders>
              <w:top w:val="single" w:sz="4" w:space="0" w:color="9FBCD0"/>
              <w:left w:val="single" w:sz="4" w:space="0" w:color="9FBCD0"/>
              <w:bottom w:val="single" w:sz="4" w:space="0" w:color="9FBCD0"/>
              <w:right w:val="single" w:sz="4" w:space="0" w:color="9FBCD0"/>
            </w:tcBorders>
          </w:tcPr>
          <w:p w14:paraId="33CD2820" w14:textId="645DF04F" w:rsidR="00034A7F" w:rsidRPr="00034A7F" w:rsidRDefault="00034A7F" w:rsidP="001F5538">
            <w:pPr>
              <w:jc w:val="right"/>
              <w:rPr>
                <w:i/>
              </w:rPr>
            </w:pPr>
            <w:r w:rsidRPr="00034A7F">
              <w:t>$34</w:t>
            </w:r>
            <w:r w:rsidR="001F5538">
              <w:t>8</w:t>
            </w:r>
          </w:p>
        </w:tc>
        <w:tc>
          <w:tcPr>
            <w:tcW w:w="1530" w:type="dxa"/>
            <w:tcBorders>
              <w:top w:val="single" w:sz="4" w:space="0" w:color="9FBCD0"/>
              <w:left w:val="single" w:sz="4" w:space="0" w:color="9FBCD0"/>
              <w:bottom w:val="single" w:sz="4" w:space="0" w:color="9FBCD0"/>
              <w:right w:val="single" w:sz="4" w:space="0" w:color="9FBCD0"/>
            </w:tcBorders>
            <w:vAlign w:val="center"/>
          </w:tcPr>
          <w:p w14:paraId="60891A81" w14:textId="7619DA96" w:rsidR="00034A7F" w:rsidRPr="007C3CD9" w:rsidRDefault="00034A7F" w:rsidP="004044EB">
            <w:pPr>
              <w:jc w:val="right"/>
              <w:rPr>
                <w:color w:val="FF0000"/>
                <w:highlight w:val="lightGray"/>
              </w:rPr>
            </w:pPr>
            <w:r w:rsidRPr="004044EB">
              <w:t xml:space="preserve">p. </w:t>
            </w:r>
            <w:r w:rsidR="004044EB" w:rsidRPr="004044EB">
              <w:t>163</w:t>
            </w:r>
          </w:p>
        </w:tc>
      </w:tr>
    </w:tbl>
    <w:p w14:paraId="6520434D" w14:textId="2A73A026" w:rsidR="00A03DDD" w:rsidRPr="00070289" w:rsidRDefault="00A03DDD" w:rsidP="00070289"/>
    <w:tbl>
      <w:tblPr>
        <w:tblStyle w:val="TableGrid"/>
        <w:tblW w:w="9356" w:type="dxa"/>
        <w:tblInd w:w="-5" w:type="dxa"/>
        <w:tblBorders>
          <w:top w:val="single" w:sz="4" w:space="0" w:color="D4E2E0" w:themeColor="accent5"/>
          <w:left w:val="single" w:sz="4" w:space="0" w:color="D4E2E0" w:themeColor="accent5"/>
          <w:bottom w:val="single" w:sz="4" w:space="0" w:color="D4E2E0" w:themeColor="accent5"/>
          <w:right w:val="single" w:sz="4" w:space="0" w:color="D4E2E0" w:themeColor="accent5"/>
          <w:insideH w:val="single" w:sz="4" w:space="0" w:color="D4E2E0" w:themeColor="accent5"/>
          <w:insideV w:val="single" w:sz="4" w:space="0" w:color="D4E2E0" w:themeColor="accent5"/>
        </w:tblBorders>
        <w:tblLayout w:type="fixed"/>
        <w:tblLook w:val="04A0" w:firstRow="1" w:lastRow="0" w:firstColumn="1" w:lastColumn="0" w:noHBand="0" w:noVBand="1"/>
        <w:tblCaption w:val="Table 6: Delivery of 2017/18 Strategic Initiatives"/>
        <w:tblDescription w:val="This table provides information about the three Strategic Intiatives for 2017/18 - Legislative Review, Digital First Program and the 2018-2021 Strategic Plan. The Legislative Review is in progress and the other two have been delivered. "/>
      </w:tblPr>
      <w:tblGrid>
        <w:gridCol w:w="1276"/>
        <w:gridCol w:w="3544"/>
        <w:gridCol w:w="4507"/>
        <w:gridCol w:w="29"/>
      </w:tblGrid>
      <w:tr w:rsidR="00A03DDD" w14:paraId="713712D3" w14:textId="77777777" w:rsidTr="00553134">
        <w:trPr>
          <w:gridAfter w:val="1"/>
          <w:wAfter w:w="29" w:type="dxa"/>
          <w:tblHeader/>
        </w:trPr>
        <w:tc>
          <w:tcPr>
            <w:tcW w:w="9327" w:type="dxa"/>
            <w:gridSpan w:val="3"/>
            <w:tcBorders>
              <w:right w:val="single" w:sz="4" w:space="0" w:color="9FBCD0"/>
            </w:tcBorders>
            <w:shd w:val="clear" w:color="auto" w:fill="003F5F"/>
          </w:tcPr>
          <w:p w14:paraId="4A4FC4A0" w14:textId="30C5824A" w:rsidR="00A03DDD" w:rsidRPr="002F12D6" w:rsidRDefault="00A03DDD" w:rsidP="00E870C3">
            <w:pPr>
              <w:rPr>
                <w:rStyle w:val="Strong"/>
                <w:color w:val="FFFFFF" w:themeColor="background1"/>
              </w:rPr>
            </w:pPr>
            <w:r w:rsidRPr="00E74094">
              <w:rPr>
                <w:rStyle w:val="Strong"/>
                <w:color w:val="FFFFFF" w:themeColor="background1"/>
              </w:rPr>
              <w:t xml:space="preserve">Table </w:t>
            </w:r>
            <w:r w:rsidR="00E870C3" w:rsidRPr="00E74094">
              <w:rPr>
                <w:rStyle w:val="Strong"/>
                <w:color w:val="FFFFFF" w:themeColor="background1"/>
              </w:rPr>
              <w:t>6</w:t>
            </w:r>
            <w:r w:rsidRPr="00E74094">
              <w:rPr>
                <w:rStyle w:val="Strong"/>
                <w:color w:val="FFFFFF" w:themeColor="background1"/>
              </w:rPr>
              <w:t xml:space="preserve">: </w:t>
            </w:r>
            <w:r w:rsidRPr="00C15452">
              <w:rPr>
                <w:rStyle w:val="Strong"/>
                <w:color w:val="FFFFFF" w:themeColor="background1"/>
              </w:rPr>
              <w:t xml:space="preserve">Delivery of 2017/18 Strategic Initiatives </w:t>
            </w:r>
          </w:p>
        </w:tc>
      </w:tr>
      <w:tr w:rsidR="00A03DDD" w14:paraId="25602D22" w14:textId="77777777" w:rsidTr="00553134">
        <w:tc>
          <w:tcPr>
            <w:tcW w:w="1276" w:type="dxa"/>
            <w:tcBorders>
              <w:top w:val="single" w:sz="4" w:space="0" w:color="9FBCD0"/>
              <w:left w:val="single" w:sz="4" w:space="0" w:color="9FBCD0"/>
              <w:bottom w:val="single" w:sz="4" w:space="0" w:color="9FBCD0"/>
              <w:right w:val="single" w:sz="4" w:space="0" w:color="9FBCD0"/>
            </w:tcBorders>
            <w:shd w:val="clear" w:color="auto" w:fill="CEDCE8"/>
          </w:tcPr>
          <w:p w14:paraId="68DA2DA6" w14:textId="5CD890A8" w:rsidR="00A03DDD" w:rsidRPr="002F12D6" w:rsidRDefault="00A03DDD" w:rsidP="00A03DDD">
            <w:pPr>
              <w:rPr>
                <w:rStyle w:val="Strong"/>
              </w:rPr>
            </w:pPr>
            <w:r>
              <w:rPr>
                <w:rStyle w:val="Strong"/>
              </w:rPr>
              <w:t>Initiative</w:t>
            </w:r>
          </w:p>
        </w:tc>
        <w:tc>
          <w:tcPr>
            <w:tcW w:w="3544" w:type="dxa"/>
            <w:tcBorders>
              <w:top w:val="single" w:sz="4" w:space="0" w:color="9FBCD0"/>
              <w:left w:val="single" w:sz="4" w:space="0" w:color="9FBCD0"/>
              <w:bottom w:val="single" w:sz="4" w:space="0" w:color="9FBCD0"/>
              <w:right w:val="single" w:sz="4" w:space="0" w:color="9FBCD0"/>
            </w:tcBorders>
            <w:shd w:val="clear" w:color="auto" w:fill="CEDCE8"/>
          </w:tcPr>
          <w:p w14:paraId="15162308" w14:textId="5341CB41" w:rsidR="00A03DDD" w:rsidRPr="002F12D6" w:rsidRDefault="00A03DDD" w:rsidP="00A03DDD">
            <w:pPr>
              <w:rPr>
                <w:rStyle w:val="Strong"/>
              </w:rPr>
            </w:pPr>
            <w:r>
              <w:rPr>
                <w:rStyle w:val="Strong"/>
              </w:rPr>
              <w:t>Commitment</w:t>
            </w:r>
          </w:p>
        </w:tc>
        <w:tc>
          <w:tcPr>
            <w:tcW w:w="4536" w:type="dxa"/>
            <w:gridSpan w:val="2"/>
            <w:tcBorders>
              <w:top w:val="single" w:sz="4" w:space="0" w:color="9FBCD0"/>
              <w:left w:val="single" w:sz="4" w:space="0" w:color="9FBCD0"/>
              <w:bottom w:val="single" w:sz="4" w:space="0" w:color="9FBCD0"/>
              <w:right w:val="single" w:sz="4" w:space="0" w:color="9FBCD0"/>
            </w:tcBorders>
            <w:shd w:val="clear" w:color="auto" w:fill="CEDCE8"/>
          </w:tcPr>
          <w:p w14:paraId="0D4AA8B3" w14:textId="46ED2AF7" w:rsidR="00A03DDD" w:rsidRPr="002F12D6" w:rsidRDefault="00A03DDD" w:rsidP="00A03DDD">
            <w:pPr>
              <w:rPr>
                <w:rStyle w:val="Strong"/>
              </w:rPr>
            </w:pPr>
            <w:r>
              <w:rPr>
                <w:rStyle w:val="Strong"/>
              </w:rPr>
              <w:t>Outcome</w:t>
            </w:r>
          </w:p>
        </w:tc>
      </w:tr>
      <w:tr w:rsidR="00A03DDD" w14:paraId="41A74984" w14:textId="77777777" w:rsidTr="00553134">
        <w:tc>
          <w:tcPr>
            <w:tcW w:w="1276"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5B0426C" w14:textId="13A5D719" w:rsidR="00A03DDD" w:rsidRDefault="00070289" w:rsidP="00347802">
            <w:r>
              <w:t>1</w:t>
            </w:r>
          </w:p>
        </w:tc>
        <w:tc>
          <w:tcPr>
            <w:tcW w:w="3544" w:type="dxa"/>
            <w:tcBorders>
              <w:top w:val="single" w:sz="4" w:space="0" w:color="9FBCD0"/>
              <w:left w:val="single" w:sz="4" w:space="0" w:color="9FBCD0"/>
              <w:bottom w:val="single" w:sz="4" w:space="0" w:color="9FBCD0"/>
              <w:right w:val="single" w:sz="4" w:space="0" w:color="9FBCD0"/>
            </w:tcBorders>
            <w:vAlign w:val="center"/>
          </w:tcPr>
          <w:p w14:paraId="05F1179C" w14:textId="730A285A" w:rsidR="00070289" w:rsidRPr="002C6864" w:rsidRDefault="00070289" w:rsidP="00347802">
            <w:r>
              <w:t>Legislative Review</w:t>
            </w:r>
          </w:p>
        </w:tc>
        <w:tc>
          <w:tcPr>
            <w:tcW w:w="4536" w:type="dxa"/>
            <w:gridSpan w:val="2"/>
            <w:tcBorders>
              <w:top w:val="single" w:sz="4" w:space="0" w:color="9FBCD0"/>
              <w:left w:val="single" w:sz="4" w:space="0" w:color="9FBCD0"/>
              <w:bottom w:val="single" w:sz="4" w:space="0" w:color="9FBCD0"/>
              <w:right w:val="single" w:sz="4" w:space="0" w:color="9FBCD0"/>
            </w:tcBorders>
            <w:vAlign w:val="center"/>
          </w:tcPr>
          <w:p w14:paraId="18E61E75" w14:textId="77777777" w:rsidR="00A03DDD" w:rsidRPr="00347802" w:rsidRDefault="00347802" w:rsidP="00347802">
            <w:pPr>
              <w:rPr>
                <w:b/>
              </w:rPr>
            </w:pPr>
            <w:r w:rsidRPr="00347802">
              <w:rPr>
                <w:b/>
              </w:rPr>
              <w:t>In progress</w:t>
            </w:r>
          </w:p>
          <w:p w14:paraId="0D235E38" w14:textId="4B7D673E" w:rsidR="00347802" w:rsidRPr="00294748" w:rsidRDefault="00347802" w:rsidP="00347802">
            <w:pPr>
              <w:rPr>
                <w:i/>
              </w:rPr>
            </w:pPr>
            <w:r>
              <w:t xml:space="preserve">In February 2018 the Government approved the drafting of a Bill to modernise the workers’ compensation legislation based on WorkCover WA’s </w:t>
            </w:r>
            <w:r>
              <w:rPr>
                <w:i/>
              </w:rPr>
              <w:t xml:space="preserve">Review of the Workers’ Compensation and Injury Management Act 1981: Final Report. </w:t>
            </w:r>
            <w:r>
              <w:t>Drafting of the new legislation is underway.</w:t>
            </w:r>
          </w:p>
        </w:tc>
      </w:tr>
      <w:tr w:rsidR="00A03DDD" w14:paraId="1381A6CA" w14:textId="77777777" w:rsidTr="00553134">
        <w:tc>
          <w:tcPr>
            <w:tcW w:w="1276"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9BC3554" w14:textId="4F2B372F" w:rsidR="00A03DDD" w:rsidRDefault="00070289" w:rsidP="00347802">
            <w:r>
              <w:t>2</w:t>
            </w:r>
          </w:p>
        </w:tc>
        <w:tc>
          <w:tcPr>
            <w:tcW w:w="3544" w:type="dxa"/>
            <w:tcBorders>
              <w:top w:val="single" w:sz="4" w:space="0" w:color="9FBCD0"/>
              <w:left w:val="single" w:sz="4" w:space="0" w:color="9FBCD0"/>
              <w:bottom w:val="single" w:sz="4" w:space="0" w:color="9FBCD0"/>
              <w:right w:val="single" w:sz="4" w:space="0" w:color="9FBCD0"/>
            </w:tcBorders>
            <w:vAlign w:val="center"/>
          </w:tcPr>
          <w:p w14:paraId="5456B254" w14:textId="5E090A8D" w:rsidR="00070289" w:rsidRPr="002C6864" w:rsidRDefault="00070289" w:rsidP="00347802">
            <w:r>
              <w:t xml:space="preserve">Digital First Program </w:t>
            </w:r>
          </w:p>
        </w:tc>
        <w:tc>
          <w:tcPr>
            <w:tcW w:w="4536" w:type="dxa"/>
            <w:gridSpan w:val="2"/>
            <w:tcBorders>
              <w:top w:val="single" w:sz="4" w:space="0" w:color="9FBCD0"/>
              <w:left w:val="single" w:sz="4" w:space="0" w:color="9FBCD0"/>
              <w:bottom w:val="single" w:sz="4" w:space="0" w:color="9FBCD0"/>
              <w:right w:val="single" w:sz="4" w:space="0" w:color="9FBCD0"/>
            </w:tcBorders>
            <w:vAlign w:val="center"/>
          </w:tcPr>
          <w:p w14:paraId="3E4DE596" w14:textId="77777777" w:rsidR="00A03DDD" w:rsidRPr="00F64E5B" w:rsidRDefault="00F64E5B" w:rsidP="00347802">
            <w:pPr>
              <w:rPr>
                <w:b/>
              </w:rPr>
            </w:pPr>
            <w:r w:rsidRPr="00F64E5B">
              <w:rPr>
                <w:b/>
              </w:rPr>
              <w:t>Delivered</w:t>
            </w:r>
          </w:p>
          <w:p w14:paraId="1D04200D" w14:textId="007DE933" w:rsidR="00F64E5B" w:rsidRPr="00A03DDD" w:rsidRDefault="00F64E5B" w:rsidP="00A21413">
            <w:r>
              <w:t xml:space="preserve">Digital First is a multi-year initiative to transform a greater portion of WorkCover WA’s business to an online environment. In 2017/18 WorkCover WA successfully delivered the Regulatory Services component of the Digital First initiative. </w:t>
            </w:r>
          </w:p>
        </w:tc>
      </w:tr>
      <w:tr w:rsidR="00A03DDD" w14:paraId="30975E65" w14:textId="77777777" w:rsidTr="00553134">
        <w:tc>
          <w:tcPr>
            <w:tcW w:w="1276"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1F65506E" w14:textId="4D6D8448" w:rsidR="00A03DDD" w:rsidRDefault="00070289" w:rsidP="00347802">
            <w:r>
              <w:t>3</w:t>
            </w:r>
          </w:p>
        </w:tc>
        <w:tc>
          <w:tcPr>
            <w:tcW w:w="3544" w:type="dxa"/>
            <w:tcBorders>
              <w:top w:val="single" w:sz="4" w:space="0" w:color="9FBCD0"/>
              <w:left w:val="single" w:sz="4" w:space="0" w:color="9FBCD0"/>
              <w:bottom w:val="single" w:sz="4" w:space="0" w:color="9FBCD0"/>
              <w:right w:val="single" w:sz="4" w:space="0" w:color="9FBCD0"/>
            </w:tcBorders>
            <w:vAlign w:val="center"/>
          </w:tcPr>
          <w:p w14:paraId="0CCB4A01" w14:textId="61F72EDA" w:rsidR="00070289" w:rsidRPr="002C6864" w:rsidRDefault="00070289" w:rsidP="00347802">
            <w:r>
              <w:t>2018 – 2021 Strategic Plan</w:t>
            </w:r>
          </w:p>
        </w:tc>
        <w:tc>
          <w:tcPr>
            <w:tcW w:w="4536" w:type="dxa"/>
            <w:gridSpan w:val="2"/>
            <w:tcBorders>
              <w:top w:val="single" w:sz="4" w:space="0" w:color="9FBCD0"/>
              <w:left w:val="single" w:sz="4" w:space="0" w:color="9FBCD0"/>
              <w:bottom w:val="single" w:sz="4" w:space="0" w:color="9FBCD0"/>
              <w:right w:val="single" w:sz="4" w:space="0" w:color="9FBCD0"/>
            </w:tcBorders>
            <w:vAlign w:val="center"/>
          </w:tcPr>
          <w:p w14:paraId="591E715A" w14:textId="77777777" w:rsidR="00A03DDD" w:rsidRDefault="00347802" w:rsidP="00347802">
            <w:pPr>
              <w:rPr>
                <w:b/>
              </w:rPr>
            </w:pPr>
            <w:r>
              <w:rPr>
                <w:b/>
              </w:rPr>
              <w:t>Delivered</w:t>
            </w:r>
          </w:p>
          <w:p w14:paraId="6DE2CB1F" w14:textId="53195E36" w:rsidR="00347802" w:rsidRPr="00347802" w:rsidRDefault="00294748" w:rsidP="0075690D">
            <w:r>
              <w:t>In 2017/18, t</w:t>
            </w:r>
            <w:r w:rsidR="00347802">
              <w:t xml:space="preserve">he WorkCover WA Executive and Board held planning workshops </w:t>
            </w:r>
            <w:r w:rsidR="0075690D">
              <w:t>to develop content for</w:t>
            </w:r>
            <w:r>
              <w:t xml:space="preserve"> </w:t>
            </w:r>
            <w:r w:rsidR="00370747" w:rsidRPr="0075690D">
              <w:rPr>
                <w:i/>
              </w:rPr>
              <w:t>WorkCover WA</w:t>
            </w:r>
            <w:r w:rsidR="0075690D" w:rsidRPr="0075690D">
              <w:rPr>
                <w:i/>
              </w:rPr>
              <w:t>’s</w:t>
            </w:r>
            <w:r w:rsidR="00370747" w:rsidRPr="0075690D">
              <w:rPr>
                <w:i/>
              </w:rPr>
              <w:t xml:space="preserve"> </w:t>
            </w:r>
            <w:r w:rsidR="0075690D" w:rsidRPr="0075690D">
              <w:rPr>
                <w:i/>
              </w:rPr>
              <w:t xml:space="preserve">2018 – 2021 </w:t>
            </w:r>
            <w:r w:rsidR="00347802" w:rsidRPr="0075690D">
              <w:rPr>
                <w:i/>
              </w:rPr>
              <w:t>Strategic Plan</w:t>
            </w:r>
            <w:r w:rsidR="00347802" w:rsidRPr="00294748">
              <w:t xml:space="preserve">. The new Strategic Plan </w:t>
            </w:r>
            <w:r>
              <w:t>will beco</w:t>
            </w:r>
            <w:r w:rsidR="00347802" w:rsidRPr="00294748">
              <w:t>me operational</w:t>
            </w:r>
            <w:r w:rsidR="00347802">
              <w:t xml:space="preserve"> from 1 July 2018.</w:t>
            </w:r>
          </w:p>
        </w:tc>
      </w:tr>
    </w:tbl>
    <w:p w14:paraId="0B6857EB" w14:textId="7FEF755D" w:rsidR="009064F0" w:rsidRPr="00B255CE" w:rsidRDefault="00184DF0" w:rsidP="00B255CE">
      <w:pPr>
        <w:keepLines w:val="0"/>
        <w:spacing w:after="0" w:line="240" w:lineRule="auto"/>
        <w:rPr>
          <w:i/>
        </w:rPr>
      </w:pPr>
      <w:r>
        <w:rPr>
          <w:i/>
        </w:rPr>
        <w:br w:type="page"/>
      </w:r>
      <w:bookmarkStart w:id="63" w:name="_Toc399316913"/>
    </w:p>
    <w:p w14:paraId="3EBC44E0" w14:textId="06B65E7A" w:rsidR="000F6A1C" w:rsidRPr="00A14436" w:rsidRDefault="00BD7892" w:rsidP="00B459DB">
      <w:pPr>
        <w:pStyle w:val="CoverTitle"/>
        <w:ind w:left="0"/>
      </w:pPr>
      <w:bookmarkStart w:id="64" w:name="_Toc450900616"/>
      <w:r w:rsidRPr="00A14436">
        <w:t>Section 1</w:t>
      </w:r>
      <w:r w:rsidR="007E2369">
        <w:t>:</w:t>
      </w:r>
      <w:r w:rsidRPr="00A14436">
        <w:t xml:space="preserve"> Agency </w:t>
      </w:r>
      <w:r w:rsidR="00EE7F19" w:rsidRPr="00A14436">
        <w:t>in f</w:t>
      </w:r>
      <w:r w:rsidRPr="00A14436">
        <w:t>ocus</w:t>
      </w:r>
      <w:bookmarkEnd w:id="63"/>
      <w:bookmarkEnd w:id="64"/>
    </w:p>
    <w:p w14:paraId="36384503" w14:textId="77777777" w:rsidR="00852CCA" w:rsidRPr="00B459DB" w:rsidRDefault="00852CCA" w:rsidP="00B459DB">
      <w:pPr>
        <w:pStyle w:val="Heading1nonumber"/>
      </w:pPr>
      <w:bookmarkStart w:id="65" w:name="_Toc399316915"/>
      <w:bookmarkStart w:id="66" w:name="_Toc426617404"/>
      <w:bookmarkStart w:id="67" w:name="_Toc450900619"/>
      <w:bookmarkStart w:id="68" w:name="_Toc525121908"/>
      <w:r w:rsidRPr="00B459DB">
        <w:t xml:space="preserve">Agency </w:t>
      </w:r>
      <w:r w:rsidR="00854400" w:rsidRPr="00B459DB">
        <w:t>b</w:t>
      </w:r>
      <w:r w:rsidRPr="00B459DB">
        <w:t>rief</w:t>
      </w:r>
      <w:bookmarkEnd w:id="65"/>
      <w:bookmarkEnd w:id="66"/>
      <w:bookmarkEnd w:id="67"/>
      <w:bookmarkEnd w:id="68"/>
    </w:p>
    <w:p w14:paraId="27BC5ED4" w14:textId="2F324296" w:rsidR="00852CCA" w:rsidRDefault="009478C6" w:rsidP="00094D11">
      <w:pPr>
        <w:pStyle w:val="Heading2nonumber"/>
        <w:jc w:val="left"/>
      </w:pPr>
      <w:bookmarkStart w:id="69" w:name="_Toc525121909"/>
      <w:r>
        <w:t>The</w:t>
      </w:r>
      <w:r w:rsidR="002F6172">
        <w:t xml:space="preserve"> Western Australian context</w:t>
      </w:r>
      <w:bookmarkEnd w:id="69"/>
    </w:p>
    <w:p w14:paraId="6F993159" w14:textId="62EAD6BB" w:rsidR="00BC6B9B" w:rsidRPr="008A0BAC" w:rsidRDefault="00BC6B9B" w:rsidP="00BC6B9B">
      <w:r w:rsidRPr="008A0BAC">
        <w:t xml:space="preserve">The Western Australian workers’ compensation and injury management scheme (the </w:t>
      </w:r>
      <w:r w:rsidR="00670C43">
        <w:t xml:space="preserve">WA </w:t>
      </w:r>
      <w:r w:rsidRPr="008A0BAC">
        <w:t>scheme) is designed to ensure workers suffering a work-related injury or illness are compensated for lost wages, medical expenses and other associated costs.</w:t>
      </w:r>
    </w:p>
    <w:p w14:paraId="63072508" w14:textId="77777777" w:rsidR="00BC6B9B" w:rsidRPr="008A0BAC" w:rsidRDefault="00BC6B9B" w:rsidP="00BC6B9B">
      <w:r w:rsidRPr="008A0BAC">
        <w:t xml:space="preserve">WorkCover WA regulates the scheme in accordance with the </w:t>
      </w:r>
      <w:r w:rsidRPr="008A0BAC">
        <w:rPr>
          <w:i/>
        </w:rPr>
        <w:t>Workers’ Compensation and Injury Management Act 1981</w:t>
      </w:r>
      <w:r w:rsidRPr="008A0BAC">
        <w:t xml:space="preserve"> (the Act) and the primary objective is to ensure work-related injuries are actively managed to assist injured workers to achieve a safe and sustained return to work.</w:t>
      </w:r>
    </w:p>
    <w:p w14:paraId="24248DEF" w14:textId="5A333573" w:rsidR="00BC6B9B" w:rsidRPr="008A0BAC" w:rsidRDefault="00BC6B9B" w:rsidP="00BC6B9B">
      <w:r w:rsidRPr="008A0BAC">
        <w:t xml:space="preserve">The WA scheme is based on a ‘no-fault’ principle, meaning an injured worker does not need to establish anyone was at fault or negligent to make a claim. The WA scheme is also the largest privately underwritten workers’ compensation scheme in Australia, with insurance coverage provided by </w:t>
      </w:r>
      <w:r w:rsidR="005439B4" w:rsidRPr="008A0BAC">
        <w:t>eight</w:t>
      </w:r>
      <w:r w:rsidRPr="008A0BAC">
        <w:t xml:space="preserve"> private insurers, 24 self</w:t>
      </w:r>
      <w:r w:rsidRPr="008A0BAC">
        <w:noBreakHyphen/>
        <w:t>insurers and the Insurance Commission of WA.</w:t>
      </w:r>
    </w:p>
    <w:p w14:paraId="2965BE20" w14:textId="77777777" w:rsidR="00BC6B9B" w:rsidRPr="008A2DA9" w:rsidRDefault="00BC6B9B" w:rsidP="00BC6B9B">
      <w:r w:rsidRPr="008A0BAC">
        <w:t xml:space="preserve">The Act requires employers to maintain current workers’ compensation insurance coverage for all their workers, including those engaged in casual, part-time, contract and sub-contract arrangements. WorkCover WA provides </w:t>
      </w:r>
      <w:r w:rsidRPr="008A2DA9">
        <w:t>advice and education to assist employers to comply with their obligations.</w:t>
      </w:r>
    </w:p>
    <w:p w14:paraId="3F3BA339" w14:textId="4EAC3521" w:rsidR="00BC6B9B" w:rsidRDefault="00BC6B9B" w:rsidP="00BC6B9B">
      <w:r w:rsidRPr="008A2DA9">
        <w:t xml:space="preserve">The </w:t>
      </w:r>
      <w:r w:rsidR="00670C43">
        <w:t xml:space="preserve">WA </w:t>
      </w:r>
      <w:r w:rsidRPr="008A2DA9">
        <w:t>scheme also includes entitlements</w:t>
      </w:r>
      <w:r>
        <w:t xml:space="preserve"> and processes related to </w:t>
      </w:r>
      <w:r w:rsidR="007C2CCC">
        <w:t xml:space="preserve">dependents of deceased workers, </w:t>
      </w:r>
      <w:r>
        <w:t xml:space="preserve">noise </w:t>
      </w:r>
      <w:r w:rsidRPr="008A2DA9">
        <w:t xml:space="preserve">induced hearing loss, assessment </w:t>
      </w:r>
      <w:r w:rsidR="00BF0C0F">
        <w:t>of permanent impairment</w:t>
      </w:r>
      <w:r w:rsidRPr="008A2DA9">
        <w:t xml:space="preserve"> and claims finalised through settlement by lump sum</w:t>
      </w:r>
      <w:r w:rsidR="00BC53C9">
        <w:t xml:space="preserve"> payment</w:t>
      </w:r>
      <w:r w:rsidRPr="008A2DA9">
        <w:t xml:space="preserve">. WorkCover WA regulates, monitors and approves a range of health </w:t>
      </w:r>
      <w:r>
        <w:t xml:space="preserve">providers </w:t>
      </w:r>
      <w:r w:rsidRPr="008A2DA9">
        <w:t xml:space="preserve">and </w:t>
      </w:r>
      <w:r>
        <w:t xml:space="preserve">other </w:t>
      </w:r>
      <w:r w:rsidRPr="008A2DA9">
        <w:t xml:space="preserve">service providers </w:t>
      </w:r>
      <w:r w:rsidR="00E870C3">
        <w:t>who</w:t>
      </w:r>
      <w:r w:rsidRPr="008A2DA9">
        <w:t xml:space="preserve"> support injured workers</w:t>
      </w:r>
      <w:r>
        <w:t xml:space="preserve"> to recover and return to work.</w:t>
      </w:r>
    </w:p>
    <w:p w14:paraId="54BDEA61" w14:textId="26E92930" w:rsidR="00852CCA" w:rsidRDefault="00206AC6" w:rsidP="00C755ED">
      <w:pPr>
        <w:pStyle w:val="Heading1nonumber"/>
      </w:pPr>
      <w:bookmarkStart w:id="70" w:name="_Toc525121910"/>
      <w:r>
        <w:t xml:space="preserve">Organisational </w:t>
      </w:r>
      <w:r w:rsidR="00074D92">
        <w:t>s</w:t>
      </w:r>
      <w:r>
        <w:t>tructure</w:t>
      </w:r>
      <w:bookmarkEnd w:id="70"/>
      <w:r>
        <w:t xml:space="preserve"> </w:t>
      </w:r>
    </w:p>
    <w:p w14:paraId="14D579B9" w14:textId="77777777" w:rsidR="00852CCA" w:rsidRPr="003A3559" w:rsidRDefault="00852CCA" w:rsidP="003A3559">
      <w:pPr>
        <w:pStyle w:val="Heading2nonumber"/>
      </w:pPr>
      <w:bookmarkStart w:id="71" w:name="_Toc399316918"/>
      <w:bookmarkStart w:id="72" w:name="_Toc426617407"/>
      <w:bookmarkStart w:id="73" w:name="_Toc450900622"/>
      <w:bookmarkStart w:id="74" w:name="_Toc525121911"/>
      <w:r w:rsidRPr="003A3559">
        <w:t>Agency overview</w:t>
      </w:r>
      <w:bookmarkEnd w:id="71"/>
      <w:bookmarkEnd w:id="72"/>
      <w:bookmarkEnd w:id="73"/>
      <w:bookmarkEnd w:id="74"/>
      <w:r w:rsidRPr="003A3559">
        <w:t xml:space="preserve"> </w:t>
      </w:r>
    </w:p>
    <w:tbl>
      <w:tblPr>
        <w:tblW w:w="9157"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00" w:firstRow="0" w:lastRow="0" w:firstColumn="0" w:lastColumn="0" w:noHBand="0" w:noVBand="0"/>
        <w:tblCaption w:val="Agency overview"/>
        <w:tblDescription w:val="This table provides information about the Minister responsible for the Agency, how the Agency is administered, how it is funded and what its organisational structure is. "/>
      </w:tblPr>
      <w:tblGrid>
        <w:gridCol w:w="2977"/>
        <w:gridCol w:w="6180"/>
      </w:tblGrid>
      <w:tr w:rsidR="00852CCA" w14:paraId="6E74CE48" w14:textId="77777777" w:rsidTr="00553134">
        <w:trPr>
          <w:trHeight w:val="1886"/>
        </w:trPr>
        <w:tc>
          <w:tcPr>
            <w:tcW w:w="2977" w:type="dxa"/>
            <w:tcBorders>
              <w:top w:val="single" w:sz="4" w:space="0" w:color="9FBCD0"/>
              <w:left w:val="single" w:sz="4" w:space="0" w:color="9FBCD0"/>
              <w:bottom w:val="single" w:sz="4" w:space="0" w:color="9FBCD0"/>
              <w:right w:val="single" w:sz="4" w:space="0" w:color="9FBCD0"/>
            </w:tcBorders>
            <w:shd w:val="clear" w:color="auto" w:fill="CEDCE8"/>
            <w:tcMar>
              <w:top w:w="170" w:type="dxa"/>
              <w:left w:w="80" w:type="dxa"/>
              <w:bottom w:w="170" w:type="dxa"/>
              <w:right w:w="80" w:type="dxa"/>
            </w:tcMar>
            <w:vAlign w:val="center"/>
          </w:tcPr>
          <w:p w14:paraId="5CAB6E58" w14:textId="77777777" w:rsidR="00852CCA" w:rsidRPr="00B459DB" w:rsidRDefault="00852CCA" w:rsidP="00B459DB">
            <w:pPr>
              <w:rPr>
                <w:rStyle w:val="Strong"/>
                <w:rFonts w:cs="Arial"/>
                <w:bCs w:val="0"/>
              </w:rPr>
            </w:pPr>
            <w:r w:rsidRPr="00B459DB">
              <w:rPr>
                <w:rStyle w:val="Strong"/>
                <w:rFonts w:cs="Arial"/>
                <w:bCs w:val="0"/>
              </w:rPr>
              <w:t>Responsible Minister</w:t>
            </w:r>
          </w:p>
        </w:tc>
        <w:tc>
          <w:tcPr>
            <w:tcW w:w="6180" w:type="dxa"/>
            <w:tcBorders>
              <w:top w:val="single" w:sz="4" w:space="0" w:color="9FBCD0"/>
              <w:left w:val="single" w:sz="4" w:space="0" w:color="9FBCD0"/>
              <w:bottom w:val="single" w:sz="4" w:space="0" w:color="9FBCD0"/>
              <w:right w:val="single" w:sz="4" w:space="0" w:color="9FBCD0"/>
            </w:tcBorders>
            <w:shd w:val="solid" w:color="FFFFFF" w:fill="auto"/>
            <w:tcMar>
              <w:top w:w="170" w:type="dxa"/>
              <w:left w:w="80" w:type="dxa"/>
              <w:bottom w:w="170" w:type="dxa"/>
              <w:right w:w="80" w:type="dxa"/>
            </w:tcMar>
            <w:vAlign w:val="center"/>
          </w:tcPr>
          <w:p w14:paraId="388F59CD" w14:textId="013C08F8" w:rsidR="0093281B" w:rsidRDefault="00BC6B9B" w:rsidP="002045AE">
            <w:r w:rsidRPr="002045AE">
              <w:t>The Hon</w:t>
            </w:r>
            <w:r>
              <w:t>.</w:t>
            </w:r>
            <w:r w:rsidRPr="002045AE">
              <w:t xml:space="preserve"> Bill Johnston MLA, </w:t>
            </w:r>
            <w:r>
              <w:t xml:space="preserve">Minister for </w:t>
            </w:r>
            <w:r w:rsidRPr="002045AE">
              <w:t>Commerce and Industrial Relations</w:t>
            </w:r>
            <w:r>
              <w:t>,</w:t>
            </w:r>
            <w:r w:rsidRPr="002045AE">
              <w:t xml:space="preserve"> </w:t>
            </w:r>
            <w:r>
              <w:t>Mines and Petroleum, Electoral Affairs,</w:t>
            </w:r>
            <w:r w:rsidRPr="002045AE">
              <w:t xml:space="preserve"> </w:t>
            </w:r>
            <w:r w:rsidR="00BC3456">
              <w:t xml:space="preserve">and </w:t>
            </w:r>
            <w:r w:rsidRPr="002045AE">
              <w:t xml:space="preserve">Asian Engagement. </w:t>
            </w:r>
          </w:p>
        </w:tc>
      </w:tr>
      <w:tr w:rsidR="00D460C7" w14:paraId="5A7D7D1F" w14:textId="77777777" w:rsidTr="00553134">
        <w:trPr>
          <w:trHeight w:val="1886"/>
        </w:trPr>
        <w:tc>
          <w:tcPr>
            <w:tcW w:w="2977" w:type="dxa"/>
            <w:tcBorders>
              <w:top w:val="single" w:sz="4" w:space="0" w:color="9FBCD0"/>
              <w:left w:val="single" w:sz="4" w:space="0" w:color="9FBCD0"/>
              <w:bottom w:val="single" w:sz="4" w:space="0" w:color="9FBCD0"/>
              <w:right w:val="single" w:sz="4" w:space="0" w:color="9FBCD0"/>
            </w:tcBorders>
            <w:shd w:val="clear" w:color="auto" w:fill="CEDCE8"/>
            <w:tcMar>
              <w:top w:w="170" w:type="dxa"/>
              <w:left w:w="80" w:type="dxa"/>
              <w:bottom w:w="170" w:type="dxa"/>
              <w:right w:w="80" w:type="dxa"/>
            </w:tcMar>
            <w:vAlign w:val="center"/>
          </w:tcPr>
          <w:p w14:paraId="737F221A" w14:textId="210D24AC" w:rsidR="00D460C7" w:rsidRPr="00D460C7" w:rsidRDefault="00D460C7" w:rsidP="00B459DB">
            <w:pPr>
              <w:rPr>
                <w:rStyle w:val="Strong"/>
                <w:rFonts w:cs="Arial"/>
                <w:bCs w:val="0"/>
              </w:rPr>
            </w:pPr>
            <w:r w:rsidRPr="00D460C7">
              <w:rPr>
                <w:rStyle w:val="Strong"/>
              </w:rPr>
              <w:t>Administration</w:t>
            </w:r>
          </w:p>
        </w:tc>
        <w:tc>
          <w:tcPr>
            <w:tcW w:w="6180" w:type="dxa"/>
            <w:tcBorders>
              <w:top w:val="single" w:sz="4" w:space="0" w:color="9FBCD0"/>
              <w:left w:val="single" w:sz="4" w:space="0" w:color="9FBCD0"/>
              <w:bottom w:val="single" w:sz="4" w:space="0" w:color="9FBCD0"/>
              <w:right w:val="single" w:sz="4" w:space="0" w:color="9FBCD0"/>
            </w:tcBorders>
            <w:shd w:val="solid" w:color="FFFFFF" w:fill="auto"/>
            <w:tcMar>
              <w:top w:w="170" w:type="dxa"/>
              <w:left w:w="80" w:type="dxa"/>
              <w:bottom w:w="170" w:type="dxa"/>
              <w:right w:w="80" w:type="dxa"/>
            </w:tcMar>
            <w:vAlign w:val="center"/>
          </w:tcPr>
          <w:p w14:paraId="61188768" w14:textId="6D263C3B" w:rsidR="00BC6B9B" w:rsidRPr="002045AE" w:rsidRDefault="00BC6B9B" w:rsidP="00BC6B9B">
            <w:r w:rsidRPr="002045AE">
              <w:t>The day-to</w:t>
            </w:r>
            <w:r w:rsidRPr="008A0BAC">
              <w:t>-day administration of WorkCover WA is delegated by the WorkCover WA Board</w:t>
            </w:r>
            <w:r w:rsidR="00A5158C">
              <w:t xml:space="preserve"> (the Board)</w:t>
            </w:r>
            <w:r w:rsidRPr="008A0BAC">
              <w:t xml:space="preserve"> to the Chief Executive Officer (CEO), who directs the Agency’s </w:t>
            </w:r>
            <w:r w:rsidRPr="002045AE">
              <w:t>operations.</w:t>
            </w:r>
          </w:p>
          <w:p w14:paraId="6F4C3AED" w14:textId="0ECCCAE6" w:rsidR="00D460C7" w:rsidRDefault="00BC6B9B" w:rsidP="005225AA">
            <w:r w:rsidRPr="002045AE">
              <w:t xml:space="preserve">Board responsibilities are </w:t>
            </w:r>
            <w:r w:rsidRPr="00063763">
              <w:t xml:space="preserve">outlined in </w:t>
            </w:r>
            <w:r w:rsidRPr="005B6DC0">
              <w:rPr>
                <w:i/>
              </w:rPr>
              <w:t xml:space="preserve">Section 5: Disclosures and legal compliance </w:t>
            </w:r>
            <w:r w:rsidRPr="005B6DC0">
              <w:t xml:space="preserve">on </w:t>
            </w:r>
            <w:r w:rsidRPr="005225AA">
              <w:t xml:space="preserve">page </w:t>
            </w:r>
            <w:r w:rsidR="005225AA" w:rsidRPr="005225AA">
              <w:t>120</w:t>
            </w:r>
            <w:r w:rsidRPr="005225AA">
              <w:t>.</w:t>
            </w:r>
          </w:p>
        </w:tc>
      </w:tr>
      <w:tr w:rsidR="00D460C7" w14:paraId="6C8B9C70" w14:textId="77777777" w:rsidTr="00553134">
        <w:trPr>
          <w:trHeight w:val="1797"/>
        </w:trPr>
        <w:tc>
          <w:tcPr>
            <w:tcW w:w="2977" w:type="dxa"/>
            <w:tcBorders>
              <w:top w:val="single" w:sz="4" w:space="0" w:color="9FBCD0"/>
              <w:left w:val="single" w:sz="4" w:space="0" w:color="9FBCD0"/>
              <w:bottom w:val="single" w:sz="4" w:space="0" w:color="9FBCD0"/>
              <w:right w:val="single" w:sz="4" w:space="0" w:color="9FBCD0"/>
            </w:tcBorders>
            <w:shd w:val="clear" w:color="auto" w:fill="CEDCE8"/>
            <w:tcMar>
              <w:top w:w="170" w:type="dxa"/>
              <w:left w:w="80" w:type="dxa"/>
              <w:bottom w:w="170" w:type="dxa"/>
              <w:right w:w="80" w:type="dxa"/>
            </w:tcMar>
            <w:vAlign w:val="center"/>
          </w:tcPr>
          <w:p w14:paraId="121AA4EF" w14:textId="77777777" w:rsidR="00D460C7" w:rsidRPr="00EA4C48" w:rsidRDefault="00D460C7" w:rsidP="00B459DB">
            <w:pPr>
              <w:rPr>
                <w:rStyle w:val="Strong"/>
              </w:rPr>
            </w:pPr>
            <w:r w:rsidRPr="00EA4C48">
              <w:rPr>
                <w:rStyle w:val="Strong"/>
              </w:rPr>
              <w:t>Agency funding</w:t>
            </w:r>
          </w:p>
        </w:tc>
        <w:tc>
          <w:tcPr>
            <w:tcW w:w="6180" w:type="dxa"/>
            <w:tcBorders>
              <w:top w:val="single" w:sz="4" w:space="0" w:color="9FBCD0"/>
              <w:left w:val="single" w:sz="4" w:space="0" w:color="9FBCD0"/>
              <w:bottom w:val="single" w:sz="4" w:space="0" w:color="9FBCD0"/>
              <w:right w:val="single" w:sz="4" w:space="0" w:color="9FBCD0"/>
            </w:tcBorders>
            <w:shd w:val="solid" w:color="FFFFFF" w:fill="auto"/>
            <w:tcMar>
              <w:top w:w="170" w:type="dxa"/>
              <w:left w:w="80" w:type="dxa"/>
              <w:bottom w:w="170" w:type="dxa"/>
              <w:right w:w="80" w:type="dxa"/>
            </w:tcMar>
            <w:vAlign w:val="center"/>
          </w:tcPr>
          <w:p w14:paraId="59CA1796" w14:textId="77777777" w:rsidR="00BC6B9B" w:rsidRPr="00EF2018" w:rsidRDefault="00BC6B9B" w:rsidP="00BC6B9B">
            <w:pPr>
              <w:rPr>
                <w:szCs w:val="22"/>
              </w:rPr>
            </w:pPr>
            <w:r w:rsidRPr="00EF2018">
              <w:rPr>
                <w:szCs w:val="22"/>
              </w:rPr>
              <w:t>Funding for the Agency’s activities is derived from:</w:t>
            </w:r>
          </w:p>
          <w:p w14:paraId="38F7AD3C" w14:textId="77777777" w:rsidR="00BC6B9B" w:rsidRPr="00BC6B9B" w:rsidRDefault="00BC6B9B" w:rsidP="00BC6B9B">
            <w:pPr>
              <w:pStyle w:val="BulletListLevel1"/>
            </w:pPr>
            <w:r w:rsidRPr="00BC6B9B">
              <w:t>insurer contributions in the form of an annual levy on workers’ compensation premiums paid by employers</w:t>
            </w:r>
          </w:p>
          <w:p w14:paraId="23361335" w14:textId="0725E089" w:rsidR="00D460C7" w:rsidRPr="00BC6B9B" w:rsidRDefault="00BC6B9B" w:rsidP="00BC6B9B">
            <w:pPr>
              <w:pStyle w:val="BulletListLevel1"/>
              <w:rPr>
                <w:rFonts w:eastAsiaTheme="minorHAnsi"/>
              </w:rPr>
            </w:pPr>
            <w:r w:rsidRPr="00BC6B9B">
              <w:t>a direct levy on employers who are approved by WorkCover WA to self-insure.</w:t>
            </w:r>
          </w:p>
        </w:tc>
      </w:tr>
      <w:tr w:rsidR="00D460C7" w14:paraId="4D14FD3F" w14:textId="77777777" w:rsidTr="00553134">
        <w:trPr>
          <w:trHeight w:val="1472"/>
        </w:trPr>
        <w:tc>
          <w:tcPr>
            <w:tcW w:w="2977" w:type="dxa"/>
            <w:tcBorders>
              <w:top w:val="single" w:sz="4" w:space="0" w:color="9FBCD0"/>
              <w:left w:val="single" w:sz="4" w:space="0" w:color="9FBCD0"/>
              <w:bottom w:val="single" w:sz="4" w:space="0" w:color="9FBCD0"/>
              <w:right w:val="single" w:sz="4" w:space="0" w:color="9FBCD0"/>
            </w:tcBorders>
            <w:shd w:val="clear" w:color="auto" w:fill="CEDCE8"/>
            <w:tcMar>
              <w:top w:w="170" w:type="dxa"/>
              <w:left w:w="80" w:type="dxa"/>
              <w:bottom w:w="170" w:type="dxa"/>
              <w:right w:w="80" w:type="dxa"/>
            </w:tcMar>
            <w:vAlign w:val="center"/>
          </w:tcPr>
          <w:p w14:paraId="5DA43D77" w14:textId="17297B27" w:rsidR="00D460C7" w:rsidRPr="00EA4C48" w:rsidRDefault="00D460C7" w:rsidP="00B459DB">
            <w:pPr>
              <w:rPr>
                <w:rStyle w:val="Strong"/>
              </w:rPr>
            </w:pPr>
            <w:r w:rsidRPr="00EA4C48">
              <w:rPr>
                <w:rStyle w:val="Strong"/>
              </w:rPr>
              <w:t>Organisational structure</w:t>
            </w:r>
          </w:p>
        </w:tc>
        <w:tc>
          <w:tcPr>
            <w:tcW w:w="6180" w:type="dxa"/>
            <w:tcBorders>
              <w:top w:val="single" w:sz="4" w:space="0" w:color="9FBCD0"/>
              <w:left w:val="single" w:sz="4" w:space="0" w:color="9FBCD0"/>
              <w:bottom w:val="single" w:sz="4" w:space="0" w:color="9FBCD0"/>
              <w:right w:val="single" w:sz="4" w:space="0" w:color="9FBCD0"/>
            </w:tcBorders>
            <w:shd w:val="solid" w:color="FFFFFF" w:fill="auto"/>
            <w:tcMar>
              <w:top w:w="170" w:type="dxa"/>
              <w:left w:w="80" w:type="dxa"/>
              <w:bottom w:w="170" w:type="dxa"/>
              <w:right w:w="80" w:type="dxa"/>
            </w:tcMar>
            <w:vAlign w:val="center"/>
          </w:tcPr>
          <w:p w14:paraId="00D6D779" w14:textId="69822787" w:rsidR="00D460C7" w:rsidRDefault="00BC6B9B" w:rsidP="00BC6B9B">
            <w:r>
              <w:t>WorkCover WA consists of three divisions as outlined in the following divisional descriptions and organisational chart.</w:t>
            </w:r>
          </w:p>
        </w:tc>
      </w:tr>
    </w:tbl>
    <w:p w14:paraId="07A10DCC" w14:textId="33992A5E" w:rsidR="001A7B2A" w:rsidRDefault="001A7B2A">
      <w:pPr>
        <w:keepLines w:val="0"/>
        <w:spacing w:after="0" w:line="240" w:lineRule="auto"/>
      </w:pPr>
    </w:p>
    <w:p w14:paraId="41BC59DB" w14:textId="3FE0B77D" w:rsidR="005A5F96" w:rsidRPr="00EB157E" w:rsidRDefault="005A5F96" w:rsidP="005A5F96">
      <w:pPr>
        <w:pStyle w:val="Heading2nonumber"/>
      </w:pPr>
      <w:bookmarkStart w:id="75" w:name="_Toc399316920"/>
      <w:bookmarkStart w:id="76" w:name="_Toc426617409"/>
      <w:bookmarkStart w:id="77" w:name="_Toc450900624"/>
      <w:bookmarkStart w:id="78" w:name="_Toc525121912"/>
      <w:bookmarkStart w:id="79" w:name="_Toc399316919"/>
      <w:bookmarkStart w:id="80" w:name="_Toc426617408"/>
      <w:bookmarkStart w:id="81" w:name="_Toc450900623"/>
      <w:r w:rsidRPr="00EB157E">
        <w:t>Divisions</w:t>
      </w:r>
      <w:bookmarkEnd w:id="75"/>
      <w:bookmarkEnd w:id="76"/>
      <w:bookmarkEnd w:id="77"/>
      <w:bookmarkEnd w:id="78"/>
    </w:p>
    <w:p w14:paraId="64FB0744" w14:textId="77777777" w:rsidR="0061351B" w:rsidRDefault="0061351B" w:rsidP="004930E9">
      <w:pPr>
        <w:pStyle w:val="Heading4"/>
        <w:ind w:left="0"/>
      </w:pPr>
      <w:r>
        <w:t>Scheme and Corporate Services</w:t>
      </w:r>
    </w:p>
    <w:p w14:paraId="0D52B9D0" w14:textId="596FFEE9" w:rsidR="0061351B" w:rsidRDefault="0061351B" w:rsidP="0061351B">
      <w:r>
        <w:t xml:space="preserve">In January 2018, WorkCover WA merged the Corporate Resources and Legislation and Scheme Information divisions to form Scheme and Corporate Services. The amalgamation of the divisions formed part of </w:t>
      </w:r>
      <w:r w:rsidR="00A25B45">
        <w:t xml:space="preserve">the </w:t>
      </w:r>
      <w:r w:rsidR="00BC53C9">
        <w:t>G</w:t>
      </w:r>
      <w:r w:rsidR="00A25B45">
        <w:t>overnment’s</w:t>
      </w:r>
      <w:r>
        <w:t xml:space="preserve"> commitment to deliver services in a more efficient and effective way. </w:t>
      </w:r>
    </w:p>
    <w:p w14:paraId="39AF0893" w14:textId="77777777" w:rsidR="0061351B" w:rsidRDefault="0061351B" w:rsidP="0061351B">
      <w:pPr>
        <w:tabs>
          <w:tab w:val="left" w:pos="3331"/>
        </w:tabs>
        <w:rPr>
          <w:rFonts w:eastAsiaTheme="minorHAnsi"/>
          <w:szCs w:val="22"/>
        </w:rPr>
      </w:pPr>
      <w:r>
        <w:rPr>
          <w:rFonts w:eastAsiaTheme="minorHAnsi"/>
          <w:szCs w:val="22"/>
        </w:rPr>
        <w:t>The Scheme and Corporate Services Division maintains scheme viability and effectiveness through:</w:t>
      </w:r>
    </w:p>
    <w:p w14:paraId="0AE8C918" w14:textId="0D289A18" w:rsidR="0061351B" w:rsidRDefault="0061351B" w:rsidP="0061351B">
      <w:pPr>
        <w:pStyle w:val="BulletListLevel1"/>
      </w:pPr>
      <w:r>
        <w:t>collection, quality assurance, analysis and reporting of data provided by insurers and self-insurers to assist in setting recommended premium rates and inform</w:t>
      </w:r>
      <w:r w:rsidR="00A25B45">
        <w:t>ing</w:t>
      </w:r>
      <w:r>
        <w:t xml:space="preserve"> effective scheme management </w:t>
      </w:r>
    </w:p>
    <w:p w14:paraId="1F776175" w14:textId="77777777" w:rsidR="0061351B" w:rsidRPr="00BC6B9B" w:rsidRDefault="0061351B" w:rsidP="0061351B">
      <w:pPr>
        <w:pStyle w:val="BulletListLevel1"/>
      </w:pPr>
      <w:r>
        <w:t>robust, evidence-based policy and legislation development.</w:t>
      </w:r>
    </w:p>
    <w:p w14:paraId="41E280C6" w14:textId="77777777" w:rsidR="0061351B" w:rsidRDefault="0061351B" w:rsidP="0061351B">
      <w:r>
        <w:t>The Division has a strategic focus on activities to assist the Board and Government to effectively manage the scheme.</w:t>
      </w:r>
    </w:p>
    <w:p w14:paraId="08BAC93E" w14:textId="35958BF7" w:rsidR="0061351B" w:rsidRPr="002A3BDF" w:rsidRDefault="0061351B" w:rsidP="0061351B">
      <w:r>
        <w:t>The Division</w:t>
      </w:r>
      <w:r w:rsidRPr="000E2F51">
        <w:t xml:space="preserve"> also</w:t>
      </w:r>
      <w:r>
        <w:t xml:space="preserve"> provides business services </w:t>
      </w:r>
      <w:r w:rsidR="00951D2F">
        <w:t>to</w:t>
      </w:r>
      <w:r>
        <w:t xml:space="preserve"> ensure human, </w:t>
      </w:r>
      <w:r w:rsidRPr="000E2F51">
        <w:t>financial</w:t>
      </w:r>
      <w:r>
        <w:t>, technological, informational</w:t>
      </w:r>
      <w:r w:rsidRPr="000E2F51">
        <w:t xml:space="preserve"> and physical resources are available to support </w:t>
      </w:r>
      <w:r>
        <w:t>WorkCover WA’s</w:t>
      </w:r>
      <w:r w:rsidRPr="000E2F51">
        <w:t xml:space="preserve"> operations.</w:t>
      </w:r>
    </w:p>
    <w:p w14:paraId="418884B3" w14:textId="77777777" w:rsidR="005A5F96" w:rsidRDefault="005A5F96" w:rsidP="004930E9">
      <w:pPr>
        <w:pStyle w:val="Heading4"/>
        <w:ind w:left="0"/>
      </w:pPr>
      <w:r>
        <w:t>Regulatory Services</w:t>
      </w:r>
    </w:p>
    <w:p w14:paraId="711BEE09" w14:textId="77777777" w:rsidR="00DD175B" w:rsidRPr="00461364" w:rsidRDefault="00DD175B" w:rsidP="00DD175B">
      <w:pPr>
        <w:rPr>
          <w:rFonts w:cs="Arial"/>
          <w:b/>
          <w:color w:val="FF0000"/>
          <w:szCs w:val="22"/>
        </w:rPr>
      </w:pPr>
      <w:r w:rsidRPr="00934264">
        <w:rPr>
          <w:lang w:val="en-US"/>
        </w:rPr>
        <w:t xml:space="preserve">The </w:t>
      </w:r>
      <w:r w:rsidRPr="00461364">
        <w:rPr>
          <w:szCs w:val="22"/>
          <w:lang w:val="en-US"/>
        </w:rPr>
        <w:t>Regulatory Services Division contributes to the integrity of the scheme by:</w:t>
      </w:r>
    </w:p>
    <w:p w14:paraId="5787C5F4" w14:textId="69AC4E4D" w:rsidR="00DD175B" w:rsidRPr="00DD175B" w:rsidRDefault="00DD175B" w:rsidP="00DD175B">
      <w:pPr>
        <w:pStyle w:val="BulletListLevel1"/>
        <w:rPr>
          <w:rFonts w:eastAsiaTheme="minorHAnsi"/>
        </w:rPr>
      </w:pPr>
      <w:r w:rsidRPr="00DD175B">
        <w:rPr>
          <w:rFonts w:eastAsiaTheme="minorHAnsi"/>
        </w:rPr>
        <w:t>educating and assisting stakeholders</w:t>
      </w:r>
      <w:r w:rsidR="00A25B45">
        <w:rPr>
          <w:rFonts w:eastAsiaTheme="minorHAnsi"/>
        </w:rPr>
        <w:t xml:space="preserve"> and service providers</w:t>
      </w:r>
      <w:r w:rsidRPr="00DD175B">
        <w:rPr>
          <w:rFonts w:eastAsiaTheme="minorHAnsi"/>
        </w:rPr>
        <w:t xml:space="preserve"> </w:t>
      </w:r>
    </w:p>
    <w:p w14:paraId="0EC2170E" w14:textId="61608BCA" w:rsidR="00DD175B" w:rsidRPr="00DD175B" w:rsidRDefault="00DD175B" w:rsidP="00DD175B">
      <w:pPr>
        <w:pStyle w:val="BulletListLevel1"/>
        <w:rPr>
          <w:rFonts w:eastAsiaTheme="minorHAnsi"/>
        </w:rPr>
      </w:pPr>
      <w:r w:rsidRPr="00DD175B">
        <w:rPr>
          <w:rFonts w:eastAsiaTheme="minorHAnsi"/>
        </w:rPr>
        <w:t xml:space="preserve">ensuring only </w:t>
      </w:r>
      <w:r w:rsidR="00BC53C9">
        <w:rPr>
          <w:rFonts w:eastAsiaTheme="minorHAnsi"/>
        </w:rPr>
        <w:t>appropriately qualified</w:t>
      </w:r>
      <w:r w:rsidRPr="00DD175B">
        <w:rPr>
          <w:rFonts w:eastAsiaTheme="minorHAnsi"/>
        </w:rPr>
        <w:t xml:space="preserve"> service providers operate in the scheme</w:t>
      </w:r>
    </w:p>
    <w:p w14:paraId="46FB3FC3" w14:textId="77777777" w:rsidR="00DD175B" w:rsidRPr="00DD175B" w:rsidRDefault="00DD175B" w:rsidP="00DD175B">
      <w:pPr>
        <w:pStyle w:val="BulletListLevel1"/>
        <w:rPr>
          <w:rFonts w:eastAsiaTheme="minorHAnsi"/>
        </w:rPr>
      </w:pPr>
      <w:r w:rsidRPr="00DD175B">
        <w:rPr>
          <w:rFonts w:eastAsiaTheme="minorHAnsi"/>
        </w:rPr>
        <w:t>establishing and monitoring performance standards for service providers</w:t>
      </w:r>
    </w:p>
    <w:p w14:paraId="70BA7236" w14:textId="2700A205" w:rsidR="00BC6B9B" w:rsidRDefault="00DD175B" w:rsidP="00BC6B9B">
      <w:pPr>
        <w:pStyle w:val="BulletListLevel1"/>
        <w:rPr>
          <w:rFonts w:eastAsiaTheme="minorHAnsi"/>
        </w:rPr>
      </w:pPr>
      <w:r w:rsidRPr="00DD175B">
        <w:rPr>
          <w:rFonts w:eastAsiaTheme="minorHAnsi"/>
        </w:rPr>
        <w:t xml:space="preserve">conducting compliance activities </w:t>
      </w:r>
      <w:r w:rsidR="00427B5A">
        <w:rPr>
          <w:rFonts w:eastAsiaTheme="minorHAnsi"/>
        </w:rPr>
        <w:t>to detect and respond to</w:t>
      </w:r>
      <w:r w:rsidRPr="00DD175B">
        <w:rPr>
          <w:rFonts w:eastAsiaTheme="minorHAnsi"/>
        </w:rPr>
        <w:t xml:space="preserve"> breaches of statutory obligations.</w:t>
      </w:r>
    </w:p>
    <w:p w14:paraId="0D258AF8" w14:textId="18FEA7FD" w:rsidR="008A6A81" w:rsidRPr="008A6A81" w:rsidRDefault="008A6A81" w:rsidP="008A6A81">
      <w:pPr>
        <w:pStyle w:val="BulletListLevel1"/>
        <w:numPr>
          <w:ilvl w:val="0"/>
          <w:numId w:val="0"/>
        </w:numPr>
        <w:rPr>
          <w:rFonts w:cs="Times New Roman"/>
          <w:bCs w:val="0"/>
        </w:rPr>
      </w:pPr>
      <w:r w:rsidRPr="008A6A81">
        <w:rPr>
          <w:rFonts w:cs="Times New Roman"/>
          <w:bCs w:val="0"/>
        </w:rPr>
        <w:t xml:space="preserve">Information about the recent structural changes to the Regulatory Services Division is available under ‘Structural changes’ on </w:t>
      </w:r>
      <w:r w:rsidRPr="005225AA">
        <w:rPr>
          <w:rFonts w:cs="Times New Roman"/>
          <w:bCs w:val="0"/>
        </w:rPr>
        <w:t xml:space="preserve">page </w:t>
      </w:r>
      <w:r w:rsidR="005225AA" w:rsidRPr="005225AA">
        <w:rPr>
          <w:rFonts w:cs="Times New Roman"/>
          <w:bCs w:val="0"/>
        </w:rPr>
        <w:t>56</w:t>
      </w:r>
      <w:r w:rsidRPr="008A6A81">
        <w:rPr>
          <w:rFonts w:cs="Times New Roman"/>
          <w:bCs w:val="0"/>
        </w:rPr>
        <w:t xml:space="preserve">. </w:t>
      </w:r>
    </w:p>
    <w:p w14:paraId="649EEBC8" w14:textId="77777777" w:rsidR="00090F58" w:rsidRDefault="00090F58" w:rsidP="004930E9">
      <w:pPr>
        <w:pStyle w:val="Heading4"/>
        <w:ind w:left="0"/>
      </w:pPr>
      <w:r>
        <w:t>Conciliation and Arbitration Services</w:t>
      </w:r>
    </w:p>
    <w:p w14:paraId="3FC838C3" w14:textId="77777777" w:rsidR="00090F58" w:rsidRPr="008B2487" w:rsidRDefault="00090F58" w:rsidP="00090F58">
      <w:pPr>
        <w:rPr>
          <w:szCs w:val="22"/>
        </w:rPr>
      </w:pPr>
      <w:r w:rsidRPr="008B2487">
        <w:rPr>
          <w:szCs w:val="22"/>
        </w:rPr>
        <w:t>The Conciliation and Arbitration Services</w:t>
      </w:r>
      <w:r w:rsidRPr="008B2487">
        <w:rPr>
          <w:color w:val="FF0000"/>
          <w:szCs w:val="22"/>
        </w:rPr>
        <w:t xml:space="preserve"> </w:t>
      </w:r>
      <w:r w:rsidRPr="008B2487">
        <w:rPr>
          <w:szCs w:val="22"/>
        </w:rPr>
        <w:t>Division is responsible for resolving disputes in the WA scheme. The Division includes the:</w:t>
      </w:r>
    </w:p>
    <w:p w14:paraId="7F367A43" w14:textId="64DB863A" w:rsidR="00090F58" w:rsidRPr="002A3BDF" w:rsidRDefault="00090F58" w:rsidP="00090F58">
      <w:pPr>
        <w:pStyle w:val="BulletListLevel1"/>
      </w:pPr>
      <w:r w:rsidRPr="002A3BDF">
        <w:t>Workers’ Compensation Conciliation Service where the objective is assisting parties to reso</w:t>
      </w:r>
      <w:r w:rsidR="00A25B45">
        <w:t>lve their disputes by agreement</w:t>
      </w:r>
    </w:p>
    <w:p w14:paraId="7C9F98CD" w14:textId="5411CA19" w:rsidR="00090F58" w:rsidRPr="00090F58" w:rsidRDefault="00090F58" w:rsidP="00090F58">
      <w:pPr>
        <w:pStyle w:val="BulletListLevel1"/>
      </w:pPr>
      <w:r w:rsidRPr="002A3BDF">
        <w:t>Workers’ Co</w:t>
      </w:r>
      <w:r w:rsidR="00A25B45">
        <w:t xml:space="preserve">mpensation Arbitration Service </w:t>
      </w:r>
      <w:r w:rsidRPr="002A3BDF">
        <w:t>where disputes unresolved by conciliation are determined according to their substantial merits, with as little formality and technicality as possible.</w:t>
      </w:r>
    </w:p>
    <w:p w14:paraId="489B04A7" w14:textId="77777777" w:rsidR="00282A90" w:rsidRDefault="00852CCA" w:rsidP="003A3559">
      <w:pPr>
        <w:pStyle w:val="Heading2nonumber"/>
      </w:pPr>
      <w:bookmarkStart w:id="82" w:name="_Toc525121913"/>
      <w:r w:rsidRPr="003A3559">
        <w:t xml:space="preserve">Organisational </w:t>
      </w:r>
      <w:bookmarkEnd w:id="79"/>
      <w:bookmarkEnd w:id="80"/>
      <w:bookmarkEnd w:id="81"/>
      <w:r w:rsidR="00206AC6">
        <w:t>chart</w:t>
      </w:r>
      <w:bookmarkEnd w:id="82"/>
      <w:r w:rsidR="00DF19F6" w:rsidRPr="003A3559">
        <w:t xml:space="preserve"> </w:t>
      </w:r>
    </w:p>
    <w:p w14:paraId="50AFB55F" w14:textId="7C73160C" w:rsidR="00206AC6" w:rsidRPr="009C12BF" w:rsidRDefault="000F5CCF" w:rsidP="00206AC6">
      <w:pPr>
        <w:pStyle w:val="Heading1nonumber"/>
        <w:rPr>
          <w:rFonts w:eastAsiaTheme="minorHAnsi"/>
          <w:noProof/>
          <w:lang w:eastAsia="en-AU"/>
        </w:rPr>
      </w:pPr>
      <w:bookmarkStart w:id="83" w:name="_Toc525121914"/>
      <w:bookmarkStart w:id="84" w:name="_Toc399316921"/>
      <w:bookmarkStart w:id="85" w:name="_Toc426617410"/>
      <w:r>
        <w:rPr>
          <w:rFonts w:eastAsiaTheme="minorHAnsi"/>
          <w:noProof/>
          <w:lang w:eastAsia="en-AU"/>
        </w:rPr>
        <w:drawing>
          <wp:inline distT="0" distB="0" distL="0" distR="0" wp14:anchorId="6621C3E4" wp14:editId="3EA8E676">
            <wp:extent cx="5731510" cy="4053205"/>
            <wp:effectExtent l="0" t="0" r="2540" b="4445"/>
            <wp:docPr id="9" name="Picture 9" descr="This is an image that outlines the structure of WorkCover WA and the three divisions - Conciliation and Arbitration Services, Scheme and Corporate Services and Regulatory Services. " title="Figure: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ual Report - EOFY - Bernard Underwood - Organisational chart 2017 1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r w:rsidR="00206AC6">
        <w:rPr>
          <w:rFonts w:eastAsiaTheme="minorHAnsi"/>
          <w:lang w:val="en-US"/>
        </w:rPr>
        <w:t>Leadership</w:t>
      </w:r>
      <w:bookmarkEnd w:id="83"/>
    </w:p>
    <w:p w14:paraId="637A26FC" w14:textId="26293CED" w:rsidR="00BC5F55" w:rsidRDefault="00616E8C" w:rsidP="006C17A6">
      <w:pPr>
        <w:pStyle w:val="Heading2nonumber"/>
      </w:pPr>
      <w:bookmarkStart w:id="86" w:name="_Toc450900625"/>
      <w:bookmarkStart w:id="87" w:name="_Toc525121915"/>
      <w:r>
        <w:t>WorkCover WA</w:t>
      </w:r>
      <w:r w:rsidR="004E712C" w:rsidRPr="006C17A6">
        <w:t xml:space="preserve"> </w:t>
      </w:r>
      <w:r w:rsidR="00BC5F55" w:rsidRPr="006C17A6">
        <w:t>Board</w:t>
      </w:r>
      <w:bookmarkEnd w:id="84"/>
      <w:bookmarkEnd w:id="85"/>
      <w:bookmarkEnd w:id="86"/>
      <w:bookmarkEnd w:id="87"/>
    </w:p>
    <w:p w14:paraId="5AAFF9D3" w14:textId="7BAC04A3" w:rsidR="003C02E3" w:rsidRPr="008A0BAC" w:rsidRDefault="00A5158C" w:rsidP="003C02E3">
      <w:pPr>
        <w:shd w:val="clear" w:color="auto" w:fill="FFFFFF" w:themeFill="background1"/>
        <w:spacing w:before="120" w:after="0"/>
        <w:rPr>
          <w:rFonts w:cs="Arial"/>
          <w:b/>
        </w:rPr>
      </w:pPr>
      <w:bookmarkStart w:id="88" w:name="_Toc450900626"/>
      <w:r>
        <w:t>The Board</w:t>
      </w:r>
      <w:r w:rsidR="003C02E3" w:rsidRPr="008A0BAC">
        <w:t xml:space="preserve"> is responsible for the governance of the Agency, the provision of independent advice to the Minister and the approval of service providers. The Act provides for the Board to operate under the name ‘WorkCover WA’.</w:t>
      </w:r>
      <w:r w:rsidR="003C02E3" w:rsidRPr="008A0BAC">
        <w:br/>
      </w:r>
    </w:p>
    <w:p w14:paraId="49DF605B" w14:textId="6973AD58" w:rsidR="00EB7902" w:rsidRDefault="003C02E3" w:rsidP="007A1AD4">
      <w:pPr>
        <w:keepLines w:val="0"/>
        <w:spacing w:after="200"/>
        <w:rPr>
          <w:b/>
        </w:rPr>
      </w:pPr>
      <w:r w:rsidRPr="008A0BAC">
        <w:t>The CEO, who is a member of the Board, directs the operations and day-to-day administration of WorkCover WA through the implementation of the Board’s strategic direction. The CEO and all other staff of WorkCover </w:t>
      </w:r>
      <w:r>
        <w:t>WA</w:t>
      </w:r>
      <w:r w:rsidRPr="00EB299A">
        <w:t xml:space="preserve"> are employed under the provisions of the </w:t>
      </w:r>
      <w:r w:rsidRPr="00EB299A">
        <w:rPr>
          <w:i/>
        </w:rPr>
        <w:t>Public Sector Management Act 1994</w:t>
      </w:r>
      <w:r w:rsidRPr="00EB299A">
        <w:t>.</w:t>
      </w:r>
      <w:r>
        <w:rPr>
          <w:b/>
        </w:rPr>
        <w:t xml:space="preserve"> </w:t>
      </w:r>
      <w:bookmarkEnd w:id="88"/>
    </w:p>
    <w:p w14:paraId="3B3FE276" w14:textId="11337799" w:rsidR="003C02E3" w:rsidRPr="00751BB3" w:rsidRDefault="003C02E3" w:rsidP="003C02E3">
      <w:pPr>
        <w:keepLines w:val="0"/>
        <w:spacing w:after="0" w:line="240" w:lineRule="auto"/>
        <w:rPr>
          <w:rStyle w:val="Emphasis"/>
          <w:b/>
          <w:i w:val="0"/>
          <w:iCs w:val="0"/>
        </w:rPr>
      </w:pPr>
      <w:r w:rsidRPr="00751BB3">
        <w:rPr>
          <w:b/>
        </w:rPr>
        <w:t xml:space="preserve">Chairman </w:t>
      </w:r>
      <w:r w:rsidRPr="00751BB3">
        <w:rPr>
          <w:rStyle w:val="Emphasis"/>
        </w:rPr>
        <w:t xml:space="preserve">– </w:t>
      </w:r>
      <w:r w:rsidRPr="00751BB3">
        <w:rPr>
          <w:rStyle w:val="Emphasis"/>
          <w:b/>
        </w:rPr>
        <w:t>Appointed by the Governor on the recommendation of the Minister</w:t>
      </w:r>
    </w:p>
    <w:p w14:paraId="1CDF9BBE" w14:textId="606A1EC2" w:rsidR="003C02E3" w:rsidRPr="00751BB3" w:rsidRDefault="003C02E3" w:rsidP="003C02E3">
      <w:r w:rsidRPr="00751BB3">
        <w:rPr>
          <w:rStyle w:val="Strong"/>
        </w:rPr>
        <w:br/>
        <w:t>Greg Joyce</w:t>
      </w:r>
      <w:r w:rsidRPr="00751BB3">
        <w:t xml:space="preserve"> has been a member and Chair of </w:t>
      </w:r>
      <w:r w:rsidR="00A5158C">
        <w:t>the</w:t>
      </w:r>
      <w:r w:rsidRPr="00751BB3">
        <w:t xml:space="preserve"> Board since 1 May 2005. </w:t>
      </w:r>
      <w:r w:rsidR="00A5158C">
        <w:br/>
      </w:r>
      <w:r w:rsidRPr="00751BB3">
        <w:t xml:space="preserve">Mr Joyce was reappointed for a further three year term from 4 January 2017. </w:t>
      </w:r>
      <w:r w:rsidR="00A5158C">
        <w:br/>
      </w:r>
      <w:r w:rsidRPr="00751BB3">
        <w:t xml:space="preserve">Mr Joyce was the Director General of the Department of Housing and Works from July 2001 until his retirement in January 2005. Mr Joyce has a law degree from the University of Western Australia and is qualified to practise as a barrister and solicitor in WA. </w:t>
      </w:r>
    </w:p>
    <w:p w14:paraId="6E10BA39" w14:textId="77777777" w:rsidR="003C02E3" w:rsidRPr="00751BB3" w:rsidRDefault="003C02E3" w:rsidP="003C02E3">
      <w:pPr>
        <w:rPr>
          <w:b/>
          <w:i/>
          <w:iCs/>
          <w:szCs w:val="26"/>
        </w:rPr>
      </w:pPr>
      <w:r w:rsidRPr="00751BB3">
        <w:rPr>
          <w:rStyle w:val="Emphasis"/>
          <w:b/>
          <w:szCs w:val="26"/>
        </w:rPr>
        <w:t>Member – Chief Executive Officer of WorkCover WA*</w:t>
      </w:r>
    </w:p>
    <w:p w14:paraId="26866ADE" w14:textId="57AD8429" w:rsidR="000257D5" w:rsidRPr="000257D5" w:rsidRDefault="000257D5" w:rsidP="000257D5">
      <w:r w:rsidRPr="00952C18">
        <w:rPr>
          <w:b/>
        </w:rPr>
        <w:t>Chris White</w:t>
      </w:r>
      <w:r>
        <w:t xml:space="preserve"> was appointed Acting CEO of WorkCover WA in January 2017. Mr White has more than 35 years’ experience in workers’ compensation and occupational safety and health policy in WA. Mr White has held senior policy and management roles at both WorkCover WA and WorkSafe WA. Mr White holds a Master of Arts (Public Policy) from Murdoch University.</w:t>
      </w:r>
    </w:p>
    <w:p w14:paraId="0DBE9494" w14:textId="77777777" w:rsidR="000257D5" w:rsidRPr="000257D5" w:rsidRDefault="000257D5" w:rsidP="000257D5">
      <w:r w:rsidRPr="000257D5">
        <w:rPr>
          <w:rStyle w:val="Strong"/>
        </w:rPr>
        <w:t>Michelle Reynolds</w:t>
      </w:r>
      <w:r w:rsidRPr="000257D5">
        <w:t xml:space="preserve"> was appointed CEO of WorkCover WA on 25 December 2008. Ms Reynolds has 31 years’ experience in the WA public sector, the past 16 years in senior executive roles, and has played a key role in shaping public sector management policy. Ms Reynolds has a Bachelor of Arts and a Masters of Business Administration from the University of Western Australia.</w:t>
      </w:r>
    </w:p>
    <w:p w14:paraId="6356A1A5" w14:textId="77777777" w:rsidR="000257D5" w:rsidRPr="00751BB3" w:rsidRDefault="000257D5" w:rsidP="000257D5">
      <w:pPr>
        <w:rPr>
          <w:i/>
          <w:lang w:val="en-US"/>
        </w:rPr>
      </w:pPr>
      <w:r w:rsidRPr="000257D5">
        <w:rPr>
          <w:i/>
        </w:rPr>
        <w:t xml:space="preserve">*Ms Reynolds was seconded to the Rottnest Island Authority in January 2017. </w:t>
      </w:r>
    </w:p>
    <w:p w14:paraId="1D7E92C1" w14:textId="77777777" w:rsidR="003C02E3" w:rsidRPr="00751BB3" w:rsidRDefault="003C02E3" w:rsidP="003C02E3">
      <w:pPr>
        <w:rPr>
          <w:rStyle w:val="Emphasis"/>
          <w:b/>
          <w:i w:val="0"/>
          <w:iCs w:val="0"/>
        </w:rPr>
      </w:pPr>
      <w:r w:rsidRPr="00751BB3">
        <w:rPr>
          <w:rStyle w:val="Emphasis"/>
          <w:b/>
        </w:rPr>
        <w:t>Member – Chief Executive Officer of the Department of the Public Service of the State principally assisting the Minister charged with the administration of the Occupational Safety and Health Act 1984</w:t>
      </w:r>
    </w:p>
    <w:p w14:paraId="78B61B65" w14:textId="43FF645C" w:rsidR="003C02E3" w:rsidRDefault="003C02E3" w:rsidP="007A1AD4">
      <w:pPr>
        <w:keepLines w:val="0"/>
        <w:spacing w:after="200"/>
      </w:pPr>
      <w:r w:rsidRPr="003C02E3">
        <w:rPr>
          <w:b/>
        </w:rPr>
        <w:t>David Smith</w:t>
      </w:r>
      <w:r>
        <w:t xml:space="preserve"> is the Director General of the Department of Mines, Industry Regulation and Safety. </w:t>
      </w:r>
      <w:r w:rsidR="00547CCD">
        <w:t>Mr Smith has held senior positions in the Department of the Premier and Cabinet and the Department of Treasury. Mr Smith also has 21 years of experience in the Commonwealth public service, including the Department of the Prime Minister and Cabinet and an overseas posting with the Department of Foreign Affairs and Trade.</w:t>
      </w:r>
    </w:p>
    <w:p w14:paraId="0B88AD59" w14:textId="77777777" w:rsidR="00241775" w:rsidRDefault="00241775">
      <w:pPr>
        <w:keepLines w:val="0"/>
        <w:spacing w:after="0" w:line="240" w:lineRule="auto"/>
        <w:rPr>
          <w:rStyle w:val="Emphasis"/>
          <w:rFonts w:eastAsiaTheme="minorHAnsi"/>
          <w:b/>
          <w:szCs w:val="26"/>
        </w:rPr>
      </w:pPr>
      <w:r>
        <w:rPr>
          <w:rStyle w:val="Emphasis"/>
          <w:rFonts w:eastAsiaTheme="minorHAnsi"/>
          <w:b/>
          <w:szCs w:val="26"/>
        </w:rPr>
        <w:br w:type="page"/>
      </w:r>
    </w:p>
    <w:p w14:paraId="1528DC51" w14:textId="7E7FE532" w:rsidR="00547CCD" w:rsidRPr="00751BB3" w:rsidRDefault="00547CCD" w:rsidP="00547CCD">
      <w:pPr>
        <w:rPr>
          <w:rStyle w:val="Emphasis"/>
          <w:rFonts w:eastAsiaTheme="minorHAnsi"/>
          <w:b/>
          <w:i w:val="0"/>
          <w:szCs w:val="26"/>
        </w:rPr>
      </w:pPr>
      <w:r w:rsidRPr="00751BB3">
        <w:rPr>
          <w:rStyle w:val="Emphasis"/>
          <w:rFonts w:eastAsiaTheme="minorHAnsi"/>
          <w:b/>
          <w:szCs w:val="26"/>
        </w:rPr>
        <w:t>Member – Experienced in employers' interests</w:t>
      </w:r>
    </w:p>
    <w:p w14:paraId="5B98D256" w14:textId="7A5324D9" w:rsidR="00547CCD" w:rsidRPr="00751BB3" w:rsidRDefault="00547CCD" w:rsidP="00547CCD">
      <w:pPr>
        <w:rPr>
          <w:rStyle w:val="Emphasis"/>
          <w:b/>
          <w:i w:val="0"/>
          <w:szCs w:val="26"/>
        </w:rPr>
      </w:pPr>
      <w:r w:rsidRPr="00751BB3">
        <w:rPr>
          <w:b/>
          <w:bCs/>
          <w:lang w:eastAsia="en-AU"/>
        </w:rPr>
        <w:t>Warren Edwardes</w:t>
      </w:r>
      <w:r w:rsidRPr="00751BB3">
        <w:rPr>
          <w:lang w:eastAsia="en-AU"/>
        </w:rPr>
        <w:t xml:space="preserve"> is the General Manager Workplace Consulting at the Chamber of Commerce and Industry WA. Mr Edwardes was appointed to the WorkCover WA Board on 30 December 2015 for a three year term. Mr Edwardes is a qualified solicitor and is the Director of the Chamber’s law firm, Business Law WA.</w:t>
      </w:r>
      <w:r w:rsidRPr="00751BB3">
        <w:rPr>
          <w:rStyle w:val="Emphasis"/>
          <w:b/>
          <w:szCs w:val="26"/>
        </w:rPr>
        <w:t xml:space="preserve"> </w:t>
      </w:r>
    </w:p>
    <w:p w14:paraId="5ABA9983" w14:textId="727A3167" w:rsidR="00547CCD" w:rsidRPr="00751BB3" w:rsidRDefault="00547CCD" w:rsidP="00547CCD">
      <w:pPr>
        <w:keepLines w:val="0"/>
        <w:spacing w:after="0" w:line="240" w:lineRule="auto"/>
        <w:rPr>
          <w:rStyle w:val="Emphasis"/>
          <w:b/>
          <w:i w:val="0"/>
          <w:szCs w:val="26"/>
        </w:rPr>
      </w:pPr>
      <w:r w:rsidRPr="00751BB3">
        <w:rPr>
          <w:rStyle w:val="Emphasis"/>
          <w:b/>
          <w:szCs w:val="26"/>
        </w:rPr>
        <w:t>Member – Experienced in insurance matters</w:t>
      </w:r>
      <w:r>
        <w:rPr>
          <w:rStyle w:val="Emphasis"/>
          <w:b/>
          <w:szCs w:val="26"/>
        </w:rPr>
        <w:br/>
      </w:r>
    </w:p>
    <w:p w14:paraId="43A02A0E" w14:textId="16196565" w:rsidR="00547CCD" w:rsidRPr="00751BB3" w:rsidRDefault="00547CCD" w:rsidP="00547CCD">
      <w:pPr>
        <w:rPr>
          <w:lang w:eastAsia="en-AU"/>
        </w:rPr>
      </w:pPr>
      <w:r w:rsidRPr="00751BB3">
        <w:rPr>
          <w:b/>
          <w:bCs/>
          <w:lang w:eastAsia="en-AU"/>
        </w:rPr>
        <w:t>Steven Burns</w:t>
      </w:r>
      <w:r w:rsidRPr="00751BB3">
        <w:rPr>
          <w:lang w:eastAsia="en-AU"/>
        </w:rPr>
        <w:t xml:space="preserve"> has been a member of the WorkCover WA Board since 1 October 2013 and was reappointed on 1 October 2016 for a three </w:t>
      </w:r>
      <w:r>
        <w:rPr>
          <w:lang w:eastAsia="en-AU"/>
        </w:rPr>
        <w:t>year term. Mr Burns has had a 25</w:t>
      </w:r>
      <w:r w:rsidRPr="00751BB3">
        <w:rPr>
          <w:lang w:eastAsia="en-AU"/>
        </w:rPr>
        <w:t xml:space="preserve"> year career in the insurance and injury management industries, including general management and product management responsibility in </w:t>
      </w:r>
      <w:r w:rsidR="00DD4BB8">
        <w:rPr>
          <w:lang w:eastAsia="en-AU"/>
        </w:rPr>
        <w:t xml:space="preserve">South Australia, </w:t>
      </w:r>
      <w:r w:rsidRPr="00751BB3">
        <w:rPr>
          <w:lang w:eastAsia="en-AU"/>
        </w:rPr>
        <w:t>Tasmania, Northern Territory, W</w:t>
      </w:r>
      <w:r w:rsidR="00DD4BB8">
        <w:rPr>
          <w:lang w:eastAsia="en-AU"/>
        </w:rPr>
        <w:t xml:space="preserve">estern </w:t>
      </w:r>
      <w:r w:rsidRPr="00751BB3">
        <w:rPr>
          <w:lang w:eastAsia="en-AU"/>
        </w:rPr>
        <w:t>A</w:t>
      </w:r>
      <w:r w:rsidR="00DD4BB8">
        <w:rPr>
          <w:lang w:eastAsia="en-AU"/>
        </w:rPr>
        <w:t>ustralia</w:t>
      </w:r>
      <w:r w:rsidRPr="00751BB3">
        <w:rPr>
          <w:lang w:eastAsia="en-AU"/>
        </w:rPr>
        <w:t xml:space="preserve">, </w:t>
      </w:r>
      <w:r w:rsidRPr="00751BB3">
        <w:rPr>
          <w:rFonts w:cs="Arial"/>
        </w:rPr>
        <w:t xml:space="preserve">Australian Capital Territory </w:t>
      </w:r>
      <w:r w:rsidRPr="00751BB3">
        <w:rPr>
          <w:lang w:eastAsia="en-AU"/>
        </w:rPr>
        <w:t>and New Zealand.</w:t>
      </w:r>
      <w:r w:rsidR="00DD4BB8">
        <w:rPr>
          <w:lang w:eastAsia="en-AU"/>
        </w:rPr>
        <w:t xml:space="preserve"> Mr Burns has held leadership roles in a range of other sectors including mining, aquaculture, and wines and spirits. </w:t>
      </w:r>
    </w:p>
    <w:p w14:paraId="75F90803" w14:textId="77777777" w:rsidR="00547CCD" w:rsidRPr="00751BB3" w:rsidRDefault="00547CCD" w:rsidP="00547CCD">
      <w:pPr>
        <w:rPr>
          <w:rStyle w:val="Emphasis"/>
          <w:b/>
          <w:i w:val="0"/>
          <w:szCs w:val="26"/>
        </w:rPr>
      </w:pPr>
      <w:r w:rsidRPr="00751BB3">
        <w:rPr>
          <w:rStyle w:val="Emphasis"/>
          <w:b/>
          <w:szCs w:val="26"/>
        </w:rPr>
        <w:t>Member – Experienced in workers' interests</w:t>
      </w:r>
    </w:p>
    <w:p w14:paraId="6DB5537F" w14:textId="77777777" w:rsidR="00547CCD" w:rsidRPr="00751BB3" w:rsidRDefault="00547CCD" w:rsidP="00547CCD">
      <w:pPr>
        <w:keepLines w:val="0"/>
        <w:spacing w:after="200"/>
      </w:pPr>
      <w:r w:rsidRPr="00751BB3">
        <w:rPr>
          <w:b/>
        </w:rPr>
        <w:t>Owen Whittle</w:t>
      </w:r>
      <w:r w:rsidRPr="00751BB3">
        <w:t xml:space="preserve"> has been a member of the WorkCover WA Board since 4 January 2014 and was</w:t>
      </w:r>
      <w:r>
        <w:t xml:space="preserve"> reappointed on 30 December 2017</w:t>
      </w:r>
      <w:r w:rsidRPr="00751BB3">
        <w:t xml:space="preserve"> for a three year term. Mr Whittle is the Assistant Secretary of UnionsWA, with responsibility for workers’ compensation and occupational health and safety matters. Mr Whittle was previously employed by the Australian Manufacturing Workers’ Union and is a member of the ACTU’s Occupational Health and Safety Committee.</w:t>
      </w:r>
    </w:p>
    <w:p w14:paraId="60512B71" w14:textId="77777777" w:rsidR="00547CCD" w:rsidRPr="00751BB3" w:rsidRDefault="00547CCD" w:rsidP="00547CCD">
      <w:pPr>
        <w:rPr>
          <w:b/>
          <w:i/>
          <w:iCs/>
          <w:szCs w:val="26"/>
        </w:rPr>
      </w:pPr>
      <w:r w:rsidRPr="00751BB3">
        <w:rPr>
          <w:rStyle w:val="Emphasis"/>
          <w:b/>
          <w:szCs w:val="26"/>
        </w:rPr>
        <w:t>Member – Experienced in accounting and financial management</w:t>
      </w:r>
    </w:p>
    <w:p w14:paraId="55A886BD" w14:textId="549B86F0" w:rsidR="00547CCD" w:rsidRPr="003C78EF" w:rsidRDefault="00547CCD" w:rsidP="00547CCD">
      <w:pPr>
        <w:rPr>
          <w:lang w:val="en-US"/>
        </w:rPr>
      </w:pPr>
      <w:r w:rsidRPr="00751BB3">
        <w:rPr>
          <w:rStyle w:val="Strong"/>
          <w:lang w:val="en-US"/>
        </w:rPr>
        <w:t>Victoria Wilmot</w:t>
      </w:r>
      <w:r w:rsidRPr="00751BB3">
        <w:rPr>
          <w:lang w:val="en-US"/>
        </w:rPr>
        <w:t xml:space="preserve"> has been a member of the WorkCover WA Board since 4 January 2005 and was reappointed on 4 January 2017 for a three year term. </w:t>
      </w:r>
      <w:r w:rsidR="005B6DC0">
        <w:rPr>
          <w:lang w:val="en-US"/>
        </w:rPr>
        <w:br/>
      </w:r>
      <w:r w:rsidR="007F2611">
        <w:rPr>
          <w:lang w:val="en-US"/>
        </w:rPr>
        <w:t>Ms Wilmot</w:t>
      </w:r>
      <w:r w:rsidRPr="00751BB3">
        <w:rPr>
          <w:lang w:val="en-US"/>
        </w:rPr>
        <w:t xml:space="preserve"> previously had a 2</w:t>
      </w:r>
      <w:r w:rsidR="00DD4BB8">
        <w:rPr>
          <w:lang w:val="en-US"/>
        </w:rPr>
        <w:t>5</w:t>
      </w:r>
      <w:r w:rsidRPr="00751BB3">
        <w:rPr>
          <w:lang w:val="en-US"/>
        </w:rPr>
        <w:t xml:space="preserve"> year career at the University of Western Australia where she held various roles including Business Manager Finance and Resources, Associate Director Treasury and Investments, and the Deputy Director Financial Services. Ms Wilmot is a member of the Institute of Chartered Accountants</w:t>
      </w:r>
      <w:r w:rsidR="00E74F28">
        <w:rPr>
          <w:lang w:val="en-US"/>
        </w:rPr>
        <w:t xml:space="preserve"> Australia and New Zealand</w:t>
      </w:r>
      <w:r w:rsidRPr="00751BB3">
        <w:rPr>
          <w:lang w:val="en-US"/>
        </w:rPr>
        <w:t xml:space="preserve"> (CA</w:t>
      </w:r>
      <w:r w:rsidR="00E74F28">
        <w:rPr>
          <w:lang w:val="en-US"/>
        </w:rPr>
        <w:t>ANZ</w:t>
      </w:r>
      <w:r w:rsidRPr="00751BB3">
        <w:rPr>
          <w:lang w:val="en-US"/>
        </w:rPr>
        <w:t>), a Fellow of the Financial Services Institute of Australasia and a Graduate of the Australian Institute of Company Directors.</w:t>
      </w:r>
    </w:p>
    <w:tbl>
      <w:tblPr>
        <w:tblStyle w:val="TableGrid"/>
        <w:tblW w:w="0" w:type="auto"/>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7: Board meeting attendance "/>
        <w:tblDescription w:val="This table outlines the number of Board meetings members were eligible to attend and actually attended in 2017/18. "/>
      </w:tblPr>
      <w:tblGrid>
        <w:gridCol w:w="3007"/>
        <w:gridCol w:w="3007"/>
        <w:gridCol w:w="3007"/>
      </w:tblGrid>
      <w:tr w:rsidR="00B459DB" w:rsidRPr="00950991" w14:paraId="192987CE" w14:textId="77777777" w:rsidTr="00553134">
        <w:trPr>
          <w:tblHeader/>
        </w:trPr>
        <w:tc>
          <w:tcPr>
            <w:tcW w:w="9021" w:type="dxa"/>
            <w:gridSpan w:val="3"/>
            <w:tcBorders>
              <w:left w:val="single" w:sz="4" w:space="0" w:color="9FBCD0"/>
            </w:tcBorders>
            <w:shd w:val="clear" w:color="auto" w:fill="003F5F"/>
          </w:tcPr>
          <w:p w14:paraId="33B09AA5" w14:textId="254E377F" w:rsidR="00B459DB" w:rsidRPr="00025B33" w:rsidRDefault="00B61DA7" w:rsidP="00E870C3">
            <w:pPr>
              <w:rPr>
                <w:rStyle w:val="Strong"/>
              </w:rPr>
            </w:pPr>
            <w:r w:rsidRPr="008A0BAC">
              <w:rPr>
                <w:rStyle w:val="Strong"/>
                <w:color w:val="FFFFFF" w:themeColor="background1"/>
              </w:rPr>
              <w:t xml:space="preserve">Table </w:t>
            </w:r>
            <w:r w:rsidR="00E870C3" w:rsidRPr="008A0BAC">
              <w:rPr>
                <w:rStyle w:val="Strong"/>
                <w:color w:val="FFFFFF" w:themeColor="background1"/>
              </w:rPr>
              <w:t>7</w:t>
            </w:r>
            <w:r w:rsidR="00B459DB" w:rsidRPr="008A0BAC">
              <w:rPr>
                <w:rStyle w:val="Strong"/>
                <w:color w:val="FFFFFF" w:themeColor="background1"/>
              </w:rPr>
              <w:t xml:space="preserve">: </w:t>
            </w:r>
            <w:r w:rsidR="00B459DB" w:rsidRPr="003C02E3">
              <w:rPr>
                <w:rStyle w:val="Strong"/>
                <w:color w:val="FFFFFF" w:themeColor="background1"/>
              </w:rPr>
              <w:t xml:space="preserve">Board meeting attendance </w:t>
            </w:r>
          </w:p>
        </w:tc>
      </w:tr>
      <w:tr w:rsidR="00B459DB" w:rsidRPr="00950991" w14:paraId="7004B5F0" w14:textId="77777777" w:rsidTr="00553134">
        <w:trPr>
          <w:trHeight w:val="707"/>
        </w:trPr>
        <w:tc>
          <w:tcPr>
            <w:tcW w:w="3007" w:type="dxa"/>
            <w:tcBorders>
              <w:left w:val="single" w:sz="4" w:space="0" w:color="9FBCD0"/>
              <w:bottom w:val="single" w:sz="4" w:space="0" w:color="9FBCD0"/>
              <w:right w:val="single" w:sz="4" w:space="0" w:color="9FBCD0"/>
            </w:tcBorders>
            <w:shd w:val="clear" w:color="auto" w:fill="CEDCE8"/>
            <w:vAlign w:val="center"/>
          </w:tcPr>
          <w:p w14:paraId="694BB7D6" w14:textId="77777777" w:rsidR="00B459DB" w:rsidRPr="00025B33" w:rsidRDefault="00B459DB" w:rsidP="005611A3">
            <w:pPr>
              <w:rPr>
                <w:rStyle w:val="Strong"/>
              </w:rPr>
            </w:pPr>
            <w:r w:rsidRPr="00025B33">
              <w:rPr>
                <w:rStyle w:val="Strong"/>
              </w:rPr>
              <w:t>Member</w:t>
            </w:r>
          </w:p>
        </w:tc>
        <w:tc>
          <w:tcPr>
            <w:tcW w:w="3007" w:type="dxa"/>
            <w:tcBorders>
              <w:left w:val="single" w:sz="4" w:space="0" w:color="9FBCD0"/>
              <w:bottom w:val="single" w:sz="4" w:space="0" w:color="9FBCD0"/>
              <w:right w:val="single" w:sz="4" w:space="0" w:color="9FBCD0"/>
            </w:tcBorders>
            <w:shd w:val="clear" w:color="auto" w:fill="CEDCE8"/>
            <w:vAlign w:val="center"/>
          </w:tcPr>
          <w:p w14:paraId="18D869F5" w14:textId="77777777" w:rsidR="00B459DB" w:rsidRPr="00025B33" w:rsidRDefault="00B459DB" w:rsidP="005611A3">
            <w:pPr>
              <w:rPr>
                <w:rStyle w:val="Strong"/>
              </w:rPr>
            </w:pPr>
            <w:r w:rsidRPr="00025B33">
              <w:rPr>
                <w:rStyle w:val="Strong"/>
              </w:rPr>
              <w:t>Number of meetings eligible to attend</w:t>
            </w:r>
          </w:p>
        </w:tc>
        <w:tc>
          <w:tcPr>
            <w:tcW w:w="3007" w:type="dxa"/>
            <w:tcBorders>
              <w:left w:val="single" w:sz="4" w:space="0" w:color="9FBCD0"/>
              <w:bottom w:val="single" w:sz="4" w:space="0" w:color="9FBCD0"/>
              <w:right w:val="single" w:sz="4" w:space="0" w:color="9FBCD0"/>
            </w:tcBorders>
            <w:shd w:val="clear" w:color="auto" w:fill="CEDCE8"/>
            <w:vAlign w:val="center"/>
          </w:tcPr>
          <w:p w14:paraId="41658DFB" w14:textId="77777777" w:rsidR="00B459DB" w:rsidRPr="003150CD" w:rsidRDefault="00B459DB" w:rsidP="005611A3">
            <w:pPr>
              <w:rPr>
                <w:rStyle w:val="Strong"/>
                <w:highlight w:val="yellow"/>
              </w:rPr>
            </w:pPr>
            <w:r w:rsidRPr="003150CD">
              <w:rPr>
                <w:rStyle w:val="Strong"/>
              </w:rPr>
              <w:t>Number of meetings attended</w:t>
            </w:r>
          </w:p>
        </w:tc>
      </w:tr>
      <w:tr w:rsidR="00B459DB" w:rsidRPr="00950991" w14:paraId="04A62D83"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FC4BDA2" w14:textId="40C6D5A0" w:rsidR="00B459DB" w:rsidRPr="003150CD" w:rsidRDefault="00547CCD" w:rsidP="005611A3">
            <w:r>
              <w:t>Greg Joyce</w:t>
            </w:r>
          </w:p>
        </w:tc>
        <w:tc>
          <w:tcPr>
            <w:tcW w:w="3007" w:type="dxa"/>
            <w:tcBorders>
              <w:top w:val="single" w:sz="4" w:space="0" w:color="9FBCD0"/>
              <w:left w:val="single" w:sz="4" w:space="0" w:color="9FBCD0"/>
              <w:bottom w:val="single" w:sz="4" w:space="0" w:color="9FBCD0"/>
              <w:right w:val="single" w:sz="4" w:space="0" w:color="9FBCD0"/>
            </w:tcBorders>
            <w:vAlign w:val="center"/>
          </w:tcPr>
          <w:p w14:paraId="39ABDD06" w14:textId="03F25ECF" w:rsidR="00B459DB" w:rsidRPr="0089655C"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114AFBAF" w14:textId="49A94102" w:rsidR="00B459DB" w:rsidRPr="003C78EF" w:rsidRDefault="00DD4BB8" w:rsidP="005611A3">
            <w:pPr>
              <w:jc w:val="right"/>
              <w:rPr>
                <w:lang w:val="en-US"/>
              </w:rPr>
            </w:pPr>
            <w:r w:rsidRPr="003C78EF">
              <w:rPr>
                <w:lang w:val="en-US"/>
              </w:rPr>
              <w:t>8</w:t>
            </w:r>
          </w:p>
        </w:tc>
      </w:tr>
      <w:tr w:rsidR="00B459DB" w:rsidRPr="00950991" w14:paraId="09C43508"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62CB242" w14:textId="07AAA0C3" w:rsidR="00B459DB" w:rsidRPr="003150CD" w:rsidRDefault="00547CCD" w:rsidP="005611A3">
            <w:r>
              <w:t>Chris White</w:t>
            </w:r>
          </w:p>
        </w:tc>
        <w:tc>
          <w:tcPr>
            <w:tcW w:w="3007" w:type="dxa"/>
            <w:tcBorders>
              <w:top w:val="single" w:sz="4" w:space="0" w:color="9FBCD0"/>
              <w:left w:val="single" w:sz="4" w:space="0" w:color="9FBCD0"/>
              <w:bottom w:val="single" w:sz="4" w:space="0" w:color="9FBCD0"/>
              <w:right w:val="single" w:sz="4" w:space="0" w:color="9FBCD0"/>
            </w:tcBorders>
            <w:vAlign w:val="center"/>
          </w:tcPr>
          <w:p w14:paraId="2BBF8C9B" w14:textId="0865A252" w:rsidR="00B459DB" w:rsidRPr="0089655C"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6E81EF3F" w14:textId="25514D14" w:rsidR="00B459DB" w:rsidRPr="003C78EF" w:rsidRDefault="00DD4BB8" w:rsidP="005611A3">
            <w:pPr>
              <w:jc w:val="right"/>
              <w:rPr>
                <w:lang w:val="en-US"/>
              </w:rPr>
            </w:pPr>
            <w:r w:rsidRPr="003C78EF">
              <w:rPr>
                <w:lang w:val="en-US"/>
              </w:rPr>
              <w:t>8</w:t>
            </w:r>
          </w:p>
        </w:tc>
      </w:tr>
      <w:tr w:rsidR="00B459DB" w:rsidRPr="00950991" w14:paraId="19A4ADB7"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733322C" w14:textId="34974629" w:rsidR="00B459DB" w:rsidRPr="003150CD" w:rsidRDefault="00547CCD" w:rsidP="005611A3">
            <w:r>
              <w:t>David Smith</w:t>
            </w:r>
          </w:p>
        </w:tc>
        <w:tc>
          <w:tcPr>
            <w:tcW w:w="3007" w:type="dxa"/>
            <w:tcBorders>
              <w:top w:val="single" w:sz="4" w:space="0" w:color="9FBCD0"/>
              <w:left w:val="single" w:sz="4" w:space="0" w:color="9FBCD0"/>
              <w:bottom w:val="single" w:sz="4" w:space="0" w:color="9FBCD0"/>
              <w:right w:val="single" w:sz="4" w:space="0" w:color="9FBCD0"/>
            </w:tcBorders>
            <w:vAlign w:val="center"/>
          </w:tcPr>
          <w:p w14:paraId="121899A7" w14:textId="37FD0B1F" w:rsidR="00B459DB" w:rsidRPr="0089655C"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54CB6313" w14:textId="6DDC7DB9" w:rsidR="00B459DB" w:rsidRPr="003C78EF" w:rsidRDefault="00AE04B4" w:rsidP="005611A3">
            <w:pPr>
              <w:jc w:val="right"/>
              <w:rPr>
                <w:lang w:val="en-US"/>
              </w:rPr>
            </w:pPr>
            <w:r>
              <w:rPr>
                <w:lang w:val="en-US"/>
              </w:rPr>
              <w:t>6</w:t>
            </w:r>
          </w:p>
        </w:tc>
      </w:tr>
      <w:tr w:rsidR="00B459DB" w:rsidRPr="00950991" w14:paraId="161AEB60"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DA908D7" w14:textId="64EFE149" w:rsidR="00B459DB" w:rsidRPr="003150CD" w:rsidRDefault="00547CCD" w:rsidP="005611A3">
            <w:pPr>
              <w:pStyle w:val="BulletListLevel1"/>
              <w:numPr>
                <w:ilvl w:val="0"/>
                <w:numId w:val="0"/>
              </w:numPr>
            </w:pPr>
            <w:r>
              <w:t>Warren Edwardes</w:t>
            </w:r>
          </w:p>
        </w:tc>
        <w:tc>
          <w:tcPr>
            <w:tcW w:w="3007" w:type="dxa"/>
            <w:tcBorders>
              <w:top w:val="single" w:sz="4" w:space="0" w:color="9FBCD0"/>
              <w:left w:val="single" w:sz="4" w:space="0" w:color="9FBCD0"/>
              <w:bottom w:val="single" w:sz="4" w:space="0" w:color="9FBCD0"/>
              <w:right w:val="single" w:sz="4" w:space="0" w:color="9FBCD0"/>
            </w:tcBorders>
            <w:vAlign w:val="center"/>
          </w:tcPr>
          <w:p w14:paraId="38C50542" w14:textId="61A29FEF" w:rsidR="00B459DB" w:rsidRPr="0089655C"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7967970E" w14:textId="12D392B4" w:rsidR="00B459DB" w:rsidRPr="003C78EF" w:rsidRDefault="00DD4BB8" w:rsidP="005611A3">
            <w:pPr>
              <w:jc w:val="right"/>
              <w:rPr>
                <w:lang w:val="en-US"/>
              </w:rPr>
            </w:pPr>
            <w:r w:rsidRPr="003C78EF">
              <w:rPr>
                <w:lang w:val="en-US"/>
              </w:rPr>
              <w:t>8</w:t>
            </w:r>
          </w:p>
        </w:tc>
      </w:tr>
      <w:tr w:rsidR="00547CCD" w:rsidRPr="00950991" w14:paraId="3E06C6C1" w14:textId="77777777" w:rsidTr="00553134">
        <w:tc>
          <w:tcPr>
            <w:tcW w:w="3007" w:type="dxa"/>
            <w:tcBorders>
              <w:top w:val="single" w:sz="4" w:space="0" w:color="9FBCD0"/>
              <w:left w:val="single" w:sz="4" w:space="0" w:color="9FBCD0"/>
              <w:right w:val="single" w:sz="4" w:space="0" w:color="9FBCD0"/>
            </w:tcBorders>
            <w:shd w:val="clear" w:color="auto" w:fill="CEDCE8"/>
            <w:vAlign w:val="center"/>
          </w:tcPr>
          <w:p w14:paraId="3BC88E7D" w14:textId="6316F9AB" w:rsidR="00547CCD" w:rsidRDefault="00547CCD" w:rsidP="005611A3">
            <w:pPr>
              <w:pStyle w:val="BulletListLevel1"/>
              <w:numPr>
                <w:ilvl w:val="0"/>
                <w:numId w:val="0"/>
              </w:numPr>
            </w:pPr>
            <w:r>
              <w:t>Steven Burns</w:t>
            </w:r>
          </w:p>
        </w:tc>
        <w:tc>
          <w:tcPr>
            <w:tcW w:w="3007" w:type="dxa"/>
            <w:tcBorders>
              <w:top w:val="single" w:sz="4" w:space="0" w:color="9FBCD0"/>
              <w:left w:val="single" w:sz="4" w:space="0" w:color="9FBCD0"/>
              <w:right w:val="single" w:sz="4" w:space="0" w:color="9FBCD0"/>
            </w:tcBorders>
            <w:vAlign w:val="center"/>
          </w:tcPr>
          <w:p w14:paraId="180F330B" w14:textId="473F5475" w:rsidR="00547CCD" w:rsidRDefault="00547CCD" w:rsidP="005611A3">
            <w:pPr>
              <w:jc w:val="right"/>
              <w:rPr>
                <w:lang w:val="en-US"/>
              </w:rPr>
            </w:pPr>
            <w:r>
              <w:rPr>
                <w:lang w:val="en-US"/>
              </w:rPr>
              <w:t>8</w:t>
            </w:r>
          </w:p>
        </w:tc>
        <w:tc>
          <w:tcPr>
            <w:tcW w:w="3007" w:type="dxa"/>
            <w:tcBorders>
              <w:top w:val="single" w:sz="4" w:space="0" w:color="9FBCD0"/>
              <w:left w:val="single" w:sz="4" w:space="0" w:color="9FBCD0"/>
              <w:right w:val="single" w:sz="4" w:space="0" w:color="9FBCD0"/>
            </w:tcBorders>
            <w:shd w:val="clear" w:color="auto" w:fill="auto"/>
            <w:vAlign w:val="center"/>
          </w:tcPr>
          <w:p w14:paraId="1A25FA79" w14:textId="2A5FE904" w:rsidR="00547CCD" w:rsidRPr="003C78EF" w:rsidRDefault="00DD4BB8" w:rsidP="005611A3">
            <w:pPr>
              <w:jc w:val="right"/>
              <w:rPr>
                <w:lang w:val="en-US"/>
              </w:rPr>
            </w:pPr>
            <w:r w:rsidRPr="003C78EF">
              <w:rPr>
                <w:lang w:val="en-US"/>
              </w:rPr>
              <w:t>8</w:t>
            </w:r>
          </w:p>
        </w:tc>
      </w:tr>
      <w:tr w:rsidR="00547CCD" w:rsidRPr="00950991" w14:paraId="0C3F845F"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120518F" w14:textId="1DCCB389" w:rsidR="00547CCD" w:rsidRDefault="00547CCD" w:rsidP="005611A3">
            <w:pPr>
              <w:pStyle w:val="BulletListLevel1"/>
              <w:numPr>
                <w:ilvl w:val="0"/>
                <w:numId w:val="0"/>
              </w:numPr>
            </w:pPr>
            <w:r>
              <w:t>Owen Whittle</w:t>
            </w:r>
          </w:p>
        </w:tc>
        <w:tc>
          <w:tcPr>
            <w:tcW w:w="3007" w:type="dxa"/>
            <w:tcBorders>
              <w:top w:val="single" w:sz="4" w:space="0" w:color="9FBCD0"/>
              <w:left w:val="single" w:sz="4" w:space="0" w:color="9FBCD0"/>
              <w:bottom w:val="single" w:sz="4" w:space="0" w:color="9FBCD0"/>
              <w:right w:val="single" w:sz="4" w:space="0" w:color="9FBCD0"/>
            </w:tcBorders>
            <w:vAlign w:val="center"/>
          </w:tcPr>
          <w:p w14:paraId="5FE5B9A8" w14:textId="4DE825F6" w:rsidR="00547CCD"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0B1052A7" w14:textId="52F377DF" w:rsidR="00547CCD" w:rsidRPr="003C78EF" w:rsidRDefault="00DD4BB8" w:rsidP="005611A3">
            <w:pPr>
              <w:jc w:val="right"/>
              <w:rPr>
                <w:lang w:val="en-US"/>
              </w:rPr>
            </w:pPr>
            <w:r w:rsidRPr="003C78EF">
              <w:rPr>
                <w:lang w:val="en-US"/>
              </w:rPr>
              <w:t>8</w:t>
            </w:r>
          </w:p>
        </w:tc>
      </w:tr>
      <w:tr w:rsidR="00547CCD" w:rsidRPr="00950991" w14:paraId="58E8C669" w14:textId="77777777" w:rsidTr="00553134">
        <w:tc>
          <w:tcPr>
            <w:tcW w:w="300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15C9A16" w14:textId="17D2AA2F" w:rsidR="00547CCD" w:rsidRDefault="00547CCD" w:rsidP="005611A3">
            <w:pPr>
              <w:pStyle w:val="BulletListLevel1"/>
              <w:numPr>
                <w:ilvl w:val="0"/>
                <w:numId w:val="0"/>
              </w:numPr>
            </w:pPr>
            <w:r>
              <w:t>Victoria Wilmot</w:t>
            </w:r>
          </w:p>
        </w:tc>
        <w:tc>
          <w:tcPr>
            <w:tcW w:w="3007" w:type="dxa"/>
            <w:tcBorders>
              <w:top w:val="single" w:sz="4" w:space="0" w:color="9FBCD0"/>
              <w:left w:val="single" w:sz="4" w:space="0" w:color="9FBCD0"/>
              <w:bottom w:val="single" w:sz="4" w:space="0" w:color="9FBCD0"/>
              <w:right w:val="single" w:sz="4" w:space="0" w:color="9FBCD0"/>
            </w:tcBorders>
            <w:vAlign w:val="center"/>
          </w:tcPr>
          <w:p w14:paraId="68901FD9" w14:textId="07D79875" w:rsidR="00547CCD" w:rsidRDefault="00547CCD" w:rsidP="005611A3">
            <w:pPr>
              <w:jc w:val="right"/>
              <w:rPr>
                <w:lang w:val="en-US"/>
              </w:rPr>
            </w:pPr>
            <w:r>
              <w:rPr>
                <w:lang w:val="en-US"/>
              </w:rPr>
              <w:t>8</w:t>
            </w:r>
          </w:p>
        </w:tc>
        <w:tc>
          <w:tcPr>
            <w:tcW w:w="3007" w:type="dxa"/>
            <w:tcBorders>
              <w:top w:val="single" w:sz="4" w:space="0" w:color="9FBCD0"/>
              <w:left w:val="single" w:sz="4" w:space="0" w:color="9FBCD0"/>
              <w:bottom w:val="single" w:sz="4" w:space="0" w:color="9FBCD0"/>
              <w:right w:val="single" w:sz="4" w:space="0" w:color="9FBCD0"/>
            </w:tcBorders>
            <w:shd w:val="clear" w:color="auto" w:fill="auto"/>
            <w:vAlign w:val="center"/>
          </w:tcPr>
          <w:p w14:paraId="7C22AA36" w14:textId="614A80D3" w:rsidR="00547CCD" w:rsidRPr="003C78EF" w:rsidRDefault="00DD4BB8" w:rsidP="005611A3">
            <w:pPr>
              <w:jc w:val="right"/>
              <w:rPr>
                <w:lang w:val="en-US"/>
              </w:rPr>
            </w:pPr>
            <w:r w:rsidRPr="003C78EF">
              <w:rPr>
                <w:lang w:val="en-US"/>
              </w:rPr>
              <w:t>8</w:t>
            </w:r>
          </w:p>
        </w:tc>
      </w:tr>
    </w:tbl>
    <w:p w14:paraId="33735FFB" w14:textId="7023101A" w:rsidR="00760725" w:rsidRPr="00E96373" w:rsidRDefault="00B459DB" w:rsidP="00760725">
      <w:pPr>
        <w:keepLines w:val="0"/>
        <w:spacing w:after="0" w:line="240" w:lineRule="auto"/>
        <w:rPr>
          <w:lang w:val="en-US"/>
        </w:rPr>
      </w:pPr>
      <w:r>
        <w:rPr>
          <w:lang w:val="en-US"/>
        </w:rPr>
        <w:t xml:space="preserve"> </w:t>
      </w:r>
    </w:p>
    <w:p w14:paraId="0F92F9EA" w14:textId="52621E57" w:rsidR="00AE191E" w:rsidRPr="00244825" w:rsidRDefault="0097705E" w:rsidP="00244825">
      <w:pPr>
        <w:pStyle w:val="Heading2nonumber"/>
        <w:rPr>
          <w:lang w:val="en-US"/>
        </w:rPr>
      </w:pPr>
      <w:bookmarkStart w:id="89" w:name="_Toc399316922"/>
      <w:bookmarkStart w:id="90" w:name="_Toc426617413"/>
      <w:bookmarkStart w:id="91" w:name="_Toc450900628"/>
      <w:bookmarkStart w:id="92" w:name="_Toc525121916"/>
      <w:r>
        <w:rPr>
          <w:lang w:val="en-US"/>
        </w:rPr>
        <w:t>Senior o</w:t>
      </w:r>
      <w:r w:rsidR="00AE191E" w:rsidRPr="00EB157E">
        <w:rPr>
          <w:lang w:val="en-US"/>
        </w:rPr>
        <w:t>fficers</w:t>
      </w:r>
      <w:bookmarkEnd w:id="89"/>
      <w:bookmarkEnd w:id="90"/>
      <w:bookmarkEnd w:id="91"/>
      <w:bookmarkEnd w:id="92"/>
    </w:p>
    <w:p w14:paraId="236B39AB" w14:textId="2D56ECF2" w:rsidR="00D5594C" w:rsidRPr="00CB59DD" w:rsidRDefault="00D5594C" w:rsidP="00D5594C">
      <w:pPr>
        <w:rPr>
          <w:szCs w:val="22"/>
        </w:rPr>
      </w:pPr>
      <w:bookmarkStart w:id="93" w:name="_Toc399316936"/>
      <w:bookmarkStart w:id="94" w:name="_Toc426617454"/>
      <w:bookmarkStart w:id="95" w:name="_Toc450900670"/>
      <w:r w:rsidRPr="00CB59DD">
        <w:rPr>
          <w:szCs w:val="22"/>
        </w:rPr>
        <w:t xml:space="preserve">The Corporate Executive is WorkCover WA’s senior management team </w:t>
      </w:r>
      <w:r w:rsidR="000221B4">
        <w:rPr>
          <w:szCs w:val="22"/>
        </w:rPr>
        <w:t>working</w:t>
      </w:r>
      <w:r w:rsidRPr="00CB59DD">
        <w:rPr>
          <w:szCs w:val="22"/>
        </w:rPr>
        <w:t xml:space="preserve"> with the CEO to lead the Agency’s corporate and business operations through: </w:t>
      </w:r>
    </w:p>
    <w:p w14:paraId="63901123" w14:textId="77777777" w:rsidR="00D5594C" w:rsidRPr="00CB59DD" w:rsidRDefault="00D5594C" w:rsidP="00D5594C">
      <w:pPr>
        <w:pStyle w:val="BulletListLevel1"/>
      </w:pPr>
      <w:r w:rsidRPr="00CB59DD">
        <w:t xml:space="preserve">collaboratively achieving WorkCover WA’s vision and purpose </w:t>
      </w:r>
    </w:p>
    <w:p w14:paraId="28EE5883" w14:textId="77777777" w:rsidR="00D5594C" w:rsidRPr="00CB59DD" w:rsidRDefault="00D5594C" w:rsidP="00D5594C">
      <w:pPr>
        <w:pStyle w:val="BulletListLevel1"/>
      </w:pPr>
      <w:r w:rsidRPr="00CB59DD">
        <w:t xml:space="preserve">sharing information across divisions </w:t>
      </w:r>
    </w:p>
    <w:p w14:paraId="5AC66989" w14:textId="77777777" w:rsidR="00D5594C" w:rsidRPr="00CB59DD" w:rsidRDefault="00D5594C" w:rsidP="00D5594C">
      <w:pPr>
        <w:pStyle w:val="BulletListLevel1"/>
      </w:pPr>
      <w:r w:rsidRPr="00CB59DD">
        <w:t xml:space="preserve">modelling desired values and behaviours </w:t>
      </w:r>
    </w:p>
    <w:p w14:paraId="08CBA5B5" w14:textId="521D1F25" w:rsidR="00D5594C" w:rsidRPr="00CB59DD" w:rsidRDefault="00D5594C" w:rsidP="00D5594C">
      <w:pPr>
        <w:pStyle w:val="BulletListLevel1"/>
      </w:pPr>
      <w:r w:rsidRPr="00CB59DD">
        <w:t xml:space="preserve">ensuring compliance across the Agency with government directives, guidelines and legislation </w:t>
      </w:r>
    </w:p>
    <w:p w14:paraId="07A0CAAD" w14:textId="77777777" w:rsidR="00D5594C" w:rsidRPr="00CB59DD" w:rsidRDefault="00D5594C" w:rsidP="00D5594C">
      <w:pPr>
        <w:pStyle w:val="BulletListLevel1"/>
      </w:pPr>
      <w:r w:rsidRPr="00CB59DD">
        <w:t xml:space="preserve">developing and monitoring the Agency’s operational budget </w:t>
      </w:r>
    </w:p>
    <w:p w14:paraId="3E8C11FC" w14:textId="77777777" w:rsidR="00D5594C" w:rsidRPr="00CB59DD" w:rsidRDefault="00D5594C" w:rsidP="00D5594C">
      <w:pPr>
        <w:pStyle w:val="BulletListLevel1"/>
      </w:pPr>
      <w:r w:rsidRPr="00CB59DD">
        <w:t xml:space="preserve">developing, implementing and monitoring organisational performance outcomes </w:t>
      </w:r>
    </w:p>
    <w:p w14:paraId="1E9AC0CC" w14:textId="77777777" w:rsidR="00D5594C" w:rsidRPr="00CB59DD" w:rsidRDefault="00D5594C" w:rsidP="00D5594C">
      <w:pPr>
        <w:pStyle w:val="BulletListLevel1"/>
      </w:pPr>
      <w:r w:rsidRPr="00CB59DD">
        <w:t>evaluating the effectiveness of corporate policies.</w:t>
      </w:r>
    </w:p>
    <w:p w14:paraId="31E31A31" w14:textId="414C0EE4" w:rsidR="00D5594C" w:rsidRDefault="00D5594C" w:rsidP="00D5594C">
      <w:r w:rsidRPr="00CB59DD">
        <w:rPr>
          <w:szCs w:val="22"/>
        </w:rPr>
        <w:t xml:space="preserve">The Corporate Executive met </w:t>
      </w:r>
      <w:r w:rsidRPr="00952C18">
        <w:rPr>
          <w:szCs w:val="22"/>
        </w:rPr>
        <w:t xml:space="preserve">on </w:t>
      </w:r>
      <w:r w:rsidR="00952C18" w:rsidRPr="003C78EF">
        <w:rPr>
          <w:szCs w:val="22"/>
        </w:rPr>
        <w:t>12</w:t>
      </w:r>
      <w:r w:rsidRPr="00952C18">
        <w:rPr>
          <w:szCs w:val="22"/>
        </w:rPr>
        <w:t xml:space="preserve"> occasions </w:t>
      </w:r>
      <w:r>
        <w:rPr>
          <w:szCs w:val="22"/>
        </w:rPr>
        <w:t>during 2017/18</w:t>
      </w:r>
      <w:r w:rsidRPr="00CB59DD">
        <w:rPr>
          <w:szCs w:val="22"/>
        </w:rPr>
        <w:t xml:space="preserve">. Regular meetings of divisional leadership and branch teams </w:t>
      </w:r>
      <w:r w:rsidR="00A25B45">
        <w:rPr>
          <w:szCs w:val="22"/>
        </w:rPr>
        <w:t>were also</w:t>
      </w:r>
      <w:r w:rsidRPr="00CB59DD">
        <w:rPr>
          <w:szCs w:val="22"/>
        </w:rPr>
        <w:t xml:space="preserve"> conducted to </w:t>
      </w:r>
      <w:r w:rsidR="00A25B45">
        <w:rPr>
          <w:szCs w:val="22"/>
        </w:rPr>
        <w:t xml:space="preserve">disseminate </w:t>
      </w:r>
      <w:r w:rsidRPr="00CB59DD">
        <w:rPr>
          <w:szCs w:val="22"/>
        </w:rPr>
        <w:t xml:space="preserve">Corporate Executive decisions </w:t>
      </w:r>
      <w:r w:rsidR="001270BC">
        <w:rPr>
          <w:szCs w:val="22"/>
        </w:rPr>
        <w:t xml:space="preserve">and direction </w:t>
      </w:r>
      <w:r w:rsidRPr="00CB59DD">
        <w:rPr>
          <w:szCs w:val="22"/>
        </w:rPr>
        <w:t>to operational areas</w:t>
      </w:r>
      <w:r>
        <w:t>.</w:t>
      </w:r>
    </w:p>
    <w:p w14:paraId="595378A1" w14:textId="77777777" w:rsidR="00241775" w:rsidRDefault="00241775">
      <w:pPr>
        <w:keepLines w:val="0"/>
        <w:spacing w:after="0" w:line="240" w:lineRule="auto"/>
        <w:rPr>
          <w:b/>
        </w:rPr>
      </w:pPr>
      <w:r>
        <w:rPr>
          <w:b/>
        </w:rPr>
        <w:br w:type="page"/>
      </w:r>
    </w:p>
    <w:p w14:paraId="5905E4BB" w14:textId="156EDE51" w:rsidR="00952C18" w:rsidRDefault="00F46BE6" w:rsidP="00B61DA7">
      <w:pPr>
        <w:keepLines w:val="0"/>
        <w:spacing w:after="0" w:line="240" w:lineRule="auto"/>
        <w:rPr>
          <w:b/>
        </w:rPr>
      </w:pPr>
      <w:r>
        <w:rPr>
          <w:b/>
        </w:rPr>
        <w:t>Chief Executive Officer*</w:t>
      </w:r>
    </w:p>
    <w:p w14:paraId="67E30423" w14:textId="77777777" w:rsidR="00952C18" w:rsidRDefault="00952C18" w:rsidP="00B61DA7">
      <w:pPr>
        <w:keepLines w:val="0"/>
        <w:spacing w:after="0" w:line="240" w:lineRule="auto"/>
        <w:rPr>
          <w:b/>
        </w:rPr>
      </w:pPr>
    </w:p>
    <w:p w14:paraId="4DDF0F13" w14:textId="7BF17A05" w:rsidR="00952C18" w:rsidRDefault="00952C18" w:rsidP="00113989">
      <w:r w:rsidRPr="00952C18">
        <w:rPr>
          <w:b/>
        </w:rPr>
        <w:t>Chris White</w:t>
      </w:r>
      <w:r>
        <w:t xml:space="preserve"> has been Acting CEO since January 2017. Mr White is </w:t>
      </w:r>
      <w:r w:rsidR="006240AE">
        <w:t xml:space="preserve">the </w:t>
      </w:r>
      <w:r>
        <w:t>General Manager Scheme and Corporate Services and has more than 35 years’ experience in workers’ compensation and occupational safety and health policy in WA. Mr White has held senior policy and management roles at</w:t>
      </w:r>
      <w:r w:rsidR="003E315D">
        <w:t xml:space="preserve"> both WorkCover WA and WorkSafe </w:t>
      </w:r>
      <w:r>
        <w:t>WA. Mr White holds a Master of Arts (Public Policy) from Murdoch University.</w:t>
      </w:r>
    </w:p>
    <w:p w14:paraId="4A223D4E" w14:textId="77777777" w:rsidR="00952C18" w:rsidRPr="00EE234F" w:rsidRDefault="00952C18" w:rsidP="00952C18">
      <w:pPr>
        <w:rPr>
          <w:i/>
        </w:rPr>
      </w:pPr>
      <w:r w:rsidRPr="00EE234F">
        <w:rPr>
          <w:i/>
        </w:rPr>
        <w:t>*</w:t>
      </w:r>
      <w:r>
        <w:rPr>
          <w:b/>
          <w:i/>
        </w:rPr>
        <w:t>CEO</w:t>
      </w:r>
      <w:r w:rsidRPr="00EE234F">
        <w:rPr>
          <w:b/>
          <w:i/>
        </w:rPr>
        <w:t xml:space="preserve"> Michelle Reynolds</w:t>
      </w:r>
      <w:r w:rsidRPr="00EE234F">
        <w:rPr>
          <w:i/>
        </w:rPr>
        <w:t xml:space="preserve"> was seconded to the Rottnest Island Authority from January 2017.</w:t>
      </w:r>
    </w:p>
    <w:p w14:paraId="45D5CAE8" w14:textId="2A5BEC6D" w:rsidR="00590CE4" w:rsidRPr="00113989" w:rsidRDefault="00B12D38" w:rsidP="003C34F8">
      <w:r>
        <w:rPr>
          <w:b/>
        </w:rPr>
        <w:t>Chief Finance Officer</w:t>
      </w:r>
      <w:r w:rsidR="003E315D">
        <w:rPr>
          <w:b/>
        </w:rPr>
        <w:br/>
      </w:r>
      <w:r>
        <w:rPr>
          <w:b/>
        </w:rPr>
        <w:br/>
      </w:r>
      <w:r w:rsidR="003C34F8" w:rsidRPr="00AB6048">
        <w:rPr>
          <w:b/>
        </w:rPr>
        <w:t>John Hull</w:t>
      </w:r>
      <w:r w:rsidR="003C34F8" w:rsidRPr="00AB6048">
        <w:t xml:space="preserve"> commenced with WorkCover WA as Chief Finance Officer in July 2010. He has extensive public sector experience and has undertaken senior finance, compliance and corporate management roles across a range of agencies including the Department of Treasury and Finance and the Office of the Auditor General. Mr Hull is a Certified Practicing Accountant and has a Bachelor of Bus</w:t>
      </w:r>
      <w:r w:rsidR="003C34F8">
        <w:t>iness in Finance and Accounting.</w:t>
      </w:r>
    </w:p>
    <w:p w14:paraId="17268E35" w14:textId="1A4BF7E7" w:rsidR="00113989" w:rsidRDefault="003C34F8" w:rsidP="00060B58">
      <w:pPr>
        <w:keepLines w:val="0"/>
        <w:spacing w:after="0" w:line="240" w:lineRule="auto"/>
        <w:rPr>
          <w:b/>
        </w:rPr>
      </w:pPr>
      <w:r>
        <w:rPr>
          <w:b/>
        </w:rPr>
        <w:t>General Manager, Conciliation and Arbitration S</w:t>
      </w:r>
      <w:r w:rsidR="00060B58">
        <w:rPr>
          <w:b/>
        </w:rPr>
        <w:t>ervices; Director, Conciliation</w:t>
      </w:r>
    </w:p>
    <w:p w14:paraId="6F721AB4" w14:textId="77777777" w:rsidR="00060B58" w:rsidRPr="00060B58" w:rsidRDefault="00060B58" w:rsidP="00060B58">
      <w:pPr>
        <w:keepLines w:val="0"/>
        <w:spacing w:after="0" w:line="240" w:lineRule="auto"/>
        <w:rPr>
          <w:b/>
        </w:rPr>
      </w:pPr>
    </w:p>
    <w:p w14:paraId="4E7B810A" w14:textId="5006DB10" w:rsidR="0067497C" w:rsidRDefault="0067497C" w:rsidP="0067497C">
      <w:r>
        <w:rPr>
          <w:b/>
        </w:rPr>
        <w:t xml:space="preserve">Karin Lee </w:t>
      </w:r>
      <w:r>
        <w:t xml:space="preserve">joined WorkCover WA in 2015 and worked as the Manager Regulation and Manager Employer Compliance before being appointed Acting General Manager Conciliation and Arbitration, and Director, Conciliation. Ms Lee holds a Bachelor of Laws and has over 20 years’ experience in various aspects of workers’ compensation and injury management. Ms Lee previously worked at the Chamber of Commerce and Industry of Western Australia in policy and consultancy, and prior to that in claims management and personal injuries litigation. </w:t>
      </w:r>
      <w:r w:rsidR="000257D5">
        <w:t>Ms Lee was</w:t>
      </w:r>
      <w:r w:rsidR="007F7104">
        <w:t xml:space="preserve"> formerly</w:t>
      </w:r>
      <w:r w:rsidR="000257D5">
        <w:t xml:space="preserve"> </w:t>
      </w:r>
      <w:r w:rsidR="0062435B">
        <w:t>a</w:t>
      </w:r>
      <w:r w:rsidR="000257D5">
        <w:t xml:space="preserve"> member </w:t>
      </w:r>
      <w:r w:rsidR="0062435B">
        <w:t>of</w:t>
      </w:r>
      <w:r w:rsidR="000257D5">
        <w:t xml:space="preserve"> the WorkCover WA Board </w:t>
      </w:r>
      <w:r w:rsidR="002F2C00">
        <w:t>and the Commission of Occupational Safety and Health</w:t>
      </w:r>
      <w:r w:rsidR="000257D5">
        <w:t xml:space="preserve">. </w:t>
      </w:r>
    </w:p>
    <w:p w14:paraId="6BE2CE1C" w14:textId="4FBABF72" w:rsidR="003C34F8" w:rsidRPr="00485014" w:rsidRDefault="00485014" w:rsidP="00113989">
      <w:r>
        <w:rPr>
          <w:i/>
        </w:rPr>
        <w:t>*Ms Wendy Attenborough served as General Manager, Concil</w:t>
      </w:r>
      <w:r w:rsidR="001655AC">
        <w:rPr>
          <w:i/>
        </w:rPr>
        <w:t>iation and Arbitration Services</w:t>
      </w:r>
      <w:r w:rsidR="00D065D2">
        <w:rPr>
          <w:i/>
        </w:rPr>
        <w:t>, and Director, Conciliation</w:t>
      </w:r>
      <w:r w:rsidR="001655AC">
        <w:rPr>
          <w:i/>
        </w:rPr>
        <w:t xml:space="preserve"> </w:t>
      </w:r>
      <w:r>
        <w:rPr>
          <w:i/>
        </w:rPr>
        <w:t xml:space="preserve">from </w:t>
      </w:r>
      <w:r w:rsidR="00877E7D">
        <w:rPr>
          <w:i/>
        </w:rPr>
        <w:t>J</w:t>
      </w:r>
      <w:r w:rsidR="001655AC">
        <w:rPr>
          <w:i/>
        </w:rPr>
        <w:t>anuary 2013</w:t>
      </w:r>
      <w:r w:rsidR="00A05C3C">
        <w:rPr>
          <w:i/>
        </w:rPr>
        <w:t xml:space="preserve"> to May 2018.</w:t>
      </w:r>
    </w:p>
    <w:p w14:paraId="7C8628E9" w14:textId="02A17FBE" w:rsidR="0096305E" w:rsidRDefault="00B12D38" w:rsidP="003C34F8">
      <w:pPr>
        <w:keepLines w:val="0"/>
        <w:spacing w:after="0" w:line="240" w:lineRule="auto"/>
        <w:rPr>
          <w:b/>
        </w:rPr>
      </w:pPr>
      <w:r>
        <w:rPr>
          <w:b/>
        </w:rPr>
        <w:t xml:space="preserve">General Manager Scheme and Corporate Services </w:t>
      </w:r>
    </w:p>
    <w:p w14:paraId="58A948A7" w14:textId="77777777" w:rsidR="003C34F8" w:rsidRPr="003C34F8" w:rsidRDefault="003C34F8" w:rsidP="003C34F8">
      <w:pPr>
        <w:keepLines w:val="0"/>
        <w:spacing w:after="0" w:line="240" w:lineRule="auto"/>
        <w:rPr>
          <w:b/>
        </w:rPr>
      </w:pPr>
    </w:p>
    <w:p w14:paraId="2042EFFE" w14:textId="17A1D025" w:rsidR="0096305E" w:rsidRPr="006128BC" w:rsidRDefault="0096305E" w:rsidP="0096305E">
      <w:pPr>
        <w:rPr>
          <w:color w:val="86731E" w:themeColor="text1"/>
        </w:rPr>
      </w:pPr>
      <w:r w:rsidRPr="006F2774">
        <w:rPr>
          <w:rFonts w:eastAsiaTheme="minorHAnsi"/>
          <w:b/>
          <w:szCs w:val="22"/>
        </w:rPr>
        <w:t>Leona Glasby</w:t>
      </w:r>
      <w:r>
        <w:rPr>
          <w:rFonts w:eastAsiaTheme="minorHAnsi"/>
          <w:szCs w:val="22"/>
        </w:rPr>
        <w:t xml:space="preserve"> joined WorkCover WA in July 2006.  </w:t>
      </w:r>
      <w:r w:rsidR="006F2774">
        <w:rPr>
          <w:rFonts w:eastAsiaTheme="minorHAnsi"/>
          <w:szCs w:val="22"/>
        </w:rPr>
        <w:t xml:space="preserve">In January 2018 she commenced acting in the role of General Manager Scheme and Corporate Services.  </w:t>
      </w:r>
      <w:r>
        <w:rPr>
          <w:rFonts w:eastAsiaTheme="minorHAnsi"/>
          <w:szCs w:val="22"/>
        </w:rPr>
        <w:t xml:space="preserve">With previous public sector experience at </w:t>
      </w:r>
      <w:r w:rsidR="00B75D0B">
        <w:rPr>
          <w:rFonts w:eastAsiaTheme="minorHAnsi"/>
          <w:szCs w:val="22"/>
        </w:rPr>
        <w:t>WorkSafe WA</w:t>
      </w:r>
      <w:r>
        <w:rPr>
          <w:rFonts w:eastAsiaTheme="minorHAnsi"/>
          <w:szCs w:val="22"/>
        </w:rPr>
        <w:t xml:space="preserve"> and a focus on information technology and data analysis, she has held the position of Manager Business Intelligence Services </w:t>
      </w:r>
      <w:r w:rsidR="006F2774">
        <w:rPr>
          <w:rFonts w:eastAsiaTheme="minorHAnsi"/>
          <w:szCs w:val="22"/>
        </w:rPr>
        <w:t xml:space="preserve">at WorkCover WA </w:t>
      </w:r>
      <w:r>
        <w:rPr>
          <w:rFonts w:eastAsiaTheme="minorHAnsi"/>
          <w:szCs w:val="22"/>
        </w:rPr>
        <w:t>since 2010</w:t>
      </w:r>
      <w:r w:rsidR="006F2774">
        <w:rPr>
          <w:rFonts w:eastAsiaTheme="minorHAnsi"/>
          <w:szCs w:val="22"/>
        </w:rPr>
        <w:t>,</w:t>
      </w:r>
      <w:r>
        <w:rPr>
          <w:rFonts w:eastAsiaTheme="minorHAnsi"/>
          <w:szCs w:val="22"/>
        </w:rPr>
        <w:t xml:space="preserve"> and du</w:t>
      </w:r>
      <w:r w:rsidR="004A6C98">
        <w:rPr>
          <w:rFonts w:eastAsiaTheme="minorHAnsi"/>
          <w:szCs w:val="22"/>
        </w:rPr>
        <w:t xml:space="preserve">ring 2017 acted as IT Manager. </w:t>
      </w:r>
      <w:r>
        <w:rPr>
          <w:rFonts w:eastAsiaTheme="minorHAnsi"/>
          <w:szCs w:val="22"/>
        </w:rPr>
        <w:t>Ms Glasby has a Bachelor of Science in Computer Science and Graduate Diplomas of Business and Occupational Safety and Health.</w:t>
      </w:r>
    </w:p>
    <w:p w14:paraId="70F54DC8" w14:textId="3DE08551" w:rsidR="00B12D38" w:rsidRPr="0096305E" w:rsidRDefault="0096305E" w:rsidP="00B61DA7">
      <w:pPr>
        <w:keepLines w:val="0"/>
        <w:spacing w:after="0" w:line="240" w:lineRule="auto"/>
        <w:rPr>
          <w:i/>
        </w:rPr>
      </w:pPr>
      <w:r w:rsidRPr="0096305E">
        <w:rPr>
          <w:i/>
        </w:rPr>
        <w:t>*During the reporting period Harley White also undertook the role of General Manager Corporate Resources</w:t>
      </w:r>
      <w:r w:rsidR="00380E70">
        <w:rPr>
          <w:i/>
        </w:rPr>
        <w:t xml:space="preserve"> from July 2017 to January 2018</w:t>
      </w:r>
      <w:r w:rsidRPr="0096305E">
        <w:rPr>
          <w:i/>
        </w:rPr>
        <w:t>.</w:t>
      </w:r>
    </w:p>
    <w:p w14:paraId="0DB5DCE2" w14:textId="77777777" w:rsidR="00B12D38" w:rsidRDefault="00B12D38" w:rsidP="00B61DA7">
      <w:pPr>
        <w:keepLines w:val="0"/>
        <w:spacing w:after="0" w:line="240" w:lineRule="auto"/>
        <w:rPr>
          <w:b/>
        </w:rPr>
      </w:pPr>
    </w:p>
    <w:p w14:paraId="2B264BEF" w14:textId="4143957A" w:rsidR="006F07BD" w:rsidRDefault="006F07BD" w:rsidP="006F07BD">
      <w:pPr>
        <w:keepLines w:val="0"/>
        <w:spacing w:after="0" w:line="240" w:lineRule="auto"/>
        <w:rPr>
          <w:b/>
        </w:rPr>
      </w:pPr>
      <w:r>
        <w:rPr>
          <w:b/>
        </w:rPr>
        <w:t>General Manager, Regulatory Services</w:t>
      </w:r>
    </w:p>
    <w:p w14:paraId="7BC91DAF" w14:textId="325D6DD2" w:rsidR="006F07BD" w:rsidRPr="00EB262D" w:rsidRDefault="003951D5" w:rsidP="00EB262D">
      <w:r>
        <w:rPr>
          <w:b/>
          <w:bCs/>
        </w:rPr>
        <w:br/>
      </w:r>
      <w:r w:rsidRPr="00E65485">
        <w:rPr>
          <w:b/>
          <w:bCs/>
        </w:rPr>
        <w:t>Stephen Psaila-Savona</w:t>
      </w:r>
      <w:r w:rsidRPr="00E65485">
        <w:rPr>
          <w:b/>
        </w:rPr>
        <w:t xml:space="preserve"> </w:t>
      </w:r>
      <w:r w:rsidRPr="00E65485">
        <w:t>commenced at WorkCover WA in May 2016</w:t>
      </w:r>
      <w:r>
        <w:t>. Mr </w:t>
      </w:r>
      <w:r w:rsidRPr="00E65485">
        <w:t>P</w:t>
      </w:r>
      <w:r>
        <w:t>saila</w:t>
      </w:r>
      <w:r>
        <w:noBreakHyphen/>
      </w:r>
      <w:r w:rsidRPr="00E65485">
        <w:t>Savona</w:t>
      </w:r>
      <w:r w:rsidRPr="00E65485">
        <w:rPr>
          <w:lang w:val="en"/>
        </w:rPr>
        <w:t xml:space="preserve"> has been empl</w:t>
      </w:r>
      <w:r>
        <w:rPr>
          <w:lang w:val="en"/>
        </w:rPr>
        <w:t>oyed in the public sector for 2</w:t>
      </w:r>
      <w:r w:rsidR="00A25B45">
        <w:rPr>
          <w:lang w:val="en"/>
        </w:rPr>
        <w:t>4</w:t>
      </w:r>
      <w:r w:rsidRPr="00E65485">
        <w:rPr>
          <w:lang w:val="en"/>
        </w:rPr>
        <w:t xml:space="preserve"> years, and has previously worked at the </w:t>
      </w:r>
      <w:r>
        <w:rPr>
          <w:lang w:val="en"/>
        </w:rPr>
        <w:t xml:space="preserve">Health and Disability Services Complaints Office, </w:t>
      </w:r>
      <w:r w:rsidRPr="00E65485">
        <w:rPr>
          <w:lang w:val="en"/>
        </w:rPr>
        <w:t xml:space="preserve">Public Sector Commission, Department of the Premier </w:t>
      </w:r>
      <w:r>
        <w:rPr>
          <w:lang w:val="en"/>
        </w:rPr>
        <w:t>and Cabinet, WorkCover WA (2005</w:t>
      </w:r>
      <w:r>
        <w:rPr>
          <w:lang w:val="en"/>
        </w:rPr>
        <w:noBreakHyphen/>
      </w:r>
      <w:r w:rsidRPr="00E65485">
        <w:rPr>
          <w:lang w:val="en"/>
        </w:rPr>
        <w:t>2007) and the Disability Services Commission.</w:t>
      </w:r>
      <w:r>
        <w:rPr>
          <w:lang w:val="en"/>
        </w:rPr>
        <w:t xml:space="preserve"> </w:t>
      </w:r>
      <w:r w:rsidRPr="00E65485">
        <w:t xml:space="preserve">Mr Psaila-Savona holds </w:t>
      </w:r>
      <w:r w:rsidRPr="00E65485">
        <w:rPr>
          <w:lang w:val="en"/>
        </w:rPr>
        <w:t xml:space="preserve">a </w:t>
      </w:r>
      <w:r w:rsidRPr="00E65485">
        <w:t>Bachelor of Psychology, Diploma in Education</w:t>
      </w:r>
      <w:r w:rsidR="00034184">
        <w:t>,</w:t>
      </w:r>
      <w:r w:rsidRPr="00E65485">
        <w:t xml:space="preserve"> </w:t>
      </w:r>
      <w:r>
        <w:t xml:space="preserve">a </w:t>
      </w:r>
      <w:r w:rsidRPr="00E65485">
        <w:t>Graduate Diploma in Business</w:t>
      </w:r>
      <w:r w:rsidR="00034184">
        <w:t xml:space="preserve"> and an Executive Masters </w:t>
      </w:r>
      <w:r w:rsidR="00951D2F">
        <w:t>(</w:t>
      </w:r>
      <w:r w:rsidR="00034184">
        <w:t>Public Administration</w:t>
      </w:r>
      <w:r w:rsidR="00951D2F">
        <w:t>)</w:t>
      </w:r>
      <w:r w:rsidR="00034184">
        <w:t xml:space="preserve">. </w:t>
      </w:r>
    </w:p>
    <w:p w14:paraId="77F78355" w14:textId="6F71DA47" w:rsidR="006F07BD" w:rsidRDefault="006F07BD" w:rsidP="006F07BD">
      <w:pPr>
        <w:keepLines w:val="0"/>
        <w:spacing w:after="0" w:line="240" w:lineRule="auto"/>
        <w:rPr>
          <w:b/>
        </w:rPr>
      </w:pPr>
      <w:r>
        <w:rPr>
          <w:b/>
        </w:rPr>
        <w:t>Registrar, Arbitration</w:t>
      </w:r>
    </w:p>
    <w:p w14:paraId="3B41A8C0" w14:textId="36A0D2BC" w:rsidR="00256FD9" w:rsidRDefault="00E3522A" w:rsidP="00474A3C">
      <w:r>
        <w:rPr>
          <w:color w:val="FF0000"/>
          <w:highlight w:val="yellow"/>
        </w:rPr>
        <w:br/>
      </w:r>
      <w:r w:rsidR="00474A3C" w:rsidRPr="00FC4E08">
        <w:rPr>
          <w:b/>
        </w:rPr>
        <w:t>Sam Nunn</w:t>
      </w:r>
      <w:r w:rsidR="00474A3C">
        <w:t xml:space="preserve"> has been </w:t>
      </w:r>
      <w:r w:rsidR="00034184">
        <w:t>a</w:t>
      </w:r>
      <w:r w:rsidR="00474A3C">
        <w:t xml:space="preserve">cting Registrar since January 2018. </w:t>
      </w:r>
      <w:r w:rsidR="00256FD9">
        <w:t>Formerly employed by the State Solicitor’s Office, Mr Nunn served as an Arbitrator at WorkCover WA from November 2012 until his appointment as acting Registrar. Mr Nunn holds a Bachelor of Arts, Master of Arts</w:t>
      </w:r>
      <w:r w:rsidR="00951D2F">
        <w:t xml:space="preserve"> (</w:t>
      </w:r>
      <w:r w:rsidR="00256FD9">
        <w:t>Development Studies</w:t>
      </w:r>
      <w:r w:rsidR="00951D2F">
        <w:t>)</w:t>
      </w:r>
      <w:r w:rsidR="00256FD9">
        <w:t xml:space="preserve"> and a Bachelor of Laws from Murdoch University. </w:t>
      </w:r>
    </w:p>
    <w:p w14:paraId="706B6554" w14:textId="67DC50BB" w:rsidR="006D69F2" w:rsidRPr="00474A3C" w:rsidRDefault="00474A3C" w:rsidP="00B61DA7">
      <w:pPr>
        <w:keepLines w:val="0"/>
        <w:spacing w:after="0" w:line="240" w:lineRule="auto"/>
        <w:rPr>
          <w:i/>
        </w:rPr>
      </w:pPr>
      <w:r>
        <w:rPr>
          <w:i/>
        </w:rPr>
        <w:t>*Mr Nilan Ekanayake served as Registrar from June 2015 to January 2018.</w:t>
      </w:r>
    </w:p>
    <w:p w14:paraId="575E99A6" w14:textId="74546E7C" w:rsidR="00FB4F2D" w:rsidRPr="002736F7" w:rsidRDefault="00A21541" w:rsidP="002736F7">
      <w:pPr>
        <w:pStyle w:val="Heading1nonumber"/>
      </w:pPr>
      <w:bookmarkStart w:id="96" w:name="_Toc525121917"/>
      <w:r>
        <w:t>Strategic p</w:t>
      </w:r>
      <w:r w:rsidR="00FB4F2D" w:rsidRPr="00A74E13">
        <w:t>lan</w:t>
      </w:r>
      <w:r w:rsidR="00FB4F2D">
        <w:t>ning</w:t>
      </w:r>
      <w:bookmarkEnd w:id="93"/>
      <w:bookmarkEnd w:id="94"/>
      <w:bookmarkEnd w:id="95"/>
      <w:bookmarkEnd w:id="96"/>
    </w:p>
    <w:p w14:paraId="7B1A78A0" w14:textId="77777777" w:rsidR="004A2EC0" w:rsidRPr="00317ADD" w:rsidRDefault="004A2EC0" w:rsidP="004A2EC0">
      <w:bookmarkStart w:id="97" w:name="_Toc399317001"/>
      <w:bookmarkStart w:id="98" w:name="_Toc426617535"/>
      <w:bookmarkStart w:id="99" w:name="_Toc450900756"/>
      <w:r>
        <w:t>All WorkCover WA</w:t>
      </w:r>
      <w:r w:rsidRPr="00A74E13">
        <w:t xml:space="preserve">’s </w:t>
      </w:r>
      <w:r>
        <w:t xml:space="preserve">activities and </w:t>
      </w:r>
      <w:r w:rsidRPr="00A74E13">
        <w:t xml:space="preserve">operations are guided by </w:t>
      </w:r>
      <w:r>
        <w:t>a strategic plan that is renewed on a three-yearly basis. Progress against the strategic plan is reviewed annually</w:t>
      </w:r>
      <w:r w:rsidRPr="00A74E13">
        <w:t>.</w:t>
      </w:r>
      <w:r>
        <w:t xml:space="preserve"> </w:t>
      </w:r>
      <w:r w:rsidRPr="00E81F5D">
        <w:rPr>
          <w:lang w:val="en-US"/>
        </w:rPr>
        <w:t>Th</w:t>
      </w:r>
      <w:r>
        <w:rPr>
          <w:lang w:val="en-US"/>
        </w:rPr>
        <w:t xml:space="preserve">is year the Agency committed to the third and final year of its </w:t>
      </w:r>
      <w:r w:rsidRPr="00E81F5D">
        <w:rPr>
          <w:i/>
          <w:lang w:val="en-US"/>
        </w:rPr>
        <w:t>2015–2018</w:t>
      </w:r>
      <w:r w:rsidRPr="00E81F5D">
        <w:rPr>
          <w:lang w:val="en-US"/>
        </w:rPr>
        <w:t xml:space="preserve"> </w:t>
      </w:r>
      <w:r w:rsidRPr="00E81F5D">
        <w:rPr>
          <w:i/>
          <w:lang w:val="en-US"/>
        </w:rPr>
        <w:t xml:space="preserve">Strategic Plan </w:t>
      </w:r>
      <w:r>
        <w:rPr>
          <w:lang w:val="en-US"/>
        </w:rPr>
        <w:t>(the Plan)</w:t>
      </w:r>
      <w:r w:rsidRPr="00E81F5D">
        <w:rPr>
          <w:lang w:val="en-US"/>
        </w:rPr>
        <w:t>.</w:t>
      </w:r>
      <w:r>
        <w:rPr>
          <w:lang w:val="en-US"/>
        </w:rPr>
        <w:t xml:space="preserve"> </w:t>
      </w:r>
    </w:p>
    <w:p w14:paraId="4192861D" w14:textId="77777777" w:rsidR="004A2EC0" w:rsidRPr="004F7F6D" w:rsidRDefault="004A2EC0" w:rsidP="004A2EC0">
      <w:pPr>
        <w:rPr>
          <w:rStyle w:val="Strong"/>
        </w:rPr>
      </w:pPr>
      <w:r>
        <w:rPr>
          <w:rStyle w:val="Strong"/>
        </w:rPr>
        <w:t>Strategic goals</w:t>
      </w:r>
    </w:p>
    <w:p w14:paraId="5BF016AC" w14:textId="73EC0B79" w:rsidR="006D129A" w:rsidRDefault="004A2EC0" w:rsidP="004F7F6D">
      <w:pPr>
        <w:rPr>
          <w:lang w:val="en-US"/>
        </w:rPr>
      </w:pPr>
      <w:r>
        <w:rPr>
          <w:lang w:val="en-US"/>
        </w:rPr>
        <w:t>The P</w:t>
      </w:r>
      <w:r w:rsidRPr="008533A8">
        <w:rPr>
          <w:lang w:val="en-US"/>
        </w:rPr>
        <w:t xml:space="preserve">lan articulates </w:t>
      </w:r>
      <w:r>
        <w:rPr>
          <w:lang w:val="en-US"/>
        </w:rPr>
        <w:t xml:space="preserve">three strategic goals with associated themes from which strategic </w:t>
      </w:r>
      <w:r w:rsidRPr="00A01C4E">
        <w:rPr>
          <w:lang w:val="en-US"/>
        </w:rPr>
        <w:t>projects are identified and delivered. These goals and themes (</w:t>
      </w:r>
      <w:r w:rsidR="0010469F" w:rsidRPr="00A01C4E">
        <w:rPr>
          <w:lang w:val="en-US"/>
        </w:rPr>
        <w:t>referenced</w:t>
      </w:r>
      <w:r w:rsidRPr="00A01C4E">
        <w:rPr>
          <w:lang w:val="en-US"/>
        </w:rPr>
        <w:t xml:space="preserve"> below) provide </w:t>
      </w:r>
      <w:r w:rsidRPr="00E81F5D">
        <w:rPr>
          <w:lang w:val="en-US"/>
        </w:rPr>
        <w:t xml:space="preserve">opportunities to </w:t>
      </w:r>
      <w:r>
        <w:rPr>
          <w:lang w:val="en-US"/>
        </w:rPr>
        <w:t xml:space="preserve">further strengthen the Agency’s performance and </w:t>
      </w:r>
      <w:r w:rsidRPr="00E81F5D">
        <w:rPr>
          <w:lang w:val="en-US"/>
        </w:rPr>
        <w:t xml:space="preserve">make </w:t>
      </w:r>
      <w:r w:rsidRPr="00A01C4E">
        <w:rPr>
          <w:lang w:val="en-US"/>
        </w:rPr>
        <w:t xml:space="preserve">the WA scheme the </w:t>
      </w:r>
      <w:r>
        <w:rPr>
          <w:lang w:val="en-US"/>
        </w:rPr>
        <w:t>best in Australia</w:t>
      </w:r>
      <w:r w:rsidRPr="00E81F5D">
        <w:rPr>
          <w:lang w:val="en-US"/>
        </w:rPr>
        <w:t>.</w:t>
      </w:r>
      <w:r>
        <w:rPr>
          <w:lang w:val="en-US"/>
        </w:rPr>
        <w:t xml:space="preserve"> </w:t>
      </w:r>
      <w:r w:rsidR="005B6DC0">
        <w:rPr>
          <w:lang w:val="en-US"/>
        </w:rPr>
        <w:br/>
      </w:r>
      <w:r w:rsidR="005B6DC0">
        <w:rPr>
          <w:lang w:val="en-US"/>
        </w:rPr>
        <w:br/>
      </w:r>
      <w:r w:rsidR="005B6DC0">
        <w:rPr>
          <w:lang w:val="en-US"/>
        </w:rPr>
        <w:br/>
      </w:r>
      <w:r w:rsidR="005B6DC0">
        <w:rPr>
          <w:lang w:val="en-US"/>
        </w:rPr>
        <w:br/>
      </w:r>
      <w:r w:rsidR="005B6DC0">
        <w:rPr>
          <w:lang w:val="en-US"/>
        </w:rPr>
        <w:br/>
      </w:r>
      <w:r w:rsidR="005B6DC0">
        <w:rPr>
          <w:lang w:val="en-US"/>
        </w:rPr>
        <w:br/>
      </w:r>
      <w:r w:rsidR="005B6DC0">
        <w:rPr>
          <w:lang w:val="en-US"/>
        </w:rPr>
        <w:br/>
      </w:r>
      <w:r w:rsidR="005B6DC0">
        <w:rPr>
          <w:lang w:val="en-US"/>
        </w:rPr>
        <w:br/>
      </w:r>
    </w:p>
    <w:p w14:paraId="06E4970D" w14:textId="24A2AE96" w:rsidR="001B2ABD" w:rsidRPr="004A2EC0" w:rsidRDefault="004A2EC0" w:rsidP="004F7F6D">
      <w:pPr>
        <w:rPr>
          <w:lang w:val="en-US"/>
        </w:rPr>
      </w:pPr>
      <w:r>
        <w:rPr>
          <w:lang w:val="en-US"/>
        </w:rPr>
        <w:t>The three goals are:</w:t>
      </w:r>
    </w:p>
    <w:tbl>
      <w:tblPr>
        <w:tblStyle w:val="TableGrid"/>
        <w:tblW w:w="0" w:type="auto"/>
        <w:tblBorders>
          <w:top w:val="single" w:sz="4" w:space="0" w:color="7EA9A2" w:themeColor="accent1" w:themeTint="99"/>
          <w:left w:val="single" w:sz="4" w:space="0" w:color="7EA9A2" w:themeColor="accent1" w:themeTint="99"/>
          <w:bottom w:val="single" w:sz="4" w:space="0" w:color="7EA9A2" w:themeColor="accent1" w:themeTint="99"/>
          <w:right w:val="single" w:sz="4" w:space="0" w:color="7EA9A2" w:themeColor="accent1" w:themeTint="99"/>
          <w:insideH w:val="single" w:sz="4" w:space="0" w:color="7EA9A2" w:themeColor="accent1" w:themeTint="99"/>
          <w:insideV w:val="single" w:sz="4" w:space="0" w:color="7EA9A2" w:themeColor="accent1" w:themeTint="99"/>
        </w:tblBorders>
        <w:tblLook w:val="05A0" w:firstRow="1" w:lastRow="0" w:firstColumn="1" w:lastColumn="1" w:noHBand="0" w:noVBand="1"/>
        <w:tblCaption w:val="Strategic Goals"/>
        <w:tblDescription w:val="This table outlines WorkCover WA's strategic goals - strategic scheme management, leadership and agile and innovative organisation. "/>
      </w:tblPr>
      <w:tblGrid>
        <w:gridCol w:w="3005"/>
        <w:gridCol w:w="3005"/>
        <w:gridCol w:w="3006"/>
      </w:tblGrid>
      <w:tr w:rsidR="004F7F6D" w14:paraId="29C01224" w14:textId="77777777" w:rsidTr="00553134">
        <w:trPr>
          <w:tblHeader/>
        </w:trPr>
        <w:tc>
          <w:tcPr>
            <w:tcW w:w="3005" w:type="dxa"/>
            <w:tcBorders>
              <w:right w:val="single" w:sz="4" w:space="0" w:color="9FBCD0"/>
            </w:tcBorders>
            <w:shd w:val="clear" w:color="auto" w:fill="003F5F"/>
          </w:tcPr>
          <w:p w14:paraId="78159BD4" w14:textId="77777777" w:rsidR="004F7F6D" w:rsidRPr="00F641FE" w:rsidRDefault="004F7F6D" w:rsidP="00026A6F">
            <w:pPr>
              <w:pStyle w:val="ListParagraph"/>
              <w:numPr>
                <w:ilvl w:val="0"/>
                <w:numId w:val="9"/>
              </w:numPr>
              <w:spacing w:after="120"/>
              <w:rPr>
                <w:rFonts w:cs="Arial"/>
                <w:color w:val="FFFFFF" w:themeColor="background1"/>
                <w:lang w:val="en-US"/>
              </w:rPr>
            </w:pPr>
            <w:r w:rsidRPr="00F641FE">
              <w:rPr>
                <w:rFonts w:cs="Arial"/>
                <w:color w:val="FFFFFF" w:themeColor="background1"/>
                <w:lang w:val="en-US"/>
              </w:rPr>
              <w:t>Strategic scheme management</w:t>
            </w:r>
          </w:p>
        </w:tc>
        <w:tc>
          <w:tcPr>
            <w:tcW w:w="3005" w:type="dxa"/>
            <w:tcBorders>
              <w:left w:val="single" w:sz="4" w:space="0" w:color="9FBCD0"/>
              <w:right w:val="single" w:sz="4" w:space="0" w:color="9FBCD0"/>
            </w:tcBorders>
            <w:shd w:val="clear" w:color="auto" w:fill="003F5F"/>
          </w:tcPr>
          <w:p w14:paraId="70081E41" w14:textId="77777777" w:rsidR="004F7F6D" w:rsidRPr="00F641FE" w:rsidRDefault="004F7F6D" w:rsidP="00026A6F">
            <w:pPr>
              <w:pStyle w:val="ListParagraph"/>
              <w:numPr>
                <w:ilvl w:val="0"/>
                <w:numId w:val="9"/>
              </w:numPr>
              <w:spacing w:before="120" w:after="120"/>
              <w:rPr>
                <w:rFonts w:cs="Arial"/>
                <w:color w:val="FFFFFF" w:themeColor="background1"/>
                <w:lang w:val="en-US"/>
              </w:rPr>
            </w:pPr>
            <w:r w:rsidRPr="00F641FE">
              <w:rPr>
                <w:rFonts w:cs="Arial"/>
                <w:color w:val="FFFFFF" w:themeColor="background1"/>
                <w:lang w:val="en-US"/>
              </w:rPr>
              <w:t>Leadership</w:t>
            </w:r>
          </w:p>
        </w:tc>
        <w:tc>
          <w:tcPr>
            <w:tcW w:w="3006" w:type="dxa"/>
            <w:tcBorders>
              <w:left w:val="single" w:sz="4" w:space="0" w:color="9FBCD0"/>
              <w:right w:val="single" w:sz="4" w:space="0" w:color="9FBCD0"/>
            </w:tcBorders>
            <w:shd w:val="clear" w:color="auto" w:fill="003F5F"/>
            <w:vAlign w:val="center"/>
          </w:tcPr>
          <w:p w14:paraId="027DA8C4" w14:textId="77777777" w:rsidR="004F7F6D" w:rsidRPr="00F641FE" w:rsidRDefault="004F7F6D" w:rsidP="00026A6F">
            <w:pPr>
              <w:pStyle w:val="ListParagraph"/>
              <w:numPr>
                <w:ilvl w:val="0"/>
                <w:numId w:val="9"/>
              </w:numPr>
              <w:spacing w:before="120" w:after="120"/>
              <w:rPr>
                <w:rFonts w:cs="Arial"/>
                <w:color w:val="FFFFFF" w:themeColor="background1"/>
                <w:lang w:val="en-US"/>
              </w:rPr>
            </w:pPr>
            <w:r w:rsidRPr="00F641FE">
              <w:rPr>
                <w:rFonts w:cs="Arial"/>
                <w:color w:val="FFFFFF" w:themeColor="background1"/>
                <w:lang w:val="en-US"/>
              </w:rPr>
              <w:t>Agile and innovative organisation</w:t>
            </w:r>
          </w:p>
        </w:tc>
      </w:tr>
      <w:tr w:rsidR="004F7F6D" w14:paraId="1BB719CC" w14:textId="77777777" w:rsidTr="00553134">
        <w:tc>
          <w:tcPr>
            <w:tcW w:w="3005" w:type="dxa"/>
            <w:tcBorders>
              <w:left w:val="single" w:sz="4" w:space="0" w:color="9FBCD0"/>
              <w:bottom w:val="single" w:sz="4" w:space="0" w:color="9FBCD0"/>
              <w:right w:val="single" w:sz="4" w:space="0" w:color="9FBCD0"/>
            </w:tcBorders>
          </w:tcPr>
          <w:p w14:paraId="5AD55F4A" w14:textId="48348ECA" w:rsidR="004A2EC0" w:rsidRPr="00A23B6B" w:rsidRDefault="004A2EC0" w:rsidP="004A2EC0">
            <w:pPr>
              <w:spacing w:before="120" w:after="120"/>
              <w:rPr>
                <w:rFonts w:cs="Arial"/>
                <w:color w:val="000000"/>
                <w:szCs w:val="22"/>
                <w:lang w:eastAsia="en-AU"/>
              </w:rPr>
            </w:pPr>
            <w:r w:rsidRPr="00A23B6B">
              <w:rPr>
                <w:rFonts w:cs="Arial"/>
                <w:szCs w:val="22"/>
                <w:lang w:val="en-US"/>
              </w:rPr>
              <w:t>We will achieve this by:</w:t>
            </w:r>
          </w:p>
          <w:p w14:paraId="46B56EC7" w14:textId="77777777" w:rsidR="004A2EC0" w:rsidRPr="004A2EC0" w:rsidRDefault="004A2EC0" w:rsidP="004A2EC0">
            <w:pPr>
              <w:pStyle w:val="BulletListLevel1"/>
            </w:pPr>
            <w:r w:rsidRPr="004A2EC0">
              <w:t>implementing a risk</w:t>
            </w:r>
            <w:r w:rsidRPr="004A2EC0">
              <w:noBreakHyphen/>
              <w:t xml:space="preserve">based approach to regulation </w:t>
            </w:r>
          </w:p>
          <w:p w14:paraId="39679A6A" w14:textId="77777777" w:rsidR="004A2EC0" w:rsidRPr="004A2EC0" w:rsidRDefault="004A2EC0" w:rsidP="004A2EC0">
            <w:pPr>
              <w:pStyle w:val="BulletListLevel1"/>
            </w:pPr>
            <w:r w:rsidRPr="004A2EC0">
              <w:t xml:space="preserve">continuing delivery of effective and timely dispute resolution services </w:t>
            </w:r>
          </w:p>
          <w:p w14:paraId="569BB158" w14:textId="77777777" w:rsidR="004A2EC0" w:rsidRPr="004A2EC0" w:rsidRDefault="004A2EC0" w:rsidP="004A2EC0">
            <w:pPr>
              <w:pStyle w:val="BulletListLevel1"/>
            </w:pPr>
            <w:r w:rsidRPr="004A2EC0">
              <w:t>remaining a high</w:t>
            </w:r>
            <w:r w:rsidRPr="004A2EC0">
              <w:noBreakHyphen/>
              <w:t>performing scheme as measured by national benchmarks</w:t>
            </w:r>
          </w:p>
          <w:p w14:paraId="2DEF58D5" w14:textId="77777777" w:rsidR="004A2EC0" w:rsidRPr="004A2EC0" w:rsidRDefault="004A2EC0" w:rsidP="004A2EC0">
            <w:pPr>
              <w:pStyle w:val="BulletListLevel1"/>
            </w:pPr>
            <w:r w:rsidRPr="004A2EC0">
              <w:t xml:space="preserve">empowering scheme participants through advice and education </w:t>
            </w:r>
          </w:p>
          <w:p w14:paraId="7D4DB7E8" w14:textId="522FB161" w:rsidR="004F7F6D" w:rsidRPr="00C019A8" w:rsidRDefault="004A2EC0" w:rsidP="004A2EC0">
            <w:pPr>
              <w:pStyle w:val="BulletListLevel1"/>
              <w:rPr>
                <w:lang w:eastAsia="en-AU"/>
              </w:rPr>
            </w:pPr>
            <w:r w:rsidRPr="004A2EC0">
              <w:t>promoting effective injury management</w:t>
            </w:r>
          </w:p>
        </w:tc>
        <w:tc>
          <w:tcPr>
            <w:tcW w:w="3005" w:type="dxa"/>
            <w:tcBorders>
              <w:left w:val="single" w:sz="4" w:space="0" w:color="9FBCD0"/>
              <w:bottom w:val="single" w:sz="4" w:space="0" w:color="9FBCD0"/>
              <w:right w:val="single" w:sz="4" w:space="0" w:color="9FBCD0"/>
            </w:tcBorders>
          </w:tcPr>
          <w:p w14:paraId="083212C1" w14:textId="77777777" w:rsidR="004A2EC0" w:rsidRPr="00A23B6B" w:rsidRDefault="004F7F6D" w:rsidP="004A2EC0">
            <w:pPr>
              <w:spacing w:before="120" w:after="120"/>
              <w:rPr>
                <w:rFonts w:cs="Arial"/>
                <w:color w:val="000000"/>
                <w:szCs w:val="22"/>
                <w:lang w:eastAsia="en-AU"/>
              </w:rPr>
            </w:pPr>
            <w:r w:rsidRPr="00C019A8">
              <w:rPr>
                <w:lang w:eastAsia="en-AU"/>
              </w:rPr>
              <w:t xml:space="preserve"> </w:t>
            </w:r>
            <w:r w:rsidR="004A2EC0" w:rsidRPr="00A23B6B">
              <w:rPr>
                <w:rFonts w:cs="Arial"/>
                <w:szCs w:val="22"/>
                <w:lang w:val="en-US"/>
              </w:rPr>
              <w:t>We will achieve this by:</w:t>
            </w:r>
          </w:p>
          <w:p w14:paraId="040638BB" w14:textId="77777777" w:rsidR="004A2EC0" w:rsidRPr="004A2EC0" w:rsidRDefault="004A2EC0" w:rsidP="004A2EC0">
            <w:pPr>
              <w:pStyle w:val="BulletListLevel1"/>
            </w:pPr>
            <w:r w:rsidRPr="004A2EC0">
              <w:t>delivering a contemporary workers’ compensation legislative framework</w:t>
            </w:r>
          </w:p>
          <w:p w14:paraId="7DBAFD66" w14:textId="77777777" w:rsidR="004A2EC0" w:rsidRPr="004A2EC0" w:rsidRDefault="004A2EC0" w:rsidP="004A2EC0">
            <w:pPr>
              <w:pStyle w:val="BulletListLevel1"/>
            </w:pPr>
            <w:r w:rsidRPr="004A2EC0">
              <w:t>influencing national and local workers’ compensation policy and scheme design</w:t>
            </w:r>
          </w:p>
          <w:p w14:paraId="09983D5A" w14:textId="77777777" w:rsidR="004A2EC0" w:rsidRPr="004A2EC0" w:rsidRDefault="004A2EC0" w:rsidP="004A2EC0">
            <w:pPr>
              <w:pStyle w:val="BulletListLevel1"/>
            </w:pPr>
            <w:r w:rsidRPr="004A2EC0">
              <w:t>extending our business intelligence to support informed decision making</w:t>
            </w:r>
          </w:p>
          <w:p w14:paraId="30764C96" w14:textId="77777777" w:rsidR="004A2EC0" w:rsidRPr="004A2EC0" w:rsidRDefault="004A2EC0" w:rsidP="004A2EC0">
            <w:pPr>
              <w:pStyle w:val="BulletListLevel1"/>
            </w:pPr>
            <w:r w:rsidRPr="004A2EC0">
              <w:t>engaging with stakeholders to improve the scheme</w:t>
            </w:r>
          </w:p>
          <w:p w14:paraId="0BFAD624" w14:textId="4564D462" w:rsidR="004F7F6D" w:rsidRPr="00C019A8" w:rsidRDefault="004A2EC0" w:rsidP="004A2EC0">
            <w:pPr>
              <w:pStyle w:val="BulletListLevel1"/>
              <w:rPr>
                <w:color w:val="000000"/>
                <w:lang w:eastAsia="en-AU"/>
              </w:rPr>
            </w:pPr>
            <w:r w:rsidRPr="004A2EC0">
              <w:t>continuing to positively influence stakeholder behaviour</w:t>
            </w:r>
          </w:p>
        </w:tc>
        <w:tc>
          <w:tcPr>
            <w:tcW w:w="3006" w:type="dxa"/>
            <w:tcBorders>
              <w:left w:val="single" w:sz="4" w:space="0" w:color="9FBCD0"/>
              <w:bottom w:val="single" w:sz="4" w:space="0" w:color="9FBCD0"/>
              <w:right w:val="single" w:sz="4" w:space="0" w:color="9FBCD0"/>
            </w:tcBorders>
          </w:tcPr>
          <w:p w14:paraId="25C89067" w14:textId="77777777" w:rsidR="004A2EC0" w:rsidRPr="00A23B6B" w:rsidRDefault="004A2EC0" w:rsidP="004A2EC0">
            <w:pPr>
              <w:spacing w:before="120" w:after="120"/>
              <w:rPr>
                <w:rFonts w:cs="Arial"/>
                <w:color w:val="000000"/>
                <w:szCs w:val="22"/>
                <w:lang w:eastAsia="en-AU"/>
              </w:rPr>
            </w:pPr>
            <w:r w:rsidRPr="00A23B6B">
              <w:rPr>
                <w:rFonts w:cs="Arial"/>
                <w:szCs w:val="22"/>
                <w:lang w:val="en-US"/>
              </w:rPr>
              <w:t>We will achieve this by:</w:t>
            </w:r>
          </w:p>
          <w:p w14:paraId="1A589656" w14:textId="77777777" w:rsidR="004A2EC0" w:rsidRPr="004A2EC0" w:rsidRDefault="004A2EC0" w:rsidP="004A2EC0">
            <w:pPr>
              <w:pStyle w:val="BulletListLevel1"/>
            </w:pPr>
            <w:r w:rsidRPr="004A2EC0">
              <w:t>investing in technology to improve service delivery</w:t>
            </w:r>
          </w:p>
          <w:p w14:paraId="538C2FB1" w14:textId="77777777" w:rsidR="004A2EC0" w:rsidRPr="004A2EC0" w:rsidRDefault="004A2EC0" w:rsidP="004A2EC0">
            <w:pPr>
              <w:pStyle w:val="BulletListLevel1"/>
            </w:pPr>
            <w:r w:rsidRPr="004A2EC0">
              <w:t>developing innovative responses to organisational and scheme challenges</w:t>
            </w:r>
          </w:p>
          <w:p w14:paraId="440E79F5" w14:textId="77777777" w:rsidR="004A2EC0" w:rsidRPr="004A2EC0" w:rsidRDefault="004A2EC0" w:rsidP="004A2EC0">
            <w:pPr>
              <w:pStyle w:val="BulletListLevel1"/>
            </w:pPr>
            <w:r w:rsidRPr="004A2EC0">
              <w:t>enhancing the expertise of our staff through focused professional development</w:t>
            </w:r>
          </w:p>
          <w:p w14:paraId="7A6991FA" w14:textId="77777777" w:rsidR="004A2EC0" w:rsidRPr="004A2EC0" w:rsidRDefault="004A2EC0" w:rsidP="004A2EC0">
            <w:pPr>
              <w:pStyle w:val="BulletListLevel1"/>
            </w:pPr>
            <w:r w:rsidRPr="004A2EC0">
              <w:t>strengthening governance and risk management frameworks</w:t>
            </w:r>
          </w:p>
          <w:p w14:paraId="5F09F2DE" w14:textId="3F122C31" w:rsidR="004F7F6D" w:rsidRPr="00C019A8" w:rsidRDefault="004A2EC0" w:rsidP="004A2EC0">
            <w:pPr>
              <w:pStyle w:val="BulletListLevel1"/>
              <w:rPr>
                <w:color w:val="000000"/>
                <w:lang w:eastAsia="en-AU"/>
              </w:rPr>
            </w:pPr>
            <w:r w:rsidRPr="004A2EC0">
              <w:t>maintaining a customer focus</w:t>
            </w:r>
          </w:p>
        </w:tc>
      </w:tr>
    </w:tbl>
    <w:p w14:paraId="0E379C85" w14:textId="41811F49" w:rsidR="001C50DD" w:rsidRDefault="005B6DC0" w:rsidP="004F7F6D">
      <w:pPr>
        <w:rPr>
          <w:rStyle w:val="Strong"/>
          <w:b w:val="0"/>
        </w:rPr>
      </w:pPr>
      <w:r>
        <w:rPr>
          <w:lang w:val="en-US"/>
        </w:rPr>
        <w:br/>
      </w:r>
      <w:r w:rsidR="001C50DD" w:rsidRPr="00C67ECF">
        <w:rPr>
          <w:lang w:val="en-US"/>
        </w:rPr>
        <w:t xml:space="preserve">View the </w:t>
      </w:r>
      <w:r w:rsidR="001C50DD" w:rsidRPr="00C67ECF">
        <w:rPr>
          <w:i/>
          <w:lang w:val="en-US"/>
        </w:rPr>
        <w:t>2015–2018 Strategic Pla</w:t>
      </w:r>
      <w:r w:rsidR="001C50DD">
        <w:rPr>
          <w:i/>
          <w:lang w:val="en-US"/>
        </w:rPr>
        <w:t xml:space="preserve">n </w:t>
      </w:r>
      <w:r w:rsidR="001C50DD" w:rsidRPr="00C21F97">
        <w:rPr>
          <w:lang w:val="en-US"/>
        </w:rPr>
        <w:t>at</w:t>
      </w:r>
      <w:r w:rsidR="001C50DD">
        <w:rPr>
          <w:i/>
          <w:lang w:val="en-US"/>
        </w:rPr>
        <w:t xml:space="preserve"> </w:t>
      </w:r>
      <w:hyperlink r:id="rId18" w:history="1">
        <w:r w:rsidR="006D129A" w:rsidRPr="00024723">
          <w:rPr>
            <w:rStyle w:val="Hyperlink"/>
            <w:lang w:val="en-US"/>
          </w:rPr>
          <w:t>www.</w:t>
        </w:r>
        <w:r w:rsidR="006D129A" w:rsidRPr="00024723">
          <w:rPr>
            <w:rStyle w:val="Hyperlink"/>
          </w:rPr>
          <w:t>workcover.wa.gov.au/about-us/workcover-wa-at-a-glance/strategic-direction/</w:t>
        </w:r>
      </w:hyperlink>
      <w:r w:rsidR="00C66773">
        <w:rPr>
          <w:rStyle w:val="Hyperlink"/>
        </w:rPr>
        <w:t xml:space="preserve">. </w:t>
      </w:r>
      <w:r w:rsidR="006D129A">
        <w:rPr>
          <w:rStyle w:val="Strong"/>
          <w:b w:val="0"/>
        </w:rPr>
        <w:t xml:space="preserve"> </w:t>
      </w:r>
    </w:p>
    <w:p w14:paraId="5699970A" w14:textId="61BC142C" w:rsidR="00094612" w:rsidRPr="004F7F6D" w:rsidRDefault="00094612" w:rsidP="00094612">
      <w:pPr>
        <w:rPr>
          <w:rStyle w:val="Strong"/>
        </w:rPr>
      </w:pPr>
      <w:r>
        <w:rPr>
          <w:rStyle w:val="Strong"/>
        </w:rPr>
        <w:t>Business planning</w:t>
      </w:r>
    </w:p>
    <w:p w14:paraId="59B4514E" w14:textId="3372A969" w:rsidR="00094612" w:rsidRDefault="00094612" w:rsidP="00094612">
      <w:r>
        <w:t xml:space="preserve">WorkCover WA’s Business Plan 2017-18 (the Business Plan) builds on the Strategic Plan and outlines our Agency’s strategic and operational context, and provides information on the Agency’s major projects for the year. </w:t>
      </w:r>
    </w:p>
    <w:p w14:paraId="439D108E" w14:textId="1CB01F2F" w:rsidR="00FF4F13" w:rsidRDefault="00FF4F13" w:rsidP="00094612">
      <w:r>
        <w:t xml:space="preserve">The Business Plan </w:t>
      </w:r>
      <w:r w:rsidR="00034184">
        <w:t>was</w:t>
      </w:r>
      <w:r>
        <w:t xml:space="preserve"> developed through </w:t>
      </w:r>
      <w:r w:rsidR="00034184">
        <w:t>an</w:t>
      </w:r>
      <w:r>
        <w:t xml:space="preserve"> agency-wide planning process which </w:t>
      </w:r>
      <w:r w:rsidR="000C7D5B">
        <w:t>involved a</w:t>
      </w:r>
      <w:r>
        <w:t xml:space="preserve"> review of opportunities and challenges for the organisation and the workers’ compensation scheme. The process also include</w:t>
      </w:r>
      <w:r w:rsidR="00034184">
        <w:t>d</w:t>
      </w:r>
      <w:r>
        <w:t xml:space="preserve"> a review of all strategic and operational risks.</w:t>
      </w:r>
    </w:p>
    <w:p w14:paraId="7A517525" w14:textId="223FF68E" w:rsidR="00094612" w:rsidRDefault="00094612" w:rsidP="00094612">
      <w:r>
        <w:t>The Business Plan is supported by project plans which outline the objectives and delivery milestones for all planned projects.</w:t>
      </w:r>
    </w:p>
    <w:p w14:paraId="60ECDD9B" w14:textId="31FA059C" w:rsidR="003F33FF" w:rsidRDefault="00B61DA7" w:rsidP="003F33FF">
      <w:pPr>
        <w:pStyle w:val="Heading2nonumber"/>
      </w:pPr>
      <w:bookmarkStart w:id="100" w:name="_Toc525121918"/>
      <w:r>
        <w:t>Report against 2017/18</w:t>
      </w:r>
      <w:r w:rsidR="003F33FF" w:rsidRPr="008429C2">
        <w:t xml:space="preserve"> Strategic Initiatives</w:t>
      </w:r>
      <w:bookmarkEnd w:id="100"/>
    </w:p>
    <w:p w14:paraId="58273281" w14:textId="4499E1C6" w:rsidR="008A7D07" w:rsidRDefault="00C82BB0" w:rsidP="00C82BB0">
      <w:r>
        <w:t xml:space="preserve">WorkCover WA commits resources to achieve a number of </w:t>
      </w:r>
      <w:r w:rsidR="0010469F">
        <w:t>i</w:t>
      </w:r>
      <w:r>
        <w:t xml:space="preserve">nitiatives aligned with the </w:t>
      </w:r>
      <w:r w:rsidR="0018168A">
        <w:t xml:space="preserve">Strategic </w:t>
      </w:r>
      <w:r>
        <w:t>Plan. WorkCover WA’s performance against the 2017/18 Strategic Initiatives is detailed below.</w:t>
      </w:r>
    </w:p>
    <w:p w14:paraId="33C95F32" w14:textId="0BC92C16" w:rsidR="00C82BB0" w:rsidRPr="00C82BB0" w:rsidRDefault="00C82BB0" w:rsidP="00C82BB0">
      <w:r>
        <w:t>As per the Agency’s Performance Ma</w:t>
      </w:r>
      <w:r w:rsidRPr="00553134">
        <w:t xml:space="preserve">nagement Framework, the following projects relate to the State Government objectives embedded within </w:t>
      </w:r>
      <w:r w:rsidRPr="00553134">
        <w:rPr>
          <w:lang w:val="en-US"/>
        </w:rPr>
        <w:t>Government Goal: Sustainable Finances and the achie</w:t>
      </w:r>
      <w:r>
        <w:rPr>
          <w:lang w:val="en-US"/>
        </w:rPr>
        <w:t xml:space="preserve">vement of WorkCover WA’s Agency Desired Outcome as outlined on </w:t>
      </w:r>
      <w:r w:rsidRPr="005225AA">
        <w:rPr>
          <w:lang w:val="en-US"/>
        </w:rPr>
        <w:t xml:space="preserve">page </w:t>
      </w:r>
      <w:r w:rsidR="005225AA" w:rsidRPr="005225AA">
        <w:rPr>
          <w:lang w:val="en-US"/>
        </w:rPr>
        <w:t>49</w:t>
      </w:r>
      <w:r w:rsidRPr="005225AA">
        <w:rPr>
          <w:lang w:val="en-US"/>
        </w:rPr>
        <w:t xml:space="preserve"> </w:t>
      </w:r>
      <w:r>
        <w:rPr>
          <w:lang w:val="en-US"/>
        </w:rPr>
        <w:t>of this report.</w:t>
      </w:r>
    </w:p>
    <w:p w14:paraId="01C5C20F" w14:textId="61AA9E97" w:rsidR="00472D6E" w:rsidRPr="0014577D" w:rsidRDefault="00472D6E" w:rsidP="0014577D">
      <w:pPr>
        <w:pStyle w:val="Heading3nonumber"/>
        <w:rPr>
          <w:rFonts w:eastAsia="Calibri"/>
        </w:rPr>
      </w:pPr>
      <w:bookmarkStart w:id="101" w:name="_Toc525121919"/>
      <w:r w:rsidRPr="0014577D">
        <w:t xml:space="preserve">Initiative 1: </w:t>
      </w:r>
      <w:r w:rsidR="0014577D" w:rsidRPr="0014577D">
        <w:rPr>
          <w:rFonts w:eastAsia="Calibri"/>
        </w:rPr>
        <w:t>Legislative Review</w:t>
      </w:r>
      <w:bookmarkEnd w:id="101"/>
    </w:p>
    <w:tbl>
      <w:tblPr>
        <w:tblW w:w="0" w:type="auto"/>
        <w:tblInd w:w="80" w:type="dxa"/>
        <w:tblBorders>
          <w:top w:val="single" w:sz="4" w:space="0" w:color="86731E" w:themeColor="text1"/>
          <w:left w:val="single" w:sz="4" w:space="0" w:color="86731E" w:themeColor="text1"/>
          <w:bottom w:val="single" w:sz="4" w:space="0" w:color="86731E" w:themeColor="text1"/>
          <w:right w:val="single" w:sz="4" w:space="0" w:color="86731E" w:themeColor="text1"/>
          <w:insideH w:val="single" w:sz="4" w:space="0" w:color="F2EAC6" w:themeColor="text1" w:themeTint="33"/>
          <w:insideV w:val="single" w:sz="4" w:space="0" w:color="F2EAC6" w:themeColor="text1" w:themeTint="33"/>
        </w:tblBorders>
        <w:tblLayout w:type="fixed"/>
        <w:tblCellMar>
          <w:left w:w="0" w:type="dxa"/>
          <w:right w:w="0" w:type="dxa"/>
        </w:tblCellMar>
        <w:tblLook w:val="0000" w:firstRow="0" w:lastRow="0" w:firstColumn="0" w:lastColumn="0" w:noHBand="0" w:noVBand="0"/>
        <w:tblCaption w:val="Legislative Review"/>
        <w:tblDescription w:val="This table outlines which strategic goals the Legislative Review aligns with. "/>
      </w:tblPr>
      <w:tblGrid>
        <w:gridCol w:w="8704"/>
      </w:tblGrid>
      <w:tr w:rsidR="0014577D" w:rsidRPr="00630BE0" w14:paraId="07722848" w14:textId="77777777" w:rsidTr="00553134">
        <w:trPr>
          <w:trHeight w:val="60"/>
        </w:trPr>
        <w:tc>
          <w:tcPr>
            <w:tcW w:w="8704" w:type="dxa"/>
            <w:tcBorders>
              <w:top w:val="single" w:sz="4" w:space="0" w:color="86731E" w:themeColor="text1"/>
              <w:left w:val="single" w:sz="4" w:space="0" w:color="9FBCD0"/>
              <w:right w:val="single" w:sz="4" w:space="0" w:color="9FBCD0"/>
            </w:tcBorders>
            <w:shd w:val="clear" w:color="auto" w:fill="003F5F"/>
            <w:tcMar>
              <w:top w:w="113" w:type="dxa"/>
              <w:left w:w="80" w:type="dxa"/>
              <w:bottom w:w="113" w:type="dxa"/>
              <w:right w:w="80" w:type="dxa"/>
            </w:tcMar>
          </w:tcPr>
          <w:p w14:paraId="7E7C73C4" w14:textId="77777777" w:rsidR="0014577D" w:rsidRPr="00630BE0" w:rsidRDefault="0014577D" w:rsidP="00EB262D">
            <w:pPr>
              <w:rPr>
                <w:rStyle w:val="Strong"/>
              </w:rPr>
            </w:pPr>
            <w:r>
              <w:rPr>
                <w:rStyle w:val="Strong"/>
                <w:color w:val="FFFFFF" w:themeColor="background1"/>
              </w:rPr>
              <w:t>This</w:t>
            </w:r>
            <w:r w:rsidRPr="00507295">
              <w:rPr>
                <w:rStyle w:val="Strong"/>
                <w:color w:val="FFFFFF" w:themeColor="background1"/>
              </w:rPr>
              <w:t xml:space="preserve"> initiative is aligned with WorkCover WA strategic goal</w:t>
            </w:r>
            <w:r>
              <w:rPr>
                <w:rStyle w:val="Strong"/>
                <w:color w:val="FFFFFF" w:themeColor="background1"/>
              </w:rPr>
              <w:t>s</w:t>
            </w:r>
            <w:r w:rsidRPr="00507295">
              <w:rPr>
                <w:rStyle w:val="Strong"/>
                <w:color w:val="FFFFFF" w:themeColor="background1"/>
              </w:rPr>
              <w:t>:</w:t>
            </w:r>
          </w:p>
        </w:tc>
      </w:tr>
      <w:tr w:rsidR="0014577D" w:rsidRPr="00113A48" w14:paraId="6947D3CB" w14:textId="77777777" w:rsidTr="00553134">
        <w:trPr>
          <w:trHeight w:val="825"/>
        </w:trPr>
        <w:tc>
          <w:tcPr>
            <w:tcW w:w="8704" w:type="dxa"/>
            <w:tcBorders>
              <w:left w:val="single" w:sz="4" w:space="0" w:color="9FBCD0"/>
              <w:bottom w:val="single" w:sz="4" w:space="0" w:color="9FBCD0"/>
              <w:right w:val="single" w:sz="4" w:space="0" w:color="9FBCD0"/>
            </w:tcBorders>
            <w:tcMar>
              <w:top w:w="113" w:type="dxa"/>
              <w:left w:w="80" w:type="dxa"/>
              <w:bottom w:w="113" w:type="dxa"/>
              <w:right w:w="80" w:type="dxa"/>
            </w:tcMar>
          </w:tcPr>
          <w:p w14:paraId="40771CDA" w14:textId="349AAD37" w:rsidR="0014577D" w:rsidRDefault="0014577D" w:rsidP="0014577D">
            <w:r>
              <w:t>1 – Strategic scheme management</w:t>
            </w:r>
          </w:p>
          <w:p w14:paraId="41801238" w14:textId="65B8BE6F" w:rsidR="0014577D" w:rsidRPr="00F56A42" w:rsidRDefault="0014577D" w:rsidP="0014577D">
            <w:r>
              <w:t xml:space="preserve">2 – Leadership </w:t>
            </w:r>
          </w:p>
        </w:tc>
      </w:tr>
    </w:tbl>
    <w:p w14:paraId="5DD2E3DD" w14:textId="77777777" w:rsidR="0014577D" w:rsidRDefault="0014577D" w:rsidP="0014577D">
      <w:pPr>
        <w:rPr>
          <w:rFonts w:eastAsiaTheme="minorHAnsi"/>
          <w:szCs w:val="22"/>
        </w:rPr>
      </w:pPr>
    </w:p>
    <w:p w14:paraId="7E8D33F9" w14:textId="107828BA" w:rsidR="0014577D" w:rsidRDefault="0014577D" w:rsidP="0014577D">
      <w:pPr>
        <w:rPr>
          <w:rFonts w:eastAsiaTheme="minorHAnsi"/>
          <w:szCs w:val="22"/>
        </w:rPr>
      </w:pPr>
      <w:r w:rsidRPr="005A1257">
        <w:rPr>
          <w:rFonts w:eastAsiaTheme="minorHAnsi"/>
          <w:szCs w:val="22"/>
        </w:rPr>
        <w:t>On 15 February 201</w:t>
      </w:r>
      <w:r w:rsidRPr="00C66773">
        <w:rPr>
          <w:rFonts w:eastAsiaTheme="minorHAnsi"/>
          <w:szCs w:val="22"/>
        </w:rPr>
        <w:t>8</w:t>
      </w:r>
      <w:r w:rsidR="00C66773">
        <w:rPr>
          <w:rFonts w:eastAsiaTheme="minorHAnsi"/>
          <w:szCs w:val="22"/>
        </w:rPr>
        <w:t>,</w:t>
      </w:r>
      <w:r w:rsidR="00C66773" w:rsidRPr="00C66773">
        <w:rPr>
          <w:rFonts w:eastAsiaTheme="minorHAnsi"/>
          <w:szCs w:val="22"/>
        </w:rPr>
        <w:t xml:space="preserve"> </w:t>
      </w:r>
      <w:r w:rsidRPr="005A1257">
        <w:rPr>
          <w:rFonts w:eastAsiaTheme="minorHAnsi"/>
          <w:szCs w:val="22"/>
        </w:rPr>
        <w:t xml:space="preserve">the Hon Bill Johnston MLA Minister for Commerce and Industrial Relations released a media statement to announce </w:t>
      </w:r>
      <w:r w:rsidR="000C7D5B">
        <w:rPr>
          <w:rFonts w:eastAsiaTheme="minorHAnsi"/>
          <w:szCs w:val="22"/>
        </w:rPr>
        <w:t xml:space="preserve">the </w:t>
      </w:r>
      <w:r w:rsidR="0067497C">
        <w:rPr>
          <w:rFonts w:eastAsiaTheme="minorHAnsi"/>
          <w:szCs w:val="22"/>
        </w:rPr>
        <w:t xml:space="preserve">State </w:t>
      </w:r>
      <w:r w:rsidRPr="005A1257">
        <w:rPr>
          <w:rFonts w:eastAsiaTheme="minorHAnsi"/>
          <w:szCs w:val="22"/>
        </w:rPr>
        <w:t xml:space="preserve">Government </w:t>
      </w:r>
      <w:r w:rsidR="00034184">
        <w:rPr>
          <w:rFonts w:eastAsiaTheme="minorHAnsi"/>
          <w:szCs w:val="22"/>
        </w:rPr>
        <w:t xml:space="preserve">had </w:t>
      </w:r>
      <w:r w:rsidRPr="005A1257">
        <w:rPr>
          <w:rFonts w:eastAsiaTheme="minorHAnsi"/>
          <w:szCs w:val="22"/>
        </w:rPr>
        <w:t>approved the drafting of a Bill to modernise the wo</w:t>
      </w:r>
      <w:r>
        <w:rPr>
          <w:rFonts w:eastAsiaTheme="minorHAnsi"/>
          <w:szCs w:val="22"/>
        </w:rPr>
        <w:t xml:space="preserve">rkers’ compensation legislation </w:t>
      </w:r>
      <w:r w:rsidRPr="005A1257">
        <w:rPr>
          <w:rFonts w:eastAsiaTheme="minorHAnsi"/>
          <w:szCs w:val="22"/>
        </w:rPr>
        <w:t xml:space="preserve">based on WorkCover WA’s </w:t>
      </w:r>
      <w:r w:rsidRPr="005A1257">
        <w:rPr>
          <w:rFonts w:eastAsiaTheme="minorHAnsi"/>
          <w:i/>
          <w:szCs w:val="22"/>
        </w:rPr>
        <w:t>Review of the</w:t>
      </w:r>
      <w:r w:rsidRPr="005A1257">
        <w:rPr>
          <w:rFonts w:eastAsiaTheme="minorHAnsi"/>
          <w:szCs w:val="22"/>
        </w:rPr>
        <w:t xml:space="preserve"> </w:t>
      </w:r>
      <w:r w:rsidRPr="005A1257">
        <w:rPr>
          <w:rFonts w:eastAsiaTheme="minorHAnsi"/>
          <w:i/>
          <w:szCs w:val="22"/>
        </w:rPr>
        <w:t>Workers’ Compensation and Injury Ma</w:t>
      </w:r>
      <w:r>
        <w:rPr>
          <w:rFonts w:eastAsiaTheme="minorHAnsi"/>
          <w:i/>
          <w:szCs w:val="22"/>
        </w:rPr>
        <w:t>nagement Act 1981: Final Report.</w:t>
      </w:r>
    </w:p>
    <w:p w14:paraId="0A0FCC80" w14:textId="77777777" w:rsidR="0014577D" w:rsidRDefault="0014577D" w:rsidP="0014577D">
      <w:pPr>
        <w:rPr>
          <w:rFonts w:eastAsiaTheme="minorHAnsi"/>
          <w:szCs w:val="22"/>
        </w:rPr>
      </w:pPr>
      <w:r w:rsidRPr="005A1257">
        <w:rPr>
          <w:rFonts w:eastAsiaTheme="minorHAnsi"/>
          <w:szCs w:val="22"/>
        </w:rPr>
        <w:t xml:space="preserve">The Bill </w:t>
      </w:r>
      <w:r>
        <w:rPr>
          <w:rFonts w:eastAsiaTheme="minorHAnsi"/>
          <w:szCs w:val="22"/>
        </w:rPr>
        <w:t>is designed to modernise the workers’ compensation legislation as well as</w:t>
      </w:r>
      <w:r w:rsidRPr="005A1257">
        <w:rPr>
          <w:rFonts w:eastAsiaTheme="minorHAnsi"/>
          <w:szCs w:val="22"/>
        </w:rPr>
        <w:t xml:space="preserve"> implement lifetime care and support arrangements for catastrophically injured workers, delivering on a commitment between the Commonwealth, and State and Territory governments.</w:t>
      </w:r>
    </w:p>
    <w:p w14:paraId="49ED5235" w14:textId="249B12BF" w:rsidR="0064482D" w:rsidRDefault="00034184" w:rsidP="0014577D">
      <w:pPr>
        <w:rPr>
          <w:rFonts w:eastAsiaTheme="minorHAnsi"/>
          <w:szCs w:val="22"/>
        </w:rPr>
      </w:pPr>
      <w:r>
        <w:rPr>
          <w:rFonts w:eastAsiaTheme="minorHAnsi"/>
          <w:szCs w:val="22"/>
        </w:rPr>
        <w:t>Further p</w:t>
      </w:r>
      <w:r w:rsidR="0014577D" w:rsidRPr="005A1257">
        <w:rPr>
          <w:rFonts w:eastAsiaTheme="minorHAnsi"/>
          <w:szCs w:val="22"/>
        </w:rPr>
        <w:t xml:space="preserve">ublic consultation on a draft Bill </w:t>
      </w:r>
      <w:r w:rsidR="0067497C" w:rsidRPr="005A1257">
        <w:rPr>
          <w:rFonts w:eastAsiaTheme="minorHAnsi"/>
          <w:szCs w:val="22"/>
        </w:rPr>
        <w:t xml:space="preserve">will occur </w:t>
      </w:r>
      <w:r w:rsidR="0014577D" w:rsidRPr="005A1257">
        <w:rPr>
          <w:rFonts w:eastAsiaTheme="minorHAnsi"/>
          <w:szCs w:val="22"/>
        </w:rPr>
        <w:t>before it is introduced into State Parliament, continuing WorkCover WA’s open and consultative approach on the legislative review.</w:t>
      </w:r>
    </w:p>
    <w:p w14:paraId="67305F33" w14:textId="119A16F4" w:rsidR="00DE4B4D" w:rsidRPr="00DE4B4D" w:rsidRDefault="00DE4B4D" w:rsidP="0014577D">
      <w:pPr>
        <w:rPr>
          <w:rStyle w:val="Strong"/>
          <w:rFonts w:eastAsiaTheme="minorHAnsi"/>
          <w:b w:val="0"/>
          <w:bCs w:val="0"/>
          <w:szCs w:val="22"/>
        </w:rPr>
      </w:pPr>
      <w:r w:rsidRPr="005A1257">
        <w:rPr>
          <w:rFonts w:eastAsiaTheme="minorHAnsi"/>
          <w:szCs w:val="22"/>
        </w:rPr>
        <w:t>Drafting of th</w:t>
      </w:r>
      <w:r>
        <w:rPr>
          <w:rFonts w:eastAsiaTheme="minorHAnsi"/>
          <w:szCs w:val="22"/>
        </w:rPr>
        <w:t xml:space="preserve">e new legislation is currently underway. </w:t>
      </w:r>
      <w:r w:rsidR="005B6DC0">
        <w:rPr>
          <w:rFonts w:eastAsiaTheme="minorHAnsi"/>
          <w:szCs w:val="22"/>
        </w:rPr>
        <w:br/>
      </w:r>
    </w:p>
    <w:tbl>
      <w:tblPr>
        <w:tblW w:w="8931" w:type="dxa"/>
        <w:tblInd w:w="113"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Overview of Legislative Review"/>
        <w:tblDescription w:val="This table provides a quick overview of the Legislative Review initiative and provides its outcome and key points. "/>
      </w:tblPr>
      <w:tblGrid>
        <w:gridCol w:w="1715"/>
        <w:gridCol w:w="7216"/>
      </w:tblGrid>
      <w:tr w:rsidR="00472D6E" w:rsidRPr="001B0519" w14:paraId="3148B471" w14:textId="77777777" w:rsidTr="00553134">
        <w:trPr>
          <w:trHeight w:val="60"/>
        </w:trPr>
        <w:tc>
          <w:tcPr>
            <w:tcW w:w="1715" w:type="dxa"/>
            <w:shd w:val="clear" w:color="auto" w:fill="003F5F"/>
            <w:tcMar>
              <w:top w:w="113" w:type="dxa"/>
              <w:left w:w="113" w:type="dxa"/>
              <w:bottom w:w="113" w:type="dxa"/>
              <w:right w:w="113" w:type="dxa"/>
            </w:tcMar>
            <w:vAlign w:val="center"/>
          </w:tcPr>
          <w:p w14:paraId="1AB2650F" w14:textId="77777777" w:rsidR="00472D6E" w:rsidRPr="00832BD8" w:rsidRDefault="00472D6E" w:rsidP="0004106E">
            <w:pPr>
              <w:rPr>
                <w:rStyle w:val="Strong"/>
                <w:color w:val="FFFFFF" w:themeColor="background1"/>
              </w:rPr>
            </w:pPr>
            <w:r w:rsidRPr="00832BD8">
              <w:rPr>
                <w:rStyle w:val="Strong"/>
                <w:color w:val="FFFFFF" w:themeColor="background1"/>
              </w:rPr>
              <w:t>Outcome:</w:t>
            </w:r>
          </w:p>
        </w:tc>
        <w:tc>
          <w:tcPr>
            <w:tcW w:w="7216" w:type="dxa"/>
            <w:shd w:val="clear" w:color="auto" w:fill="auto"/>
            <w:tcMar>
              <w:top w:w="113" w:type="dxa"/>
              <w:left w:w="113" w:type="dxa"/>
              <w:bottom w:w="113" w:type="dxa"/>
              <w:right w:w="113" w:type="dxa"/>
            </w:tcMar>
            <w:vAlign w:val="center"/>
          </w:tcPr>
          <w:p w14:paraId="48DBBF5A" w14:textId="1F505A53" w:rsidR="00472D6E" w:rsidRPr="00832BD8" w:rsidRDefault="0014577D" w:rsidP="0014577D">
            <w:pPr>
              <w:rPr>
                <w:rStyle w:val="Strong"/>
                <w:b w:val="0"/>
                <w:color w:val="FF0000"/>
                <w:highlight w:val="yellow"/>
              </w:rPr>
            </w:pPr>
            <w:r w:rsidRPr="0014577D">
              <w:rPr>
                <w:rStyle w:val="Strong"/>
                <w:b w:val="0"/>
              </w:rPr>
              <w:t>In progress</w:t>
            </w:r>
          </w:p>
        </w:tc>
      </w:tr>
      <w:tr w:rsidR="00472D6E" w:rsidRPr="001B0519" w14:paraId="1531957E" w14:textId="77777777" w:rsidTr="00553134">
        <w:trPr>
          <w:trHeight w:val="467"/>
        </w:trPr>
        <w:tc>
          <w:tcPr>
            <w:tcW w:w="1715" w:type="dxa"/>
            <w:shd w:val="clear" w:color="auto" w:fill="003F5F"/>
            <w:tcMar>
              <w:top w:w="113" w:type="dxa"/>
              <w:left w:w="113" w:type="dxa"/>
              <w:bottom w:w="113" w:type="dxa"/>
              <w:right w:w="113" w:type="dxa"/>
            </w:tcMar>
            <w:vAlign w:val="center"/>
          </w:tcPr>
          <w:p w14:paraId="4D3F173C" w14:textId="77777777" w:rsidR="00472D6E" w:rsidRPr="00F56A42" w:rsidRDefault="00472D6E" w:rsidP="0004106E">
            <w:pPr>
              <w:rPr>
                <w:color w:val="FFFFFF" w:themeColor="background1"/>
                <w:lang w:val="en-GB" w:eastAsia="en-AU"/>
              </w:rPr>
            </w:pPr>
            <w:r w:rsidRPr="00F56A42">
              <w:rPr>
                <w:rStyle w:val="Strong"/>
                <w:color w:val="FFFFFF" w:themeColor="background1"/>
              </w:rPr>
              <w:t>Key points:</w:t>
            </w:r>
          </w:p>
        </w:tc>
        <w:tc>
          <w:tcPr>
            <w:tcW w:w="7216" w:type="dxa"/>
            <w:shd w:val="clear" w:color="auto" w:fill="auto"/>
            <w:tcMar>
              <w:top w:w="113" w:type="dxa"/>
              <w:left w:w="113" w:type="dxa"/>
              <w:bottom w:w="113" w:type="dxa"/>
              <w:right w:w="113" w:type="dxa"/>
            </w:tcMar>
            <w:vAlign w:val="center"/>
          </w:tcPr>
          <w:p w14:paraId="35675E2C" w14:textId="20FFA9D6" w:rsidR="00C74A07" w:rsidRDefault="0014577D" w:rsidP="00C74A07">
            <w:pPr>
              <w:pStyle w:val="BulletListLevel1"/>
            </w:pPr>
            <w:r>
              <w:t>In February 2018</w:t>
            </w:r>
            <w:r w:rsidR="00C66773">
              <w:t>,</w:t>
            </w:r>
            <w:r>
              <w:t xml:space="preserve"> the Government approved the drafting of a Bill to modernise workers’ compensation legislation</w:t>
            </w:r>
          </w:p>
          <w:p w14:paraId="0B233769" w14:textId="77777777" w:rsidR="0014577D" w:rsidRDefault="0014577D" w:rsidP="0014577D">
            <w:pPr>
              <w:pStyle w:val="BulletListLevel1"/>
            </w:pPr>
            <w:r>
              <w:t>Drafting of the new legislation is underway</w:t>
            </w:r>
          </w:p>
          <w:p w14:paraId="086B3DE1" w14:textId="72CCD799" w:rsidR="00C74A07" w:rsidRPr="0064482D" w:rsidRDefault="00C74A07" w:rsidP="0014577D">
            <w:pPr>
              <w:pStyle w:val="BulletListLevel1"/>
            </w:pPr>
            <w:r>
              <w:t xml:space="preserve">Amendments were implemented to increase the entitlements of the dependants of workers who are killed at work </w:t>
            </w:r>
          </w:p>
        </w:tc>
      </w:tr>
    </w:tbl>
    <w:p w14:paraId="77443528" w14:textId="79AC1F39" w:rsidR="00113A48" w:rsidRPr="00EB262D" w:rsidRDefault="00472D6E" w:rsidP="00EB262D">
      <w:pPr>
        <w:pStyle w:val="Heading3nonumber"/>
      </w:pPr>
      <w:bookmarkStart w:id="102" w:name="_Toc399317004"/>
      <w:bookmarkStart w:id="103" w:name="_Toc426617538"/>
      <w:bookmarkStart w:id="104" w:name="_Toc450900759"/>
      <w:bookmarkStart w:id="105" w:name="_Toc525121920"/>
      <w:bookmarkEnd w:id="97"/>
      <w:bookmarkEnd w:id="98"/>
      <w:bookmarkEnd w:id="99"/>
      <w:r w:rsidRPr="00EB262D">
        <w:t>Initiative 2</w:t>
      </w:r>
      <w:r w:rsidR="00FB4F2D" w:rsidRPr="00EB262D">
        <w:t xml:space="preserve">: </w:t>
      </w:r>
      <w:bookmarkEnd w:id="102"/>
      <w:bookmarkEnd w:id="103"/>
      <w:bookmarkEnd w:id="104"/>
      <w:r w:rsidR="004A7586" w:rsidRPr="00EB262D">
        <w:t>Digital First Program</w:t>
      </w:r>
      <w:bookmarkEnd w:id="105"/>
    </w:p>
    <w:tbl>
      <w:tblPr>
        <w:tblW w:w="0" w:type="auto"/>
        <w:tblInd w:w="80"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Digital First Program - Strategic goals"/>
        <w:tblDescription w:val="This table outlines which strategic goals the Digital First Program aligns with. "/>
      </w:tblPr>
      <w:tblGrid>
        <w:gridCol w:w="8704"/>
      </w:tblGrid>
      <w:tr w:rsidR="00507295" w:rsidRPr="00630BE0" w14:paraId="0B751332" w14:textId="77777777" w:rsidTr="00553134">
        <w:trPr>
          <w:trHeight w:val="60"/>
        </w:trPr>
        <w:tc>
          <w:tcPr>
            <w:tcW w:w="8704" w:type="dxa"/>
            <w:shd w:val="clear" w:color="auto" w:fill="003F5F"/>
            <w:tcMar>
              <w:top w:w="113" w:type="dxa"/>
              <w:left w:w="80" w:type="dxa"/>
              <w:bottom w:w="113" w:type="dxa"/>
              <w:right w:w="80" w:type="dxa"/>
            </w:tcMar>
          </w:tcPr>
          <w:p w14:paraId="5D07B344" w14:textId="68844FAB" w:rsidR="00507295" w:rsidRPr="00630BE0" w:rsidRDefault="00507295" w:rsidP="00371410">
            <w:pPr>
              <w:rPr>
                <w:rStyle w:val="Strong"/>
              </w:rPr>
            </w:pPr>
            <w:r w:rsidRPr="00507295">
              <w:rPr>
                <w:rStyle w:val="Strong"/>
                <w:color w:val="FFFFFF" w:themeColor="background1"/>
              </w:rPr>
              <w:t>Th</w:t>
            </w:r>
            <w:r w:rsidR="00371410">
              <w:rPr>
                <w:rStyle w:val="Strong"/>
                <w:color w:val="FFFFFF" w:themeColor="background1"/>
              </w:rPr>
              <w:t>is</w:t>
            </w:r>
            <w:r w:rsidRPr="00507295">
              <w:rPr>
                <w:rStyle w:val="Strong"/>
                <w:color w:val="FFFFFF" w:themeColor="background1"/>
              </w:rPr>
              <w:t xml:space="preserve"> initiative is aligned with WorkCover WA strategic goal:</w:t>
            </w:r>
          </w:p>
        </w:tc>
      </w:tr>
      <w:tr w:rsidR="00507295" w:rsidRPr="005D768A" w14:paraId="474B0FC7" w14:textId="77777777" w:rsidTr="00553134">
        <w:trPr>
          <w:trHeight w:val="825"/>
        </w:trPr>
        <w:tc>
          <w:tcPr>
            <w:tcW w:w="8704" w:type="dxa"/>
            <w:tcMar>
              <w:top w:w="113" w:type="dxa"/>
              <w:left w:w="80" w:type="dxa"/>
              <w:bottom w:w="113" w:type="dxa"/>
              <w:right w:w="80" w:type="dxa"/>
            </w:tcMar>
          </w:tcPr>
          <w:p w14:paraId="0A750B9C" w14:textId="501501DA" w:rsidR="00507295" w:rsidRPr="00113A48" w:rsidRDefault="00EB262D" w:rsidP="002B0E41">
            <w:pPr>
              <w:rPr>
                <w:lang w:val="en-GB" w:eastAsia="en-AU"/>
              </w:rPr>
            </w:pPr>
            <w:r>
              <w:rPr>
                <w:lang w:val="en-GB" w:eastAsia="en-AU"/>
              </w:rPr>
              <w:t>3 – Agile and innovative organisation</w:t>
            </w:r>
          </w:p>
        </w:tc>
      </w:tr>
    </w:tbl>
    <w:p w14:paraId="48187CB1" w14:textId="5F899F6C" w:rsidR="00EB262D" w:rsidRDefault="00FB4F2D" w:rsidP="00EB262D">
      <w:r>
        <w:br/>
      </w:r>
      <w:r w:rsidR="00EB262D" w:rsidRPr="00CC007F">
        <w:t>WorkCover</w:t>
      </w:r>
      <w:r w:rsidR="00EB262D">
        <w:t xml:space="preserve"> WA continues to strategically plan for business process improvements within </w:t>
      </w:r>
      <w:r w:rsidR="00034184">
        <w:t>a</w:t>
      </w:r>
      <w:r w:rsidR="00EB262D">
        <w:t xml:space="preserve"> digital environment.</w:t>
      </w:r>
      <w:r w:rsidR="00EB262D" w:rsidRPr="00CC007F">
        <w:t xml:space="preserve"> </w:t>
      </w:r>
      <w:r w:rsidR="00EB262D">
        <w:t xml:space="preserve">‘Digital First’ is a multi-year umbrella initiative adopted to coordinate a range of technology and business related projects that will see WorkCover WA migrate the majority of business interactions to an online platform.  </w:t>
      </w:r>
    </w:p>
    <w:p w14:paraId="41943934" w14:textId="0CF28094" w:rsidR="00DE4B4D" w:rsidRDefault="00DE4B4D" w:rsidP="00EB262D">
      <w:r>
        <w:t xml:space="preserve">The </w:t>
      </w:r>
      <w:r w:rsidRPr="00DE4B4D">
        <w:rPr>
          <w:i/>
        </w:rPr>
        <w:t>WorkCover WA Online</w:t>
      </w:r>
      <w:r w:rsidR="00EB262D">
        <w:t xml:space="preserve"> system was established in 2016/17 and is now regularly used by insurers and self-insurers for submitting policy and claim data</w:t>
      </w:r>
      <w:r w:rsidR="00C66773">
        <w:t>,</w:t>
      </w:r>
      <w:r w:rsidR="00EB262D">
        <w:t xml:space="preserve"> and complying with claim management notification requirements.  </w:t>
      </w:r>
    </w:p>
    <w:p w14:paraId="6E746445" w14:textId="7BFBB8DC" w:rsidR="00EB262D" w:rsidRDefault="00EB262D" w:rsidP="00EB262D">
      <w:pPr>
        <w:rPr>
          <w:rFonts w:eastAsiaTheme="minorHAnsi"/>
          <w:szCs w:val="22"/>
        </w:rPr>
      </w:pPr>
      <w:r>
        <w:t xml:space="preserve">A 2017/18 Regulatory Services project extended </w:t>
      </w:r>
      <w:r w:rsidRPr="00DE4B4D">
        <w:rPr>
          <w:i/>
        </w:rPr>
        <w:t>WorkCover WA Online</w:t>
      </w:r>
      <w:r>
        <w:t xml:space="preserve"> by transitioning p</w:t>
      </w:r>
      <w:r w:rsidRPr="00BA5453">
        <w:t>aper</w:t>
      </w:r>
      <w:r>
        <w:t>-</w:t>
      </w:r>
      <w:r w:rsidRPr="00BA5453">
        <w:t xml:space="preserve">based interactions for </w:t>
      </w:r>
      <w:r w:rsidR="00DE4B4D">
        <w:t>i</w:t>
      </w:r>
      <w:r w:rsidRPr="00BA5453">
        <w:t>nsurer</w:t>
      </w:r>
      <w:r>
        <w:t>s</w:t>
      </w:r>
      <w:r w:rsidRPr="00BA5453">
        <w:t xml:space="preserve"> and </w:t>
      </w:r>
      <w:r w:rsidR="00DE4B4D">
        <w:t>n</w:t>
      </w:r>
      <w:r w:rsidRPr="00BA5453">
        <w:t xml:space="preserve">oise </w:t>
      </w:r>
      <w:r w:rsidR="00DE4B4D">
        <w:t>i</w:t>
      </w:r>
      <w:r w:rsidRPr="00BA5453">
        <w:t xml:space="preserve">nduced </w:t>
      </w:r>
      <w:r w:rsidR="00DE4B4D">
        <w:t>h</w:t>
      </w:r>
      <w:r w:rsidRPr="00BA5453">
        <w:t xml:space="preserve">earing </w:t>
      </w:r>
      <w:r w:rsidR="00DE4B4D">
        <w:t>l</w:t>
      </w:r>
      <w:r w:rsidRPr="00BA5453">
        <w:t>oss</w:t>
      </w:r>
      <w:r>
        <w:t xml:space="preserve"> </w:t>
      </w:r>
      <w:r w:rsidR="00DE4B4D">
        <w:t xml:space="preserve">(hearing loss) </w:t>
      </w:r>
      <w:r>
        <w:t xml:space="preserve">stakeholders to the online environment, </w:t>
      </w:r>
      <w:r w:rsidR="000C7D5B">
        <w:t>and improving</w:t>
      </w:r>
      <w:r>
        <w:t xml:space="preserve"> existing processes for oversight of workplace rehabilitation provider activity. </w:t>
      </w:r>
    </w:p>
    <w:p w14:paraId="06F2C85D" w14:textId="4E16124F" w:rsidR="0081778E" w:rsidRDefault="0081778E" w:rsidP="0081778E">
      <w:pPr>
        <w:rPr>
          <w:rFonts w:eastAsiaTheme="minorHAnsi"/>
          <w:szCs w:val="22"/>
        </w:rPr>
      </w:pPr>
      <w:r w:rsidRPr="00AB4D78">
        <w:rPr>
          <w:rFonts w:eastAsiaTheme="minorHAnsi"/>
          <w:szCs w:val="22"/>
        </w:rPr>
        <w:t>The online system include</w:t>
      </w:r>
      <w:r>
        <w:rPr>
          <w:rFonts w:eastAsiaTheme="minorHAnsi"/>
          <w:szCs w:val="22"/>
        </w:rPr>
        <w:t>s</w:t>
      </w:r>
      <w:r w:rsidRPr="00AB4D78">
        <w:rPr>
          <w:rFonts w:eastAsiaTheme="minorHAnsi"/>
          <w:szCs w:val="22"/>
        </w:rPr>
        <w:t xml:space="preserve"> activities such as service provider approvals, insurance policy cancellations, </w:t>
      </w:r>
      <w:r w:rsidR="00AE04B4">
        <w:rPr>
          <w:rFonts w:eastAsiaTheme="minorHAnsi"/>
          <w:szCs w:val="22"/>
        </w:rPr>
        <w:t xml:space="preserve">hearing test results, </w:t>
      </w:r>
      <w:r>
        <w:rPr>
          <w:rFonts w:eastAsiaTheme="minorHAnsi"/>
          <w:szCs w:val="22"/>
        </w:rPr>
        <w:t xml:space="preserve">workplace rehabilitation referrals </w:t>
      </w:r>
      <w:r w:rsidRPr="00AB4D78">
        <w:rPr>
          <w:rFonts w:eastAsiaTheme="minorHAnsi"/>
          <w:szCs w:val="22"/>
        </w:rPr>
        <w:t>and other regulatory activities requiring a two-way flow of information between parties.</w:t>
      </w:r>
    </w:p>
    <w:p w14:paraId="2AFD4BB6" w14:textId="77777777" w:rsidR="0081778E" w:rsidRDefault="0081778E" w:rsidP="0081778E">
      <w:r w:rsidRPr="00AB4D78">
        <w:t xml:space="preserve">The new functionality </w:t>
      </w:r>
      <w:r>
        <w:t>has:</w:t>
      </w:r>
    </w:p>
    <w:p w14:paraId="524E5A3C" w14:textId="2D9E94BF" w:rsidR="0081778E" w:rsidRPr="00AB4D78" w:rsidRDefault="0081778E" w:rsidP="0081778E">
      <w:pPr>
        <w:pStyle w:val="BulletListLevel1"/>
      </w:pPr>
      <w:r>
        <w:t>r</w:t>
      </w:r>
      <w:r w:rsidRPr="00AB4D78">
        <w:t>educed duplication of effort by not seeking information already held by WorkCover WA</w:t>
      </w:r>
    </w:p>
    <w:p w14:paraId="22E896D3" w14:textId="0BB6A469" w:rsidR="0081778E" w:rsidRDefault="0081778E" w:rsidP="0081778E">
      <w:pPr>
        <w:pStyle w:val="BulletListLevel1"/>
      </w:pPr>
      <w:r>
        <w:t>r</w:t>
      </w:r>
      <w:r w:rsidR="00DE4B4D">
        <w:t xml:space="preserve">educed the time spent by </w:t>
      </w:r>
      <w:r w:rsidR="00822C7B">
        <w:t>service providers</w:t>
      </w:r>
      <w:r w:rsidR="00DE4B4D">
        <w:t xml:space="preserve"> and WorkCover </w:t>
      </w:r>
      <w:r w:rsidRPr="00AB4D78">
        <w:t xml:space="preserve">WA staff in creating, filing and </w:t>
      </w:r>
      <w:r w:rsidR="00AE04B4">
        <w:t>entering</w:t>
      </w:r>
      <w:r w:rsidRPr="00AB4D78">
        <w:t xml:space="preserve"> data </w:t>
      </w:r>
      <w:r w:rsidR="00DE4B4D">
        <w:t>in</w:t>
      </w:r>
      <w:r w:rsidRPr="00AB4D78">
        <w:t>to electronic systems from paper forms</w:t>
      </w:r>
    </w:p>
    <w:p w14:paraId="4FEEED20" w14:textId="02348E15" w:rsidR="0081778E" w:rsidRDefault="00597612" w:rsidP="0081778E">
      <w:pPr>
        <w:pStyle w:val="BulletListLevel1"/>
      </w:pPr>
      <w:r>
        <w:t>enabled online training for hearing loss service providers</w:t>
      </w:r>
    </w:p>
    <w:p w14:paraId="1C0BC19D" w14:textId="353B661D" w:rsidR="0081778E" w:rsidRPr="00AB4D78" w:rsidRDefault="0081778E" w:rsidP="0081778E">
      <w:pPr>
        <w:pStyle w:val="BulletListLevel1"/>
      </w:pPr>
      <w:r>
        <w:t>streamlined the notification of workplace rehabilitation referrals to WorkCover WA</w:t>
      </w:r>
      <w:r w:rsidR="00597612">
        <w:t>.</w:t>
      </w:r>
    </w:p>
    <w:p w14:paraId="6A5172E2" w14:textId="6920E459" w:rsidR="00EB262D" w:rsidRPr="0081778E" w:rsidRDefault="0081778E" w:rsidP="00EB262D">
      <w:pPr>
        <w:rPr>
          <w:color w:val="86731E" w:themeColor="text1"/>
        </w:rPr>
      </w:pPr>
      <w:r>
        <w:rPr>
          <w:rFonts w:eastAsiaTheme="minorHAnsi"/>
          <w:szCs w:val="22"/>
        </w:rPr>
        <w:t>The 2017/18 Regulatory Services component of the ‘Digital First’ initia</w:t>
      </w:r>
      <w:r w:rsidR="00DE4B4D">
        <w:rPr>
          <w:rFonts w:eastAsiaTheme="minorHAnsi"/>
          <w:szCs w:val="22"/>
        </w:rPr>
        <w:t>tive was successfully completed</w:t>
      </w:r>
      <w:r>
        <w:rPr>
          <w:rFonts w:eastAsiaTheme="minorHAnsi"/>
          <w:szCs w:val="22"/>
        </w:rPr>
        <w:t xml:space="preserve">. </w:t>
      </w:r>
      <w:r>
        <w:t>Under the ‘Digital First’ Program, further projects for specific business areas will follow in future financial years.</w:t>
      </w:r>
    </w:p>
    <w:tbl>
      <w:tblPr>
        <w:tblW w:w="8907" w:type="dxa"/>
        <w:tblInd w:w="137" w:type="dxa"/>
        <w:tblBorders>
          <w:top w:val="single" w:sz="4" w:space="0" w:color="9FBCD0"/>
          <w:left w:val="single" w:sz="4" w:space="0" w:color="86731E" w:themeColor="text1"/>
          <w:bottom w:val="single" w:sz="4" w:space="0" w:color="9FBCD0"/>
          <w:right w:val="single" w:sz="4" w:space="0" w:color="9FBCD0"/>
          <w:insideH w:val="single" w:sz="4" w:space="0" w:color="9FBCD0"/>
          <w:insideV w:val="single" w:sz="4" w:space="0" w:color="F2EAC6" w:themeColor="text1" w:themeTint="33"/>
        </w:tblBorders>
        <w:tblLayout w:type="fixed"/>
        <w:tblCellMar>
          <w:left w:w="0" w:type="dxa"/>
          <w:right w:w="0" w:type="dxa"/>
        </w:tblCellMar>
        <w:tblLook w:val="0000" w:firstRow="0" w:lastRow="0" w:firstColumn="0" w:lastColumn="0" w:noHBand="0" w:noVBand="0"/>
        <w:tblCaption w:val="Overview of Digital First"/>
        <w:tblDescription w:val="This table provides a quick overview of the Digital First initiative and provides its outcome and key points. "/>
      </w:tblPr>
      <w:tblGrid>
        <w:gridCol w:w="1691"/>
        <w:gridCol w:w="7216"/>
      </w:tblGrid>
      <w:tr w:rsidR="00FB4F2D" w:rsidRPr="001B0519" w14:paraId="164B7A6C" w14:textId="77777777" w:rsidTr="004C246A">
        <w:trPr>
          <w:trHeight w:val="60"/>
        </w:trPr>
        <w:tc>
          <w:tcPr>
            <w:tcW w:w="1691" w:type="dxa"/>
            <w:shd w:val="clear" w:color="auto" w:fill="003F5F"/>
            <w:tcMar>
              <w:top w:w="113" w:type="dxa"/>
              <w:left w:w="113" w:type="dxa"/>
              <w:bottom w:w="113" w:type="dxa"/>
              <w:right w:w="113" w:type="dxa"/>
            </w:tcMar>
            <w:vAlign w:val="center"/>
          </w:tcPr>
          <w:p w14:paraId="39CF0002" w14:textId="3EADAB7B" w:rsidR="00FB4F2D" w:rsidRPr="00507295" w:rsidRDefault="00FB4F2D" w:rsidP="002B0E41">
            <w:pPr>
              <w:rPr>
                <w:rStyle w:val="Strong"/>
                <w:color w:val="FFFFFF" w:themeColor="background1"/>
              </w:rPr>
            </w:pPr>
            <w:r w:rsidRPr="00507295">
              <w:rPr>
                <w:rStyle w:val="Strong"/>
                <w:color w:val="FFFFFF" w:themeColor="background1"/>
              </w:rPr>
              <w:t>Outcome</w:t>
            </w:r>
            <w:r w:rsidR="00507295" w:rsidRPr="00507295">
              <w:rPr>
                <w:rStyle w:val="Strong"/>
                <w:color w:val="FFFFFF" w:themeColor="background1"/>
              </w:rPr>
              <w:t>:</w:t>
            </w:r>
          </w:p>
        </w:tc>
        <w:tc>
          <w:tcPr>
            <w:tcW w:w="7216" w:type="dxa"/>
            <w:shd w:val="clear" w:color="auto" w:fill="auto"/>
            <w:tcMar>
              <w:top w:w="113" w:type="dxa"/>
              <w:left w:w="113" w:type="dxa"/>
              <w:bottom w:w="113" w:type="dxa"/>
              <w:right w:w="113" w:type="dxa"/>
            </w:tcMar>
            <w:vAlign w:val="center"/>
          </w:tcPr>
          <w:p w14:paraId="554013FB" w14:textId="4D3ED52C" w:rsidR="00FB4F2D" w:rsidRPr="001B0519" w:rsidRDefault="00D33551" w:rsidP="002B0E41">
            <w:pPr>
              <w:rPr>
                <w:rStyle w:val="Strong"/>
              </w:rPr>
            </w:pPr>
            <w:r>
              <w:rPr>
                <w:rStyle w:val="Strong"/>
              </w:rPr>
              <w:t>Delivered</w:t>
            </w:r>
          </w:p>
        </w:tc>
      </w:tr>
      <w:tr w:rsidR="00FB4F2D" w:rsidRPr="001B0519" w14:paraId="4A8F5473" w14:textId="77777777" w:rsidTr="004C246A">
        <w:trPr>
          <w:trHeight w:val="467"/>
        </w:trPr>
        <w:tc>
          <w:tcPr>
            <w:tcW w:w="1691" w:type="dxa"/>
            <w:shd w:val="clear" w:color="auto" w:fill="003F5F"/>
            <w:tcMar>
              <w:top w:w="113" w:type="dxa"/>
              <w:left w:w="113" w:type="dxa"/>
              <w:bottom w:w="113" w:type="dxa"/>
              <w:right w:w="113" w:type="dxa"/>
            </w:tcMar>
            <w:vAlign w:val="center"/>
          </w:tcPr>
          <w:p w14:paraId="68A44CD6" w14:textId="0B07A0BA" w:rsidR="00FB4F2D" w:rsidRPr="00507295" w:rsidRDefault="00507295" w:rsidP="002B0E41">
            <w:pPr>
              <w:rPr>
                <w:color w:val="FFFFFF" w:themeColor="background1"/>
                <w:lang w:val="en-GB" w:eastAsia="en-AU"/>
              </w:rPr>
            </w:pPr>
            <w:r w:rsidRPr="00507295">
              <w:rPr>
                <w:rStyle w:val="Strong"/>
                <w:color w:val="FFFFFF" w:themeColor="background1"/>
              </w:rPr>
              <w:t>Key points:</w:t>
            </w:r>
          </w:p>
        </w:tc>
        <w:tc>
          <w:tcPr>
            <w:tcW w:w="7216" w:type="dxa"/>
            <w:tcMar>
              <w:top w:w="113" w:type="dxa"/>
              <w:left w:w="113" w:type="dxa"/>
              <w:bottom w:w="113" w:type="dxa"/>
              <w:right w:w="113" w:type="dxa"/>
            </w:tcMar>
            <w:vAlign w:val="center"/>
          </w:tcPr>
          <w:p w14:paraId="50077E91" w14:textId="2F2EC9F8" w:rsidR="00FB4F2D" w:rsidRPr="00D33551" w:rsidRDefault="00D33551" w:rsidP="00DE4B4D">
            <w:pPr>
              <w:pStyle w:val="BulletListLevel1"/>
              <w:rPr>
                <w:color w:val="86731E" w:themeColor="text1"/>
              </w:rPr>
            </w:pPr>
            <w:r>
              <w:rPr>
                <w:rFonts w:eastAsiaTheme="minorHAnsi"/>
              </w:rPr>
              <w:t xml:space="preserve">The 2017/18 Regulatory Services component of the ‘Digital First’ initiative was successfully </w:t>
            </w:r>
            <w:r w:rsidR="00DE4B4D">
              <w:rPr>
                <w:rFonts w:eastAsiaTheme="minorHAnsi"/>
              </w:rPr>
              <w:t>completed</w:t>
            </w:r>
          </w:p>
        </w:tc>
      </w:tr>
    </w:tbl>
    <w:p w14:paraId="0BD49B43" w14:textId="5B2E2A24" w:rsidR="00B309BC" w:rsidRPr="004A7586" w:rsidRDefault="00DE4B4D" w:rsidP="004A7586">
      <w:pPr>
        <w:pStyle w:val="Heading3nonumber"/>
      </w:pPr>
      <w:bookmarkStart w:id="106" w:name="_Toc450900760"/>
      <w:r>
        <w:br/>
      </w:r>
      <w:bookmarkStart w:id="107" w:name="_Toc525121921"/>
      <w:r w:rsidR="00472D6E" w:rsidRPr="004A7586">
        <w:t>Initiative 3</w:t>
      </w:r>
      <w:r w:rsidR="00FB4F2D" w:rsidRPr="004A7586">
        <w:t xml:space="preserve">: </w:t>
      </w:r>
      <w:bookmarkEnd w:id="106"/>
      <w:r w:rsidR="00C66773">
        <w:rPr>
          <w:rFonts w:eastAsia="Calibri"/>
        </w:rPr>
        <w:t>2018–</w:t>
      </w:r>
      <w:r w:rsidR="004A7586" w:rsidRPr="004A7586">
        <w:rPr>
          <w:rFonts w:eastAsia="Calibri"/>
        </w:rPr>
        <w:t>2021 Strategic Plan</w:t>
      </w:r>
      <w:bookmarkEnd w:id="107"/>
    </w:p>
    <w:tbl>
      <w:tblPr>
        <w:tblW w:w="8987" w:type="dxa"/>
        <w:tblInd w:w="80"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Strategic Plan - Strategic goals"/>
        <w:tblDescription w:val="This table outlines which strategic goals new Strategic Initiatives align with. "/>
      </w:tblPr>
      <w:tblGrid>
        <w:gridCol w:w="8987"/>
      </w:tblGrid>
      <w:tr w:rsidR="00362CE7" w:rsidRPr="00630BE0" w14:paraId="7AEB39C4" w14:textId="77777777" w:rsidTr="004C246A">
        <w:trPr>
          <w:trHeight w:val="60"/>
        </w:trPr>
        <w:tc>
          <w:tcPr>
            <w:tcW w:w="8987" w:type="dxa"/>
            <w:shd w:val="clear" w:color="auto" w:fill="003F5F"/>
            <w:tcMar>
              <w:top w:w="113" w:type="dxa"/>
              <w:left w:w="80" w:type="dxa"/>
              <w:bottom w:w="113" w:type="dxa"/>
              <w:right w:w="80" w:type="dxa"/>
            </w:tcMar>
          </w:tcPr>
          <w:p w14:paraId="47C8BC43" w14:textId="0938DD09" w:rsidR="00362CE7" w:rsidRPr="00630BE0" w:rsidRDefault="00362CE7" w:rsidP="00587F69">
            <w:pPr>
              <w:rPr>
                <w:rStyle w:val="Strong"/>
              </w:rPr>
            </w:pPr>
            <w:r w:rsidRPr="00362CE7">
              <w:rPr>
                <w:rStyle w:val="Strong"/>
                <w:color w:val="FFFFFF" w:themeColor="background1"/>
              </w:rPr>
              <w:t>Th</w:t>
            </w:r>
            <w:r w:rsidR="00587F69">
              <w:rPr>
                <w:rStyle w:val="Strong"/>
                <w:color w:val="FFFFFF" w:themeColor="background1"/>
              </w:rPr>
              <w:t>is</w:t>
            </w:r>
            <w:r w:rsidRPr="00362CE7">
              <w:rPr>
                <w:rStyle w:val="Strong"/>
                <w:color w:val="FFFFFF" w:themeColor="background1"/>
              </w:rPr>
              <w:t xml:space="preserve"> initiative is aligned with WorkCover WA strategic goals:</w:t>
            </w:r>
          </w:p>
        </w:tc>
      </w:tr>
      <w:tr w:rsidR="00362CE7" w:rsidRPr="005D768A" w14:paraId="7E80F631" w14:textId="77777777" w:rsidTr="004C246A">
        <w:trPr>
          <w:trHeight w:val="825"/>
        </w:trPr>
        <w:tc>
          <w:tcPr>
            <w:tcW w:w="8987" w:type="dxa"/>
            <w:tcMar>
              <w:top w:w="113" w:type="dxa"/>
              <w:left w:w="80" w:type="dxa"/>
              <w:bottom w:w="113" w:type="dxa"/>
              <w:right w:w="80" w:type="dxa"/>
            </w:tcMar>
          </w:tcPr>
          <w:p w14:paraId="6E738702" w14:textId="7A4C2DC5" w:rsidR="00362CE7" w:rsidRDefault="004A7586" w:rsidP="00A37FDE">
            <w:pPr>
              <w:rPr>
                <w:rStyle w:val="Strong"/>
                <w:b w:val="0"/>
              </w:rPr>
            </w:pPr>
            <w:r>
              <w:rPr>
                <w:rStyle w:val="Strong"/>
                <w:b w:val="0"/>
              </w:rPr>
              <w:t>1 – Strategic scheme management</w:t>
            </w:r>
          </w:p>
          <w:p w14:paraId="76964925" w14:textId="7F856790" w:rsidR="004A7586" w:rsidRPr="00974740" w:rsidRDefault="00E8441B" w:rsidP="00A37FDE">
            <w:pPr>
              <w:rPr>
                <w:b/>
                <w:lang w:val="en-GB" w:eastAsia="en-AU"/>
              </w:rPr>
            </w:pPr>
            <w:r>
              <w:rPr>
                <w:rStyle w:val="Strong"/>
                <w:b w:val="0"/>
              </w:rPr>
              <w:t>3 – Agile and innovative organisation</w:t>
            </w:r>
            <w:r w:rsidR="004A7586">
              <w:rPr>
                <w:rStyle w:val="Strong"/>
                <w:b w:val="0"/>
              </w:rPr>
              <w:t xml:space="preserve"> </w:t>
            </w:r>
          </w:p>
        </w:tc>
      </w:tr>
    </w:tbl>
    <w:p w14:paraId="3471A96B" w14:textId="4E7B88C8" w:rsidR="00FB4F2D" w:rsidRPr="00952CCA" w:rsidRDefault="00FB4F2D" w:rsidP="00FB4F2D">
      <w:pPr>
        <w:rPr>
          <w:rFonts w:eastAsia="Calibri"/>
          <w:b/>
        </w:rPr>
      </w:pPr>
    </w:p>
    <w:p w14:paraId="23CC79BD" w14:textId="5F6F438A" w:rsidR="00165322" w:rsidRPr="000A6DEF" w:rsidRDefault="00165322" w:rsidP="00165322">
      <w:r>
        <w:t xml:space="preserve">The WorkCover WA Executive and Board held planning workshops in 2017/18 to develop content for </w:t>
      </w:r>
      <w:r w:rsidR="00C66773" w:rsidRPr="00C66773">
        <w:rPr>
          <w:i/>
        </w:rPr>
        <w:t>WorkCover WA’s</w:t>
      </w:r>
      <w:r w:rsidRPr="00C66773">
        <w:rPr>
          <w:i/>
        </w:rPr>
        <w:t xml:space="preserve"> </w:t>
      </w:r>
      <w:r w:rsidR="00C66773" w:rsidRPr="00C66773">
        <w:rPr>
          <w:i/>
        </w:rPr>
        <w:t>2018–</w:t>
      </w:r>
      <w:r w:rsidRPr="00C66773">
        <w:rPr>
          <w:i/>
        </w:rPr>
        <w:t>2021 Strategic Plan</w:t>
      </w:r>
      <w:r>
        <w:t>.</w:t>
      </w:r>
      <w:r w:rsidR="00DE4B4D">
        <w:t xml:space="preserve"> The new Plan will </w:t>
      </w:r>
      <w:r w:rsidR="00034184">
        <w:t xml:space="preserve">commence </w:t>
      </w:r>
      <w:r w:rsidR="00DE4B4D">
        <w:t xml:space="preserve">from 1 July 2018 and </w:t>
      </w:r>
      <w:r w:rsidR="00034184">
        <w:t>is</w:t>
      </w:r>
      <w:r w:rsidR="00DE4B4D">
        <w:t xml:space="preserve"> published on the WorkCover WA website.</w:t>
      </w:r>
    </w:p>
    <w:tbl>
      <w:tblPr>
        <w:tblW w:w="8931" w:type="dxa"/>
        <w:tblInd w:w="113"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Overview of Strategic Plan"/>
        <w:tblDescription w:val="This table provides a quick overview of the 2018-2021 Strategic Plan and provides its outcome and key points. "/>
      </w:tblPr>
      <w:tblGrid>
        <w:gridCol w:w="1715"/>
        <w:gridCol w:w="7216"/>
      </w:tblGrid>
      <w:tr w:rsidR="00FB4F2D" w:rsidRPr="001B0519" w14:paraId="7B0228A1" w14:textId="77777777" w:rsidTr="004C246A">
        <w:trPr>
          <w:trHeight w:val="60"/>
        </w:trPr>
        <w:tc>
          <w:tcPr>
            <w:tcW w:w="1715" w:type="dxa"/>
            <w:shd w:val="clear" w:color="auto" w:fill="003F5F"/>
            <w:tcMar>
              <w:top w:w="113" w:type="dxa"/>
              <w:left w:w="113" w:type="dxa"/>
              <w:bottom w:w="113" w:type="dxa"/>
              <w:right w:w="113" w:type="dxa"/>
            </w:tcMar>
            <w:vAlign w:val="center"/>
          </w:tcPr>
          <w:p w14:paraId="00CB47B2" w14:textId="3661E259" w:rsidR="00FB4F2D" w:rsidRPr="00832BD8" w:rsidRDefault="00FB4F2D" w:rsidP="002B0E41">
            <w:pPr>
              <w:rPr>
                <w:rStyle w:val="Strong"/>
                <w:color w:val="FFFFFF" w:themeColor="background1"/>
              </w:rPr>
            </w:pPr>
            <w:r w:rsidRPr="00832BD8">
              <w:rPr>
                <w:rStyle w:val="Strong"/>
                <w:color w:val="FFFFFF" w:themeColor="background1"/>
              </w:rPr>
              <w:t>Outcome</w:t>
            </w:r>
            <w:r w:rsidR="00832BD8" w:rsidRPr="00832BD8">
              <w:rPr>
                <w:rStyle w:val="Strong"/>
                <w:color w:val="FFFFFF" w:themeColor="background1"/>
              </w:rPr>
              <w:t>:</w:t>
            </w:r>
          </w:p>
        </w:tc>
        <w:tc>
          <w:tcPr>
            <w:tcW w:w="7216" w:type="dxa"/>
            <w:shd w:val="clear" w:color="auto" w:fill="auto"/>
            <w:tcMar>
              <w:top w:w="113" w:type="dxa"/>
              <w:left w:w="113" w:type="dxa"/>
              <w:bottom w:w="113" w:type="dxa"/>
              <w:right w:w="113" w:type="dxa"/>
            </w:tcMar>
            <w:vAlign w:val="center"/>
          </w:tcPr>
          <w:p w14:paraId="118A2034" w14:textId="7B6B9BC2" w:rsidR="00FB4F2D" w:rsidRPr="00832BD8" w:rsidRDefault="00165322" w:rsidP="002B0E41">
            <w:pPr>
              <w:rPr>
                <w:rStyle w:val="Strong"/>
                <w:b w:val="0"/>
                <w:color w:val="FF0000"/>
                <w:highlight w:val="yellow"/>
              </w:rPr>
            </w:pPr>
            <w:r w:rsidRPr="00165322">
              <w:rPr>
                <w:rStyle w:val="Strong"/>
                <w:b w:val="0"/>
              </w:rPr>
              <w:t>Delivered</w:t>
            </w:r>
          </w:p>
        </w:tc>
      </w:tr>
      <w:tr w:rsidR="00FB4F2D" w:rsidRPr="001B0519" w14:paraId="1DC5E31B" w14:textId="77777777" w:rsidTr="004C246A">
        <w:trPr>
          <w:trHeight w:val="467"/>
        </w:trPr>
        <w:tc>
          <w:tcPr>
            <w:tcW w:w="1715" w:type="dxa"/>
            <w:shd w:val="clear" w:color="auto" w:fill="003F5F"/>
            <w:tcMar>
              <w:top w:w="113" w:type="dxa"/>
              <w:left w:w="113" w:type="dxa"/>
              <w:bottom w:w="113" w:type="dxa"/>
              <w:right w:w="113" w:type="dxa"/>
            </w:tcMar>
            <w:vAlign w:val="center"/>
          </w:tcPr>
          <w:p w14:paraId="1CDDA79B" w14:textId="0A939A67" w:rsidR="00FB4F2D" w:rsidRPr="00485434" w:rsidRDefault="00832BD8" w:rsidP="002B0E41">
            <w:pPr>
              <w:rPr>
                <w:color w:val="FFFFFF" w:themeColor="background1"/>
                <w:lang w:val="en-GB" w:eastAsia="en-AU"/>
              </w:rPr>
            </w:pPr>
            <w:r w:rsidRPr="00485434">
              <w:rPr>
                <w:rStyle w:val="Strong"/>
                <w:color w:val="FFFFFF" w:themeColor="background1"/>
              </w:rPr>
              <w:t>Key points:</w:t>
            </w:r>
          </w:p>
        </w:tc>
        <w:tc>
          <w:tcPr>
            <w:tcW w:w="7216" w:type="dxa"/>
            <w:shd w:val="clear" w:color="auto" w:fill="auto"/>
            <w:tcMar>
              <w:top w:w="113" w:type="dxa"/>
              <w:left w:w="113" w:type="dxa"/>
              <w:bottom w:w="113" w:type="dxa"/>
              <w:right w:w="113" w:type="dxa"/>
            </w:tcMar>
            <w:vAlign w:val="center"/>
          </w:tcPr>
          <w:p w14:paraId="377EFD3D" w14:textId="31070B08" w:rsidR="00355FE3" w:rsidRPr="00485434" w:rsidRDefault="00C330B3" w:rsidP="00026A6F">
            <w:pPr>
              <w:pStyle w:val="BulletListLevel1"/>
              <w:numPr>
                <w:ilvl w:val="0"/>
                <w:numId w:val="39"/>
              </w:numPr>
            </w:pPr>
            <w:r w:rsidRPr="00C330B3">
              <w:rPr>
                <w:i/>
              </w:rPr>
              <w:t>WorkCover WA’s</w:t>
            </w:r>
            <w:r w:rsidR="00165322" w:rsidRPr="00C330B3">
              <w:rPr>
                <w:i/>
              </w:rPr>
              <w:t xml:space="preserve"> </w:t>
            </w:r>
            <w:r w:rsidRPr="00C330B3">
              <w:rPr>
                <w:i/>
              </w:rPr>
              <w:t>2018</w:t>
            </w:r>
            <w:r>
              <w:rPr>
                <w:i/>
              </w:rPr>
              <w:t xml:space="preserve">–2021 </w:t>
            </w:r>
            <w:r w:rsidR="00165322" w:rsidRPr="00DE4B4D">
              <w:rPr>
                <w:i/>
              </w:rPr>
              <w:t>Strategic Plan</w:t>
            </w:r>
            <w:r w:rsidR="00165322">
              <w:t xml:space="preserve"> </w:t>
            </w:r>
            <w:r w:rsidR="00DE4B4D">
              <w:t>will become</w:t>
            </w:r>
            <w:r w:rsidR="00165322">
              <w:t xml:space="preserve"> operational on 1 July 2018</w:t>
            </w:r>
          </w:p>
        </w:tc>
      </w:tr>
    </w:tbl>
    <w:p w14:paraId="26EF447C" w14:textId="3F0D9A7D" w:rsidR="00C7490E" w:rsidRPr="007D1495" w:rsidRDefault="00FB4F2D" w:rsidP="007D1495">
      <w:pPr>
        <w:pStyle w:val="Heading2nonumber"/>
      </w:pPr>
      <w:bookmarkStart w:id="108" w:name="_Toc450900671"/>
      <w:bookmarkStart w:id="109" w:name="_Toc525121922"/>
      <w:r w:rsidRPr="00A74E13">
        <w:t>Outlook for the future</w:t>
      </w:r>
      <w:bookmarkEnd w:id="108"/>
      <w:bookmarkEnd w:id="109"/>
      <w:r w:rsidRPr="00A74E13">
        <w:t xml:space="preserve"> </w:t>
      </w:r>
    </w:p>
    <w:p w14:paraId="3160413A" w14:textId="4A631E16" w:rsidR="00216120" w:rsidRPr="00F84A05" w:rsidRDefault="00216120" w:rsidP="00216120">
      <w:r>
        <w:t>WorkCover WA’</w:t>
      </w:r>
      <w:r w:rsidR="00125F60">
        <w:t xml:space="preserve">s </w:t>
      </w:r>
      <w:r w:rsidR="00951D2F">
        <w:t xml:space="preserve">new </w:t>
      </w:r>
      <w:r w:rsidR="00951D2F" w:rsidRPr="00951D2F">
        <w:rPr>
          <w:i/>
        </w:rPr>
        <w:t>2018-2021 Strategic Plan</w:t>
      </w:r>
      <w:r w:rsidR="00951D2F">
        <w:t xml:space="preserve"> identifies four strategic areas:</w:t>
      </w:r>
    </w:p>
    <w:tbl>
      <w:tblPr>
        <w:tblW w:w="8986"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8: 2018/19 Strategic Initiatives"/>
        <w:tblDescription w:val="This table outlines the goals and strategic initiatives for 2018/19. The initiatives focus around four key goals - scheme leadership and management, dispute resolution, regulation and capability. "/>
      </w:tblPr>
      <w:tblGrid>
        <w:gridCol w:w="1106"/>
        <w:gridCol w:w="7880"/>
      </w:tblGrid>
      <w:tr w:rsidR="003F33FF" w:rsidRPr="00AF4942" w14:paraId="6C0C8EBF" w14:textId="77777777" w:rsidTr="004C246A">
        <w:trPr>
          <w:trHeight w:val="60"/>
        </w:trPr>
        <w:tc>
          <w:tcPr>
            <w:tcW w:w="8986" w:type="dxa"/>
            <w:gridSpan w:val="2"/>
            <w:shd w:val="clear" w:color="auto" w:fill="003F5F"/>
            <w:tcMar>
              <w:top w:w="113" w:type="dxa"/>
              <w:left w:w="113" w:type="dxa"/>
              <w:bottom w:w="113" w:type="dxa"/>
              <w:right w:w="113" w:type="dxa"/>
            </w:tcMar>
            <w:vAlign w:val="center"/>
          </w:tcPr>
          <w:p w14:paraId="478C4A56" w14:textId="398AB6E9" w:rsidR="003F33FF" w:rsidRPr="00AF4942" w:rsidRDefault="003F33FF" w:rsidP="00951D2F">
            <w:pPr>
              <w:rPr>
                <w:rStyle w:val="Strong"/>
                <w:color w:val="FFFFFF" w:themeColor="background1"/>
              </w:rPr>
            </w:pPr>
            <w:r w:rsidRPr="004C246A">
              <w:rPr>
                <w:rStyle w:val="Strong"/>
                <w:color w:val="FFFFFF" w:themeColor="background1"/>
              </w:rPr>
              <w:t xml:space="preserve">Table </w:t>
            </w:r>
            <w:r w:rsidR="000C7D5B" w:rsidRPr="004C246A">
              <w:rPr>
                <w:rStyle w:val="Strong"/>
                <w:color w:val="FFFFFF" w:themeColor="background1"/>
              </w:rPr>
              <w:t>8</w:t>
            </w:r>
            <w:r w:rsidRPr="004C246A">
              <w:rPr>
                <w:rStyle w:val="Strong"/>
                <w:color w:val="FFFFFF" w:themeColor="background1"/>
              </w:rPr>
              <w:t xml:space="preserve">: </w:t>
            </w:r>
            <w:r w:rsidR="00724828" w:rsidRPr="00681E68">
              <w:rPr>
                <w:rStyle w:val="Strong"/>
                <w:color w:val="FFFFFF" w:themeColor="background1"/>
              </w:rPr>
              <w:t>S</w:t>
            </w:r>
            <w:r w:rsidRPr="00681E68">
              <w:rPr>
                <w:rStyle w:val="Strong"/>
                <w:color w:val="FFFFFF" w:themeColor="background1"/>
              </w:rPr>
              <w:t xml:space="preserve">trategic </w:t>
            </w:r>
            <w:r w:rsidR="00951D2F">
              <w:rPr>
                <w:rStyle w:val="Strong"/>
                <w:color w:val="FFFFFF" w:themeColor="background1"/>
              </w:rPr>
              <w:t xml:space="preserve">Focus Areas </w:t>
            </w:r>
            <w:r w:rsidRPr="00681E68">
              <w:rPr>
                <w:rStyle w:val="Strong"/>
                <w:color w:val="FFFFFF" w:themeColor="background1"/>
              </w:rPr>
              <w:t xml:space="preserve"> </w:t>
            </w:r>
          </w:p>
        </w:tc>
      </w:tr>
      <w:tr w:rsidR="003F33FF" w:rsidRPr="00A0000D" w14:paraId="1A0772CF" w14:textId="77777777" w:rsidTr="004C246A">
        <w:trPr>
          <w:trHeight w:val="651"/>
        </w:trPr>
        <w:tc>
          <w:tcPr>
            <w:tcW w:w="1106" w:type="dxa"/>
            <w:shd w:val="clear" w:color="auto" w:fill="CEDCE8"/>
            <w:tcMar>
              <w:top w:w="113" w:type="dxa"/>
              <w:left w:w="113" w:type="dxa"/>
              <w:bottom w:w="113" w:type="dxa"/>
              <w:right w:w="113" w:type="dxa"/>
            </w:tcMar>
            <w:vAlign w:val="center"/>
          </w:tcPr>
          <w:p w14:paraId="38CD167F" w14:textId="77777777" w:rsidR="003F33FF" w:rsidRPr="00A0000D" w:rsidRDefault="003F33FF" w:rsidP="00F72D69">
            <w:pPr>
              <w:rPr>
                <w:rStyle w:val="Strong"/>
              </w:rPr>
            </w:pPr>
            <w:r w:rsidRPr="00A0000D">
              <w:rPr>
                <w:rStyle w:val="Strong"/>
              </w:rPr>
              <w:t>Goals</w:t>
            </w:r>
          </w:p>
        </w:tc>
        <w:tc>
          <w:tcPr>
            <w:tcW w:w="7880" w:type="dxa"/>
            <w:shd w:val="clear" w:color="auto" w:fill="CEDCE8"/>
            <w:tcMar>
              <w:top w:w="113" w:type="dxa"/>
              <w:left w:w="113" w:type="dxa"/>
              <w:bottom w:w="113" w:type="dxa"/>
              <w:right w:w="113" w:type="dxa"/>
            </w:tcMar>
            <w:vAlign w:val="center"/>
          </w:tcPr>
          <w:p w14:paraId="2EE4C933" w14:textId="416FE64F" w:rsidR="003F33FF" w:rsidRPr="00A0000D" w:rsidRDefault="00951D2F" w:rsidP="00F72D69">
            <w:pPr>
              <w:rPr>
                <w:rStyle w:val="Strong"/>
              </w:rPr>
            </w:pPr>
            <w:r>
              <w:rPr>
                <w:rStyle w:val="Strong"/>
              </w:rPr>
              <w:t>Focus Area</w:t>
            </w:r>
          </w:p>
        </w:tc>
      </w:tr>
      <w:tr w:rsidR="003F33FF" w:rsidRPr="00931923" w14:paraId="183773F8" w14:textId="77777777" w:rsidTr="004C246A">
        <w:trPr>
          <w:trHeight w:val="980"/>
        </w:trPr>
        <w:tc>
          <w:tcPr>
            <w:tcW w:w="1106" w:type="dxa"/>
            <w:shd w:val="clear" w:color="auto" w:fill="CEDCE8"/>
            <w:tcMar>
              <w:top w:w="170" w:type="dxa"/>
              <w:left w:w="113" w:type="dxa"/>
              <w:bottom w:w="170" w:type="dxa"/>
              <w:right w:w="113" w:type="dxa"/>
            </w:tcMar>
            <w:vAlign w:val="center"/>
          </w:tcPr>
          <w:p w14:paraId="2ACC3B67" w14:textId="1C3C3471" w:rsidR="003F33FF" w:rsidRPr="009373F5" w:rsidRDefault="00461D28" w:rsidP="00F72D69">
            <w:pPr>
              <w:rPr>
                <w:rStyle w:val="Strong"/>
              </w:rPr>
            </w:pPr>
            <w:r>
              <w:rPr>
                <w:rStyle w:val="Strong"/>
              </w:rPr>
              <w:t>1</w:t>
            </w:r>
          </w:p>
        </w:tc>
        <w:tc>
          <w:tcPr>
            <w:tcW w:w="7880" w:type="dxa"/>
            <w:shd w:val="solid" w:color="FFFFFF" w:fill="auto"/>
            <w:tcMar>
              <w:top w:w="170" w:type="dxa"/>
              <w:left w:w="113" w:type="dxa"/>
              <w:bottom w:w="170" w:type="dxa"/>
              <w:right w:w="113" w:type="dxa"/>
            </w:tcMar>
            <w:vAlign w:val="center"/>
          </w:tcPr>
          <w:p w14:paraId="1E6788C8" w14:textId="77777777" w:rsidR="00FD12E1" w:rsidRDefault="003C78EF" w:rsidP="000948F6">
            <w:pPr>
              <w:rPr>
                <w:rFonts w:eastAsia="Calibri"/>
                <w:b/>
              </w:rPr>
            </w:pPr>
            <w:r>
              <w:rPr>
                <w:rFonts w:eastAsia="Calibri"/>
                <w:b/>
              </w:rPr>
              <w:t xml:space="preserve">Scheme Leadership and Management </w:t>
            </w:r>
          </w:p>
          <w:p w14:paraId="40D796D0" w14:textId="77777777" w:rsidR="003C78EF" w:rsidRDefault="003C78EF" w:rsidP="000948F6">
            <w:pPr>
              <w:rPr>
                <w:rFonts w:eastAsia="Calibri"/>
              </w:rPr>
            </w:pPr>
            <w:r>
              <w:rPr>
                <w:rFonts w:eastAsia="Calibri"/>
              </w:rPr>
              <w:t xml:space="preserve">Align scheme operations with a new workers’ compensation Act. </w:t>
            </w:r>
          </w:p>
          <w:p w14:paraId="01A3E388" w14:textId="77777777" w:rsidR="003C78EF" w:rsidRDefault="003C78EF" w:rsidP="000948F6">
            <w:pPr>
              <w:rPr>
                <w:rFonts w:eastAsia="Calibri"/>
              </w:rPr>
            </w:pPr>
            <w:r>
              <w:rPr>
                <w:rFonts w:eastAsia="Calibri"/>
              </w:rPr>
              <w:t xml:space="preserve">Continuously improve scheme services through advice, collaboration and support. </w:t>
            </w:r>
          </w:p>
          <w:p w14:paraId="0C8CFFA1" w14:textId="03E814DB" w:rsidR="003C78EF" w:rsidRPr="003C78EF" w:rsidRDefault="003C78EF" w:rsidP="000948F6">
            <w:pPr>
              <w:rPr>
                <w:rFonts w:eastAsia="Calibri"/>
              </w:rPr>
            </w:pPr>
            <w:r>
              <w:rPr>
                <w:rFonts w:eastAsia="Calibri"/>
              </w:rPr>
              <w:t xml:space="preserve">Respond to trends using business intelligence. </w:t>
            </w:r>
          </w:p>
        </w:tc>
      </w:tr>
      <w:tr w:rsidR="003F33FF" w:rsidRPr="00C7490E" w14:paraId="2FB82897" w14:textId="77777777" w:rsidTr="004C246A">
        <w:trPr>
          <w:trHeight w:val="980"/>
        </w:trPr>
        <w:tc>
          <w:tcPr>
            <w:tcW w:w="1106" w:type="dxa"/>
            <w:shd w:val="clear" w:color="auto" w:fill="CEDCE8"/>
            <w:tcMar>
              <w:top w:w="170" w:type="dxa"/>
              <w:left w:w="113" w:type="dxa"/>
              <w:bottom w:w="170" w:type="dxa"/>
              <w:right w:w="113" w:type="dxa"/>
            </w:tcMar>
            <w:vAlign w:val="center"/>
          </w:tcPr>
          <w:p w14:paraId="2268B894" w14:textId="075C885D" w:rsidR="003F33FF" w:rsidRPr="009373F5" w:rsidRDefault="00461D28" w:rsidP="00F72D69">
            <w:pPr>
              <w:rPr>
                <w:rStyle w:val="Strong"/>
              </w:rPr>
            </w:pPr>
            <w:r>
              <w:rPr>
                <w:rStyle w:val="Strong"/>
              </w:rPr>
              <w:t>2</w:t>
            </w:r>
          </w:p>
        </w:tc>
        <w:tc>
          <w:tcPr>
            <w:tcW w:w="7880" w:type="dxa"/>
            <w:shd w:val="solid" w:color="FFFFFF" w:fill="auto"/>
            <w:tcMar>
              <w:top w:w="170" w:type="dxa"/>
              <w:left w:w="113" w:type="dxa"/>
              <w:bottom w:w="170" w:type="dxa"/>
              <w:right w:w="113" w:type="dxa"/>
            </w:tcMar>
            <w:vAlign w:val="center"/>
          </w:tcPr>
          <w:p w14:paraId="7974D5F5" w14:textId="77777777" w:rsidR="00FD12E1" w:rsidRDefault="003C78EF" w:rsidP="00AA04ED">
            <w:pPr>
              <w:rPr>
                <w:b/>
                <w:szCs w:val="22"/>
              </w:rPr>
            </w:pPr>
            <w:r>
              <w:rPr>
                <w:b/>
                <w:szCs w:val="22"/>
              </w:rPr>
              <w:t xml:space="preserve">Dispute Resolution </w:t>
            </w:r>
          </w:p>
          <w:p w14:paraId="641B6431" w14:textId="77777777" w:rsidR="003C78EF" w:rsidRDefault="003C78EF" w:rsidP="00AA04ED">
            <w:pPr>
              <w:rPr>
                <w:szCs w:val="22"/>
              </w:rPr>
            </w:pPr>
            <w:r>
              <w:rPr>
                <w:szCs w:val="22"/>
              </w:rPr>
              <w:t xml:space="preserve">Implement online services for conciliation, arbitration and settlements. </w:t>
            </w:r>
          </w:p>
          <w:p w14:paraId="7875C371" w14:textId="4F41F1B1" w:rsidR="003C78EF" w:rsidRDefault="003C78EF" w:rsidP="00AA04ED">
            <w:pPr>
              <w:rPr>
                <w:szCs w:val="22"/>
              </w:rPr>
            </w:pPr>
            <w:r>
              <w:rPr>
                <w:szCs w:val="22"/>
              </w:rPr>
              <w:t xml:space="preserve">Implement </w:t>
            </w:r>
            <w:r w:rsidR="00EB65E5">
              <w:rPr>
                <w:szCs w:val="22"/>
              </w:rPr>
              <w:t>contemporary</w:t>
            </w:r>
            <w:r>
              <w:rPr>
                <w:szCs w:val="22"/>
              </w:rPr>
              <w:t xml:space="preserve"> approaches to dispute resolution. </w:t>
            </w:r>
          </w:p>
          <w:p w14:paraId="41DBFE50" w14:textId="66CC9527" w:rsidR="003C78EF" w:rsidRPr="003C78EF" w:rsidRDefault="003C78EF" w:rsidP="00AA04ED">
            <w:pPr>
              <w:rPr>
                <w:szCs w:val="22"/>
              </w:rPr>
            </w:pPr>
            <w:r>
              <w:rPr>
                <w:szCs w:val="22"/>
              </w:rPr>
              <w:t xml:space="preserve">Continue delivering effective and timely dispute resolution services. </w:t>
            </w:r>
          </w:p>
        </w:tc>
      </w:tr>
      <w:tr w:rsidR="003C78EF" w:rsidRPr="00C7490E" w14:paraId="473B5B14" w14:textId="77777777" w:rsidTr="004C246A">
        <w:trPr>
          <w:trHeight w:val="980"/>
        </w:trPr>
        <w:tc>
          <w:tcPr>
            <w:tcW w:w="1106" w:type="dxa"/>
            <w:shd w:val="clear" w:color="auto" w:fill="CEDCE8"/>
            <w:tcMar>
              <w:top w:w="170" w:type="dxa"/>
              <w:left w:w="113" w:type="dxa"/>
              <w:bottom w:w="170" w:type="dxa"/>
              <w:right w:w="113" w:type="dxa"/>
            </w:tcMar>
            <w:vAlign w:val="center"/>
          </w:tcPr>
          <w:p w14:paraId="3992D513" w14:textId="4B21F60A" w:rsidR="003C78EF" w:rsidRDefault="003C78EF" w:rsidP="00F72D69">
            <w:pPr>
              <w:rPr>
                <w:rStyle w:val="Strong"/>
              </w:rPr>
            </w:pPr>
            <w:r>
              <w:rPr>
                <w:rStyle w:val="Strong"/>
              </w:rPr>
              <w:t>3</w:t>
            </w:r>
          </w:p>
        </w:tc>
        <w:tc>
          <w:tcPr>
            <w:tcW w:w="7880" w:type="dxa"/>
            <w:shd w:val="solid" w:color="FFFFFF" w:fill="auto"/>
            <w:tcMar>
              <w:top w:w="170" w:type="dxa"/>
              <w:left w:w="113" w:type="dxa"/>
              <w:bottom w:w="170" w:type="dxa"/>
              <w:right w:w="113" w:type="dxa"/>
            </w:tcMar>
            <w:vAlign w:val="center"/>
          </w:tcPr>
          <w:p w14:paraId="70E8CD6C" w14:textId="77777777" w:rsidR="003C78EF" w:rsidRDefault="003C78EF" w:rsidP="00AA04ED">
            <w:pPr>
              <w:rPr>
                <w:b/>
                <w:szCs w:val="22"/>
              </w:rPr>
            </w:pPr>
            <w:r>
              <w:rPr>
                <w:b/>
                <w:szCs w:val="22"/>
              </w:rPr>
              <w:t>Regulation</w:t>
            </w:r>
          </w:p>
          <w:p w14:paraId="42DF21EB" w14:textId="77777777" w:rsidR="003C78EF" w:rsidRDefault="003C78EF" w:rsidP="00AA04ED">
            <w:pPr>
              <w:rPr>
                <w:szCs w:val="22"/>
              </w:rPr>
            </w:pPr>
            <w:r>
              <w:rPr>
                <w:szCs w:val="22"/>
              </w:rPr>
              <w:t xml:space="preserve">Enhance statutory compliance through targeted regulation. </w:t>
            </w:r>
          </w:p>
          <w:p w14:paraId="7820B07C" w14:textId="77777777" w:rsidR="003C78EF" w:rsidRDefault="003C78EF" w:rsidP="00AA04ED">
            <w:pPr>
              <w:rPr>
                <w:szCs w:val="22"/>
              </w:rPr>
            </w:pPr>
            <w:r>
              <w:rPr>
                <w:szCs w:val="22"/>
              </w:rPr>
              <w:t xml:space="preserve">Introduce contemporary investigation and regulatory approaches. </w:t>
            </w:r>
          </w:p>
          <w:p w14:paraId="5104FBC3" w14:textId="404936B8" w:rsidR="003C78EF" w:rsidRPr="003C78EF" w:rsidRDefault="003C78EF" w:rsidP="00AA04ED">
            <w:pPr>
              <w:rPr>
                <w:szCs w:val="22"/>
              </w:rPr>
            </w:pPr>
            <w:r>
              <w:rPr>
                <w:szCs w:val="22"/>
              </w:rPr>
              <w:t xml:space="preserve">Promote awareness of workers’ compensation and injury management. </w:t>
            </w:r>
          </w:p>
        </w:tc>
      </w:tr>
      <w:tr w:rsidR="003C78EF" w:rsidRPr="00C7490E" w14:paraId="49998444" w14:textId="77777777" w:rsidTr="004C246A">
        <w:trPr>
          <w:trHeight w:val="980"/>
        </w:trPr>
        <w:tc>
          <w:tcPr>
            <w:tcW w:w="1106" w:type="dxa"/>
            <w:shd w:val="clear" w:color="auto" w:fill="CEDCE8"/>
            <w:tcMar>
              <w:top w:w="170" w:type="dxa"/>
              <w:left w:w="113" w:type="dxa"/>
              <w:bottom w:w="170" w:type="dxa"/>
              <w:right w:w="113" w:type="dxa"/>
            </w:tcMar>
            <w:vAlign w:val="center"/>
          </w:tcPr>
          <w:p w14:paraId="6888C88D" w14:textId="217411CD" w:rsidR="003C78EF" w:rsidRDefault="003C78EF" w:rsidP="00F72D69">
            <w:pPr>
              <w:rPr>
                <w:rStyle w:val="Strong"/>
              </w:rPr>
            </w:pPr>
            <w:r>
              <w:rPr>
                <w:rStyle w:val="Strong"/>
              </w:rPr>
              <w:t>4</w:t>
            </w:r>
          </w:p>
        </w:tc>
        <w:tc>
          <w:tcPr>
            <w:tcW w:w="7880" w:type="dxa"/>
            <w:shd w:val="solid" w:color="FFFFFF" w:fill="auto"/>
            <w:tcMar>
              <w:top w:w="170" w:type="dxa"/>
              <w:left w:w="113" w:type="dxa"/>
              <w:bottom w:w="170" w:type="dxa"/>
              <w:right w:w="113" w:type="dxa"/>
            </w:tcMar>
            <w:vAlign w:val="center"/>
          </w:tcPr>
          <w:p w14:paraId="7CDBAAEE" w14:textId="77777777" w:rsidR="003C78EF" w:rsidRDefault="003C78EF" w:rsidP="00AA04ED">
            <w:pPr>
              <w:rPr>
                <w:b/>
                <w:szCs w:val="22"/>
              </w:rPr>
            </w:pPr>
            <w:r>
              <w:rPr>
                <w:b/>
                <w:szCs w:val="22"/>
              </w:rPr>
              <w:t>Capability</w:t>
            </w:r>
          </w:p>
          <w:p w14:paraId="3C7B5094" w14:textId="77777777" w:rsidR="003C78EF" w:rsidRDefault="003C78EF" w:rsidP="00AA04ED">
            <w:pPr>
              <w:rPr>
                <w:szCs w:val="22"/>
              </w:rPr>
            </w:pPr>
            <w:r>
              <w:rPr>
                <w:szCs w:val="22"/>
              </w:rPr>
              <w:t xml:space="preserve">Achieve efficiencies through customer focused technology and innovation. </w:t>
            </w:r>
          </w:p>
          <w:p w14:paraId="5D5CAE6C" w14:textId="77777777" w:rsidR="003C78EF" w:rsidRDefault="003C78EF" w:rsidP="00AA04ED">
            <w:pPr>
              <w:rPr>
                <w:szCs w:val="22"/>
              </w:rPr>
            </w:pPr>
            <w:r>
              <w:rPr>
                <w:szCs w:val="22"/>
              </w:rPr>
              <w:t xml:space="preserve">Increase the digital capability of staff through training and development. </w:t>
            </w:r>
          </w:p>
          <w:p w14:paraId="6282A8FB" w14:textId="547F3BC8" w:rsidR="003C78EF" w:rsidRPr="003C78EF" w:rsidRDefault="003C78EF" w:rsidP="00AA04ED">
            <w:pPr>
              <w:rPr>
                <w:szCs w:val="22"/>
              </w:rPr>
            </w:pPr>
            <w:r>
              <w:rPr>
                <w:szCs w:val="22"/>
              </w:rPr>
              <w:t xml:space="preserve">Improve staff capability and mobility. </w:t>
            </w:r>
          </w:p>
        </w:tc>
      </w:tr>
    </w:tbl>
    <w:p w14:paraId="3CD53008" w14:textId="479C5BEC" w:rsidR="00577015" w:rsidRPr="003F33FF" w:rsidRDefault="00577015" w:rsidP="003F33FF">
      <w:pPr>
        <w:pStyle w:val="Heading1nonumber"/>
      </w:pPr>
      <w:bookmarkStart w:id="110" w:name="_Toc399316926"/>
      <w:bookmarkStart w:id="111" w:name="_Toc426617418"/>
      <w:bookmarkStart w:id="112" w:name="_Toc450900633"/>
      <w:bookmarkStart w:id="113" w:name="_Toc525121923"/>
      <w:r w:rsidRPr="00A74E13">
        <w:t xml:space="preserve">Enabling </w:t>
      </w:r>
      <w:r w:rsidR="00854400" w:rsidRPr="00A74E13">
        <w:t>l</w:t>
      </w:r>
      <w:r w:rsidRPr="00A74E13">
        <w:t>egislation</w:t>
      </w:r>
      <w:bookmarkEnd w:id="110"/>
      <w:bookmarkEnd w:id="111"/>
      <w:bookmarkEnd w:id="112"/>
      <w:bookmarkEnd w:id="113"/>
    </w:p>
    <w:p w14:paraId="1882D7EC" w14:textId="77777777" w:rsidR="00B67ECC" w:rsidRPr="008F7A94" w:rsidRDefault="00B67ECC" w:rsidP="00B67ECC">
      <w:pPr>
        <w:rPr>
          <w:szCs w:val="22"/>
        </w:rPr>
      </w:pPr>
      <w:bookmarkStart w:id="114" w:name="_Toc399316927"/>
      <w:bookmarkStart w:id="115" w:name="_Toc426617419"/>
      <w:bookmarkStart w:id="116" w:name="_Toc450900634"/>
      <w:bookmarkStart w:id="117" w:name="_Toc399316928"/>
      <w:bookmarkStart w:id="118" w:name="_Toc426617420"/>
      <w:bookmarkStart w:id="119" w:name="_Toc450900635"/>
      <w:r w:rsidRPr="008F7A94">
        <w:rPr>
          <w:szCs w:val="22"/>
        </w:rPr>
        <w:t xml:space="preserve">The WorkCover Western Australia Authority is constituted under the Act. </w:t>
      </w:r>
      <w:bookmarkStart w:id="120" w:name="_Toc462145800"/>
      <w:r w:rsidRPr="008F7A94">
        <w:rPr>
          <w:szCs w:val="22"/>
        </w:rPr>
        <w:br/>
      </w:r>
      <w:r w:rsidRPr="008F7A94">
        <w:rPr>
          <w:szCs w:val="22"/>
        </w:rPr>
        <w:br/>
      </w:r>
      <w:r w:rsidRPr="008F7A94">
        <w:rPr>
          <w:rFonts w:eastAsiaTheme="majorEastAsia" w:cs="Arial"/>
          <w:b/>
          <w:bCs/>
          <w:iCs/>
          <w:szCs w:val="22"/>
        </w:rPr>
        <w:t>Legislation administered</w:t>
      </w:r>
      <w:bookmarkEnd w:id="114"/>
      <w:bookmarkEnd w:id="115"/>
      <w:bookmarkEnd w:id="116"/>
      <w:bookmarkEnd w:id="120"/>
    </w:p>
    <w:p w14:paraId="6EA227F0" w14:textId="77777777" w:rsidR="00B67ECC" w:rsidRPr="008F7A94" w:rsidRDefault="00B67ECC" w:rsidP="00B67ECC">
      <w:pPr>
        <w:shd w:val="clear" w:color="auto" w:fill="FFFFFF" w:themeFill="background1"/>
        <w:spacing w:before="120" w:after="0"/>
        <w:rPr>
          <w:rFonts w:cs="Arial"/>
          <w:szCs w:val="22"/>
        </w:rPr>
      </w:pPr>
      <w:r w:rsidRPr="008F7A94">
        <w:rPr>
          <w:rFonts w:cs="Arial"/>
          <w:szCs w:val="22"/>
        </w:rPr>
        <w:t>In the performance of its functions, WorkCover WA administers the following legislation:</w:t>
      </w:r>
      <w:r w:rsidRPr="008F7A94">
        <w:rPr>
          <w:rFonts w:cs="Arial"/>
          <w:szCs w:val="22"/>
        </w:rPr>
        <w:br/>
      </w:r>
    </w:p>
    <w:p w14:paraId="5DE30CA9" w14:textId="77777777" w:rsidR="00B67ECC" w:rsidRPr="008F7A94" w:rsidRDefault="00B67ECC" w:rsidP="00B67ECC">
      <w:pPr>
        <w:ind w:left="510" w:hanging="510"/>
        <w:rPr>
          <w:rFonts w:cs="Arial"/>
          <w:b/>
          <w:bCs/>
          <w:i/>
          <w:szCs w:val="22"/>
        </w:rPr>
      </w:pPr>
      <w:r w:rsidRPr="008F7A94">
        <w:rPr>
          <w:rFonts w:cs="Arial"/>
          <w:bCs/>
          <w:i/>
          <w:szCs w:val="22"/>
        </w:rPr>
        <w:t>Workers’ Compensation and Injury Management Act 1981</w:t>
      </w:r>
    </w:p>
    <w:p w14:paraId="6A698D94" w14:textId="77777777" w:rsidR="00B67ECC" w:rsidRPr="008F7A94" w:rsidRDefault="00B67ECC" w:rsidP="00B67ECC">
      <w:pPr>
        <w:ind w:left="510" w:hanging="510"/>
        <w:rPr>
          <w:rFonts w:cs="Arial"/>
          <w:b/>
          <w:bCs/>
          <w:i/>
          <w:szCs w:val="22"/>
        </w:rPr>
      </w:pPr>
      <w:r w:rsidRPr="008F7A94">
        <w:rPr>
          <w:rFonts w:cs="Arial"/>
          <w:bCs/>
          <w:i/>
          <w:szCs w:val="22"/>
        </w:rPr>
        <w:t>Employers’ Indemnity Supplementation Fund Act 1980</w:t>
      </w:r>
    </w:p>
    <w:p w14:paraId="6E694CF7" w14:textId="77777777" w:rsidR="00B67ECC" w:rsidRPr="008F7A94" w:rsidRDefault="00B67ECC" w:rsidP="00B67ECC">
      <w:pPr>
        <w:ind w:left="510" w:hanging="510"/>
        <w:rPr>
          <w:rFonts w:cs="Arial"/>
          <w:b/>
          <w:bCs/>
          <w:i/>
          <w:szCs w:val="22"/>
        </w:rPr>
      </w:pPr>
      <w:r w:rsidRPr="008F7A94">
        <w:rPr>
          <w:rFonts w:cs="Arial"/>
          <w:bCs/>
          <w:i/>
          <w:szCs w:val="22"/>
        </w:rPr>
        <w:t>Workers’ Compensation and Injury Management (Acts of Terrorism) Act 2001</w:t>
      </w:r>
    </w:p>
    <w:p w14:paraId="58BA96A4" w14:textId="77777777" w:rsidR="00B67ECC" w:rsidRPr="008F7A94" w:rsidRDefault="00B67ECC" w:rsidP="00B67ECC">
      <w:pPr>
        <w:ind w:left="510" w:hanging="510"/>
        <w:rPr>
          <w:rFonts w:cs="Arial"/>
          <w:b/>
          <w:bCs/>
          <w:i/>
          <w:szCs w:val="22"/>
        </w:rPr>
      </w:pPr>
      <w:r w:rsidRPr="008F7A94">
        <w:rPr>
          <w:rFonts w:cs="Arial"/>
          <w:bCs/>
          <w:i/>
          <w:szCs w:val="22"/>
        </w:rPr>
        <w:t>Workers’ Compensation (Common Law Proceedings) Act 2004</w:t>
      </w:r>
    </w:p>
    <w:p w14:paraId="0931F59C" w14:textId="77777777" w:rsidR="00B67ECC" w:rsidRPr="008F7A94" w:rsidRDefault="00B67ECC" w:rsidP="00B67ECC">
      <w:pPr>
        <w:ind w:left="510" w:hanging="510"/>
        <w:rPr>
          <w:rFonts w:cs="Arial"/>
          <w:b/>
          <w:bCs/>
          <w:i/>
          <w:szCs w:val="22"/>
        </w:rPr>
      </w:pPr>
      <w:r w:rsidRPr="008F7A94">
        <w:rPr>
          <w:rFonts w:cs="Arial"/>
          <w:bCs/>
          <w:i/>
          <w:szCs w:val="22"/>
        </w:rPr>
        <w:t>Waterfront Workers’ (Compensation for Asbestos Related Diseases) Act 1986</w:t>
      </w:r>
    </w:p>
    <w:p w14:paraId="5CA827F4" w14:textId="77777777" w:rsidR="00B67ECC" w:rsidRPr="00C30512" w:rsidRDefault="00B67ECC" w:rsidP="00B67ECC">
      <w:pPr>
        <w:ind w:left="510" w:hanging="510"/>
        <w:rPr>
          <w:rFonts w:cs="Arial"/>
          <w:bCs/>
          <w:szCs w:val="22"/>
        </w:rPr>
      </w:pPr>
      <w:r w:rsidRPr="008F7A94">
        <w:rPr>
          <w:rFonts w:cs="Arial"/>
          <w:bCs/>
          <w:i/>
          <w:szCs w:val="22"/>
        </w:rPr>
        <w:t>Employers’ Indemnity Policies (Premium Rates) Act 1990</w:t>
      </w:r>
    </w:p>
    <w:p w14:paraId="3A11A404" w14:textId="77777777" w:rsidR="00B67ECC" w:rsidRPr="008F7A94" w:rsidRDefault="00B67ECC" w:rsidP="00B67ECC">
      <w:pPr>
        <w:keepNext/>
        <w:tabs>
          <w:tab w:val="left" w:pos="2220"/>
        </w:tabs>
        <w:spacing w:before="60" w:line="240" w:lineRule="auto"/>
        <w:outlineLvl w:val="3"/>
        <w:rPr>
          <w:rFonts w:cs="Arial"/>
          <w:b/>
          <w:bCs/>
          <w:szCs w:val="22"/>
          <w:lang w:val="en-US" w:eastAsia="en-AU"/>
        </w:rPr>
      </w:pPr>
      <w:r w:rsidRPr="008F7A94">
        <w:rPr>
          <w:rFonts w:cs="Arial"/>
          <w:b/>
          <w:bCs/>
          <w:szCs w:val="22"/>
          <w:lang w:val="en-US" w:eastAsia="en-AU"/>
        </w:rPr>
        <w:t>Subsidiary legislation</w:t>
      </w:r>
    </w:p>
    <w:p w14:paraId="51CE0844" w14:textId="77777777" w:rsidR="00B67ECC" w:rsidRPr="008F7A94" w:rsidRDefault="00B67ECC" w:rsidP="00B67ECC">
      <w:pPr>
        <w:ind w:left="510" w:hanging="510"/>
        <w:rPr>
          <w:rFonts w:cs="Arial"/>
          <w:b/>
          <w:bCs/>
          <w:i/>
          <w:szCs w:val="22"/>
        </w:rPr>
      </w:pPr>
      <w:r w:rsidRPr="008F7A94">
        <w:rPr>
          <w:rFonts w:cs="Arial"/>
          <w:bCs/>
          <w:i/>
          <w:szCs w:val="22"/>
        </w:rPr>
        <w:t>Workers’ Compensation and Injury Management Regulations 1982</w:t>
      </w:r>
    </w:p>
    <w:p w14:paraId="681FF83C" w14:textId="77777777" w:rsidR="00B67ECC" w:rsidRPr="008F7A94" w:rsidRDefault="00B67ECC" w:rsidP="00B67ECC">
      <w:pPr>
        <w:ind w:left="510" w:hanging="510"/>
        <w:rPr>
          <w:rFonts w:cs="Arial"/>
          <w:b/>
          <w:bCs/>
          <w:i/>
          <w:szCs w:val="22"/>
        </w:rPr>
      </w:pPr>
      <w:r w:rsidRPr="008F7A94">
        <w:rPr>
          <w:rFonts w:cs="Arial"/>
          <w:bCs/>
          <w:i/>
          <w:szCs w:val="22"/>
        </w:rPr>
        <w:t>Workers’ Compensation Code of Practice (Injury Management) 2005</w:t>
      </w:r>
    </w:p>
    <w:p w14:paraId="2D830657" w14:textId="77777777" w:rsidR="00B67ECC" w:rsidRPr="008F7A94" w:rsidRDefault="00B67ECC" w:rsidP="00B67ECC">
      <w:pPr>
        <w:ind w:left="510" w:hanging="510"/>
        <w:rPr>
          <w:rFonts w:cs="Arial"/>
          <w:b/>
          <w:bCs/>
          <w:i/>
          <w:szCs w:val="22"/>
        </w:rPr>
      </w:pPr>
      <w:r w:rsidRPr="008F7A94">
        <w:rPr>
          <w:rFonts w:cs="Arial"/>
          <w:bCs/>
          <w:i/>
          <w:szCs w:val="22"/>
        </w:rPr>
        <w:t>Workers’ Compensation and Injury Management (Scales of Fees) Regulations 1998</w:t>
      </w:r>
    </w:p>
    <w:p w14:paraId="16970AB4" w14:textId="77777777" w:rsidR="00B67ECC" w:rsidRPr="008F7A94" w:rsidRDefault="00B67ECC" w:rsidP="00B67ECC">
      <w:pPr>
        <w:rPr>
          <w:rFonts w:cs="Arial"/>
          <w:b/>
          <w:bCs/>
          <w:i/>
          <w:szCs w:val="22"/>
        </w:rPr>
      </w:pPr>
      <w:r w:rsidRPr="008F7A94">
        <w:rPr>
          <w:rFonts w:cs="Arial"/>
          <w:bCs/>
          <w:i/>
          <w:szCs w:val="22"/>
        </w:rPr>
        <w:t>Workers’ Compensation (Legal Practitioners and Registered Agents) Costs Determination 2015</w:t>
      </w:r>
    </w:p>
    <w:p w14:paraId="3B825FBA" w14:textId="77777777" w:rsidR="00B67ECC" w:rsidRPr="008F7A94" w:rsidRDefault="00B67ECC" w:rsidP="00B67ECC">
      <w:pPr>
        <w:rPr>
          <w:rFonts w:cs="Arial"/>
          <w:b/>
          <w:bCs/>
          <w:i/>
          <w:szCs w:val="22"/>
        </w:rPr>
      </w:pPr>
      <w:r w:rsidRPr="008F7A94">
        <w:rPr>
          <w:rFonts w:cs="Arial"/>
          <w:bCs/>
          <w:i/>
          <w:szCs w:val="22"/>
        </w:rPr>
        <w:t>Workers’ Compensation and Rehabilitation (Acts of Terrorism) (Final Day) Regulations 2002</w:t>
      </w:r>
    </w:p>
    <w:p w14:paraId="5CE37094" w14:textId="67BE2350" w:rsidR="00B67ECC" w:rsidRDefault="00B67ECC" w:rsidP="00B67ECC">
      <w:pPr>
        <w:rPr>
          <w:i/>
        </w:rPr>
      </w:pPr>
      <w:r w:rsidRPr="00B67ECC">
        <w:rPr>
          <w:i/>
        </w:rPr>
        <w:t xml:space="preserve">WorkCover Western Australia Guides for the Evaluation of Permanent Impairment – </w:t>
      </w:r>
      <w:r>
        <w:rPr>
          <w:i/>
        </w:rPr>
        <w:t>Fourth Edition</w:t>
      </w:r>
    </w:p>
    <w:p w14:paraId="1D79CED2" w14:textId="77777777" w:rsidR="00B67ECC" w:rsidRPr="008F7A94" w:rsidRDefault="00B67ECC" w:rsidP="00B67ECC">
      <w:pPr>
        <w:ind w:left="510" w:hanging="510"/>
        <w:rPr>
          <w:rFonts w:cs="Arial"/>
          <w:b/>
          <w:bCs/>
          <w:i/>
          <w:szCs w:val="22"/>
        </w:rPr>
      </w:pPr>
      <w:r w:rsidRPr="008F7A94">
        <w:rPr>
          <w:rFonts w:cs="Arial"/>
          <w:bCs/>
          <w:i/>
          <w:szCs w:val="22"/>
        </w:rPr>
        <w:t>Workers’ Compensation and Injury Management Conciliation Rules 2011</w:t>
      </w:r>
    </w:p>
    <w:p w14:paraId="1FB11962" w14:textId="46CD200C" w:rsidR="00EF7C91" w:rsidRPr="00EF7C91" w:rsidRDefault="00B67ECC" w:rsidP="00EF7C91">
      <w:pPr>
        <w:ind w:left="510" w:hanging="510"/>
        <w:rPr>
          <w:rFonts w:cs="Arial"/>
          <w:bCs/>
          <w:i/>
        </w:rPr>
      </w:pPr>
      <w:r w:rsidRPr="00B95C80">
        <w:rPr>
          <w:rFonts w:cs="Arial"/>
          <w:bCs/>
          <w:i/>
        </w:rPr>
        <w:t>Workers’ Compensation and Injury Management Arbitration Rules 2011</w:t>
      </w:r>
    </w:p>
    <w:p w14:paraId="6301818B" w14:textId="1AD685F4" w:rsidR="00EF7C91" w:rsidRPr="00EF7C91" w:rsidRDefault="00EF7C91" w:rsidP="00EF7C91">
      <w:pPr>
        <w:rPr>
          <w:b/>
          <w:lang w:val="en-GB" w:eastAsia="en-AU"/>
        </w:rPr>
      </w:pPr>
      <w:r w:rsidRPr="00EF7C91">
        <w:rPr>
          <w:b/>
          <w:lang w:val="en-GB" w:eastAsia="en-AU"/>
        </w:rPr>
        <w:t xml:space="preserve">WorkCover WA complies with all other State and Federal legislation impacting on its activities. </w:t>
      </w:r>
    </w:p>
    <w:p w14:paraId="6A6D622E" w14:textId="1C62B390" w:rsidR="003F5AA9" w:rsidRPr="00A74E13" w:rsidRDefault="003F5AA9" w:rsidP="00B67ECC">
      <w:pPr>
        <w:pStyle w:val="Heading1nonumber"/>
      </w:pPr>
      <w:bookmarkStart w:id="121" w:name="_Toc525121924"/>
      <w:r w:rsidRPr="00A74E13">
        <w:t>Governance</w:t>
      </w:r>
      <w:bookmarkEnd w:id="117"/>
      <w:bookmarkEnd w:id="118"/>
      <w:bookmarkEnd w:id="119"/>
      <w:bookmarkEnd w:id="121"/>
    </w:p>
    <w:p w14:paraId="725893AB" w14:textId="0D5E280B" w:rsidR="00850D7E" w:rsidRDefault="00850D7E" w:rsidP="00850D7E">
      <w:pPr>
        <w:pStyle w:val="Heading2nonumber"/>
      </w:pPr>
      <w:bookmarkStart w:id="122" w:name="_Toc525121925"/>
      <w:bookmarkStart w:id="123" w:name="_Toc399316929"/>
      <w:bookmarkStart w:id="124" w:name="_Toc426617421"/>
      <w:bookmarkStart w:id="125" w:name="_Toc450900636"/>
      <w:r>
        <w:t>Governance framework</w:t>
      </w:r>
      <w:bookmarkEnd w:id="122"/>
    </w:p>
    <w:p w14:paraId="4B260A18" w14:textId="26549349" w:rsidR="00850D7E" w:rsidRPr="00850D7E" w:rsidRDefault="00850D7E" w:rsidP="00850D7E">
      <w:r>
        <w:t>WorkCover WA maintains a Governance Framework aligned to the Public Sector Commission’s Good Governance Guide. The Framework forms the foundation for all of WorkCover WA’s planning, reporting and governance needs</w:t>
      </w:r>
      <w:r w:rsidR="002010B7">
        <w:t>,</w:t>
      </w:r>
      <w:r>
        <w:t xml:space="preserve"> and draws from a number of sources to ensure relevant documents and plans are aligned with organisational and government goals. It also links service areas and projects to the vis</w:t>
      </w:r>
      <w:r w:rsidR="00597612">
        <w:t>i</w:t>
      </w:r>
      <w:r>
        <w:t>on, purpose</w:t>
      </w:r>
      <w:r w:rsidR="00A05C3C">
        <w:t xml:space="preserve"> and objectives of WorkCover WA.</w:t>
      </w:r>
    </w:p>
    <w:p w14:paraId="015C7D92" w14:textId="77777777" w:rsidR="003F5AA9" w:rsidRDefault="003F5AA9" w:rsidP="00774708">
      <w:pPr>
        <w:pStyle w:val="Heading2nonumber"/>
      </w:pPr>
      <w:bookmarkStart w:id="126" w:name="_Toc525121926"/>
      <w:r w:rsidRPr="00A74E13">
        <w:t>Delegation of authority</w:t>
      </w:r>
      <w:bookmarkEnd w:id="123"/>
      <w:bookmarkEnd w:id="124"/>
      <w:bookmarkEnd w:id="125"/>
      <w:bookmarkEnd w:id="126"/>
    </w:p>
    <w:p w14:paraId="59F3E523" w14:textId="0940E56D" w:rsidR="000257D5" w:rsidRDefault="00822C7B" w:rsidP="00822C7B">
      <w:pPr>
        <w:rPr>
          <w:lang w:val="en-GB" w:eastAsia="en-AU"/>
        </w:rPr>
      </w:pPr>
      <w:bookmarkStart w:id="127" w:name="_Toc426617422"/>
      <w:bookmarkStart w:id="128" w:name="_Toc450900637"/>
      <w:r w:rsidRPr="00EB0DCE">
        <w:rPr>
          <w:lang w:val="en-GB" w:eastAsia="en-AU"/>
        </w:rPr>
        <w:t xml:space="preserve">To contribute to the effectiveness of the Board and meet specific legislative obligations, an Audit and Risk Management Committee, </w:t>
      </w:r>
      <w:r>
        <w:rPr>
          <w:lang w:val="en-GB" w:eastAsia="en-AU"/>
        </w:rPr>
        <w:t xml:space="preserve">a </w:t>
      </w:r>
      <w:r w:rsidRPr="00EB0DCE">
        <w:rPr>
          <w:lang w:val="en-GB" w:eastAsia="en-AU"/>
        </w:rPr>
        <w:t xml:space="preserve">Costs Committee and </w:t>
      </w:r>
      <w:r>
        <w:rPr>
          <w:lang w:val="en-GB" w:eastAsia="en-AU"/>
        </w:rPr>
        <w:t xml:space="preserve">a </w:t>
      </w:r>
      <w:r w:rsidRPr="002E206E">
        <w:rPr>
          <w:lang w:val="en-GB" w:eastAsia="en-AU"/>
        </w:rPr>
        <w:t>Medical Committee are</w:t>
      </w:r>
      <w:r w:rsidRPr="00EB0DCE">
        <w:rPr>
          <w:lang w:val="en-GB" w:eastAsia="en-AU"/>
        </w:rPr>
        <w:t xml:space="preserve"> established. </w:t>
      </w:r>
      <w:r w:rsidR="000257D5">
        <w:rPr>
          <w:lang w:val="en-GB" w:eastAsia="en-AU"/>
        </w:rPr>
        <w:t>At its August 2017 meeting, the Board resolved to suspend the operation of the Medical Committee</w:t>
      </w:r>
      <w:r w:rsidR="000257D5" w:rsidRPr="00EB0DCE">
        <w:rPr>
          <w:lang w:val="en-GB" w:eastAsia="en-AU"/>
        </w:rPr>
        <w:t xml:space="preserve"> </w:t>
      </w:r>
      <w:r w:rsidR="000257D5">
        <w:rPr>
          <w:lang w:val="en-GB" w:eastAsia="en-AU"/>
        </w:rPr>
        <w:t>pending the outcome of the legislative review process.</w:t>
      </w:r>
    </w:p>
    <w:p w14:paraId="40A335AD" w14:textId="7CAA4C3F" w:rsidR="00822C7B" w:rsidRDefault="00822C7B" w:rsidP="00822C7B">
      <w:pPr>
        <w:rPr>
          <w:lang w:val="en-GB" w:eastAsia="en-AU"/>
        </w:rPr>
      </w:pPr>
      <w:r w:rsidRPr="00EB0DCE">
        <w:rPr>
          <w:lang w:val="en-GB" w:eastAsia="en-AU"/>
        </w:rPr>
        <w:t xml:space="preserve">These committees provide objective </w:t>
      </w:r>
      <w:r>
        <w:rPr>
          <w:lang w:val="en-GB" w:eastAsia="en-AU"/>
        </w:rPr>
        <w:t xml:space="preserve">review, </w:t>
      </w:r>
      <w:r w:rsidRPr="00EB0DCE">
        <w:rPr>
          <w:lang w:val="en-GB" w:eastAsia="en-AU"/>
        </w:rPr>
        <w:t xml:space="preserve">administration and advice on discrete elements of the scheme. </w:t>
      </w:r>
    </w:p>
    <w:p w14:paraId="0FECD60A" w14:textId="77777777" w:rsidR="00F419AD" w:rsidRPr="00EB0DCE" w:rsidRDefault="00F419AD" w:rsidP="00F419AD">
      <w:pPr>
        <w:rPr>
          <w:lang w:val="en-GB" w:eastAsia="en-AU"/>
        </w:rPr>
      </w:pPr>
      <w:r w:rsidRPr="00EB0DCE">
        <w:rPr>
          <w:lang w:val="en-GB" w:eastAsia="en-AU"/>
        </w:rPr>
        <w:t>As part of governance arrangements, these committees are supported by:</w:t>
      </w:r>
    </w:p>
    <w:p w14:paraId="0BDBF409" w14:textId="77777777" w:rsidR="00F419AD" w:rsidRPr="00F419AD" w:rsidRDefault="00F419AD" w:rsidP="00F419AD">
      <w:pPr>
        <w:pStyle w:val="BulletListLevel1"/>
      </w:pPr>
      <w:r w:rsidRPr="00F419AD">
        <w:t>documented terms of reference/standing orders</w:t>
      </w:r>
    </w:p>
    <w:p w14:paraId="102DABCE" w14:textId="77777777" w:rsidR="00F419AD" w:rsidRPr="00F419AD" w:rsidRDefault="00F419AD" w:rsidP="00F419AD">
      <w:pPr>
        <w:pStyle w:val="BulletListLevel1"/>
      </w:pPr>
      <w:r w:rsidRPr="00F419AD">
        <w:t>an appointed Chair who is also a Board member</w:t>
      </w:r>
    </w:p>
    <w:p w14:paraId="4324A998" w14:textId="77777777" w:rsidR="00F419AD" w:rsidRPr="00F419AD" w:rsidRDefault="00F419AD" w:rsidP="00F419AD">
      <w:pPr>
        <w:pStyle w:val="BulletListLevel1"/>
      </w:pPr>
      <w:r w:rsidRPr="00F419AD">
        <w:t>committee members with expertise relevant to their respective roles</w:t>
      </w:r>
    </w:p>
    <w:p w14:paraId="708B090D" w14:textId="77777777" w:rsidR="00F419AD" w:rsidRPr="00F419AD" w:rsidRDefault="00F419AD" w:rsidP="00F419AD">
      <w:pPr>
        <w:pStyle w:val="BulletListLevel1"/>
      </w:pPr>
      <w:r w:rsidRPr="00F419AD">
        <w:t>mechanisms for regular reporting to the Board</w:t>
      </w:r>
    </w:p>
    <w:p w14:paraId="20E739F3" w14:textId="77777777" w:rsidR="00F419AD" w:rsidRPr="00F419AD" w:rsidRDefault="00F419AD" w:rsidP="00F419AD">
      <w:pPr>
        <w:pStyle w:val="BulletListLevel1"/>
      </w:pPr>
      <w:r w:rsidRPr="00F419AD">
        <w:t>appropriate administrative resources.</w:t>
      </w:r>
    </w:p>
    <w:p w14:paraId="61A6ED6D" w14:textId="62126821" w:rsidR="00F419AD" w:rsidRDefault="00F419AD" w:rsidP="00F419AD">
      <w:r w:rsidRPr="00EB0DCE">
        <w:t xml:space="preserve">WorkCover WA maintains a Manual of Delegations, Authorisations and Powers </w:t>
      </w:r>
      <w:r w:rsidR="00822C7B">
        <w:t xml:space="preserve">which outlines the scope of authority </w:t>
      </w:r>
      <w:r w:rsidRPr="00EB0DCE">
        <w:t>assigned to various officers under relevant governing legislation. The manual is reviewed annually</w:t>
      </w:r>
      <w:r w:rsidR="002010B7">
        <w:t>,</w:t>
      </w:r>
      <w:r w:rsidRPr="00EB0DCE">
        <w:t xml:space="preserve"> or as required, and the Board is kept informed of all management strategies and ongoing activities relevant to its delegated powers.</w:t>
      </w:r>
    </w:p>
    <w:p w14:paraId="25D79188" w14:textId="10A84824" w:rsidR="007F21E7" w:rsidRPr="00EB0DCE" w:rsidRDefault="007F21E7" w:rsidP="00F419AD">
      <w:r>
        <w:rPr>
          <w:lang w:val="en-GB" w:eastAsia="en-AU"/>
        </w:rPr>
        <w:t xml:space="preserve">Refer </w:t>
      </w:r>
      <w:r w:rsidRPr="00063763">
        <w:rPr>
          <w:lang w:val="en-GB" w:eastAsia="en-AU"/>
        </w:rPr>
        <w:t xml:space="preserve">to </w:t>
      </w:r>
      <w:r w:rsidRPr="005225AA">
        <w:rPr>
          <w:lang w:val="en-GB" w:eastAsia="en-AU"/>
        </w:rPr>
        <w:t xml:space="preserve">page </w:t>
      </w:r>
      <w:r w:rsidR="005225AA" w:rsidRPr="005225AA">
        <w:rPr>
          <w:lang w:val="en-GB" w:eastAsia="en-AU"/>
        </w:rPr>
        <w:t>134</w:t>
      </w:r>
      <w:r w:rsidRPr="005225AA">
        <w:rPr>
          <w:lang w:val="en-GB" w:eastAsia="en-AU"/>
        </w:rPr>
        <w:t xml:space="preserve"> </w:t>
      </w:r>
      <w:r w:rsidRPr="00A01C4E">
        <w:rPr>
          <w:lang w:val="en-GB" w:eastAsia="en-AU"/>
        </w:rPr>
        <w:t>under ‘Committees</w:t>
      </w:r>
      <w:r w:rsidRPr="00A01C4E">
        <w:rPr>
          <w:shd w:val="clear" w:color="auto" w:fill="FFFFFF" w:themeFill="background1"/>
          <w:lang w:val="en-GB" w:eastAsia="en-AU"/>
        </w:rPr>
        <w:t xml:space="preserve">’ in </w:t>
      </w:r>
      <w:r w:rsidRPr="00A01C4E">
        <w:rPr>
          <w:i/>
          <w:shd w:val="clear" w:color="auto" w:fill="FFFFFF" w:themeFill="background1"/>
          <w:lang w:val="en-GB" w:eastAsia="en-AU"/>
        </w:rPr>
        <w:t>Section 5: Disclosures and legal compliance</w:t>
      </w:r>
      <w:r w:rsidRPr="00A01C4E">
        <w:rPr>
          <w:shd w:val="clear" w:color="auto" w:fill="FFFFFF" w:themeFill="background1"/>
          <w:lang w:val="en-GB" w:eastAsia="en-AU"/>
        </w:rPr>
        <w:t xml:space="preserve"> </w:t>
      </w:r>
      <w:r>
        <w:rPr>
          <w:shd w:val="clear" w:color="auto" w:fill="FFFFFF" w:themeFill="background1"/>
          <w:lang w:val="en-GB" w:eastAsia="en-AU"/>
        </w:rPr>
        <w:t>for full disclosures on these</w:t>
      </w:r>
      <w:r w:rsidRPr="00291DA6">
        <w:rPr>
          <w:shd w:val="clear" w:color="auto" w:fill="FFFFFF" w:themeFill="background1"/>
          <w:lang w:val="en-GB" w:eastAsia="en-AU"/>
        </w:rPr>
        <w:t xml:space="preserve"> Committee</w:t>
      </w:r>
      <w:r>
        <w:rPr>
          <w:shd w:val="clear" w:color="auto" w:fill="FFFFFF" w:themeFill="background1"/>
          <w:lang w:val="en-GB" w:eastAsia="en-AU"/>
        </w:rPr>
        <w:t>s</w:t>
      </w:r>
      <w:r w:rsidRPr="00291DA6">
        <w:rPr>
          <w:shd w:val="clear" w:color="auto" w:fill="FFFFFF" w:themeFill="background1"/>
          <w:lang w:val="en-GB" w:eastAsia="en-AU"/>
        </w:rPr>
        <w:t>.</w:t>
      </w:r>
    </w:p>
    <w:p w14:paraId="32C98292" w14:textId="66972E16" w:rsidR="003F5AA9" w:rsidRPr="00A74E13" w:rsidRDefault="00C85A58" w:rsidP="00FD672E">
      <w:pPr>
        <w:pStyle w:val="Heading3nonumber"/>
      </w:pPr>
      <w:bookmarkStart w:id="129" w:name="_Toc525121927"/>
      <w:r w:rsidRPr="00A74E13">
        <w:t xml:space="preserve">Audit </w:t>
      </w:r>
      <w:r w:rsidR="00233657">
        <w:t xml:space="preserve">and Risk Management </w:t>
      </w:r>
      <w:r w:rsidRPr="00A74E13">
        <w:t>Committee</w:t>
      </w:r>
      <w:bookmarkEnd w:id="127"/>
      <w:bookmarkEnd w:id="128"/>
      <w:bookmarkEnd w:id="129"/>
    </w:p>
    <w:p w14:paraId="59B8BB35" w14:textId="77777777" w:rsidR="0047009D" w:rsidRPr="00A74E13" w:rsidRDefault="0047009D" w:rsidP="0047009D">
      <w:bookmarkStart w:id="130" w:name="_Toc426617423"/>
      <w:bookmarkStart w:id="131" w:name="_Toc450900638"/>
      <w:r w:rsidRPr="00A74E13">
        <w:t>Th</w:t>
      </w:r>
      <w:r w:rsidRPr="00401CE5">
        <w:t>e Audit and Risk Management Committee</w:t>
      </w:r>
      <w:r>
        <w:t xml:space="preserve"> </w:t>
      </w:r>
      <w:r w:rsidRPr="00A74E13">
        <w:t xml:space="preserve">provides assurance and assistance to the Board on </w:t>
      </w:r>
      <w:r>
        <w:t>WorkCover WA</w:t>
      </w:r>
      <w:r w:rsidRPr="00A74E13">
        <w:t>’s risk, control and compliance framework, and its external accountability responsibilities.</w:t>
      </w:r>
    </w:p>
    <w:p w14:paraId="1EF2D0F3" w14:textId="58598420" w:rsidR="0047009D" w:rsidRDefault="0047009D" w:rsidP="0047009D">
      <w:r>
        <w:t xml:space="preserve">The Audit and Risk Management Committee is chaired by </w:t>
      </w:r>
      <w:r w:rsidR="00597612">
        <w:t xml:space="preserve">a </w:t>
      </w:r>
      <w:r>
        <w:t>Board member</w:t>
      </w:r>
      <w:r w:rsidR="00597612">
        <w:t xml:space="preserve"> </w:t>
      </w:r>
      <w:r>
        <w:t xml:space="preserve">and meets bi-monthly or as required. </w:t>
      </w:r>
    </w:p>
    <w:p w14:paraId="4090B94F" w14:textId="77777777" w:rsidR="00C85A58" w:rsidRPr="00A74E13" w:rsidRDefault="00C85A58" w:rsidP="00774708">
      <w:pPr>
        <w:pStyle w:val="Heading3nonumber"/>
      </w:pPr>
      <w:bookmarkStart w:id="132" w:name="_Toc525121928"/>
      <w:r w:rsidRPr="00A74E13">
        <w:t>Costs Committee</w:t>
      </w:r>
      <w:bookmarkEnd w:id="130"/>
      <w:bookmarkEnd w:id="131"/>
      <w:bookmarkEnd w:id="132"/>
    </w:p>
    <w:p w14:paraId="0B3F1796" w14:textId="49DF5937" w:rsidR="0047009D" w:rsidRDefault="0047009D" w:rsidP="0047009D">
      <w:pPr>
        <w:rPr>
          <w:lang w:val="en-GB" w:eastAsia="en-AU"/>
        </w:rPr>
      </w:pPr>
      <w:bookmarkStart w:id="133" w:name="_Toc426617424"/>
      <w:bookmarkStart w:id="134" w:name="_Toc450900639"/>
      <w:r w:rsidRPr="00A74E13">
        <w:rPr>
          <w:lang w:val="en-GB" w:eastAsia="en-AU"/>
        </w:rPr>
        <w:t>The Costs Committee is</w:t>
      </w:r>
      <w:r w:rsidRPr="004A7756">
        <w:rPr>
          <w:lang w:val="en-GB" w:eastAsia="en-AU"/>
        </w:rPr>
        <w:t xml:space="preserve"> an independent committee established under the Act reporting directly to the </w:t>
      </w:r>
      <w:r w:rsidRPr="00743A4B">
        <w:rPr>
          <w:lang w:val="en-GB" w:eastAsia="en-AU"/>
        </w:rPr>
        <w:t>Minister for Commerce and Industrial Relations</w:t>
      </w:r>
      <w:r w:rsidRPr="004A7756">
        <w:rPr>
          <w:lang w:val="en-GB" w:eastAsia="en-AU"/>
        </w:rPr>
        <w:t xml:space="preserve">. It is </w:t>
      </w:r>
      <w:r w:rsidR="002010B7">
        <w:rPr>
          <w:lang w:val="en-GB" w:eastAsia="en-AU"/>
        </w:rPr>
        <w:t>authorised</w:t>
      </w:r>
      <w:r w:rsidRPr="004A7756">
        <w:rPr>
          <w:lang w:val="en-GB" w:eastAsia="en-AU"/>
        </w:rPr>
        <w:t xml:space="preserve"> to make, amend or revoke a determination fixing maximum costs for legal and registered agent services</w:t>
      </w:r>
      <w:r>
        <w:rPr>
          <w:lang w:val="en-GB" w:eastAsia="en-AU"/>
        </w:rPr>
        <w:t xml:space="preserve">. </w:t>
      </w:r>
    </w:p>
    <w:p w14:paraId="0E789D47" w14:textId="5EB91E38" w:rsidR="0047009D" w:rsidRDefault="0047009D" w:rsidP="0047009D">
      <w:pPr>
        <w:rPr>
          <w:lang w:val="en-GB" w:eastAsia="en-AU"/>
        </w:rPr>
      </w:pPr>
      <w:r w:rsidRPr="00814CCD">
        <w:rPr>
          <w:lang w:val="en-GB" w:eastAsia="en-AU"/>
        </w:rPr>
        <w:t>The Costs Committee is chaired by the CEO and meets as required.</w:t>
      </w:r>
      <w:r>
        <w:rPr>
          <w:lang w:val="en-GB" w:eastAsia="en-AU"/>
        </w:rPr>
        <w:t xml:space="preserve"> </w:t>
      </w:r>
      <w:r w:rsidR="007E1BAB">
        <w:rPr>
          <w:lang w:val="en-GB" w:eastAsia="en-AU"/>
        </w:rPr>
        <w:t xml:space="preserve">There was no requirement for the Costs Committee to meet in 2017/18. </w:t>
      </w:r>
    </w:p>
    <w:p w14:paraId="2DB7B915" w14:textId="77777777" w:rsidR="00C85A58" w:rsidRDefault="00C85A58" w:rsidP="00774708">
      <w:pPr>
        <w:pStyle w:val="Heading3nonumber"/>
      </w:pPr>
      <w:bookmarkStart w:id="135" w:name="_Toc525121929"/>
      <w:r>
        <w:t>Medical Committee</w:t>
      </w:r>
      <w:bookmarkEnd w:id="133"/>
      <w:bookmarkEnd w:id="134"/>
      <w:bookmarkEnd w:id="135"/>
    </w:p>
    <w:p w14:paraId="443660B8" w14:textId="4BBA8F65" w:rsidR="0047009D" w:rsidRDefault="0047009D" w:rsidP="00D779D7">
      <w:pPr>
        <w:rPr>
          <w:lang w:val="en-GB" w:eastAsia="en-AU"/>
        </w:rPr>
      </w:pPr>
      <w:bookmarkStart w:id="136" w:name="_Toc399316930"/>
      <w:bookmarkStart w:id="137" w:name="_Toc426617425"/>
      <w:bookmarkStart w:id="138" w:name="_Toc450900640"/>
      <w:r>
        <w:rPr>
          <w:lang w:val="en-GB" w:eastAsia="en-AU"/>
        </w:rPr>
        <w:t xml:space="preserve">Section 100A of </w:t>
      </w:r>
      <w:r w:rsidRPr="004C246A">
        <w:rPr>
          <w:lang w:val="en-GB" w:eastAsia="en-AU"/>
        </w:rPr>
        <w:t xml:space="preserve">the Act provides </w:t>
      </w:r>
      <w:r>
        <w:rPr>
          <w:lang w:val="en-GB" w:eastAsia="en-AU"/>
        </w:rPr>
        <w:t>for the establishment of a Medical Committee to provide guidance on permanent impairment assessments and other matters of a medical nature relevant to the scheme.</w:t>
      </w:r>
    </w:p>
    <w:p w14:paraId="752947F6" w14:textId="7EC93D48" w:rsidR="0047009D" w:rsidRDefault="007E1BAB" w:rsidP="00D779D7">
      <w:pPr>
        <w:rPr>
          <w:lang w:val="en-GB" w:eastAsia="en-AU"/>
        </w:rPr>
      </w:pPr>
      <w:r>
        <w:rPr>
          <w:lang w:val="en-GB" w:eastAsia="en-AU"/>
        </w:rPr>
        <w:t xml:space="preserve">The Medical Committee did not meet in 2017/18 and </w:t>
      </w:r>
      <w:r w:rsidR="00951D2F">
        <w:rPr>
          <w:lang w:val="en-GB" w:eastAsia="en-AU"/>
        </w:rPr>
        <w:t>at</w:t>
      </w:r>
      <w:r>
        <w:rPr>
          <w:lang w:val="en-GB" w:eastAsia="en-AU"/>
        </w:rPr>
        <w:t xml:space="preserve"> its August 2017 meeting, the Board resolved to suspend the operation of the Medical Committee. </w:t>
      </w:r>
    </w:p>
    <w:p w14:paraId="5ED47A51" w14:textId="56913511" w:rsidR="00C85A58" w:rsidRPr="00A74E13" w:rsidRDefault="000A5BCC" w:rsidP="001A1B40">
      <w:pPr>
        <w:pStyle w:val="Heading2nonumber"/>
      </w:pPr>
      <w:bookmarkStart w:id="139" w:name="_Toc525121930"/>
      <w:r w:rsidRPr="00A74E13">
        <w:t xml:space="preserve">Workplace </w:t>
      </w:r>
      <w:r w:rsidR="00537E41" w:rsidRPr="00A74E13">
        <w:t>c</w:t>
      </w:r>
      <w:r w:rsidRPr="00A74E13">
        <w:t>onsultation</w:t>
      </w:r>
      <w:bookmarkEnd w:id="136"/>
      <w:bookmarkEnd w:id="137"/>
      <w:bookmarkEnd w:id="138"/>
      <w:bookmarkEnd w:id="139"/>
    </w:p>
    <w:p w14:paraId="329D22D8" w14:textId="7870E37F" w:rsidR="0047009D" w:rsidRDefault="00822C7B" w:rsidP="0047009D">
      <w:bookmarkStart w:id="140" w:name="_Toc426617426"/>
      <w:bookmarkStart w:id="141" w:name="_Toc450900641"/>
      <w:r>
        <w:t xml:space="preserve">In addition to regular divisional and branch meetings, </w:t>
      </w:r>
      <w:r w:rsidR="0047009D">
        <w:t xml:space="preserve">WorkCover WA </w:t>
      </w:r>
      <w:r w:rsidR="0047009D" w:rsidRPr="000F6588">
        <w:t>has a number of internal committees</w:t>
      </w:r>
      <w:r w:rsidR="0047009D">
        <w:t>,</w:t>
      </w:r>
      <w:r w:rsidR="0047009D" w:rsidRPr="000F6588">
        <w:t xml:space="preserve"> all chaired by </w:t>
      </w:r>
      <w:r w:rsidR="0047009D">
        <w:t>a member of the Corporate Executive. The committees include staff members with relevant skills, knowledge or insights from across the Agency. These arrangements provide leadership and oversight from an executive level, whilst offering avenues for staff to engage with senior management about policy and operational matters.</w:t>
      </w:r>
    </w:p>
    <w:p w14:paraId="514E9767" w14:textId="4150FC0D" w:rsidR="0047009D" w:rsidRDefault="0047009D" w:rsidP="0047009D">
      <w:r>
        <w:t>Minutes of all internal committees</w:t>
      </w:r>
      <w:r w:rsidR="00354B59">
        <w:t>,</w:t>
      </w:r>
      <w:r>
        <w:t xml:space="preserve"> </w:t>
      </w:r>
      <w:r w:rsidR="00354B59">
        <w:t xml:space="preserve">along with any matters for consideration, </w:t>
      </w:r>
      <w:r>
        <w:t xml:space="preserve">are provided </w:t>
      </w:r>
      <w:r w:rsidR="002010B7">
        <w:t>at</w:t>
      </w:r>
      <w:r>
        <w:t xml:space="preserve"> the next Corporate Executive meeting. Similarly, divisional leadership team and flow-on branch meetings are conducted on a regular basis to ensure</w:t>
      </w:r>
      <w:r w:rsidRPr="00A2140B">
        <w:t xml:space="preserve"> dissemination of Corporate Executive decisions to operational areas.</w:t>
      </w:r>
      <w:r>
        <w:t xml:space="preserve"> </w:t>
      </w:r>
      <w:r w:rsidR="006B0B25">
        <w:t>Committee meeting minutes are also published on WorkCover WA’s intranet and can be accessed by all staff.</w:t>
      </w:r>
    </w:p>
    <w:p w14:paraId="4F132994" w14:textId="15A1F58D" w:rsidR="0047009D" w:rsidRPr="003E5B08" w:rsidRDefault="002010B7" w:rsidP="0047009D">
      <w:r>
        <w:t>Meeting actions are recorded and</w:t>
      </w:r>
      <w:r w:rsidR="0047009D">
        <w:t xml:space="preserve"> tracked</w:t>
      </w:r>
      <w:r>
        <w:t>,</w:t>
      </w:r>
      <w:r w:rsidR="0047009D">
        <w:t xml:space="preserve"> and progress</w:t>
      </w:r>
      <w:r>
        <w:t xml:space="preserve"> is</w:t>
      </w:r>
      <w:r w:rsidR="0047009D">
        <w:t xml:space="preserve"> reported back to each committee by relevant support staff. </w:t>
      </w:r>
    </w:p>
    <w:p w14:paraId="048A13C1" w14:textId="77777777" w:rsidR="000A5BCC" w:rsidRPr="00A74E13" w:rsidRDefault="000A5BCC" w:rsidP="00774708">
      <w:pPr>
        <w:pStyle w:val="Heading3nonumber"/>
      </w:pPr>
      <w:bookmarkStart w:id="142" w:name="_Toc525121931"/>
      <w:r w:rsidRPr="00A74E13">
        <w:t>Equity and Diversity Committee</w:t>
      </w:r>
      <w:bookmarkEnd w:id="140"/>
      <w:bookmarkEnd w:id="141"/>
      <w:bookmarkEnd w:id="142"/>
    </w:p>
    <w:p w14:paraId="355C0391" w14:textId="0AB74EDD" w:rsidR="008D13EE" w:rsidRPr="00D63FF1" w:rsidRDefault="008D13EE" w:rsidP="008D13EE">
      <w:bookmarkStart w:id="143" w:name="_Toc426617427"/>
      <w:bookmarkStart w:id="144" w:name="_Toc450900642"/>
      <w:r w:rsidRPr="00D63FF1">
        <w:t>The Equity and Diversity Committee supports a workplace culture compliant with and committed to equal employment opportunity and diversity principles, in which people are treated with fairness, dignity and respect.</w:t>
      </w:r>
    </w:p>
    <w:p w14:paraId="26019424" w14:textId="77777777" w:rsidR="008D13EE" w:rsidRDefault="008D13EE" w:rsidP="008D13EE">
      <w:pPr>
        <w:rPr>
          <w:bCs/>
        </w:rPr>
      </w:pPr>
      <w:r w:rsidRPr="00D63FF1">
        <w:t>This Committee meets quarterly and develops and monitors policies relating to equity and diversity in employment, disability and indigenous matters, and associated action plans. This includes the development of initiatives to raise staff awareness and understanding of equity and diversity, and employment strategies supporting diversity at WorkCover WA</w:t>
      </w:r>
      <w:r w:rsidRPr="00D63FF1">
        <w:rPr>
          <w:bCs/>
        </w:rPr>
        <w:t>.</w:t>
      </w:r>
    </w:p>
    <w:p w14:paraId="298ECEBF" w14:textId="0A54E8FC" w:rsidR="008D13EE" w:rsidRPr="00465B51" w:rsidRDefault="008D13EE" w:rsidP="008D13EE">
      <w:pPr>
        <w:rPr>
          <w:rFonts w:eastAsiaTheme="minorHAnsi"/>
        </w:rPr>
      </w:pPr>
      <w:r w:rsidRPr="00465B51">
        <w:rPr>
          <w:rFonts w:eastAsiaTheme="minorHAnsi"/>
        </w:rPr>
        <w:t>In 2017/18 the Committee</w:t>
      </w:r>
      <w:r>
        <w:rPr>
          <w:rFonts w:eastAsiaTheme="minorHAnsi"/>
        </w:rPr>
        <w:t>:</w:t>
      </w:r>
    </w:p>
    <w:p w14:paraId="669E4841" w14:textId="77777777" w:rsidR="008D13EE" w:rsidRPr="008D13EE" w:rsidRDefault="008D13EE" w:rsidP="008D13EE">
      <w:pPr>
        <w:pStyle w:val="BulletListLevel1"/>
        <w:rPr>
          <w:rFonts w:eastAsiaTheme="minorHAnsi"/>
        </w:rPr>
      </w:pPr>
      <w:r w:rsidRPr="008D13EE">
        <w:rPr>
          <w:rFonts w:eastAsiaTheme="minorHAnsi"/>
        </w:rPr>
        <w:t>monitored progress against the Agency’s Reconciliation Action Plan</w:t>
      </w:r>
    </w:p>
    <w:p w14:paraId="6146E1C5" w14:textId="77777777" w:rsidR="008D13EE" w:rsidRPr="008D13EE" w:rsidRDefault="008D13EE" w:rsidP="008D13EE">
      <w:pPr>
        <w:pStyle w:val="BulletListLevel1"/>
        <w:rPr>
          <w:rFonts w:eastAsiaTheme="minorHAnsi"/>
        </w:rPr>
      </w:pPr>
      <w:r w:rsidRPr="008D13EE">
        <w:rPr>
          <w:rFonts w:eastAsiaTheme="minorHAnsi"/>
        </w:rPr>
        <w:t>published intranet articles on NAIDOC and Reconciliation weeks</w:t>
      </w:r>
    </w:p>
    <w:p w14:paraId="77501B94" w14:textId="35592690" w:rsidR="008D13EE" w:rsidRPr="008D13EE" w:rsidRDefault="008D13EE" w:rsidP="008D13EE">
      <w:pPr>
        <w:pStyle w:val="BulletListLevel1"/>
        <w:rPr>
          <w:rFonts w:eastAsiaTheme="minorHAnsi"/>
        </w:rPr>
      </w:pPr>
      <w:r w:rsidRPr="008D13EE">
        <w:rPr>
          <w:rFonts w:eastAsiaTheme="minorHAnsi"/>
        </w:rPr>
        <w:t xml:space="preserve">oversaw the implementation of the Disability Access Inclusion Plan </w:t>
      </w:r>
      <w:r w:rsidR="00932ADA">
        <w:rPr>
          <w:rFonts w:eastAsiaTheme="minorHAnsi"/>
        </w:rPr>
        <w:br/>
        <w:t>2017–</w:t>
      </w:r>
      <w:r w:rsidR="003314D4">
        <w:rPr>
          <w:rFonts w:eastAsiaTheme="minorHAnsi"/>
        </w:rPr>
        <w:t>2022</w:t>
      </w:r>
      <w:r w:rsidRPr="008D13EE">
        <w:rPr>
          <w:rFonts w:eastAsiaTheme="minorHAnsi"/>
        </w:rPr>
        <w:t xml:space="preserve"> </w:t>
      </w:r>
    </w:p>
    <w:p w14:paraId="573EF4E0" w14:textId="3E2947D1" w:rsidR="008D13EE" w:rsidRPr="008D13EE" w:rsidRDefault="008D13EE" w:rsidP="008D13EE">
      <w:pPr>
        <w:pStyle w:val="BulletListLevel1"/>
        <w:rPr>
          <w:rFonts w:eastAsiaTheme="minorHAnsi"/>
        </w:rPr>
      </w:pPr>
      <w:r w:rsidRPr="008D13EE">
        <w:rPr>
          <w:rFonts w:eastAsiaTheme="minorHAnsi"/>
        </w:rPr>
        <w:t>oversaw the progress of a project to bring internet and intranet forms to an accessible standard</w:t>
      </w:r>
    </w:p>
    <w:p w14:paraId="254515CF" w14:textId="435905DB" w:rsidR="008D13EE" w:rsidRPr="008D13EE" w:rsidRDefault="008D13EE" w:rsidP="008D13EE">
      <w:pPr>
        <w:pStyle w:val="BulletListLevel1"/>
        <w:rPr>
          <w:rFonts w:eastAsiaTheme="minorHAnsi"/>
        </w:rPr>
      </w:pPr>
      <w:r w:rsidRPr="008D13EE">
        <w:rPr>
          <w:rFonts w:eastAsiaTheme="minorHAnsi"/>
        </w:rPr>
        <w:t xml:space="preserve">initiated the delivery of a training program for managers responsible for </w:t>
      </w:r>
      <w:r w:rsidR="00034184">
        <w:rPr>
          <w:rFonts w:eastAsiaTheme="minorHAnsi"/>
        </w:rPr>
        <w:t>supervising</w:t>
      </w:r>
      <w:r w:rsidR="003314D4">
        <w:rPr>
          <w:rFonts w:eastAsiaTheme="minorHAnsi"/>
        </w:rPr>
        <w:t xml:space="preserve"> staff with a disability</w:t>
      </w:r>
      <w:r w:rsidRPr="008D13EE">
        <w:rPr>
          <w:rFonts w:eastAsiaTheme="minorHAnsi"/>
        </w:rPr>
        <w:t xml:space="preserve"> </w:t>
      </w:r>
    </w:p>
    <w:p w14:paraId="1528CBA8" w14:textId="5381E212" w:rsidR="003314D4" w:rsidRPr="003314D4" w:rsidRDefault="003314D4" w:rsidP="003314D4">
      <w:pPr>
        <w:pStyle w:val="BulletListLevel1"/>
        <w:rPr>
          <w:rFonts w:eastAsiaTheme="minorHAnsi"/>
        </w:rPr>
      </w:pPr>
      <w:r w:rsidRPr="008D13EE">
        <w:t xml:space="preserve">monitored </w:t>
      </w:r>
      <w:r w:rsidRPr="008D13EE">
        <w:rPr>
          <w:rFonts w:eastAsiaTheme="minorHAnsi"/>
        </w:rPr>
        <w:t>the Agency</w:t>
      </w:r>
      <w:r>
        <w:rPr>
          <w:rFonts w:eastAsiaTheme="minorHAnsi"/>
        </w:rPr>
        <w:t>’s</w:t>
      </w:r>
      <w:r w:rsidRPr="008D13EE">
        <w:rPr>
          <w:rFonts w:eastAsiaTheme="minorHAnsi"/>
        </w:rPr>
        <w:t xml:space="preserve"> progress against equity and diversity targets</w:t>
      </w:r>
    </w:p>
    <w:p w14:paraId="6A86806F" w14:textId="716395FA" w:rsidR="008D13EE" w:rsidRPr="003314D4" w:rsidRDefault="008D13EE" w:rsidP="003314D4">
      <w:pPr>
        <w:pStyle w:val="BulletListLevel1"/>
        <w:rPr>
          <w:rFonts w:eastAsiaTheme="minorHAnsi"/>
        </w:rPr>
      </w:pPr>
      <w:r w:rsidRPr="008D13EE">
        <w:t xml:space="preserve">hosted the State Government Disability Network meeting attended by representatives of 23 public sector agencies. The meeting examined workplace initiatives to increase employment opportunities within the public sector for people with disabilities and </w:t>
      </w:r>
      <w:r w:rsidR="00224DD5">
        <w:t xml:space="preserve">improve </w:t>
      </w:r>
      <w:r w:rsidR="00822C7B">
        <w:t>their</w:t>
      </w:r>
      <w:r w:rsidRPr="008D13EE">
        <w:t xml:space="preserve"> access to</w:t>
      </w:r>
      <w:r w:rsidR="00FE66A3">
        <w:t xml:space="preserve"> the</w:t>
      </w:r>
      <w:r w:rsidR="003314D4">
        <w:t xml:space="preserve"> public sector.</w:t>
      </w:r>
    </w:p>
    <w:p w14:paraId="259CE0FA" w14:textId="06B935E3" w:rsidR="008D13EE" w:rsidRPr="008D13EE" w:rsidRDefault="008D13EE" w:rsidP="008D13EE">
      <w:pPr>
        <w:rPr>
          <w:rFonts w:eastAsiaTheme="minorHAnsi"/>
          <w:bCs/>
        </w:rPr>
      </w:pPr>
      <w:r w:rsidRPr="00465B51">
        <w:rPr>
          <w:rFonts w:eastAsiaTheme="minorHAnsi"/>
        </w:rPr>
        <w:t>Equity and Diversity is a standing agenda item for all meetings of the Corporate Executive</w:t>
      </w:r>
      <w:r w:rsidRPr="00D63FF1">
        <w:rPr>
          <w:rFonts w:eastAsiaTheme="minorHAnsi"/>
        </w:rPr>
        <w:t>.</w:t>
      </w:r>
    </w:p>
    <w:p w14:paraId="54A25CA6" w14:textId="5605A6B8" w:rsidR="00121B9A" w:rsidRPr="00A74E13" w:rsidRDefault="00121B9A" w:rsidP="009A6ECB">
      <w:pPr>
        <w:pStyle w:val="Heading3nonumber"/>
      </w:pPr>
      <w:bookmarkStart w:id="145" w:name="_Toc525121932"/>
      <w:r w:rsidRPr="00A74E13">
        <w:t>Emergency Planning Committee</w:t>
      </w:r>
      <w:bookmarkEnd w:id="143"/>
      <w:bookmarkEnd w:id="144"/>
      <w:bookmarkEnd w:id="145"/>
    </w:p>
    <w:p w14:paraId="4559464F" w14:textId="458A7E78" w:rsidR="000448CA" w:rsidRDefault="00490ABC" w:rsidP="00490ABC">
      <w:bookmarkStart w:id="146" w:name="_Toc426617428"/>
      <w:bookmarkStart w:id="147" w:name="_Toc450900643"/>
      <w:r>
        <w:t xml:space="preserve">The Emergency Planning Committee is responsible for </w:t>
      </w:r>
      <w:r w:rsidR="007B7D68">
        <w:t>developing</w:t>
      </w:r>
      <w:r>
        <w:t xml:space="preserve">, </w:t>
      </w:r>
      <w:r w:rsidR="007B7D68">
        <w:t>implementing and maintaining emerge</w:t>
      </w:r>
      <w:r>
        <w:t>ncy plans, response procedures and training.</w:t>
      </w:r>
    </w:p>
    <w:p w14:paraId="516EE4BC" w14:textId="0155CC56" w:rsidR="00490ABC" w:rsidRDefault="00490ABC" w:rsidP="00490ABC">
      <w:r>
        <w:t>The Emergency Planning Committee meets bi-annually</w:t>
      </w:r>
      <w:r w:rsidR="002010B7">
        <w:t>,</w:t>
      </w:r>
      <w:r>
        <w:t xml:space="preserve"> or as require</w:t>
      </w:r>
      <w:r w:rsidR="00932ADA">
        <w:t xml:space="preserve">d, and met once during 2017/18. </w:t>
      </w:r>
      <w:r>
        <w:t>The Emergency Response Procedur</w:t>
      </w:r>
      <w:r w:rsidR="00932ADA">
        <w:t>e and Guide for WorkCover WA were</w:t>
      </w:r>
      <w:r>
        <w:t xml:space="preserve"> reviewed </w:t>
      </w:r>
      <w:r w:rsidR="00932ADA">
        <w:t xml:space="preserve">this year </w:t>
      </w:r>
      <w:r>
        <w:t>and are valid until March 2020.</w:t>
      </w:r>
    </w:p>
    <w:p w14:paraId="7BFFCE56" w14:textId="202499C0" w:rsidR="00490ABC" w:rsidRDefault="00490ABC" w:rsidP="00490ABC">
      <w:r>
        <w:t>There was an unplanned evacuation of the premise</w:t>
      </w:r>
      <w:r w:rsidR="00932ADA">
        <w:t xml:space="preserve">s in 2017/18. </w:t>
      </w:r>
      <w:r w:rsidR="007B7D68">
        <w:t>T</w:t>
      </w:r>
      <w:r w:rsidR="00932ADA">
        <w:t xml:space="preserve">he evacuation of the building was completed in a timely and efficient manner, and in accordance with </w:t>
      </w:r>
      <w:r w:rsidR="000A52E1">
        <w:t>the</w:t>
      </w:r>
      <w:r w:rsidR="00932ADA">
        <w:t xml:space="preserve"> emergency response procedures.</w:t>
      </w:r>
    </w:p>
    <w:p w14:paraId="5FA709BB" w14:textId="36F3D21D" w:rsidR="000A5BCC" w:rsidRDefault="000A5BCC" w:rsidP="00774708">
      <w:pPr>
        <w:pStyle w:val="Heading3nonumber"/>
      </w:pPr>
      <w:bookmarkStart w:id="148" w:name="_Toc426617429"/>
      <w:bookmarkStart w:id="149" w:name="_Toc450900644"/>
      <w:bookmarkStart w:id="150" w:name="_Toc525121933"/>
      <w:bookmarkEnd w:id="146"/>
      <w:bookmarkEnd w:id="147"/>
      <w:r>
        <w:t>Joint Consultative Committee</w:t>
      </w:r>
      <w:bookmarkEnd w:id="148"/>
      <w:bookmarkEnd w:id="149"/>
      <w:bookmarkEnd w:id="150"/>
    </w:p>
    <w:p w14:paraId="0C078108" w14:textId="6392DDAF" w:rsidR="008C27AD" w:rsidRDefault="008C27AD" w:rsidP="008C27AD">
      <w:bookmarkStart w:id="151" w:name="_Toc426617430"/>
      <w:bookmarkStart w:id="152" w:name="_Toc450900645"/>
      <w:r w:rsidRPr="00460894">
        <w:t>Th</w:t>
      </w:r>
      <w:r w:rsidRPr="00275ABF">
        <w:t>e Joint Consultative Committee cons</w:t>
      </w:r>
      <w:r>
        <w:t>ists of WorkCover WA</w:t>
      </w:r>
      <w:r w:rsidRPr="00460894">
        <w:t>’s elected union delegates, the CEO and senior management representatives</w:t>
      </w:r>
      <w:r w:rsidR="002010B7">
        <w:t>. The Committee meets quarterly, or as required,</w:t>
      </w:r>
      <w:r>
        <w:t xml:space="preserve"> </w:t>
      </w:r>
      <w:r w:rsidRPr="00460894">
        <w:t>to ensure consultation occurs between staff and management on major issues affecting the working conditions of employees.</w:t>
      </w:r>
    </w:p>
    <w:p w14:paraId="67BFDE13" w14:textId="77777777" w:rsidR="008C27AD" w:rsidRPr="00DC5685" w:rsidRDefault="008C27AD" w:rsidP="008C27AD">
      <w:pPr>
        <w:rPr>
          <w:szCs w:val="22"/>
        </w:rPr>
      </w:pPr>
      <w:r w:rsidRPr="00DC5685">
        <w:rPr>
          <w:szCs w:val="22"/>
        </w:rPr>
        <w:t xml:space="preserve">In </w:t>
      </w:r>
      <w:r>
        <w:rPr>
          <w:szCs w:val="22"/>
        </w:rPr>
        <w:t>2017/18</w:t>
      </w:r>
      <w:r w:rsidRPr="00DC5685">
        <w:rPr>
          <w:szCs w:val="22"/>
        </w:rPr>
        <w:t>, the Joint Consultative Committee was consulted on:</w:t>
      </w:r>
    </w:p>
    <w:p w14:paraId="46B75AC4" w14:textId="5AA37624" w:rsidR="008C27AD" w:rsidRPr="008C27AD" w:rsidRDefault="008C27AD" w:rsidP="008C27AD">
      <w:pPr>
        <w:pStyle w:val="BulletListLevel1"/>
      </w:pPr>
      <w:r w:rsidRPr="008C27AD">
        <w:t xml:space="preserve">the ‘Christmas/New Year reduced services’ period </w:t>
      </w:r>
    </w:p>
    <w:p w14:paraId="0321DF35" w14:textId="4BF82FB9" w:rsidR="008C27AD" w:rsidRPr="008C27AD" w:rsidRDefault="00BD38A6" w:rsidP="008C27AD">
      <w:pPr>
        <w:pStyle w:val="BulletListLevel1"/>
      </w:pPr>
      <w:r>
        <w:t>a</w:t>
      </w:r>
      <w:r w:rsidR="008C27AD" w:rsidRPr="008C27AD">
        <w:t xml:space="preserve">ccrued </w:t>
      </w:r>
      <w:r>
        <w:t>l</w:t>
      </w:r>
      <w:r w:rsidR="008C27AD" w:rsidRPr="008C27AD">
        <w:t xml:space="preserve">eave in the </w:t>
      </w:r>
      <w:r>
        <w:t>p</w:t>
      </w:r>
      <w:r w:rsidR="008C27AD" w:rsidRPr="008C27AD">
        <w:t xml:space="preserve">ublic </w:t>
      </w:r>
      <w:r>
        <w:t>s</w:t>
      </w:r>
      <w:r w:rsidR="008C27AD" w:rsidRPr="008C27AD">
        <w:t>ector (Public Sector Labour Relations Policy)</w:t>
      </w:r>
    </w:p>
    <w:p w14:paraId="457CAB1A" w14:textId="1419A140" w:rsidR="008C27AD" w:rsidRDefault="008C27AD" w:rsidP="008C27AD">
      <w:pPr>
        <w:pStyle w:val="BulletListLevel1"/>
      </w:pPr>
      <w:r w:rsidRPr="008C27AD">
        <w:t xml:space="preserve">staff requests </w:t>
      </w:r>
      <w:r w:rsidR="007B7D68">
        <w:t>to</w:t>
      </w:r>
      <w:r w:rsidRPr="008C27AD">
        <w:t xml:space="preserve"> transition from full-time to part-time work arrangements</w:t>
      </w:r>
    </w:p>
    <w:p w14:paraId="1C0AD661" w14:textId="66CF1948" w:rsidR="002E1583" w:rsidRPr="008C27AD" w:rsidRDefault="002E1583" w:rsidP="008C27AD">
      <w:pPr>
        <w:pStyle w:val="BulletListLevel1"/>
      </w:pPr>
      <w:r>
        <w:t xml:space="preserve">the voluntary targeted separation scheme </w:t>
      </w:r>
    </w:p>
    <w:p w14:paraId="154B93C6" w14:textId="6EF11A65" w:rsidR="008C27AD" w:rsidRPr="008C27AD" w:rsidRDefault="008C27AD" w:rsidP="008C27AD">
      <w:pPr>
        <w:pStyle w:val="BulletListLevel1"/>
      </w:pPr>
      <w:r>
        <w:t>p</w:t>
      </w:r>
      <w:r w:rsidRPr="008C27AD">
        <w:t>roposed changes to corporate policies</w:t>
      </w:r>
    </w:p>
    <w:p w14:paraId="16EDB560" w14:textId="7C3318C7" w:rsidR="008C27AD" w:rsidRPr="008C27AD" w:rsidRDefault="008C27AD" w:rsidP="008C27AD">
      <w:pPr>
        <w:pStyle w:val="BulletListLevel1"/>
      </w:pPr>
      <w:r>
        <w:t>r</w:t>
      </w:r>
      <w:r w:rsidRPr="008C27AD">
        <w:t>estructuring arrangements within the Regulatory Services Division</w:t>
      </w:r>
      <w:r>
        <w:t>.</w:t>
      </w:r>
    </w:p>
    <w:p w14:paraId="2F66B4E4" w14:textId="77777777" w:rsidR="000A5BCC" w:rsidRDefault="000A5BCC" w:rsidP="00774708">
      <w:pPr>
        <w:pStyle w:val="Heading3nonumber"/>
      </w:pPr>
      <w:bookmarkStart w:id="153" w:name="_Toc525121934"/>
      <w:r w:rsidRPr="00A74E13">
        <w:t>Occupational Safety and Health Committee</w:t>
      </w:r>
      <w:bookmarkEnd w:id="151"/>
      <w:bookmarkEnd w:id="152"/>
      <w:bookmarkEnd w:id="153"/>
    </w:p>
    <w:p w14:paraId="3B005C56" w14:textId="77777777" w:rsidR="004D09AC" w:rsidRDefault="004D09AC" w:rsidP="004D09AC">
      <w:bookmarkStart w:id="154" w:name="_Toc426617431"/>
      <w:bookmarkStart w:id="155" w:name="_Toc450900646"/>
      <w:r>
        <w:t xml:space="preserve">The Occupational Safety and </w:t>
      </w:r>
      <w:r w:rsidRPr="004C246A">
        <w:t xml:space="preserve">Health (OSH) </w:t>
      </w:r>
      <w:r>
        <w:t xml:space="preserve">Committee facilitates consultation and cooperation across WorkCover WA by examining issues affecting the health and wellbeing of staff, and developing and implementing measures to prevent workplace accidents and injuries. </w:t>
      </w:r>
    </w:p>
    <w:p w14:paraId="17E31886" w14:textId="77777777" w:rsidR="004D09AC" w:rsidRPr="004C246A" w:rsidRDefault="004D09AC" w:rsidP="004D09AC">
      <w:pPr>
        <w:rPr>
          <w:rFonts w:eastAsia="Calibri"/>
        </w:rPr>
      </w:pPr>
      <w:r w:rsidRPr="004C246A">
        <w:rPr>
          <w:rFonts w:eastAsia="Calibri"/>
        </w:rPr>
        <w:t>The OSH Committee makes recommendations to the Agency regarding the establishment, maintenance and monitoring of programs, measures and procedures in the workplace relating to the safety and health of all employees.</w:t>
      </w:r>
    </w:p>
    <w:p w14:paraId="7E3098E1" w14:textId="77777777" w:rsidR="004D09AC" w:rsidRPr="004C246A" w:rsidRDefault="004D09AC" w:rsidP="004D09AC">
      <w:pPr>
        <w:rPr>
          <w:rFonts w:eastAsia="Calibri"/>
        </w:rPr>
      </w:pPr>
      <w:r w:rsidRPr="004C246A">
        <w:rPr>
          <w:rFonts w:eastAsia="Calibri"/>
        </w:rPr>
        <w:t>The OSH Committee is comprised of a member of the Corporate Executive as Chair, a Human Resources Branch delegate, a Business Services Administration Officer and three elected employee representatives who meet on a quarterly basis.</w:t>
      </w:r>
    </w:p>
    <w:p w14:paraId="2965E587" w14:textId="06A481F1" w:rsidR="004D09AC" w:rsidRPr="004C246A" w:rsidRDefault="004D09AC" w:rsidP="004D09AC">
      <w:pPr>
        <w:rPr>
          <w:rFonts w:eastAsia="Calibri"/>
        </w:rPr>
      </w:pPr>
      <w:r w:rsidRPr="004C246A">
        <w:rPr>
          <w:rFonts w:eastAsia="Calibri"/>
        </w:rPr>
        <w:t>In 2017/18, the OSH Committee was involved in:</w:t>
      </w:r>
    </w:p>
    <w:p w14:paraId="45233433" w14:textId="1F4CC665" w:rsidR="004D09AC" w:rsidRPr="004C246A" w:rsidRDefault="004D09AC" w:rsidP="004D09AC">
      <w:pPr>
        <w:pStyle w:val="BulletListLevel1"/>
        <w:rPr>
          <w:rFonts w:eastAsia="Calibri"/>
        </w:rPr>
      </w:pPr>
      <w:r w:rsidRPr="004C246A">
        <w:rPr>
          <w:rFonts w:eastAsia="Calibri"/>
        </w:rPr>
        <w:t xml:space="preserve">a five-yearly audit of the </w:t>
      </w:r>
      <w:r w:rsidR="00962324" w:rsidRPr="004C246A">
        <w:rPr>
          <w:rFonts w:eastAsia="Calibri"/>
        </w:rPr>
        <w:t>safety and h</w:t>
      </w:r>
      <w:r w:rsidRPr="004C246A">
        <w:rPr>
          <w:rFonts w:eastAsia="Calibri"/>
        </w:rPr>
        <w:t xml:space="preserve">ealth </w:t>
      </w:r>
      <w:r w:rsidR="00962324" w:rsidRPr="004C246A">
        <w:rPr>
          <w:rFonts w:eastAsia="Calibri"/>
        </w:rPr>
        <w:t>management s</w:t>
      </w:r>
      <w:r w:rsidRPr="004C246A">
        <w:rPr>
          <w:rFonts w:eastAsia="Calibri"/>
        </w:rPr>
        <w:t>ystems in place at WorkCover WA by an accredited and approved WorkSafe Plan assessor</w:t>
      </w:r>
    </w:p>
    <w:p w14:paraId="72965F4B" w14:textId="77777777" w:rsidR="004D09AC" w:rsidRPr="004C246A" w:rsidRDefault="004D09AC" w:rsidP="004D09AC">
      <w:pPr>
        <w:pStyle w:val="BulletListLevel1"/>
        <w:rPr>
          <w:rFonts w:eastAsia="Calibri"/>
        </w:rPr>
      </w:pPr>
      <w:r w:rsidRPr="004C246A">
        <w:rPr>
          <w:rFonts w:eastAsia="Calibri"/>
        </w:rPr>
        <w:t>the compilation of a Safe Work Method Statement for the Records Branch, which was a catalyst for arranging manual handling training for relevant staff</w:t>
      </w:r>
    </w:p>
    <w:p w14:paraId="0DD2A720" w14:textId="00EEE283" w:rsidR="004D09AC" w:rsidRPr="004C246A" w:rsidRDefault="004D09AC" w:rsidP="004D09AC">
      <w:pPr>
        <w:pStyle w:val="BulletListLevel1"/>
        <w:rPr>
          <w:rFonts w:eastAsia="Calibri"/>
        </w:rPr>
      </w:pPr>
      <w:r w:rsidRPr="004C246A">
        <w:rPr>
          <w:rFonts w:eastAsia="Calibri"/>
        </w:rPr>
        <w:t>the nomination and appointment of two new OSH representatives.</w:t>
      </w:r>
    </w:p>
    <w:p w14:paraId="6562393C" w14:textId="370FB227" w:rsidR="004D09AC" w:rsidRPr="004C246A" w:rsidRDefault="00962324" w:rsidP="004D09AC">
      <w:pPr>
        <w:rPr>
          <w:rFonts w:eastAsia="Calibri"/>
        </w:rPr>
      </w:pPr>
      <w:r w:rsidRPr="004C246A">
        <w:rPr>
          <w:rFonts w:eastAsia="Calibri"/>
        </w:rPr>
        <w:t xml:space="preserve">A staff </w:t>
      </w:r>
      <w:r w:rsidR="004D09AC" w:rsidRPr="004C246A">
        <w:rPr>
          <w:rFonts w:eastAsia="Calibri"/>
        </w:rPr>
        <w:t>survey was conducted to seek feedback and suggestions regarding the OSH system and practices in place at WorkCover WA. Survey results were positive, finding that:</w:t>
      </w:r>
    </w:p>
    <w:p w14:paraId="043A9EFF" w14:textId="23D178BE" w:rsidR="004D09AC" w:rsidRPr="004C246A" w:rsidRDefault="004D09AC" w:rsidP="004D09AC">
      <w:pPr>
        <w:pStyle w:val="BulletListLevel1"/>
        <w:rPr>
          <w:rFonts w:eastAsia="Calibri"/>
        </w:rPr>
      </w:pPr>
      <w:r w:rsidRPr="004C246A">
        <w:rPr>
          <w:rFonts w:eastAsia="Calibri"/>
        </w:rPr>
        <w:t>91 percent of staff understand WorkCover WA’s OSH Policy and are aware of their legal responsibilities relating to OSH</w:t>
      </w:r>
    </w:p>
    <w:p w14:paraId="57F25B33" w14:textId="2E025FF7" w:rsidR="004D09AC" w:rsidRPr="004C246A" w:rsidRDefault="004D09AC" w:rsidP="004D09AC">
      <w:pPr>
        <w:pStyle w:val="BulletListLevel1"/>
        <w:rPr>
          <w:rFonts w:eastAsia="Calibri"/>
        </w:rPr>
      </w:pPr>
      <w:r w:rsidRPr="004C246A">
        <w:rPr>
          <w:rFonts w:eastAsia="Calibri"/>
        </w:rPr>
        <w:t>92 percent of staff are aware of who the Agency’s OSH representatives are, with 87 percent advising they are comfortable raising and following up OSH issues</w:t>
      </w:r>
    </w:p>
    <w:p w14:paraId="07A1A712" w14:textId="20813B95" w:rsidR="004D09AC" w:rsidRPr="004C246A" w:rsidRDefault="004D09AC" w:rsidP="004D09AC">
      <w:pPr>
        <w:pStyle w:val="BulletListLevel1"/>
        <w:rPr>
          <w:rFonts w:eastAsia="Calibri"/>
        </w:rPr>
      </w:pPr>
      <w:r w:rsidRPr="004C246A">
        <w:rPr>
          <w:rFonts w:eastAsia="Calibri"/>
        </w:rPr>
        <w:t>89 percent of staff confirmed they have been informed and understand what to do in an emergency situation</w:t>
      </w:r>
    </w:p>
    <w:p w14:paraId="5F931476" w14:textId="1C8C2E61" w:rsidR="004D09AC" w:rsidRPr="004C246A" w:rsidRDefault="004D09AC" w:rsidP="004D09AC">
      <w:pPr>
        <w:pStyle w:val="BulletListLevel1"/>
        <w:rPr>
          <w:rFonts w:eastAsia="Calibri"/>
        </w:rPr>
      </w:pPr>
      <w:r w:rsidRPr="004C246A">
        <w:rPr>
          <w:rFonts w:eastAsia="Calibri"/>
        </w:rPr>
        <w:t>94 percent of staff know how to access the Hazard and Incident Management System or an OSH representative.</w:t>
      </w:r>
    </w:p>
    <w:p w14:paraId="2884D22D" w14:textId="500D11F1" w:rsidR="004D09AC" w:rsidRPr="004C246A" w:rsidRDefault="004D09AC" w:rsidP="004D09AC">
      <w:pPr>
        <w:pStyle w:val="BulletListLevel1"/>
        <w:numPr>
          <w:ilvl w:val="0"/>
          <w:numId w:val="0"/>
        </w:numPr>
        <w:rPr>
          <w:rFonts w:eastAsia="Calibri"/>
        </w:rPr>
      </w:pPr>
      <w:r w:rsidRPr="004C246A">
        <w:rPr>
          <w:rFonts w:eastAsia="Calibri"/>
        </w:rPr>
        <w:t xml:space="preserve">OSH remains a standing agenda item for all meetings of the Corporate Executive, ensuring a direct link to the </w:t>
      </w:r>
      <w:r w:rsidR="00962324" w:rsidRPr="004C246A">
        <w:rPr>
          <w:rFonts w:eastAsia="Calibri"/>
        </w:rPr>
        <w:t xml:space="preserve">Agency’s senior management team. It also discussed at divisional and branch meetings throughout the year. </w:t>
      </w:r>
    </w:p>
    <w:p w14:paraId="4D29307B" w14:textId="77777777" w:rsidR="000A5BCC" w:rsidRPr="00A74E13" w:rsidRDefault="000A5BCC" w:rsidP="007E3277">
      <w:pPr>
        <w:pStyle w:val="Heading3nonumber"/>
      </w:pPr>
      <w:bookmarkStart w:id="156" w:name="_Toc525121935"/>
      <w:r w:rsidRPr="00A74E13">
        <w:t>KPI Performance Reporting Committee</w:t>
      </w:r>
      <w:bookmarkEnd w:id="154"/>
      <w:bookmarkEnd w:id="155"/>
      <w:bookmarkEnd w:id="156"/>
    </w:p>
    <w:p w14:paraId="344D84E4" w14:textId="77777777" w:rsidR="005152EE" w:rsidRPr="00A21027" w:rsidRDefault="005152EE" w:rsidP="005152EE">
      <w:bookmarkStart w:id="157" w:name="_Toc426617432"/>
      <w:bookmarkStart w:id="158" w:name="_Toc450900647"/>
      <w:r w:rsidRPr="00A21027">
        <w:t xml:space="preserve">The KPI Performance Reporting Committee reviews and manages the Agency’s </w:t>
      </w:r>
      <w:r w:rsidRPr="00291DA6">
        <w:t xml:space="preserve">Outcome Based </w:t>
      </w:r>
      <w:r w:rsidRPr="004C246A">
        <w:t>Management (OBM) structure</w:t>
      </w:r>
      <w:r w:rsidRPr="00A21027">
        <w:t xml:space="preserve">. </w:t>
      </w:r>
    </w:p>
    <w:p w14:paraId="1CEFF72C" w14:textId="50760BA4" w:rsidR="005152EE" w:rsidRPr="00A96724" w:rsidRDefault="005152EE" w:rsidP="005152EE">
      <w:r w:rsidRPr="00A96724">
        <w:t>The KPI Performance Reporting Committee is chaired by the CEO and consists of the Corporate Executive and s</w:t>
      </w:r>
      <w:r>
        <w:t>enior officers</w:t>
      </w:r>
      <w:r w:rsidRPr="00A96724">
        <w:t>. The Committee meets quarterly or as required. The Committee ensures the Agency complies with relevant government directives, guidelines and legislation in developing, implementing and monitoring organisational performance outcomes.</w:t>
      </w:r>
    </w:p>
    <w:p w14:paraId="3102D4F3" w14:textId="532C0C9D" w:rsidR="00701267" w:rsidRPr="004C246A" w:rsidRDefault="005152EE" w:rsidP="00701267">
      <w:r w:rsidRPr="00A21027">
        <w:t xml:space="preserve">The KPI Performance </w:t>
      </w:r>
      <w:r w:rsidRPr="00291DA6">
        <w:t xml:space="preserve">Reporting Committee has integrated the Agency’s Key Performance </w:t>
      </w:r>
      <w:r w:rsidRPr="004C246A">
        <w:t>Indicators (KPIs) with operational processes to ensure KPIs are regarded as integral to the Agency’s reporting framework.</w:t>
      </w:r>
      <w:r w:rsidR="00A55ECE" w:rsidRPr="004C246A">
        <w:t xml:space="preserve"> </w:t>
      </w:r>
      <w:r w:rsidR="00701267" w:rsidRPr="004C246A">
        <w:t>The committee met four times in 2017/18.</w:t>
      </w:r>
    </w:p>
    <w:p w14:paraId="066A3F80" w14:textId="384BC005" w:rsidR="00701267" w:rsidRPr="004C246A" w:rsidRDefault="00701267" w:rsidP="00701267">
      <w:r w:rsidRPr="004C246A">
        <w:t xml:space="preserve">Each year since 2011/12, the Auditor General has acknowledged WorkCover WA as one of the ‘Best Practice Top 20 Small Agencies’ for </w:t>
      </w:r>
      <w:r w:rsidR="003076D9" w:rsidRPr="004C246A">
        <w:t xml:space="preserve">the </w:t>
      </w:r>
      <w:r w:rsidR="009B6E9D" w:rsidRPr="004C246A">
        <w:t>managing</w:t>
      </w:r>
      <w:r w:rsidRPr="004C246A">
        <w:t xml:space="preserve"> and reporting of its finances and KPIs.</w:t>
      </w:r>
    </w:p>
    <w:p w14:paraId="7CF53E24" w14:textId="0C73C44A" w:rsidR="00701267" w:rsidRPr="003E5B08" w:rsidRDefault="00701267" w:rsidP="00701267">
      <w:r w:rsidRPr="004C246A">
        <w:t>In March 2018</w:t>
      </w:r>
      <w:r w:rsidR="00A55ECE" w:rsidRPr="004C246A">
        <w:t>,</w:t>
      </w:r>
      <w:r w:rsidRPr="004C246A">
        <w:t xml:space="preserve"> WorkCover WA received the Bronze Award Category 2 at the Institute of Public Administration Australia WA’s W.S. Lonnie Awards</w:t>
      </w:r>
      <w:r w:rsidR="00975473" w:rsidRPr="004C246A">
        <w:t xml:space="preserve"> (W.S. Lonnie Awards)</w:t>
      </w:r>
      <w:r w:rsidRPr="004C246A">
        <w:t xml:space="preserve"> in recognition of </w:t>
      </w:r>
      <w:r w:rsidR="009B6E9D" w:rsidRPr="004C246A">
        <w:t>excellence</w:t>
      </w:r>
      <w:r w:rsidRPr="004C246A">
        <w:t xml:space="preserve"> and accountability </w:t>
      </w:r>
      <w:r w:rsidR="00A55ECE" w:rsidRPr="004C246A">
        <w:t>in annual reporting. The judges</w:t>
      </w:r>
      <w:r w:rsidRPr="004C246A">
        <w:t xml:space="preserve"> comment</w:t>
      </w:r>
      <w:r w:rsidR="00A55ECE" w:rsidRPr="004C246A">
        <w:t>ed</w:t>
      </w:r>
      <w:r w:rsidRPr="004C246A">
        <w:t xml:space="preserve"> the report </w:t>
      </w:r>
      <w:r>
        <w:t>had a “</w:t>
      </w:r>
      <w:r w:rsidRPr="00605565">
        <w:rPr>
          <w:i/>
        </w:rPr>
        <w:t>strong and informative performance section</w:t>
      </w:r>
      <w:r>
        <w:t xml:space="preserve">” which was </w:t>
      </w:r>
      <w:r w:rsidR="00A55ECE">
        <w:t>“</w:t>
      </w:r>
      <w:r w:rsidRPr="00605565">
        <w:rPr>
          <w:i/>
        </w:rPr>
        <w:t>easy to follow with easy comparison to targets</w:t>
      </w:r>
      <w:r w:rsidR="00A55ECE">
        <w:t>”</w:t>
      </w:r>
      <w:r>
        <w:t>.</w:t>
      </w:r>
    </w:p>
    <w:p w14:paraId="696A6D89" w14:textId="77777777" w:rsidR="000A5BCC" w:rsidRPr="007E3277" w:rsidRDefault="000A5BCC" w:rsidP="007E3277">
      <w:pPr>
        <w:pStyle w:val="Heading3nonumber"/>
      </w:pPr>
      <w:bookmarkStart w:id="159" w:name="_Toc525121936"/>
      <w:r w:rsidRPr="00A74E13">
        <w:t xml:space="preserve">Risk Management </w:t>
      </w:r>
      <w:r w:rsidR="00B560E5" w:rsidRPr="00A74E13">
        <w:t xml:space="preserve">Review </w:t>
      </w:r>
      <w:r w:rsidRPr="00A74E13">
        <w:t>Group</w:t>
      </w:r>
      <w:bookmarkEnd w:id="157"/>
      <w:bookmarkEnd w:id="158"/>
      <w:bookmarkEnd w:id="159"/>
    </w:p>
    <w:p w14:paraId="2652502B" w14:textId="486FF2C5" w:rsidR="00701267" w:rsidRPr="00624810" w:rsidRDefault="00701267" w:rsidP="00701267">
      <w:pPr>
        <w:rPr>
          <w:szCs w:val="22"/>
        </w:rPr>
      </w:pPr>
      <w:bookmarkStart w:id="160" w:name="_Toc426617433"/>
      <w:bookmarkStart w:id="161" w:name="_Toc450900648"/>
      <w:r w:rsidRPr="00624810">
        <w:rPr>
          <w:szCs w:val="22"/>
        </w:rPr>
        <w:t xml:space="preserve">The Risk Management Review Group </w:t>
      </w:r>
      <w:r w:rsidR="00962324">
        <w:rPr>
          <w:szCs w:val="22"/>
        </w:rPr>
        <w:t xml:space="preserve">comprises divisional and branch managers and other staff with risk management responsibilities. The group </w:t>
      </w:r>
      <w:r w:rsidRPr="00624810">
        <w:rPr>
          <w:szCs w:val="22"/>
        </w:rPr>
        <w:t>oversees WorkCover WA’s risk management processes and is responsible for maintaining the Agency’s risk management framework. The Risk Management Review Group:</w:t>
      </w:r>
    </w:p>
    <w:p w14:paraId="3EDA4F8C" w14:textId="77777777" w:rsidR="00701267" w:rsidRPr="00701267" w:rsidRDefault="00701267" w:rsidP="00701267">
      <w:pPr>
        <w:pStyle w:val="BulletListLevel1"/>
      </w:pPr>
      <w:r w:rsidRPr="00701267">
        <w:t>identifies, monitors and reviews Agency risks (both strategic and operational)</w:t>
      </w:r>
    </w:p>
    <w:p w14:paraId="582A841A" w14:textId="77777777" w:rsidR="00701267" w:rsidRPr="00701267" w:rsidRDefault="00701267" w:rsidP="00701267">
      <w:pPr>
        <w:pStyle w:val="BulletListLevel1"/>
      </w:pPr>
      <w:r w:rsidRPr="00701267">
        <w:t>encourages and promotes greater awareness and understanding of risk management throughout all levels of the Agency</w:t>
      </w:r>
    </w:p>
    <w:p w14:paraId="721AB5E7" w14:textId="77777777" w:rsidR="00701267" w:rsidRDefault="00701267" w:rsidP="00701267">
      <w:pPr>
        <w:pStyle w:val="BulletListLevel1"/>
      </w:pPr>
      <w:r w:rsidRPr="00701267">
        <w:t>provides guidance on risk management to the Agency.</w:t>
      </w:r>
    </w:p>
    <w:p w14:paraId="187F2FCB" w14:textId="7727D2E6" w:rsidR="00604226" w:rsidRPr="00624810" w:rsidRDefault="00604226" w:rsidP="00604226">
      <w:pPr>
        <w:rPr>
          <w:szCs w:val="22"/>
        </w:rPr>
      </w:pPr>
      <w:r>
        <w:t xml:space="preserve">During 2017/18, the </w:t>
      </w:r>
      <w:r w:rsidRPr="00624810">
        <w:rPr>
          <w:szCs w:val="22"/>
        </w:rPr>
        <w:t>Risk Management Review Group continued to grow risk management knowledge, awareness and adoption across the Agency. This was achieved through:</w:t>
      </w:r>
    </w:p>
    <w:p w14:paraId="6259427B" w14:textId="77777777" w:rsidR="00604226" w:rsidRPr="008237A3" w:rsidRDefault="00604226" w:rsidP="008237A3">
      <w:pPr>
        <w:pStyle w:val="BulletListLevel1"/>
      </w:pPr>
      <w:r w:rsidRPr="008237A3">
        <w:t>quarterly meetings to monitor risk management activities</w:t>
      </w:r>
    </w:p>
    <w:p w14:paraId="15584A51" w14:textId="77777777" w:rsidR="00604226" w:rsidRPr="008237A3" w:rsidRDefault="00604226" w:rsidP="008237A3">
      <w:pPr>
        <w:pStyle w:val="BulletListLevel1"/>
      </w:pPr>
      <w:r w:rsidRPr="008237A3">
        <w:t>oversight of changes to risks and controls within the risk management register</w:t>
      </w:r>
    </w:p>
    <w:p w14:paraId="4DD2BAB7" w14:textId="6347D7F3" w:rsidR="00604226" w:rsidRPr="008237A3" w:rsidRDefault="00604226" w:rsidP="008237A3">
      <w:pPr>
        <w:pStyle w:val="BulletListLevel1"/>
      </w:pPr>
      <w:r w:rsidRPr="008237A3">
        <w:t xml:space="preserve">adoption of </w:t>
      </w:r>
      <w:r w:rsidR="00597612">
        <w:t>an</w:t>
      </w:r>
      <w:r w:rsidRPr="008237A3">
        <w:t xml:space="preserve"> Agency Risk </w:t>
      </w:r>
      <w:r w:rsidR="00597612">
        <w:t>Strategy and Appetite Statement</w:t>
      </w:r>
    </w:p>
    <w:p w14:paraId="4E31074E" w14:textId="77777777" w:rsidR="00604226" w:rsidRPr="008237A3" w:rsidRDefault="00604226" w:rsidP="008237A3">
      <w:pPr>
        <w:pStyle w:val="BulletListLevel1"/>
      </w:pPr>
      <w:r w:rsidRPr="008237A3">
        <w:t>ensuring risk owners monitor and review risks in accordance with set schedules</w:t>
      </w:r>
    </w:p>
    <w:p w14:paraId="69A30183" w14:textId="54C77436" w:rsidR="00604226" w:rsidRPr="008237A3" w:rsidRDefault="00604226" w:rsidP="008237A3">
      <w:pPr>
        <w:pStyle w:val="BulletListLevel1"/>
      </w:pPr>
      <w:r w:rsidRPr="008237A3">
        <w:t>reporting regularly to the Corporate Executive, Audit and Risk Management Committee, and Board.</w:t>
      </w:r>
    </w:p>
    <w:p w14:paraId="1A954094" w14:textId="0E7DB6A3" w:rsidR="00B341D9" w:rsidRPr="001C7CAB" w:rsidRDefault="00621294" w:rsidP="00100FE4">
      <w:pPr>
        <w:pStyle w:val="Heading2nonumber"/>
      </w:pPr>
      <w:bookmarkStart w:id="162" w:name="_Toc525121937"/>
      <w:r>
        <w:t>Complaints h</w:t>
      </w:r>
      <w:r w:rsidR="00B341D9" w:rsidRPr="001C7CAB">
        <w:t>andling</w:t>
      </w:r>
      <w:bookmarkEnd w:id="160"/>
      <w:bookmarkEnd w:id="161"/>
      <w:bookmarkEnd w:id="162"/>
    </w:p>
    <w:p w14:paraId="6ADB3C10" w14:textId="4D61CB5A" w:rsidR="00B341D9" w:rsidRPr="00A74E13" w:rsidRDefault="00B341D9" w:rsidP="00FD672E">
      <w:pPr>
        <w:pStyle w:val="Heading3nonumber"/>
      </w:pPr>
      <w:bookmarkStart w:id="163" w:name="_Toc426617434"/>
      <w:bookmarkStart w:id="164" w:name="_Toc450900649"/>
      <w:bookmarkStart w:id="165" w:name="_Toc525121938"/>
      <w:r w:rsidRPr="00A74E13">
        <w:t xml:space="preserve">Customer First Feedback </w:t>
      </w:r>
      <w:r w:rsidR="009F1C9D">
        <w:t>p</w:t>
      </w:r>
      <w:r w:rsidRPr="00A74E13">
        <w:t xml:space="preserve">olicy and </w:t>
      </w:r>
      <w:r w:rsidR="009F1C9D">
        <w:t>p</w:t>
      </w:r>
      <w:r w:rsidRPr="00A74E13">
        <w:t>rocedures</w:t>
      </w:r>
      <w:bookmarkEnd w:id="163"/>
      <w:bookmarkEnd w:id="164"/>
      <w:bookmarkEnd w:id="165"/>
    </w:p>
    <w:p w14:paraId="02FEA0F8" w14:textId="77777777" w:rsidR="00D36895" w:rsidRPr="00CB5904" w:rsidRDefault="00D36895" w:rsidP="008237A3">
      <w:pPr>
        <w:rPr>
          <w:lang w:val="en-GB"/>
        </w:rPr>
      </w:pPr>
      <w:bookmarkStart w:id="166" w:name="_Toc450900650"/>
      <w:r>
        <w:rPr>
          <w:lang w:val="en-GB"/>
        </w:rPr>
        <w:t>WorkCover WA</w:t>
      </w:r>
      <w:r w:rsidRPr="00CB5904">
        <w:rPr>
          <w:lang w:val="en-GB"/>
        </w:rPr>
        <w:t xml:space="preserve"> </w:t>
      </w:r>
      <w:r w:rsidRPr="008237A3">
        <w:t>recognises feedback from customers</w:t>
      </w:r>
      <w:r w:rsidRPr="00CB5904">
        <w:rPr>
          <w:lang w:val="en-GB"/>
        </w:rPr>
        <w:t xml:space="preserve"> is the most immediate and effective measurement of public perception of its performance. </w:t>
      </w:r>
    </w:p>
    <w:p w14:paraId="7D720296" w14:textId="77777777" w:rsidR="00D36895" w:rsidRDefault="00D36895" w:rsidP="008237A3">
      <w:pPr>
        <w:rPr>
          <w:lang w:val="en-GB"/>
        </w:rPr>
      </w:pPr>
      <w:r>
        <w:rPr>
          <w:lang w:val="en-GB"/>
        </w:rPr>
        <w:t>WorkCover WA</w:t>
      </w:r>
      <w:r w:rsidRPr="00CB5904">
        <w:rPr>
          <w:lang w:val="en-GB"/>
        </w:rPr>
        <w:t>’s Customer First Feedback System complies with the Australian Standard on Complaints Handling (</w:t>
      </w:r>
      <w:r>
        <w:rPr>
          <w:lang w:val="en-GB"/>
        </w:rPr>
        <w:t xml:space="preserve">ISO </w:t>
      </w:r>
      <w:r w:rsidRPr="00CB5904">
        <w:rPr>
          <w:lang w:val="en-GB"/>
        </w:rPr>
        <w:t>10002-20</w:t>
      </w:r>
      <w:r>
        <w:rPr>
          <w:lang w:val="en-GB"/>
        </w:rPr>
        <w:t>14</w:t>
      </w:r>
      <w:r w:rsidRPr="00CB5904">
        <w:rPr>
          <w:lang w:val="en-GB"/>
        </w:rPr>
        <w:t xml:space="preserve">) and Public Sector Commission Circular 2009-27: Complaints </w:t>
      </w:r>
      <w:r>
        <w:rPr>
          <w:lang w:val="en-GB"/>
        </w:rPr>
        <w:t>Management</w:t>
      </w:r>
      <w:r w:rsidRPr="00CB5904">
        <w:rPr>
          <w:lang w:val="en-GB"/>
        </w:rPr>
        <w:t>. The system provides customers with an avenue to deliver feedback (positive or negative) about the Agency’s services, decisions, procedures, policies and facilities.</w:t>
      </w:r>
    </w:p>
    <w:p w14:paraId="19DA330D" w14:textId="024E4C5C" w:rsidR="00D36895" w:rsidRPr="00CB5904" w:rsidRDefault="00D36895" w:rsidP="00D36895">
      <w:pPr>
        <w:rPr>
          <w:lang w:val="en-GB"/>
        </w:rPr>
      </w:pPr>
      <w:r>
        <w:rPr>
          <w:lang w:val="en-GB"/>
        </w:rPr>
        <w:t>Customer First processes increase</w:t>
      </w:r>
      <w:r w:rsidRPr="00CB5904">
        <w:rPr>
          <w:lang w:val="en-GB"/>
        </w:rPr>
        <w:t xml:space="preserve"> </w:t>
      </w:r>
      <w:r w:rsidR="005231C7">
        <w:rPr>
          <w:lang w:val="en-GB"/>
        </w:rPr>
        <w:t>our</w:t>
      </w:r>
      <w:r w:rsidRPr="00CB5904">
        <w:rPr>
          <w:lang w:val="en-GB"/>
        </w:rPr>
        <w:t xml:space="preserve"> understanding of customer needs and expectations and identifies opportunities for organisational improvement. Customer feedback is reported regularly to the Agency’s Corporate Executive to identify trends and implement positive change.</w:t>
      </w:r>
    </w:p>
    <w:p w14:paraId="62E53C2F" w14:textId="3A103F9E" w:rsidR="00D36895" w:rsidRDefault="00D36895" w:rsidP="00D36895">
      <w:pPr>
        <w:rPr>
          <w:lang w:val="en-GB"/>
        </w:rPr>
      </w:pPr>
      <w:r w:rsidRPr="00CB5904">
        <w:rPr>
          <w:lang w:val="en-GB"/>
        </w:rPr>
        <w:t>Customer feedback is recorded either verbally (in person or by telephone) or in writing (by Customer First Feedback Form, email, website, letter, fax or ministerial). A response to verbal feedback must be provided within five working days, and written feedback within 10 working days. More complex complaints are expected to be resolved within 30 working days.</w:t>
      </w:r>
    </w:p>
    <w:p w14:paraId="75920DEA" w14:textId="2711B583" w:rsidR="00975473" w:rsidRDefault="008237A3" w:rsidP="00D36895">
      <w:pPr>
        <w:rPr>
          <w:lang w:val="en-GB"/>
        </w:rPr>
      </w:pPr>
      <w:r>
        <w:rPr>
          <w:lang w:val="en-GB"/>
        </w:rPr>
        <w:t>In 2017/18, a</w:t>
      </w:r>
      <w:r w:rsidR="00D36895">
        <w:rPr>
          <w:lang w:val="en-GB"/>
        </w:rPr>
        <w:t>ll customer feedback was actioned within the agreed deadline of five working days for verbal feedback and 10 working days for written feedback.</w:t>
      </w:r>
      <w:r>
        <w:rPr>
          <w:lang w:val="en-GB"/>
        </w:rPr>
        <w:t xml:space="preserve"> This year our Agency </w:t>
      </w:r>
      <w:r w:rsidR="00975473">
        <w:rPr>
          <w:lang w:val="en-GB"/>
        </w:rPr>
        <w:t xml:space="preserve">received </w:t>
      </w:r>
      <w:r w:rsidR="00107303">
        <w:rPr>
          <w:lang w:val="en-GB"/>
        </w:rPr>
        <w:t>six</w:t>
      </w:r>
      <w:r w:rsidR="00975473" w:rsidRPr="003C78EF">
        <w:rPr>
          <w:lang w:val="en-GB"/>
        </w:rPr>
        <w:t xml:space="preserve"> compliments, </w:t>
      </w:r>
      <w:r w:rsidR="00107303">
        <w:rPr>
          <w:lang w:val="en-GB"/>
        </w:rPr>
        <w:t>eight</w:t>
      </w:r>
      <w:r w:rsidR="00975473" w:rsidRPr="003C78EF">
        <w:rPr>
          <w:lang w:val="en-GB"/>
        </w:rPr>
        <w:t xml:space="preserve"> complaints and </w:t>
      </w:r>
      <w:r w:rsidR="00107303">
        <w:rPr>
          <w:lang w:val="en-GB"/>
        </w:rPr>
        <w:t>seven</w:t>
      </w:r>
      <w:r w:rsidR="00975473" w:rsidRPr="003C78EF">
        <w:rPr>
          <w:lang w:val="en-GB"/>
        </w:rPr>
        <w:t xml:space="preserve"> suggestions.</w:t>
      </w:r>
    </w:p>
    <w:p w14:paraId="5C8E9CC5" w14:textId="4D1F795A" w:rsidR="00975473" w:rsidRPr="00975473" w:rsidRDefault="00975473" w:rsidP="00D36895">
      <w:r>
        <w:t>In March 2018</w:t>
      </w:r>
      <w:r w:rsidR="005A51B5">
        <w:t>,</w:t>
      </w:r>
      <w:r>
        <w:t xml:space="preserve"> WorkCover WA received the Bronze Award Category 2 at the W.S. Lonnie Awards</w:t>
      </w:r>
      <w:r w:rsidR="00B3688F">
        <w:t xml:space="preserve"> for our Annual Report</w:t>
      </w:r>
      <w:r>
        <w:t xml:space="preserve">, with judges noting </w:t>
      </w:r>
      <w:r w:rsidR="00B3688F">
        <w:t xml:space="preserve">our </w:t>
      </w:r>
      <w:r>
        <w:t xml:space="preserve">complaints handling </w:t>
      </w:r>
      <w:r w:rsidR="00B3688F">
        <w:t>continued</w:t>
      </w:r>
      <w:r>
        <w:t xml:space="preserve"> to be strong.</w:t>
      </w:r>
    </w:p>
    <w:p w14:paraId="3E1A9864" w14:textId="0C55B114" w:rsidR="006C70FE" w:rsidRDefault="006C70FE" w:rsidP="006C70FE">
      <w:pPr>
        <w:pStyle w:val="Heading3nonumber"/>
      </w:pPr>
      <w:bookmarkStart w:id="167" w:name="_Toc525121939"/>
      <w:r>
        <w:t xml:space="preserve">Complaints against </w:t>
      </w:r>
      <w:bookmarkEnd w:id="166"/>
      <w:r w:rsidR="00C8085B">
        <w:t>service providers</w:t>
      </w:r>
      <w:bookmarkEnd w:id="167"/>
    </w:p>
    <w:p w14:paraId="6F9EF96E" w14:textId="77777777" w:rsidR="00600C70" w:rsidRDefault="00600C70" w:rsidP="00600C70">
      <w:r>
        <w:t xml:space="preserve">WorkCover WA (as the scheme regulator) places great importance on investigation of complaints about service providers who participate in the scheme. Management of these complaints during 2017/18 is detailed in </w:t>
      </w:r>
      <w:r w:rsidRPr="00600C70">
        <w:rPr>
          <w:i/>
        </w:rPr>
        <w:t>Section 3: Report on operations</w:t>
      </w:r>
      <w:r>
        <w:t xml:space="preserve"> under the following sections:</w:t>
      </w:r>
    </w:p>
    <w:p w14:paraId="4C3DF079" w14:textId="45F5378F" w:rsidR="00FC4A12" w:rsidRDefault="00600C70" w:rsidP="00600C70">
      <w:pPr>
        <w:pStyle w:val="BulletListLevel1"/>
      </w:pPr>
      <w:r>
        <w:t xml:space="preserve">Complaints against approved insurers and self-insurers – </w:t>
      </w:r>
      <w:r w:rsidRPr="005225AA">
        <w:t xml:space="preserve">page </w:t>
      </w:r>
      <w:r w:rsidR="005225AA" w:rsidRPr="005225AA">
        <w:t>84</w:t>
      </w:r>
    </w:p>
    <w:p w14:paraId="4B65303C" w14:textId="5D4CF472" w:rsidR="00600C70" w:rsidRDefault="00600C70" w:rsidP="00600C70">
      <w:pPr>
        <w:pStyle w:val="BulletListLevel1"/>
      </w:pPr>
      <w:r>
        <w:t xml:space="preserve">Complaints against registered agents – </w:t>
      </w:r>
      <w:r w:rsidRPr="005225AA">
        <w:t xml:space="preserve">page </w:t>
      </w:r>
      <w:r w:rsidR="005225AA" w:rsidRPr="005225AA">
        <w:t>84</w:t>
      </w:r>
    </w:p>
    <w:p w14:paraId="742B5318" w14:textId="7B23E33B" w:rsidR="00600C70" w:rsidRDefault="00600C70" w:rsidP="00600C70">
      <w:pPr>
        <w:pStyle w:val="BulletListLevel1"/>
      </w:pPr>
      <w:r>
        <w:t xml:space="preserve">Complaints against approved workplace rehabilitation providers – </w:t>
      </w:r>
      <w:r w:rsidRPr="005225AA">
        <w:t xml:space="preserve">page </w:t>
      </w:r>
      <w:r w:rsidR="005225AA" w:rsidRPr="005225AA">
        <w:t>85</w:t>
      </w:r>
    </w:p>
    <w:p w14:paraId="707DC173" w14:textId="113484CE" w:rsidR="00600C70" w:rsidRPr="005225AA" w:rsidRDefault="00600C70" w:rsidP="00600C70">
      <w:pPr>
        <w:pStyle w:val="BulletListLevel1"/>
      </w:pPr>
      <w:r>
        <w:t xml:space="preserve">Complaints against approved audiometric officers, audiologists and audiometrists – </w:t>
      </w:r>
      <w:r w:rsidRPr="005225AA">
        <w:t xml:space="preserve">page </w:t>
      </w:r>
      <w:r w:rsidR="005225AA" w:rsidRPr="005225AA">
        <w:t>85</w:t>
      </w:r>
    </w:p>
    <w:p w14:paraId="1BF5FB76" w14:textId="36C0F369" w:rsidR="00600C70" w:rsidRPr="00600C70" w:rsidRDefault="00600C70" w:rsidP="00600C70">
      <w:pPr>
        <w:pStyle w:val="BulletListLevel1"/>
      </w:pPr>
      <w:r w:rsidRPr="005225AA">
        <w:t xml:space="preserve">Complaints against approved medical specialists – page </w:t>
      </w:r>
      <w:r w:rsidR="005225AA" w:rsidRPr="005225AA">
        <w:t>86</w:t>
      </w:r>
      <w:r>
        <w:t>.</w:t>
      </w:r>
    </w:p>
    <w:p w14:paraId="7F3F34EF" w14:textId="77777777" w:rsidR="000A5BCC" w:rsidRPr="00D27616" w:rsidRDefault="00E90249" w:rsidP="00D27616">
      <w:pPr>
        <w:pStyle w:val="Heading2nonumber"/>
      </w:pPr>
      <w:bookmarkStart w:id="168" w:name="_Toc399316931"/>
      <w:bookmarkStart w:id="169" w:name="_Toc426617435"/>
      <w:bookmarkStart w:id="170" w:name="_Toc450900651"/>
      <w:bookmarkStart w:id="171" w:name="_Toc525121940"/>
      <w:r w:rsidRPr="00A9431E">
        <w:t>Communications policies</w:t>
      </w:r>
      <w:bookmarkEnd w:id="168"/>
      <w:bookmarkEnd w:id="169"/>
      <w:bookmarkEnd w:id="170"/>
      <w:bookmarkEnd w:id="171"/>
    </w:p>
    <w:p w14:paraId="09B5D52E" w14:textId="4D1262A5" w:rsidR="00F25D06" w:rsidRDefault="005E3A10" w:rsidP="005E3A10">
      <w:pPr>
        <w:rPr>
          <w:lang w:val="en-GB" w:eastAsia="en-AU"/>
        </w:rPr>
      </w:pPr>
      <w:bookmarkStart w:id="172" w:name="_Toc426617436"/>
      <w:bookmarkStart w:id="173" w:name="_Toc450900652"/>
      <w:r>
        <w:rPr>
          <w:lang w:val="en-GB" w:eastAsia="en-AU"/>
        </w:rPr>
        <w:t xml:space="preserve">WorkCover WA publishes policies which govern internal and external communications, and ensures staff are made aware of these policies. </w:t>
      </w:r>
    </w:p>
    <w:p w14:paraId="36F4B9EC" w14:textId="33E3A854" w:rsidR="005E3A10" w:rsidRPr="00A9431E" w:rsidRDefault="00F25D06" w:rsidP="005E3A10">
      <w:pPr>
        <w:rPr>
          <w:lang w:val="en-GB" w:eastAsia="en-AU"/>
        </w:rPr>
      </w:pPr>
      <w:r>
        <w:rPr>
          <w:lang w:val="en-GB" w:eastAsia="en-AU"/>
        </w:rPr>
        <w:t>WorkCover WA’s communications</w:t>
      </w:r>
      <w:r w:rsidR="005E3A10" w:rsidRPr="00A9431E">
        <w:rPr>
          <w:lang w:val="en-GB" w:eastAsia="en-AU"/>
        </w:rPr>
        <w:t xml:space="preserve"> policies are supported by </w:t>
      </w:r>
      <w:r>
        <w:rPr>
          <w:lang w:val="en-GB" w:eastAsia="en-AU"/>
        </w:rPr>
        <w:t>our Agency’s</w:t>
      </w:r>
      <w:r w:rsidR="005E3A10" w:rsidRPr="00A9431E">
        <w:rPr>
          <w:lang w:val="en-GB" w:eastAsia="en-AU"/>
        </w:rPr>
        <w:t xml:space="preserve"> Freedom of Information Policy, Records Management Policy and Code of Conduct.  </w:t>
      </w:r>
    </w:p>
    <w:p w14:paraId="7B85AC59" w14:textId="42C79CA9" w:rsidR="005E3A10" w:rsidRDefault="005E3A10" w:rsidP="005E3A10">
      <w:pPr>
        <w:rPr>
          <w:lang w:val="en-GB" w:eastAsia="en-AU"/>
        </w:rPr>
      </w:pPr>
      <w:r>
        <w:rPr>
          <w:lang w:val="en-GB" w:eastAsia="en-AU"/>
        </w:rPr>
        <w:t>A</w:t>
      </w:r>
      <w:r w:rsidRPr="00A9431E">
        <w:rPr>
          <w:lang w:val="en-GB" w:eastAsia="en-AU"/>
        </w:rPr>
        <w:t xml:space="preserve"> </w:t>
      </w:r>
      <w:r>
        <w:rPr>
          <w:lang w:val="en-GB" w:eastAsia="en-AU"/>
        </w:rPr>
        <w:t xml:space="preserve">strict governance </w:t>
      </w:r>
      <w:r w:rsidRPr="00A9431E">
        <w:rPr>
          <w:lang w:val="en-GB" w:eastAsia="en-AU"/>
        </w:rPr>
        <w:t xml:space="preserve">schedule ensures each policy is </w:t>
      </w:r>
      <w:r>
        <w:rPr>
          <w:lang w:val="en-GB" w:eastAsia="en-AU"/>
        </w:rPr>
        <w:t xml:space="preserve">periodically </w:t>
      </w:r>
      <w:r w:rsidRPr="00A9431E">
        <w:rPr>
          <w:lang w:val="en-GB" w:eastAsia="en-AU"/>
        </w:rPr>
        <w:t>reviewed for adequacy, currency and effectiveness.</w:t>
      </w:r>
      <w:r>
        <w:rPr>
          <w:lang w:val="en-GB" w:eastAsia="en-AU"/>
        </w:rPr>
        <w:t xml:space="preserve"> All policies were reviewed in accordance with the schedule and were</w:t>
      </w:r>
      <w:r w:rsidR="003076D9">
        <w:rPr>
          <w:lang w:val="en-GB" w:eastAsia="en-AU"/>
        </w:rPr>
        <w:t xml:space="preserve"> all</w:t>
      </w:r>
      <w:r>
        <w:rPr>
          <w:lang w:val="en-GB" w:eastAsia="en-AU"/>
        </w:rPr>
        <w:t xml:space="preserve"> adhered to in 2017/18.</w:t>
      </w:r>
    </w:p>
    <w:p w14:paraId="188602B6" w14:textId="5231DEF9" w:rsidR="00FE7E02" w:rsidRPr="00A9431E" w:rsidRDefault="00FE7E02" w:rsidP="005E3A10">
      <w:pPr>
        <w:pStyle w:val="Heading3nonumber"/>
      </w:pPr>
      <w:bookmarkStart w:id="174" w:name="_Toc525121941"/>
      <w:r w:rsidRPr="00A9431E">
        <w:t>Customer Service Charter</w:t>
      </w:r>
      <w:bookmarkEnd w:id="172"/>
      <w:bookmarkEnd w:id="173"/>
      <w:bookmarkEnd w:id="174"/>
    </w:p>
    <w:p w14:paraId="52C7C42C" w14:textId="49729E46" w:rsidR="005E3A10" w:rsidRDefault="005E3A10" w:rsidP="005E3A10">
      <w:bookmarkStart w:id="175" w:name="_Toc426617437"/>
      <w:bookmarkStart w:id="176" w:name="_Toc450900653"/>
      <w:r w:rsidRPr="00A9431E">
        <w:t xml:space="preserve">The </w:t>
      </w:r>
      <w:r>
        <w:t>WorkCover WA</w:t>
      </w:r>
      <w:r w:rsidRPr="00A9431E">
        <w:t xml:space="preserve"> Customer Service Charter identifies the Agency’s commitment to our customers and outlines the servi</w:t>
      </w:r>
      <w:r>
        <w:t>ce they can expect to receive when</w:t>
      </w:r>
      <w:r w:rsidRPr="00A9431E">
        <w:t xml:space="preserve"> dealing with </w:t>
      </w:r>
      <w:r>
        <w:t>WorkCover WA</w:t>
      </w:r>
      <w:r w:rsidRPr="00A9431E">
        <w:t xml:space="preserve">. The Customer Service Charter is supported by the Agency’s Customer </w:t>
      </w:r>
      <w:r w:rsidRPr="00A01C4E">
        <w:t xml:space="preserve">First Feedback Policy and Procedures, and managed through the online Customer First Feedback System as detailed under ‘Complaints handling – policy and procedures’ </w:t>
      </w:r>
      <w:r w:rsidRPr="00063763">
        <w:t xml:space="preserve">on </w:t>
      </w:r>
      <w:r w:rsidRPr="005225AA">
        <w:t xml:space="preserve">page </w:t>
      </w:r>
      <w:r w:rsidR="005225AA" w:rsidRPr="005225AA">
        <w:t>45</w:t>
      </w:r>
      <w:r w:rsidRPr="005225AA">
        <w:t>.</w:t>
      </w:r>
    </w:p>
    <w:p w14:paraId="15ACC744" w14:textId="77777777" w:rsidR="00A866A5" w:rsidRPr="00A9431E" w:rsidRDefault="00A866A5" w:rsidP="00D27616">
      <w:pPr>
        <w:pStyle w:val="Heading3nonumber"/>
        <w:rPr>
          <w:rFonts w:eastAsiaTheme="majorEastAsia"/>
        </w:rPr>
      </w:pPr>
      <w:bookmarkStart w:id="177" w:name="_Toc525121942"/>
      <w:r w:rsidRPr="00A9431E">
        <w:rPr>
          <w:rFonts w:eastAsiaTheme="majorEastAsia"/>
        </w:rPr>
        <w:t>Communications Protocol</w:t>
      </w:r>
      <w:bookmarkEnd w:id="175"/>
      <w:bookmarkEnd w:id="176"/>
      <w:bookmarkEnd w:id="177"/>
    </w:p>
    <w:p w14:paraId="08F173F3" w14:textId="77777777" w:rsidR="005E3A10" w:rsidRDefault="005E3A10" w:rsidP="005E3A10">
      <w:bookmarkStart w:id="178" w:name="_Toc426617438"/>
      <w:bookmarkStart w:id="179" w:name="_Toc450900654"/>
      <w:r w:rsidRPr="00A9431E">
        <w:t xml:space="preserve">In accordance with the </w:t>
      </w:r>
      <w:r w:rsidRPr="00A9431E">
        <w:rPr>
          <w:i/>
        </w:rPr>
        <w:t>Public Sector Management Act 1994</w:t>
      </w:r>
      <w:r w:rsidRPr="00A9431E">
        <w:t xml:space="preserve">, </w:t>
      </w:r>
      <w:r>
        <w:t>WorkCover WA</w:t>
      </w:r>
      <w:r w:rsidRPr="00A9431E">
        <w:t xml:space="preserve"> has a Communications Protocol which outlines the manner and circumstances in which the CEO and Agency employees interact with the Minister’s Office.</w:t>
      </w:r>
    </w:p>
    <w:p w14:paraId="6573A202" w14:textId="42739774" w:rsidR="00A866A5" w:rsidRDefault="009C39C8" w:rsidP="00D27616">
      <w:pPr>
        <w:pStyle w:val="Heading3nonumber"/>
        <w:rPr>
          <w:lang w:val="en-GB" w:eastAsia="en-AU"/>
        </w:rPr>
      </w:pPr>
      <w:bookmarkStart w:id="180" w:name="_Toc525121943"/>
      <w:r>
        <w:rPr>
          <w:lang w:val="en-GB" w:eastAsia="en-AU"/>
        </w:rPr>
        <w:t>Ministerial c</w:t>
      </w:r>
      <w:r w:rsidR="00A866A5" w:rsidRPr="00A9431E">
        <w:rPr>
          <w:lang w:val="en-GB" w:eastAsia="en-AU"/>
        </w:rPr>
        <w:t>orrespondence</w:t>
      </w:r>
      <w:bookmarkEnd w:id="178"/>
      <w:bookmarkEnd w:id="179"/>
      <w:bookmarkEnd w:id="180"/>
    </w:p>
    <w:p w14:paraId="6121C6F9" w14:textId="77777777" w:rsidR="009E3C8B" w:rsidRPr="002A679C" w:rsidRDefault="009E3C8B" w:rsidP="009E3C8B">
      <w:pPr>
        <w:rPr>
          <w:rFonts w:cs="Arial"/>
        </w:rPr>
      </w:pPr>
      <w:bookmarkStart w:id="181" w:name="_Toc426617439"/>
      <w:bookmarkStart w:id="182" w:name="_Toc450900655"/>
      <w:r w:rsidRPr="002A679C">
        <w:rPr>
          <w:rFonts w:cs="Arial"/>
        </w:rPr>
        <w:t>To ensure precise and timely provision of information to the Minister, and accurate recordkeeping, Wor</w:t>
      </w:r>
      <w:r>
        <w:rPr>
          <w:rFonts w:cs="Arial"/>
        </w:rPr>
        <w:t>kCover WA actively manages all M</w:t>
      </w:r>
      <w:r w:rsidRPr="002A679C">
        <w:rPr>
          <w:rFonts w:cs="Arial"/>
        </w:rPr>
        <w:t xml:space="preserve">inisterial communications as matters of priority. Detailed procedures exist to assist all officers involved in ministerial communication. </w:t>
      </w:r>
    </w:p>
    <w:p w14:paraId="67DB3764" w14:textId="77777777" w:rsidR="009E3C8B" w:rsidRPr="002A679C" w:rsidRDefault="009E3C8B" w:rsidP="009E3C8B">
      <w:pPr>
        <w:rPr>
          <w:rFonts w:cs="Arial"/>
        </w:rPr>
      </w:pPr>
      <w:r w:rsidRPr="002A679C">
        <w:rPr>
          <w:rFonts w:cs="Arial"/>
        </w:rPr>
        <w:t>Statistical information regarding Ministerial communication is regularly reviewed by the Board and Corporate Executive.</w:t>
      </w:r>
    </w:p>
    <w:p w14:paraId="4BEAF30E" w14:textId="610B6B35" w:rsidR="00E90249" w:rsidRPr="00A9431E" w:rsidRDefault="002A679C" w:rsidP="00032FB9">
      <w:pPr>
        <w:pStyle w:val="Heading3nonumber"/>
      </w:pPr>
      <w:bookmarkStart w:id="183" w:name="_Toc525121944"/>
      <w:r>
        <w:t xml:space="preserve">Board </w:t>
      </w:r>
      <w:r w:rsidR="00E90249" w:rsidRPr="00A9431E">
        <w:t>Governance Policy: Official Communication</w:t>
      </w:r>
      <w:bookmarkEnd w:id="181"/>
      <w:bookmarkEnd w:id="182"/>
      <w:bookmarkEnd w:id="183"/>
    </w:p>
    <w:p w14:paraId="0D8AFFF0" w14:textId="77777777" w:rsidR="009E3C8B" w:rsidRPr="00A0542A" w:rsidRDefault="009E3C8B" w:rsidP="009E3C8B">
      <w:pPr>
        <w:rPr>
          <w:szCs w:val="22"/>
          <w:lang w:val="en-GB" w:eastAsia="en-AU"/>
        </w:rPr>
      </w:pPr>
      <w:bookmarkStart w:id="184" w:name="_Toc426617443"/>
      <w:bookmarkStart w:id="185" w:name="_Toc450900659"/>
      <w:r w:rsidRPr="00A0542A">
        <w:rPr>
          <w:szCs w:val="22"/>
          <w:lang w:val="en-GB" w:eastAsia="en-AU"/>
        </w:rPr>
        <w:t>This policy governs the flow of information between members of the Board, Board Committees and stakeholders, as well as the dissemination of information from the CEO to Agency employees.</w:t>
      </w:r>
    </w:p>
    <w:p w14:paraId="2889590E" w14:textId="77777777" w:rsidR="009E3C8B" w:rsidRPr="00A0542A" w:rsidRDefault="009E3C8B" w:rsidP="009E3C8B">
      <w:pPr>
        <w:rPr>
          <w:szCs w:val="22"/>
          <w:lang w:val="en-GB" w:eastAsia="en-AU"/>
        </w:rPr>
      </w:pPr>
      <w:r w:rsidRPr="00A0542A">
        <w:rPr>
          <w:szCs w:val="22"/>
          <w:lang w:val="en-GB" w:eastAsia="en-AU"/>
        </w:rPr>
        <w:t>This policy establishes:</w:t>
      </w:r>
    </w:p>
    <w:p w14:paraId="382A30C6" w14:textId="77777777" w:rsidR="009E3C8B" w:rsidRPr="003B1F1E" w:rsidRDefault="009E3C8B" w:rsidP="003B1F1E">
      <w:pPr>
        <w:pStyle w:val="BulletListLevel1"/>
      </w:pPr>
      <w:r w:rsidRPr="003B1F1E">
        <w:t>communication approvals and authority (including authorisation to make public comment on behalf of WorkCover WA)</w:t>
      </w:r>
    </w:p>
    <w:p w14:paraId="459DE8BB" w14:textId="77777777" w:rsidR="009E3C8B" w:rsidRPr="003B1F1E" w:rsidRDefault="009E3C8B" w:rsidP="003B1F1E">
      <w:pPr>
        <w:pStyle w:val="BulletListLevel1"/>
      </w:pPr>
      <w:r w:rsidRPr="003B1F1E">
        <w:t>the extent of what should be communicated</w:t>
      </w:r>
    </w:p>
    <w:p w14:paraId="4B7F5C8B" w14:textId="52A8DE7D" w:rsidR="005A51B5" w:rsidRDefault="009E3C8B" w:rsidP="002A679C">
      <w:pPr>
        <w:pStyle w:val="BulletListLevel1"/>
      </w:pPr>
      <w:r w:rsidRPr="003B1F1E">
        <w:t>confidentiality considerations.</w:t>
      </w:r>
    </w:p>
    <w:p w14:paraId="40323784" w14:textId="54484269" w:rsidR="009209DC" w:rsidRPr="005C349C" w:rsidRDefault="009209DC" w:rsidP="005C349C">
      <w:pPr>
        <w:pStyle w:val="Heading3nonumber"/>
      </w:pPr>
      <w:bookmarkStart w:id="186" w:name="_Toc525121945"/>
      <w:r w:rsidRPr="00A9431E">
        <w:t>Public Interest Disclosure</w:t>
      </w:r>
      <w:bookmarkEnd w:id="184"/>
      <w:bookmarkEnd w:id="185"/>
      <w:bookmarkEnd w:id="186"/>
    </w:p>
    <w:p w14:paraId="57C7B72D" w14:textId="00AF6386" w:rsidR="008C27AD" w:rsidRPr="005A7FBA" w:rsidRDefault="008C27AD" w:rsidP="008C27AD">
      <w:pPr>
        <w:rPr>
          <w:sz w:val="28"/>
        </w:rPr>
      </w:pPr>
      <w:bookmarkStart w:id="187" w:name="_Toc426617444"/>
      <w:bookmarkStart w:id="188" w:name="_Toc450900660"/>
      <w:r w:rsidRPr="005A7FBA">
        <w:t xml:space="preserve">WorkCover WA is committed to the objectives of the </w:t>
      </w:r>
      <w:r w:rsidRPr="005A7FBA">
        <w:rPr>
          <w:i/>
          <w:iCs/>
        </w:rPr>
        <w:t xml:space="preserve">Public Interest Disclosure Act 2003 </w:t>
      </w:r>
      <w:r w:rsidRPr="005A7FBA">
        <w:t>which provides protection of sensitive, public interest information for those who disclose</w:t>
      </w:r>
      <w:r w:rsidR="00E473A5">
        <w:t xml:space="preserve"> it</w:t>
      </w:r>
      <w:r w:rsidRPr="005A7FBA">
        <w:t xml:space="preserve"> and those who are the subject of </w:t>
      </w:r>
      <w:r w:rsidR="00E473A5">
        <w:t xml:space="preserve">information </w:t>
      </w:r>
      <w:r w:rsidRPr="005A7FBA">
        <w:t xml:space="preserve">disclosures. </w:t>
      </w:r>
    </w:p>
    <w:p w14:paraId="23CB2A6B" w14:textId="503E0600" w:rsidR="008C27AD" w:rsidRDefault="008C27AD" w:rsidP="008C27AD">
      <w:r w:rsidRPr="005A7FBA">
        <w:t>The Agency’s intranet and external website contain information on what can be considered a matter of public interest for disclosure, the information to be included in the disclos</w:t>
      </w:r>
      <w:r w:rsidR="005F5B3A">
        <w:t>ure, how to make the disclosure</w:t>
      </w:r>
      <w:r w:rsidRPr="005A7FBA">
        <w:t xml:space="preserve"> and to whom.</w:t>
      </w:r>
    </w:p>
    <w:p w14:paraId="44270205" w14:textId="3192CC2E" w:rsidR="008C27AD" w:rsidRDefault="004D40CC" w:rsidP="008C27AD">
      <w:r>
        <w:t>There was one</w:t>
      </w:r>
      <w:r w:rsidR="008C27AD">
        <w:t xml:space="preserve"> public interest disclosure in 2017/18.</w:t>
      </w:r>
    </w:p>
    <w:p w14:paraId="67A7804A" w14:textId="020741C7" w:rsidR="009209DC" w:rsidRPr="00DE2941" w:rsidRDefault="008D4C78" w:rsidP="00DE2941">
      <w:pPr>
        <w:pStyle w:val="Heading3nonumber"/>
        <w:rPr>
          <w:rFonts w:cs="Myriad Pro"/>
          <w:color w:val="000000"/>
          <w:szCs w:val="22"/>
        </w:rPr>
      </w:pPr>
      <w:bookmarkStart w:id="189" w:name="_Toc525121946"/>
      <w:r w:rsidRPr="00A9431E">
        <w:t>Freedom of</w:t>
      </w:r>
      <w:r w:rsidR="009209DC" w:rsidRPr="00A9431E">
        <w:t xml:space="preserve"> Information</w:t>
      </w:r>
      <w:bookmarkEnd w:id="187"/>
      <w:bookmarkEnd w:id="188"/>
      <w:bookmarkEnd w:id="189"/>
    </w:p>
    <w:p w14:paraId="58F00A57" w14:textId="77777777" w:rsidR="00A14AC8" w:rsidRPr="00F42FA6" w:rsidRDefault="00A14AC8" w:rsidP="00A14AC8">
      <w:pPr>
        <w:rPr>
          <w:rFonts w:ascii="Verdana" w:hAnsi="Verdana" w:cs="Arial"/>
          <w:b/>
          <w:bCs/>
          <w:color w:val="86731E" w:themeColor="text1"/>
          <w:szCs w:val="20"/>
        </w:rPr>
      </w:pPr>
      <w:bookmarkStart w:id="190" w:name="_Toc426617441"/>
      <w:r w:rsidRPr="005A7FBA">
        <w:t>Th</w:t>
      </w:r>
      <w:r w:rsidRPr="00450FD7">
        <w:t xml:space="preserve">e </w:t>
      </w:r>
      <w:r w:rsidRPr="00450FD7">
        <w:rPr>
          <w:i/>
        </w:rPr>
        <w:t>Freedom of Information Act 1992</w:t>
      </w:r>
      <w:r w:rsidRPr="00450FD7">
        <w:t xml:space="preserve"> gi</w:t>
      </w:r>
      <w:r w:rsidRPr="005A7FBA">
        <w:t xml:space="preserve">ves a general right of access </w:t>
      </w:r>
      <w:r>
        <w:t>to documents held by State and local government a</w:t>
      </w:r>
      <w:r w:rsidRPr="005A7FBA">
        <w:t>gencies.</w:t>
      </w:r>
    </w:p>
    <w:p w14:paraId="0BC98E70" w14:textId="090E54B8" w:rsidR="00A14AC8" w:rsidRDefault="00A14AC8" w:rsidP="00A14AC8">
      <w:r w:rsidRPr="005A7FBA">
        <w:t xml:space="preserve">WorkCover WA publishes a Freedom of Information Statement </w:t>
      </w:r>
      <w:r w:rsidR="00E473A5">
        <w:t>on the Agency’s external website which outlines</w:t>
      </w:r>
      <w:r w:rsidRPr="005A7FBA">
        <w:t xml:space="preserve"> the Agency’s processes for </w:t>
      </w:r>
      <w:r>
        <w:t>dealing with and responding to freedom of i</w:t>
      </w:r>
      <w:r w:rsidRPr="005A7FBA">
        <w:t>nformation requests</w:t>
      </w:r>
      <w:r w:rsidR="00E473A5">
        <w:t>.</w:t>
      </w:r>
    </w:p>
    <w:p w14:paraId="48C4D1BC" w14:textId="5C3605A5" w:rsidR="00A14AC8" w:rsidRPr="008C27AD" w:rsidRDefault="00A14AC8" w:rsidP="00A14AC8">
      <w:r>
        <w:t xml:space="preserve">There were </w:t>
      </w:r>
      <w:r w:rsidR="004D40CC">
        <w:t>124</w:t>
      </w:r>
      <w:r>
        <w:t xml:space="preserve"> freedom of information requests in 2017/18.</w:t>
      </w:r>
    </w:p>
    <w:p w14:paraId="12CE77F7" w14:textId="176F6C18" w:rsidR="00D6490C" w:rsidRDefault="00D6490C" w:rsidP="00D6490C">
      <w:pPr>
        <w:pStyle w:val="Heading3nonumber"/>
      </w:pPr>
      <w:bookmarkStart w:id="191" w:name="_Toc525121947"/>
      <w:r>
        <w:t xml:space="preserve">Additional </w:t>
      </w:r>
      <w:r w:rsidR="009C39C8">
        <w:t>c</w:t>
      </w:r>
      <w:r w:rsidR="005F1CEA">
        <w:t>ommunication</w:t>
      </w:r>
      <w:r w:rsidR="009C39C8">
        <w:t>s</w:t>
      </w:r>
      <w:r w:rsidR="005F1CEA">
        <w:t xml:space="preserve"> </w:t>
      </w:r>
      <w:r w:rsidR="009C39C8">
        <w:t>p</w:t>
      </w:r>
      <w:r>
        <w:t>olicies</w:t>
      </w:r>
      <w:bookmarkEnd w:id="191"/>
      <w:r>
        <w:t xml:space="preserve"> </w:t>
      </w:r>
    </w:p>
    <w:p w14:paraId="15B7F57C" w14:textId="77777777" w:rsidR="00305A56" w:rsidRPr="00A17597" w:rsidRDefault="00305A56" w:rsidP="00305A56">
      <w:bookmarkStart w:id="192" w:name="_Toc399316932"/>
      <w:bookmarkStart w:id="193" w:name="_Toc426617445"/>
      <w:bookmarkStart w:id="194" w:name="_Toc450900661"/>
      <w:bookmarkEnd w:id="190"/>
      <w:r w:rsidRPr="00A17597">
        <w:t xml:space="preserve">WorkCover WA has the following additional policies and procedures: </w:t>
      </w:r>
    </w:p>
    <w:p w14:paraId="4D5150A4" w14:textId="77777777" w:rsidR="00305A56" w:rsidRPr="00305A56" w:rsidRDefault="00305A56" w:rsidP="00305A56">
      <w:pPr>
        <w:pStyle w:val="BulletListLevel1"/>
      </w:pPr>
      <w:r w:rsidRPr="00305A56">
        <w:t>External Data Release Policy to govern the supply of data to government agencies, researchers, stakeholders and the general public</w:t>
      </w:r>
    </w:p>
    <w:p w14:paraId="438F7F11" w14:textId="394FB262" w:rsidR="00305A56" w:rsidRPr="00305A56" w:rsidRDefault="00305A56" w:rsidP="00305A56">
      <w:pPr>
        <w:pStyle w:val="BulletListLevel1"/>
      </w:pPr>
      <w:bookmarkStart w:id="195" w:name="_Toc450900657"/>
      <w:r w:rsidRPr="00305A56">
        <w:t xml:space="preserve">Restriction of Communications Procedures </w:t>
      </w:r>
      <w:bookmarkEnd w:id="195"/>
      <w:r w:rsidRPr="00305A56">
        <w:t>which provides WorkCover WA staff with guidance on managing customers who have displayed unreasonable behaviour i</w:t>
      </w:r>
      <w:r w:rsidR="003076D9">
        <w:t xml:space="preserve">n the course of communications </w:t>
      </w:r>
      <w:r w:rsidRPr="00305A56">
        <w:t>in person, on the telephone or in writing (email, social media or letter)</w:t>
      </w:r>
    </w:p>
    <w:p w14:paraId="730A80B2" w14:textId="77777777" w:rsidR="00305A56" w:rsidRPr="00305A56" w:rsidRDefault="00305A56" w:rsidP="00305A56">
      <w:pPr>
        <w:pStyle w:val="BulletListLevel1"/>
      </w:pPr>
      <w:bookmarkStart w:id="196" w:name="_Toc450900658"/>
      <w:r w:rsidRPr="00305A56">
        <w:t>Disclosure of Personal Information Policy</w:t>
      </w:r>
      <w:bookmarkEnd w:id="196"/>
      <w:r w:rsidRPr="00305A56">
        <w:t xml:space="preserve"> and Procedures to ensure all personal information concerning WorkCover WA staff remains strictly confidential unless a staff member has given written consent for its disclosure.</w:t>
      </w:r>
    </w:p>
    <w:p w14:paraId="16942B3F" w14:textId="27ACBAEB" w:rsidR="002D0521" w:rsidRPr="00A9431E" w:rsidRDefault="005D7E69" w:rsidP="002C2058">
      <w:pPr>
        <w:pStyle w:val="Heading2nonumber"/>
      </w:pPr>
      <w:bookmarkStart w:id="197" w:name="_Toc525121948"/>
      <w:r>
        <w:t>Risk m</w:t>
      </w:r>
      <w:r w:rsidR="002D0521" w:rsidRPr="00A9431E">
        <w:t xml:space="preserve">anagement </w:t>
      </w:r>
      <w:r w:rsidR="001248E0" w:rsidRPr="00A9431E">
        <w:t>p</w:t>
      </w:r>
      <w:r w:rsidR="002D0521" w:rsidRPr="00A9431E">
        <w:t>olicies</w:t>
      </w:r>
      <w:bookmarkEnd w:id="192"/>
      <w:bookmarkEnd w:id="193"/>
      <w:bookmarkEnd w:id="194"/>
      <w:bookmarkEnd w:id="197"/>
      <w:r w:rsidR="002D0521" w:rsidRPr="00A9431E">
        <w:t xml:space="preserve"> </w:t>
      </w:r>
    </w:p>
    <w:p w14:paraId="4D4BC0F7" w14:textId="5457A015" w:rsidR="00B560E5" w:rsidRDefault="00ED14EF" w:rsidP="002C2058">
      <w:pPr>
        <w:pStyle w:val="Heading3nonumber"/>
      </w:pPr>
      <w:bookmarkStart w:id="198" w:name="_Toc426617446"/>
      <w:bookmarkStart w:id="199" w:name="_Toc450900662"/>
      <w:bookmarkStart w:id="200" w:name="_Toc525121949"/>
      <w:r>
        <w:t xml:space="preserve">Enterprise </w:t>
      </w:r>
      <w:r w:rsidR="00B560E5" w:rsidRPr="00A9431E">
        <w:t xml:space="preserve">Risk </w:t>
      </w:r>
      <w:r w:rsidR="001054FE" w:rsidRPr="00A9431E">
        <w:t>M</w:t>
      </w:r>
      <w:r w:rsidR="00B560E5" w:rsidRPr="00A9431E">
        <w:t xml:space="preserve">anagement </w:t>
      </w:r>
      <w:r w:rsidR="00E05137" w:rsidRPr="00A9431E">
        <w:t>F</w:t>
      </w:r>
      <w:r w:rsidR="00B560E5" w:rsidRPr="00A9431E">
        <w:t>ramework</w:t>
      </w:r>
      <w:bookmarkEnd w:id="198"/>
      <w:bookmarkEnd w:id="199"/>
      <w:bookmarkEnd w:id="200"/>
    </w:p>
    <w:p w14:paraId="1C6F4954" w14:textId="77777777" w:rsidR="00C35069" w:rsidRDefault="009E3C8B" w:rsidP="009E3C8B">
      <w:r w:rsidRPr="001B18CF">
        <w:t xml:space="preserve">WorkCover WA aims to anticipate and mitigate risks to the Agency and the sustainability of the scheme. The Agency’s Enterprise Risk Management Framework guides WorkCover WA’s approach to managing risk. </w:t>
      </w:r>
    </w:p>
    <w:p w14:paraId="2C79AEAA" w14:textId="7D22FA25" w:rsidR="009E3C8B" w:rsidRPr="001B18CF" w:rsidRDefault="009E3C8B" w:rsidP="009E3C8B">
      <w:r w:rsidRPr="001B18CF">
        <w:t>WorkCover WA uses risk management and planning tools t</w:t>
      </w:r>
      <w:r w:rsidR="00C35069">
        <w:t>o integrate risk with key business strategies and scheme viability objectives, and align risk management with strategic and business planning.</w:t>
      </w:r>
    </w:p>
    <w:p w14:paraId="6701CE7F" w14:textId="4B85A4CD" w:rsidR="00BA0452" w:rsidRDefault="009E3C8B" w:rsidP="009E3C8B">
      <w:r>
        <w:t xml:space="preserve">In 2017/18, the Agency further enhanced its risk management maturity levels by operationalising </w:t>
      </w:r>
      <w:r w:rsidR="006D5655">
        <w:t>its Risk Appetite Statement through the measurement and monitoring of Key Risk Indicators.</w:t>
      </w:r>
    </w:p>
    <w:p w14:paraId="6B0B50CF" w14:textId="1DF11BFE" w:rsidR="000257D5" w:rsidRPr="000257D5" w:rsidRDefault="000257D5" w:rsidP="000257D5">
      <w:r w:rsidRPr="000257D5">
        <w:t xml:space="preserve">In June 2018 all staff completed refresher training </w:t>
      </w:r>
      <w:r w:rsidR="007E6725">
        <w:t>i</w:t>
      </w:r>
      <w:r w:rsidRPr="000257D5">
        <w:t>n Accountability, Ethics and Decision Making.</w:t>
      </w:r>
    </w:p>
    <w:p w14:paraId="5A0C1BA1" w14:textId="77777777" w:rsidR="00D9472C" w:rsidRPr="00D9472C" w:rsidRDefault="00D9472C" w:rsidP="00241C01">
      <w:pPr>
        <w:pStyle w:val="Heading3nonumber"/>
      </w:pPr>
      <w:bookmarkStart w:id="201" w:name="_Toc525121950"/>
      <w:r w:rsidRPr="00BA60F7">
        <w:t>Other policies and procedures</w:t>
      </w:r>
      <w:bookmarkEnd w:id="201"/>
    </w:p>
    <w:p w14:paraId="2EB402E0" w14:textId="77777777" w:rsidR="003D4D74" w:rsidRDefault="003D4D74" w:rsidP="003D4D74">
      <w:pPr>
        <w:rPr>
          <w:szCs w:val="22"/>
          <w:lang w:val="en-US"/>
        </w:rPr>
      </w:pPr>
      <w:bookmarkStart w:id="202" w:name="_Toc399316933"/>
      <w:bookmarkStart w:id="203" w:name="_Toc426617447"/>
      <w:bookmarkStart w:id="204" w:name="_Toc450900663"/>
      <w:r w:rsidRPr="001601CA">
        <w:rPr>
          <w:szCs w:val="22"/>
          <w:lang w:val="en-US"/>
        </w:rPr>
        <w:t>Other policies and procedures involving risk management include:</w:t>
      </w:r>
    </w:p>
    <w:p w14:paraId="4ADF17E0" w14:textId="0795BF86" w:rsidR="003D4D74" w:rsidRDefault="003D4D74" w:rsidP="003D4D74">
      <w:pPr>
        <w:pStyle w:val="BulletListLevel1"/>
        <w:rPr>
          <w:lang w:val="en-US"/>
        </w:rPr>
      </w:pPr>
      <w:r>
        <w:rPr>
          <w:lang w:val="en-US"/>
        </w:rPr>
        <w:t>business continuity plans, procedures and enactments</w:t>
      </w:r>
    </w:p>
    <w:p w14:paraId="5F3C2DB3" w14:textId="77777777" w:rsidR="003D4D74" w:rsidRPr="003D4D74" w:rsidRDefault="003D4D74" w:rsidP="003D4D74">
      <w:pPr>
        <w:pStyle w:val="BulletListLevel1"/>
      </w:pPr>
      <w:r w:rsidRPr="003D4D74">
        <w:t>annual review of performance against the Public Sector Commission Good Governance Guide for Agencies</w:t>
      </w:r>
    </w:p>
    <w:p w14:paraId="2ED15FA6" w14:textId="5E833C2B" w:rsidR="003D4D74" w:rsidRPr="004C246A" w:rsidRDefault="003D4D74" w:rsidP="00E473A5">
      <w:pPr>
        <w:pStyle w:val="BulletListLevel1"/>
      </w:pPr>
      <w:r w:rsidRPr="003D4D74">
        <w:t xml:space="preserve">an </w:t>
      </w:r>
      <w:r w:rsidRPr="004C246A">
        <w:t xml:space="preserve">OSH manual (incorporating the </w:t>
      </w:r>
      <w:r w:rsidR="00E473A5" w:rsidRPr="004C246A">
        <w:t xml:space="preserve">OSH Policy and OSH Procedures), an OSH Management Plan and </w:t>
      </w:r>
      <w:r w:rsidRPr="004C246A">
        <w:t>an OSH Risk and Legal Register</w:t>
      </w:r>
    </w:p>
    <w:p w14:paraId="314F1ECD" w14:textId="77777777" w:rsidR="003D4D74" w:rsidRPr="003D4D74" w:rsidRDefault="003D4D74" w:rsidP="003D4D74">
      <w:pPr>
        <w:pStyle w:val="BulletListLevel1"/>
      </w:pPr>
      <w:r w:rsidRPr="004C246A">
        <w:t xml:space="preserve">a suite of IT policies (incorporating the Information Security Policy, IT Management </w:t>
      </w:r>
      <w:r w:rsidRPr="003D4D74">
        <w:t>Policy, IT Disaster Recovery, and Acceptable Use of Technology Policy)</w:t>
      </w:r>
    </w:p>
    <w:p w14:paraId="435D5A7E" w14:textId="77777777" w:rsidR="003D4D74" w:rsidRPr="003D4D74" w:rsidRDefault="003D4D74" w:rsidP="003D4D74">
      <w:pPr>
        <w:pStyle w:val="BulletListLevel1"/>
      </w:pPr>
      <w:r w:rsidRPr="003D4D74">
        <w:t>a Fraud, Corruption and Misconduct Prevention Policy.</w:t>
      </w:r>
    </w:p>
    <w:p w14:paraId="611029C2" w14:textId="60E975B5" w:rsidR="00BA0452" w:rsidRPr="003D4D74" w:rsidRDefault="003D4D74" w:rsidP="003D4D74">
      <w:r w:rsidRPr="001601CA">
        <w:t>These policies are reviewed on an annual or biennial basis.</w:t>
      </w:r>
    </w:p>
    <w:p w14:paraId="55CA62D3" w14:textId="71725C89" w:rsidR="00B47514" w:rsidRPr="00BA60F7" w:rsidRDefault="00B47514" w:rsidP="0051219B">
      <w:pPr>
        <w:pStyle w:val="Heading1nonumber"/>
      </w:pPr>
      <w:bookmarkStart w:id="205" w:name="_Toc525121951"/>
      <w:r w:rsidRPr="00BA60F7">
        <w:t xml:space="preserve">Performance </w:t>
      </w:r>
      <w:r w:rsidR="00B62390" w:rsidRPr="00BA60F7">
        <w:t>M</w:t>
      </w:r>
      <w:r w:rsidRPr="00BA60F7">
        <w:t xml:space="preserve">anagement </w:t>
      </w:r>
      <w:r w:rsidR="00B62390" w:rsidRPr="00BA60F7">
        <w:t>F</w:t>
      </w:r>
      <w:r w:rsidRPr="00BA60F7">
        <w:t>ramework</w:t>
      </w:r>
      <w:bookmarkEnd w:id="202"/>
      <w:bookmarkEnd w:id="203"/>
      <w:bookmarkEnd w:id="204"/>
      <w:bookmarkEnd w:id="205"/>
      <w:r w:rsidRPr="00BA60F7">
        <w:t xml:space="preserve"> </w:t>
      </w:r>
    </w:p>
    <w:p w14:paraId="503E1F3A" w14:textId="77777777" w:rsidR="002718F1" w:rsidRPr="004C246A" w:rsidRDefault="002718F1" w:rsidP="001417B3">
      <w:pPr>
        <w:pStyle w:val="Heading2nonumber"/>
        <w:rPr>
          <w:color w:val="auto"/>
        </w:rPr>
      </w:pPr>
      <w:bookmarkStart w:id="206" w:name="_Toc399316934"/>
      <w:bookmarkStart w:id="207" w:name="_Toc426617448"/>
      <w:bookmarkStart w:id="208" w:name="_Toc450900664"/>
      <w:bookmarkStart w:id="209" w:name="_Toc525121952"/>
      <w:r w:rsidRPr="00BA60F7">
        <w:t xml:space="preserve">Outcome </w:t>
      </w:r>
      <w:r w:rsidR="008A1367" w:rsidRPr="00BA60F7">
        <w:t>B</w:t>
      </w:r>
      <w:r w:rsidRPr="00BA60F7">
        <w:t xml:space="preserve">ased </w:t>
      </w:r>
      <w:r w:rsidR="008A1367" w:rsidRPr="00E83476">
        <w:t>M</w:t>
      </w:r>
      <w:r w:rsidRPr="00E83476">
        <w:t xml:space="preserve">anagement </w:t>
      </w:r>
      <w:r w:rsidR="003E668E" w:rsidRPr="00E83476">
        <w:t>s</w:t>
      </w:r>
      <w:r w:rsidRPr="00E83476">
        <w:t>tructure</w:t>
      </w:r>
      <w:bookmarkEnd w:id="206"/>
      <w:bookmarkEnd w:id="207"/>
      <w:bookmarkEnd w:id="208"/>
      <w:bookmarkEnd w:id="209"/>
      <w:r w:rsidRPr="004C246A">
        <w:rPr>
          <w:color w:val="auto"/>
        </w:rPr>
        <w:t xml:space="preserve"> </w:t>
      </w:r>
    </w:p>
    <w:p w14:paraId="5B59F373" w14:textId="64E7A5E8" w:rsidR="00145466" w:rsidRPr="004C246A" w:rsidRDefault="00145466" w:rsidP="00145466">
      <w:pPr>
        <w:rPr>
          <w:lang w:val="en-US"/>
        </w:rPr>
      </w:pPr>
      <w:r w:rsidRPr="004C246A">
        <w:rPr>
          <w:lang w:val="en-US"/>
        </w:rPr>
        <w:t>The scheme delivers services to minimise the social and economic impact of work</w:t>
      </w:r>
      <w:r w:rsidRPr="004C246A">
        <w:rPr>
          <w:lang w:val="en-US"/>
        </w:rPr>
        <w:noBreakHyphen/>
        <w:t xml:space="preserve">related injury and illness on workers, employers and the WA community. WorkCover WA is the regulator of </w:t>
      </w:r>
      <w:r w:rsidR="00E473A5" w:rsidRPr="004C246A">
        <w:rPr>
          <w:lang w:val="en-US"/>
        </w:rPr>
        <w:t xml:space="preserve">the scheme to ensure it operates in accordance with the Act. </w:t>
      </w:r>
    </w:p>
    <w:p w14:paraId="2A4AD9B1" w14:textId="27457F11" w:rsidR="00760725" w:rsidRPr="004C246A" w:rsidRDefault="00145466" w:rsidP="00145466">
      <w:pPr>
        <w:rPr>
          <w:lang w:val="en-US"/>
        </w:rPr>
      </w:pPr>
      <w:r w:rsidRPr="004C246A">
        <w:rPr>
          <w:lang w:val="en-US"/>
        </w:rPr>
        <w:t xml:space="preserve">WorkCover WA contributes to a range of State Government objectives related to </w:t>
      </w:r>
      <w:r w:rsidR="00E473A5" w:rsidRPr="004C246A">
        <w:rPr>
          <w:lang w:val="en-US"/>
        </w:rPr>
        <w:t xml:space="preserve">the </w:t>
      </w:r>
      <w:r w:rsidR="00E75DF6" w:rsidRPr="004C246A">
        <w:rPr>
          <w:lang w:val="en-US"/>
        </w:rPr>
        <w:t xml:space="preserve">State </w:t>
      </w:r>
      <w:r w:rsidRPr="004C246A">
        <w:rPr>
          <w:lang w:val="en-US"/>
        </w:rPr>
        <w:t xml:space="preserve">Government Goal: Sustainable Finances which demands </w:t>
      </w:r>
      <w:r w:rsidR="006D26D1" w:rsidRPr="004C246A">
        <w:rPr>
          <w:lang w:val="en-US"/>
        </w:rPr>
        <w:t>“</w:t>
      </w:r>
      <w:r w:rsidR="00A42336" w:rsidRPr="004C246A">
        <w:rPr>
          <w:i/>
          <w:lang w:val="en-US"/>
        </w:rPr>
        <w:t>responsible financial manageme</w:t>
      </w:r>
      <w:r w:rsidR="006D26D1" w:rsidRPr="004C246A">
        <w:rPr>
          <w:i/>
          <w:lang w:val="en-US"/>
        </w:rPr>
        <w:t>nt and better service delivery</w:t>
      </w:r>
      <w:r w:rsidR="006D26D1" w:rsidRPr="004C246A">
        <w:rPr>
          <w:lang w:val="en-US"/>
        </w:rPr>
        <w:t>.”</w:t>
      </w:r>
    </w:p>
    <w:p w14:paraId="643F6984" w14:textId="6FBFC6F0" w:rsidR="00A42336" w:rsidRPr="009B5632" w:rsidRDefault="00A42336" w:rsidP="00145466">
      <w:pPr>
        <w:rPr>
          <w:color w:val="FF0000"/>
          <w:lang w:val="en-US"/>
        </w:rPr>
      </w:pPr>
      <w:r w:rsidRPr="004C246A">
        <w:rPr>
          <w:lang w:val="en-US"/>
        </w:rPr>
        <w:t xml:space="preserve">The following table outlines the WorkCover WA Outcome Based Management </w:t>
      </w:r>
      <w:r>
        <w:rPr>
          <w:lang w:val="en-US"/>
        </w:rPr>
        <w:t>structure, including the Agency Desired Outcome and Agency Services.</w:t>
      </w:r>
    </w:p>
    <w:tbl>
      <w:tblPr>
        <w:tblW w:w="9049"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9: WorkCover WA Outcome Based Management Structure"/>
        <w:tblDescription w:val="This table outlines the WorkCover WA Outcome Based Management Structure. It provides the government goal, WorkCover WA's level desired outcome and the services provided by WorkCover WA to achieve those government goals. "/>
      </w:tblPr>
      <w:tblGrid>
        <w:gridCol w:w="4654"/>
        <w:gridCol w:w="4395"/>
      </w:tblGrid>
      <w:tr w:rsidR="00840335" w:rsidRPr="007775E1" w14:paraId="1C0B6A9C" w14:textId="77777777" w:rsidTr="004C246A">
        <w:trPr>
          <w:trHeight w:val="728"/>
          <w:tblHeader/>
        </w:trPr>
        <w:tc>
          <w:tcPr>
            <w:tcW w:w="9049" w:type="dxa"/>
            <w:gridSpan w:val="2"/>
            <w:shd w:val="clear" w:color="auto" w:fill="003F5F"/>
            <w:tcMar>
              <w:top w:w="113" w:type="dxa"/>
              <w:left w:w="113" w:type="dxa"/>
              <w:bottom w:w="113" w:type="dxa"/>
              <w:right w:w="113" w:type="dxa"/>
            </w:tcMar>
            <w:vAlign w:val="center"/>
          </w:tcPr>
          <w:p w14:paraId="39CD8245" w14:textId="08257330" w:rsidR="00840335" w:rsidRPr="007775E1" w:rsidRDefault="009B5632" w:rsidP="003076D9">
            <w:pPr>
              <w:jc w:val="center"/>
              <w:rPr>
                <w:rStyle w:val="Strong"/>
              </w:rPr>
            </w:pPr>
            <w:r w:rsidRPr="004C246A">
              <w:rPr>
                <w:rStyle w:val="Strong"/>
                <w:color w:val="FFFFFF" w:themeColor="background1"/>
              </w:rPr>
              <w:t xml:space="preserve">Table </w:t>
            </w:r>
            <w:r w:rsidR="003076D9" w:rsidRPr="004C246A">
              <w:rPr>
                <w:rStyle w:val="Strong"/>
                <w:color w:val="FFFFFF" w:themeColor="background1"/>
              </w:rPr>
              <w:t>9</w:t>
            </w:r>
            <w:r w:rsidR="00840335" w:rsidRPr="00A42336">
              <w:rPr>
                <w:rStyle w:val="Strong"/>
                <w:color w:val="FFFFFF" w:themeColor="background1"/>
              </w:rPr>
              <w:t>: WorkCover WA Outcome Based Management Structure</w:t>
            </w:r>
          </w:p>
        </w:tc>
      </w:tr>
      <w:tr w:rsidR="00840335" w:rsidRPr="007775E1" w14:paraId="5AB71D77"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7D059878" w14:textId="77777777" w:rsidR="00840335" w:rsidRPr="007775E1" w:rsidRDefault="00840335" w:rsidP="00A42336">
            <w:pPr>
              <w:jc w:val="center"/>
              <w:rPr>
                <w:rStyle w:val="Strong"/>
              </w:rPr>
            </w:pPr>
            <w:r w:rsidRPr="007775E1">
              <w:rPr>
                <w:rStyle w:val="Strong"/>
              </w:rPr>
              <w:t>Government Goal</w:t>
            </w:r>
          </w:p>
        </w:tc>
      </w:tr>
      <w:tr w:rsidR="00840335" w:rsidRPr="007775E1" w14:paraId="14CDAC0E" w14:textId="77777777" w:rsidTr="004C246A">
        <w:trPr>
          <w:trHeight w:val="60"/>
        </w:trPr>
        <w:tc>
          <w:tcPr>
            <w:tcW w:w="9049" w:type="dxa"/>
            <w:gridSpan w:val="2"/>
            <w:tcMar>
              <w:top w:w="113" w:type="dxa"/>
              <w:left w:w="113" w:type="dxa"/>
              <w:bottom w:w="113" w:type="dxa"/>
              <w:right w:w="113" w:type="dxa"/>
            </w:tcMar>
            <w:vAlign w:val="center"/>
          </w:tcPr>
          <w:p w14:paraId="14297080" w14:textId="1D2C0547" w:rsidR="00840335" w:rsidRPr="007775E1" w:rsidRDefault="00A42336" w:rsidP="00A42336">
            <w:pPr>
              <w:jc w:val="center"/>
            </w:pPr>
            <w:r>
              <w:t>Sustainable Finances – Responsible financial management and better service delivery.</w:t>
            </w:r>
          </w:p>
        </w:tc>
      </w:tr>
      <w:tr w:rsidR="00840335" w:rsidRPr="007775E1" w14:paraId="233FAE1E"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314E487D" w14:textId="102C1DA8" w:rsidR="00840335" w:rsidRPr="007775E1" w:rsidRDefault="00840335" w:rsidP="00A42336">
            <w:pPr>
              <w:jc w:val="center"/>
              <w:rPr>
                <w:rStyle w:val="Strong"/>
              </w:rPr>
            </w:pPr>
            <w:r>
              <w:rPr>
                <w:rStyle w:val="Strong"/>
              </w:rPr>
              <w:t>WorkCover WA</w:t>
            </w:r>
            <w:r w:rsidRPr="007775E1">
              <w:rPr>
                <w:rStyle w:val="Strong"/>
              </w:rPr>
              <w:t xml:space="preserve">’s Agency </w:t>
            </w:r>
            <w:r w:rsidR="00A42336">
              <w:rPr>
                <w:rStyle w:val="Strong"/>
              </w:rPr>
              <w:t xml:space="preserve">Level </w:t>
            </w:r>
            <w:r w:rsidRPr="007775E1">
              <w:rPr>
                <w:rStyle w:val="Strong"/>
              </w:rPr>
              <w:t>Desired Outcome</w:t>
            </w:r>
          </w:p>
        </w:tc>
      </w:tr>
      <w:tr w:rsidR="00840335" w:rsidRPr="007775E1" w14:paraId="00C8D637" w14:textId="77777777" w:rsidTr="004C246A">
        <w:trPr>
          <w:trHeight w:val="60"/>
        </w:trPr>
        <w:tc>
          <w:tcPr>
            <w:tcW w:w="9049" w:type="dxa"/>
            <w:gridSpan w:val="2"/>
            <w:tcMar>
              <w:top w:w="113" w:type="dxa"/>
              <w:left w:w="113" w:type="dxa"/>
              <w:bottom w:w="113" w:type="dxa"/>
              <w:right w:w="113" w:type="dxa"/>
            </w:tcMar>
            <w:vAlign w:val="center"/>
          </w:tcPr>
          <w:p w14:paraId="5D076C0B" w14:textId="289A04DF" w:rsidR="00501726" w:rsidRPr="007775E1" w:rsidRDefault="00A42336" w:rsidP="00501726">
            <w:pPr>
              <w:jc w:val="center"/>
            </w:pPr>
            <w:r w:rsidRPr="007775E1">
              <w:t>To ensure a workers’ compensation and injury management scheme that is financially viable, contemporary and integrated, whilst providing services that are fair, accessible, timely and cost effective for all participants.</w:t>
            </w:r>
          </w:p>
        </w:tc>
      </w:tr>
      <w:tr w:rsidR="00EB65E5" w:rsidRPr="007775E1" w14:paraId="687D18F7"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2AC87D56" w14:textId="7E63B420" w:rsidR="00EB65E5" w:rsidRPr="007775E1" w:rsidRDefault="00EB65E5" w:rsidP="00501726">
            <w:pPr>
              <w:jc w:val="center"/>
            </w:pPr>
            <w:r>
              <w:rPr>
                <w:rStyle w:val="Strong"/>
              </w:rPr>
              <w:t>Indicators of Outcome Achievement</w:t>
            </w:r>
          </w:p>
        </w:tc>
      </w:tr>
      <w:tr w:rsidR="009A06F5" w:rsidRPr="007775E1" w14:paraId="5D752FC1"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0BCD48F9" w14:textId="442E8083" w:rsidR="009A06F5" w:rsidRPr="009A06F5" w:rsidRDefault="009A06F5" w:rsidP="00501726">
            <w:pPr>
              <w:jc w:val="center"/>
              <w:rPr>
                <w:b/>
              </w:rPr>
            </w:pPr>
            <w:r>
              <w:rPr>
                <w:b/>
              </w:rPr>
              <w:t xml:space="preserve">Key Effectiveness Performance Indicators </w:t>
            </w:r>
          </w:p>
        </w:tc>
      </w:tr>
      <w:tr w:rsidR="00840335" w:rsidRPr="007775E1" w14:paraId="19989F6A"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33CEA4E4" w14:textId="77777777" w:rsidR="00840335" w:rsidRPr="007775E1" w:rsidRDefault="00840335" w:rsidP="00A42336">
            <w:pPr>
              <w:jc w:val="center"/>
              <w:rPr>
                <w:rStyle w:val="Strong"/>
              </w:rPr>
            </w:pPr>
            <w:r>
              <w:rPr>
                <w:rStyle w:val="Strong"/>
              </w:rPr>
              <w:t>WorkCover WA</w:t>
            </w:r>
            <w:r w:rsidRPr="007775E1">
              <w:rPr>
                <w:rStyle w:val="Strong"/>
              </w:rPr>
              <w:t>’s Agency Services</w:t>
            </w:r>
          </w:p>
        </w:tc>
      </w:tr>
      <w:tr w:rsidR="00840335" w:rsidRPr="007775E1" w14:paraId="2E6B7F68" w14:textId="77777777" w:rsidTr="004C246A">
        <w:trPr>
          <w:trHeight w:val="60"/>
        </w:trPr>
        <w:tc>
          <w:tcPr>
            <w:tcW w:w="4654" w:type="dxa"/>
            <w:tcMar>
              <w:top w:w="113" w:type="dxa"/>
              <w:left w:w="113" w:type="dxa"/>
              <w:bottom w:w="113" w:type="dxa"/>
              <w:right w:w="113" w:type="dxa"/>
            </w:tcMar>
            <w:vAlign w:val="center"/>
          </w:tcPr>
          <w:p w14:paraId="0F2869A9" w14:textId="1855F516" w:rsidR="00840335" w:rsidRPr="007775E1" w:rsidRDefault="00A42336" w:rsidP="007033ED">
            <w:pPr>
              <w:jc w:val="center"/>
            </w:pPr>
            <w:r w:rsidRPr="007775E1">
              <w:rPr>
                <w:rStyle w:val="Strong"/>
              </w:rPr>
              <w:t>1. Scheme Regulation</w:t>
            </w:r>
            <w:r w:rsidRPr="007775E1">
              <w:t xml:space="preserve"> </w:t>
            </w:r>
            <w:r w:rsidR="007033ED">
              <w:br/>
              <w:t>R</w:t>
            </w:r>
            <w:r w:rsidRPr="007775E1">
              <w:t>egulation of workers’ compensation scheme participants to promote compliance</w:t>
            </w:r>
            <w:r w:rsidR="007033ED">
              <w:t xml:space="preserve"> with legislative requirements.</w:t>
            </w:r>
          </w:p>
        </w:tc>
        <w:tc>
          <w:tcPr>
            <w:tcW w:w="4395" w:type="dxa"/>
            <w:tcMar>
              <w:top w:w="113" w:type="dxa"/>
              <w:left w:w="113" w:type="dxa"/>
              <w:bottom w:w="113" w:type="dxa"/>
              <w:right w:w="113" w:type="dxa"/>
            </w:tcMar>
            <w:vAlign w:val="center"/>
          </w:tcPr>
          <w:p w14:paraId="1C6A2072" w14:textId="7C1EB2DF" w:rsidR="00840335" w:rsidRPr="007775E1" w:rsidRDefault="00A42336" w:rsidP="007033ED">
            <w:pPr>
              <w:jc w:val="center"/>
            </w:pPr>
            <w:r w:rsidRPr="007775E1">
              <w:rPr>
                <w:rStyle w:val="Strong"/>
              </w:rPr>
              <w:t>2. Scheme Services</w:t>
            </w:r>
            <w:r w:rsidRPr="007775E1">
              <w:t xml:space="preserve"> </w:t>
            </w:r>
            <w:r w:rsidR="007033ED">
              <w:br/>
              <w:t>P</w:t>
            </w:r>
            <w:r w:rsidRPr="007775E1">
              <w:t xml:space="preserve">rovision of effective and equitable dispute resolution and other </w:t>
            </w:r>
            <w:r w:rsidR="007033ED">
              <w:t>services to scheme participants</w:t>
            </w:r>
            <w:r w:rsidRPr="007775E1">
              <w:t>.</w:t>
            </w:r>
          </w:p>
        </w:tc>
      </w:tr>
      <w:tr w:rsidR="00EB65E5" w:rsidRPr="007775E1" w14:paraId="63AD8730"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0C02D4E2" w14:textId="68ECEF70" w:rsidR="00EB65E5" w:rsidRPr="007775E1" w:rsidRDefault="008442EA" w:rsidP="00A42336">
            <w:pPr>
              <w:jc w:val="center"/>
              <w:rPr>
                <w:rStyle w:val="Strong"/>
              </w:rPr>
            </w:pPr>
            <w:r>
              <w:rPr>
                <w:rStyle w:val="Strong"/>
              </w:rPr>
              <w:t>Indicators of Service Delivery</w:t>
            </w:r>
          </w:p>
        </w:tc>
      </w:tr>
      <w:tr w:rsidR="009A06F5" w:rsidRPr="007775E1" w14:paraId="34063E51" w14:textId="77777777" w:rsidTr="004C246A">
        <w:trPr>
          <w:trHeight w:val="60"/>
        </w:trPr>
        <w:tc>
          <w:tcPr>
            <w:tcW w:w="9049" w:type="dxa"/>
            <w:gridSpan w:val="2"/>
            <w:shd w:val="clear" w:color="auto" w:fill="CEDCE8"/>
            <w:tcMar>
              <w:top w:w="113" w:type="dxa"/>
              <w:left w:w="113" w:type="dxa"/>
              <w:bottom w:w="113" w:type="dxa"/>
              <w:right w:w="113" w:type="dxa"/>
            </w:tcMar>
            <w:vAlign w:val="center"/>
          </w:tcPr>
          <w:p w14:paraId="659C30BA" w14:textId="434A521C" w:rsidR="009A06F5" w:rsidRPr="007775E1" w:rsidRDefault="009A06F5" w:rsidP="00A42336">
            <w:pPr>
              <w:jc w:val="center"/>
              <w:rPr>
                <w:rStyle w:val="Strong"/>
              </w:rPr>
            </w:pPr>
            <w:r>
              <w:rPr>
                <w:rStyle w:val="Strong"/>
              </w:rPr>
              <w:t xml:space="preserve">Key Efficiency Performance Indicators </w:t>
            </w:r>
          </w:p>
        </w:tc>
      </w:tr>
    </w:tbl>
    <w:p w14:paraId="27B66671" w14:textId="6384FCD7" w:rsidR="00A91CE5" w:rsidRDefault="00A91CE5" w:rsidP="00377386">
      <w:pPr>
        <w:keepLines w:val="0"/>
        <w:spacing w:after="0" w:line="240" w:lineRule="auto"/>
        <w:rPr>
          <w:lang w:val="en-US"/>
        </w:rPr>
      </w:pPr>
    </w:p>
    <w:p w14:paraId="4F85B969" w14:textId="4B737C15" w:rsidR="007237C4" w:rsidRPr="003E009F" w:rsidRDefault="007237C4" w:rsidP="00377386">
      <w:pPr>
        <w:pStyle w:val="Heading3nonumber"/>
      </w:pPr>
      <w:bookmarkStart w:id="210" w:name="_Toc426617449"/>
      <w:bookmarkStart w:id="211" w:name="_Toc450900665"/>
      <w:bookmarkStart w:id="212" w:name="_Toc525121953"/>
      <w:r w:rsidRPr="003E009F">
        <w:t>Other government goals</w:t>
      </w:r>
      <w:bookmarkEnd w:id="210"/>
      <w:bookmarkEnd w:id="211"/>
      <w:bookmarkEnd w:id="212"/>
    </w:p>
    <w:p w14:paraId="6EE9D521" w14:textId="291F4151" w:rsidR="00C35069" w:rsidRPr="005B6DC0" w:rsidRDefault="00C35069" w:rsidP="005B6DC0">
      <w:bookmarkStart w:id="213" w:name="_Toc426617450"/>
      <w:bookmarkStart w:id="214" w:name="_Toc450900666"/>
      <w:r w:rsidRPr="00C35069">
        <w:t>WorkCover WA also contributes to the following State Government Goals:</w:t>
      </w:r>
    </w:p>
    <w:tbl>
      <w:tblPr>
        <w:tblStyle w:val="TableGrid"/>
        <w:tblW w:w="0" w:type="auto"/>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5A0" w:firstRow="1" w:lastRow="0" w:firstColumn="1" w:lastColumn="1" w:noHBand="0" w:noVBand="1"/>
        <w:tblCaption w:val="Table: State Government goals"/>
        <w:tblDescription w:val="This table outline how WorkCover WA contributes to the State Government goals of sustainable finances, future jobs and skills, strong communities and better places. "/>
      </w:tblPr>
      <w:tblGrid>
        <w:gridCol w:w="3123"/>
        <w:gridCol w:w="2710"/>
        <w:gridCol w:w="3183"/>
      </w:tblGrid>
      <w:tr w:rsidR="00C35069" w:rsidRPr="00F641FE" w14:paraId="32E710AF" w14:textId="77777777" w:rsidTr="008D5129">
        <w:trPr>
          <w:tblHeader/>
        </w:trPr>
        <w:tc>
          <w:tcPr>
            <w:tcW w:w="3123" w:type="dxa"/>
            <w:shd w:val="clear" w:color="auto" w:fill="003F5F"/>
          </w:tcPr>
          <w:p w14:paraId="2957CB06" w14:textId="2A343975" w:rsidR="00C35069" w:rsidRPr="00C35069" w:rsidRDefault="00C35069" w:rsidP="00C35069">
            <w:pPr>
              <w:spacing w:before="120" w:after="120"/>
              <w:jc w:val="center"/>
              <w:rPr>
                <w:rFonts w:cs="Arial"/>
                <w:color w:val="FFFFFF" w:themeColor="background1"/>
                <w:lang w:val="en-US"/>
              </w:rPr>
            </w:pPr>
            <w:r>
              <w:rPr>
                <w:rFonts w:cs="Arial"/>
                <w:color w:val="FFFFFF" w:themeColor="background1"/>
                <w:lang w:val="en-US"/>
              </w:rPr>
              <w:t>Government Goal</w:t>
            </w:r>
          </w:p>
        </w:tc>
        <w:tc>
          <w:tcPr>
            <w:tcW w:w="2710" w:type="dxa"/>
            <w:shd w:val="clear" w:color="auto" w:fill="003F5F"/>
          </w:tcPr>
          <w:p w14:paraId="0DFE3C4D" w14:textId="05DCB0D0" w:rsidR="00C35069" w:rsidRDefault="00C35069" w:rsidP="00C35069">
            <w:pPr>
              <w:spacing w:before="120" w:after="120"/>
              <w:jc w:val="center"/>
              <w:rPr>
                <w:rFonts w:cs="Arial"/>
                <w:color w:val="FFFFFF" w:themeColor="background1"/>
                <w:lang w:val="en-US"/>
              </w:rPr>
            </w:pPr>
            <w:r>
              <w:rPr>
                <w:rFonts w:cs="Arial"/>
                <w:color w:val="FFFFFF" w:themeColor="background1"/>
                <w:lang w:val="en-US"/>
              </w:rPr>
              <w:t>Purpose</w:t>
            </w:r>
          </w:p>
        </w:tc>
        <w:tc>
          <w:tcPr>
            <w:tcW w:w="3183" w:type="dxa"/>
            <w:shd w:val="clear" w:color="auto" w:fill="003F5F"/>
          </w:tcPr>
          <w:p w14:paraId="28146EB0" w14:textId="597C3B5D" w:rsidR="00C35069" w:rsidRPr="00C35069" w:rsidRDefault="00C35069" w:rsidP="00C35069">
            <w:pPr>
              <w:spacing w:before="120" w:after="120"/>
              <w:jc w:val="center"/>
              <w:rPr>
                <w:rFonts w:cs="Arial"/>
                <w:color w:val="FFFFFF" w:themeColor="background1"/>
                <w:lang w:val="en-US"/>
              </w:rPr>
            </w:pPr>
            <w:r>
              <w:rPr>
                <w:rFonts w:cs="Arial"/>
                <w:color w:val="FFFFFF" w:themeColor="background1"/>
                <w:lang w:val="en-US"/>
              </w:rPr>
              <w:t>WorkCover WA’s contribution</w:t>
            </w:r>
          </w:p>
        </w:tc>
      </w:tr>
      <w:tr w:rsidR="00115A41" w:rsidRPr="00C019A8" w14:paraId="78E1F6B0" w14:textId="77777777" w:rsidTr="008D5129">
        <w:trPr>
          <w:tblHeader/>
        </w:trPr>
        <w:tc>
          <w:tcPr>
            <w:tcW w:w="3123" w:type="dxa"/>
          </w:tcPr>
          <w:p w14:paraId="71C6C5C3" w14:textId="023CCEEF" w:rsidR="00115A41" w:rsidRDefault="00115A41" w:rsidP="00C35069">
            <w:pPr>
              <w:rPr>
                <w:lang w:eastAsia="en-AU"/>
              </w:rPr>
            </w:pPr>
            <w:r>
              <w:rPr>
                <w:lang w:eastAsia="en-AU"/>
              </w:rPr>
              <w:t>Sustainable Finances</w:t>
            </w:r>
          </w:p>
        </w:tc>
        <w:tc>
          <w:tcPr>
            <w:tcW w:w="2710" w:type="dxa"/>
          </w:tcPr>
          <w:p w14:paraId="719DAE77" w14:textId="1C8B04A3" w:rsidR="00115A41" w:rsidRDefault="00115A41" w:rsidP="00C35069">
            <w:pPr>
              <w:rPr>
                <w:lang w:eastAsia="en-AU"/>
              </w:rPr>
            </w:pPr>
            <w:r>
              <w:rPr>
                <w:lang w:eastAsia="en-AU"/>
              </w:rPr>
              <w:t>Responsible financial management and better service delivery</w:t>
            </w:r>
          </w:p>
        </w:tc>
        <w:tc>
          <w:tcPr>
            <w:tcW w:w="3183" w:type="dxa"/>
          </w:tcPr>
          <w:p w14:paraId="27B095D0" w14:textId="77777777" w:rsidR="007033ED" w:rsidRDefault="007033ED" w:rsidP="007033ED">
            <w:pPr>
              <w:rPr>
                <w:lang w:eastAsia="en-AU"/>
              </w:rPr>
            </w:pPr>
            <w:r>
              <w:rPr>
                <w:lang w:eastAsia="en-AU"/>
              </w:rPr>
              <w:t>WorkCover WA strives to ensure</w:t>
            </w:r>
            <w:r w:rsidRPr="00E473A5">
              <w:rPr>
                <w:lang w:eastAsia="en-AU"/>
              </w:rPr>
              <w:t xml:space="preserve"> adequate premium collection for workers’ compensation liabilities through recommended premium rates and maintenance of safety net reserves. </w:t>
            </w:r>
          </w:p>
          <w:p w14:paraId="15F540FF" w14:textId="158CA131" w:rsidR="00115A41" w:rsidRPr="004D40CC" w:rsidRDefault="004D40CC" w:rsidP="00115A41">
            <w:pPr>
              <w:rPr>
                <w:lang w:eastAsia="en-AU"/>
              </w:rPr>
            </w:pPr>
            <w:r w:rsidRPr="004D40CC">
              <w:rPr>
                <w:lang w:eastAsia="en-AU"/>
              </w:rPr>
              <w:t xml:space="preserve">WorkCover WA’s Digital First approach aims to provide better service delivery to stakeholders and cost effective business processes. </w:t>
            </w:r>
          </w:p>
          <w:p w14:paraId="493B0956" w14:textId="22603D78" w:rsidR="00463391" w:rsidRPr="00E473A5" w:rsidRDefault="00463391" w:rsidP="00C35069">
            <w:pPr>
              <w:rPr>
                <w:highlight w:val="red"/>
                <w:lang w:eastAsia="en-AU"/>
              </w:rPr>
            </w:pPr>
            <w:r>
              <w:rPr>
                <w:lang w:eastAsia="en-AU"/>
              </w:rPr>
              <w:t>WorkCover WA participates in whole of Government workforce management initiatives aimed at achieving operational efficiencies.</w:t>
            </w:r>
          </w:p>
        </w:tc>
      </w:tr>
      <w:tr w:rsidR="00C35069" w:rsidRPr="00C019A8" w14:paraId="56692F5B" w14:textId="77777777" w:rsidTr="008D5129">
        <w:trPr>
          <w:tblHeader/>
        </w:trPr>
        <w:tc>
          <w:tcPr>
            <w:tcW w:w="3123" w:type="dxa"/>
          </w:tcPr>
          <w:p w14:paraId="24716F95" w14:textId="06A061E4" w:rsidR="00C35069" w:rsidRPr="00C019A8" w:rsidRDefault="00C35069" w:rsidP="00C35069">
            <w:pPr>
              <w:rPr>
                <w:lang w:eastAsia="en-AU"/>
              </w:rPr>
            </w:pPr>
            <w:r>
              <w:rPr>
                <w:lang w:eastAsia="en-AU"/>
              </w:rPr>
              <w:t xml:space="preserve">Future Jobs and Skills </w:t>
            </w:r>
          </w:p>
        </w:tc>
        <w:tc>
          <w:tcPr>
            <w:tcW w:w="2710" w:type="dxa"/>
          </w:tcPr>
          <w:p w14:paraId="7D176723" w14:textId="68158E1B" w:rsidR="00C35069" w:rsidRPr="00C019A8" w:rsidRDefault="00C35069" w:rsidP="00C35069">
            <w:pPr>
              <w:rPr>
                <w:lang w:eastAsia="en-AU"/>
              </w:rPr>
            </w:pPr>
            <w:r>
              <w:rPr>
                <w:lang w:eastAsia="en-AU"/>
              </w:rPr>
              <w:t>Grow and diversify the economy, create jobs and support skills development</w:t>
            </w:r>
          </w:p>
        </w:tc>
        <w:tc>
          <w:tcPr>
            <w:tcW w:w="3183" w:type="dxa"/>
          </w:tcPr>
          <w:p w14:paraId="4B60AA11" w14:textId="74C04B6F" w:rsidR="00B261CD" w:rsidRPr="004D40CC" w:rsidRDefault="004D40CC" w:rsidP="004D40CC">
            <w:pPr>
              <w:rPr>
                <w:lang w:eastAsia="en-AU"/>
              </w:rPr>
            </w:pPr>
            <w:r>
              <w:rPr>
                <w:lang w:eastAsia="en-AU"/>
              </w:rPr>
              <w:t xml:space="preserve">The Western Australian workers’ compensation and injury management scheme provides opportunities for injured workers to develop new skills if they are unable to return to their original work duties.   </w:t>
            </w:r>
          </w:p>
        </w:tc>
      </w:tr>
      <w:tr w:rsidR="00C35069" w:rsidRPr="00C019A8" w14:paraId="0434A431" w14:textId="77777777" w:rsidTr="008D5129">
        <w:trPr>
          <w:tblHeader/>
        </w:trPr>
        <w:tc>
          <w:tcPr>
            <w:tcW w:w="3123" w:type="dxa"/>
          </w:tcPr>
          <w:p w14:paraId="32BC31DC" w14:textId="27EB1412" w:rsidR="00C35069" w:rsidRDefault="00C35069" w:rsidP="00C35069">
            <w:pPr>
              <w:rPr>
                <w:lang w:eastAsia="en-AU"/>
              </w:rPr>
            </w:pPr>
            <w:r>
              <w:rPr>
                <w:lang w:eastAsia="en-AU"/>
              </w:rPr>
              <w:t>Strong Communities</w:t>
            </w:r>
          </w:p>
        </w:tc>
        <w:tc>
          <w:tcPr>
            <w:tcW w:w="2710" w:type="dxa"/>
          </w:tcPr>
          <w:p w14:paraId="78D19312" w14:textId="006DB110" w:rsidR="00C35069" w:rsidRDefault="00C35069" w:rsidP="00C35069">
            <w:pPr>
              <w:rPr>
                <w:lang w:eastAsia="en-AU"/>
              </w:rPr>
            </w:pPr>
            <w:r>
              <w:rPr>
                <w:lang w:eastAsia="en-AU"/>
              </w:rPr>
              <w:t>Safe communities and supported families</w:t>
            </w:r>
          </w:p>
        </w:tc>
        <w:tc>
          <w:tcPr>
            <w:tcW w:w="3183" w:type="dxa"/>
          </w:tcPr>
          <w:p w14:paraId="24D0778E" w14:textId="77777777" w:rsidR="00223137" w:rsidRDefault="004D40CC" w:rsidP="00223137">
            <w:pPr>
              <w:rPr>
                <w:lang w:eastAsia="en-AU"/>
              </w:rPr>
            </w:pPr>
            <w:r>
              <w:rPr>
                <w:lang w:eastAsia="en-AU"/>
              </w:rPr>
              <w:t xml:space="preserve">The workers’ compensation and injury management scheme in Western Australia supports workers and their families if they suffer an injury or develop a disease at work and require time off work or medical treatment. </w:t>
            </w:r>
          </w:p>
          <w:p w14:paraId="1B0404B0" w14:textId="3486A47D" w:rsidR="00060B58" w:rsidRPr="004D40CC" w:rsidRDefault="00060B58" w:rsidP="00223137">
            <w:pPr>
              <w:rPr>
                <w:lang w:eastAsia="en-AU"/>
              </w:rPr>
            </w:pPr>
            <w:r>
              <w:rPr>
                <w:lang w:eastAsia="en-AU"/>
              </w:rPr>
              <w:t xml:space="preserve">In 2017/18, legislation was passed to significantly increase the level of compensation and support for dependants </w:t>
            </w:r>
            <w:r w:rsidR="00223137">
              <w:rPr>
                <w:lang w:eastAsia="en-AU"/>
              </w:rPr>
              <w:t>of workers killed at work</w:t>
            </w:r>
            <w:r>
              <w:rPr>
                <w:lang w:eastAsia="en-AU"/>
              </w:rPr>
              <w:t xml:space="preserve">. </w:t>
            </w:r>
            <w:r w:rsidR="0048071E">
              <w:rPr>
                <w:lang w:eastAsia="en-AU"/>
              </w:rPr>
              <w:t>The new legislation provides for an increase in the lump sum compensation amount to over half a million dollars, more than double</w:t>
            </w:r>
            <w:r w:rsidR="00223137">
              <w:rPr>
                <w:lang w:eastAsia="en-AU"/>
              </w:rPr>
              <w:t>s</w:t>
            </w:r>
            <w:r w:rsidR="0048071E">
              <w:rPr>
                <w:lang w:eastAsia="en-AU"/>
              </w:rPr>
              <w:t xml:space="preserve"> the weekly allowance for each dependent child</w:t>
            </w:r>
            <w:r w:rsidR="00F8129B">
              <w:rPr>
                <w:lang w:eastAsia="en-AU"/>
              </w:rPr>
              <w:t>,</w:t>
            </w:r>
            <w:r w:rsidR="0048071E">
              <w:rPr>
                <w:lang w:eastAsia="en-AU"/>
              </w:rPr>
              <w:t xml:space="preserve"> and </w:t>
            </w:r>
            <w:r w:rsidR="00223137">
              <w:rPr>
                <w:lang w:eastAsia="en-AU"/>
              </w:rPr>
              <w:t xml:space="preserve">enables </w:t>
            </w:r>
            <w:r w:rsidR="0048071E">
              <w:rPr>
                <w:lang w:eastAsia="en-AU"/>
              </w:rPr>
              <w:t xml:space="preserve">de facto partners </w:t>
            </w:r>
            <w:r w:rsidR="00223137">
              <w:rPr>
                <w:lang w:eastAsia="en-AU"/>
              </w:rPr>
              <w:t xml:space="preserve">access to compensation on the same </w:t>
            </w:r>
            <w:r w:rsidR="0048071E">
              <w:rPr>
                <w:lang w:eastAsia="en-AU"/>
              </w:rPr>
              <w:t xml:space="preserve">footing </w:t>
            </w:r>
            <w:r w:rsidR="00223137">
              <w:rPr>
                <w:lang w:eastAsia="en-AU"/>
              </w:rPr>
              <w:t>as</w:t>
            </w:r>
            <w:r w:rsidR="0048071E">
              <w:rPr>
                <w:lang w:eastAsia="en-AU"/>
              </w:rPr>
              <w:t xml:space="preserve"> married spouses. </w:t>
            </w:r>
          </w:p>
        </w:tc>
      </w:tr>
      <w:tr w:rsidR="00C35069" w:rsidRPr="00C019A8" w14:paraId="5A6CEFEC" w14:textId="77777777" w:rsidTr="008D5129">
        <w:trPr>
          <w:tblHeader/>
        </w:trPr>
        <w:tc>
          <w:tcPr>
            <w:tcW w:w="3123" w:type="dxa"/>
          </w:tcPr>
          <w:p w14:paraId="7D2EC1F9" w14:textId="203D0BED" w:rsidR="00C35069" w:rsidRDefault="00C35069" w:rsidP="00C35069">
            <w:pPr>
              <w:rPr>
                <w:lang w:eastAsia="en-AU"/>
              </w:rPr>
            </w:pPr>
            <w:r>
              <w:rPr>
                <w:lang w:eastAsia="en-AU"/>
              </w:rPr>
              <w:t>Better Places</w:t>
            </w:r>
          </w:p>
        </w:tc>
        <w:tc>
          <w:tcPr>
            <w:tcW w:w="2710" w:type="dxa"/>
          </w:tcPr>
          <w:p w14:paraId="05D47994" w14:textId="60FF38BF" w:rsidR="00C35069" w:rsidRDefault="00C35069" w:rsidP="00C35069">
            <w:pPr>
              <w:rPr>
                <w:lang w:eastAsia="en-AU"/>
              </w:rPr>
            </w:pPr>
            <w:r>
              <w:rPr>
                <w:lang w:eastAsia="en-AU"/>
              </w:rPr>
              <w:t>A quality environment with liveable and affordable communities and vibrant regions</w:t>
            </w:r>
          </w:p>
        </w:tc>
        <w:tc>
          <w:tcPr>
            <w:tcW w:w="3183" w:type="dxa"/>
          </w:tcPr>
          <w:p w14:paraId="4348C9A7" w14:textId="72699920" w:rsidR="00C35069" w:rsidRPr="00C35069" w:rsidRDefault="003F2F8C" w:rsidP="00C35069">
            <w:pPr>
              <w:rPr>
                <w:color w:val="FF0000"/>
                <w:highlight w:val="yellow"/>
                <w:lang w:eastAsia="en-AU"/>
              </w:rPr>
            </w:pPr>
            <w:r w:rsidRPr="003F2F8C">
              <w:rPr>
                <w:lang w:eastAsia="en-AU"/>
              </w:rPr>
              <w:t xml:space="preserve">WorkCover WA regularly conducts visits to regional areas to provide education about workers’ compensation and injury management rights and responsibilities. These visits are also conducted to ensure compliance with workers’ compensation legislative requirements. </w:t>
            </w:r>
          </w:p>
        </w:tc>
      </w:tr>
    </w:tbl>
    <w:p w14:paraId="2E2ABC62" w14:textId="77777777" w:rsidR="007237C4" w:rsidRPr="007237C4" w:rsidRDefault="007237C4" w:rsidP="0006797E">
      <w:pPr>
        <w:pStyle w:val="Heading2nonumber"/>
      </w:pPr>
      <w:bookmarkStart w:id="215" w:name="_Toc525121954"/>
      <w:r w:rsidRPr="007237C4">
        <w:t>Shared responsibilities with other agencies</w:t>
      </w:r>
      <w:bookmarkEnd w:id="213"/>
      <w:bookmarkEnd w:id="214"/>
      <w:bookmarkEnd w:id="215"/>
    </w:p>
    <w:p w14:paraId="68AE96FA" w14:textId="272D004D" w:rsidR="003E1A42" w:rsidRPr="003E1A42" w:rsidRDefault="008D028E" w:rsidP="00E838B5">
      <w:bookmarkStart w:id="216" w:name="_Toc399316935"/>
      <w:bookmarkStart w:id="217" w:name="_Toc426617451"/>
      <w:bookmarkStart w:id="218" w:name="_Toc450900667"/>
      <w:r>
        <w:t xml:space="preserve">WorkCover WA did not share any responsibilities under the Act with other agencies in 2017/18. </w:t>
      </w:r>
    </w:p>
    <w:p w14:paraId="17DFE37B" w14:textId="035CE555" w:rsidR="005B2232" w:rsidRPr="00630F8A" w:rsidRDefault="005B2232" w:rsidP="00C514DB">
      <w:pPr>
        <w:pStyle w:val="Heading2nonumber"/>
        <w:jc w:val="left"/>
      </w:pPr>
      <w:bookmarkStart w:id="219" w:name="_Toc525121955"/>
      <w:r w:rsidRPr="00434457">
        <w:t>How we measure our performance</w:t>
      </w:r>
      <w:bookmarkEnd w:id="216"/>
      <w:bookmarkEnd w:id="217"/>
      <w:bookmarkEnd w:id="218"/>
      <w:bookmarkEnd w:id="219"/>
      <w:r w:rsidRPr="00434457">
        <w:t xml:space="preserve"> </w:t>
      </w:r>
    </w:p>
    <w:p w14:paraId="31CA54A7" w14:textId="4FB7927D" w:rsidR="009B5632" w:rsidRDefault="00E75DF6" w:rsidP="009B5632">
      <w:bookmarkStart w:id="220" w:name="_Toc426617452"/>
      <w:bookmarkStart w:id="221" w:name="_Toc450900668"/>
      <w:r>
        <w:t xml:space="preserve">In order to evaluate its </w:t>
      </w:r>
      <w:r w:rsidRPr="008D5129">
        <w:t xml:space="preserve">contribution to State Government Goal Sustainable Finances, WorkCover WA measures its performance </w:t>
      </w:r>
      <w:r>
        <w:t>in the delivery of two services:</w:t>
      </w:r>
    </w:p>
    <w:p w14:paraId="2ABDD596" w14:textId="038B2FF5" w:rsidR="00E75DF6" w:rsidRDefault="00E75DF6" w:rsidP="00E75DF6">
      <w:pPr>
        <w:pStyle w:val="BulletListLevel1"/>
      </w:pPr>
      <w:r w:rsidRPr="00E75DF6">
        <w:rPr>
          <w:b/>
        </w:rPr>
        <w:t>Service 1: Scheme Regulation</w:t>
      </w:r>
      <w:r>
        <w:br/>
        <w:t>Regulation of scheme partic</w:t>
      </w:r>
      <w:r w:rsidR="000F578B">
        <w:t>ipants to ensure</w:t>
      </w:r>
      <w:r>
        <w:t xml:space="preserve"> compliance with leg</w:t>
      </w:r>
      <w:r w:rsidR="0006797E">
        <w:t>islative and other requirements</w:t>
      </w:r>
      <w:r w:rsidR="00223137">
        <w:t>.</w:t>
      </w:r>
    </w:p>
    <w:p w14:paraId="43A4EE1D" w14:textId="06FE8EC1" w:rsidR="00E75DF6" w:rsidRPr="00E75DF6" w:rsidRDefault="00E75DF6" w:rsidP="00E75DF6">
      <w:pPr>
        <w:pStyle w:val="BulletListLevel1"/>
      </w:pPr>
      <w:r w:rsidRPr="00E75DF6">
        <w:rPr>
          <w:b/>
        </w:rPr>
        <w:t>Service 2: Scheme Services</w:t>
      </w:r>
      <w:r>
        <w:br/>
        <w:t>Provision of effective dispute resolution and other services to scheme participants.</w:t>
      </w:r>
    </w:p>
    <w:p w14:paraId="3B7AF79A" w14:textId="167278BA" w:rsidR="007E7EE2" w:rsidRPr="00A74E13" w:rsidRDefault="003E668E" w:rsidP="00130711">
      <w:pPr>
        <w:pStyle w:val="Heading3nonumber"/>
      </w:pPr>
      <w:bookmarkStart w:id="222" w:name="_Toc525121956"/>
      <w:r w:rsidRPr="00A74E13">
        <w:t>Key Performance I</w:t>
      </w:r>
      <w:r w:rsidR="007E7EE2" w:rsidRPr="00A74E13">
        <w:t>ndicators</w:t>
      </w:r>
      <w:bookmarkEnd w:id="220"/>
      <w:bookmarkEnd w:id="221"/>
      <w:bookmarkEnd w:id="222"/>
    </w:p>
    <w:p w14:paraId="0635B316" w14:textId="77777777" w:rsidR="00274BDE" w:rsidRPr="005E6658" w:rsidRDefault="00274BDE" w:rsidP="00274BDE">
      <w:r>
        <w:t>WorkCover WA’s</w:t>
      </w:r>
      <w:r w:rsidRPr="00C51D07">
        <w:t xml:space="preserve"> services are linked to </w:t>
      </w:r>
      <w:r w:rsidRPr="005E6658">
        <w:t>effectiveness and efficiency KPIs which indicate the extent to which WorkCover WA achieved its Agency Desired Outcome.</w:t>
      </w:r>
    </w:p>
    <w:p w14:paraId="2EE451BE" w14:textId="0820BDFE" w:rsidR="008442EA" w:rsidRDefault="008442EA" w:rsidP="008442EA">
      <w:pPr>
        <w:keepLines w:val="0"/>
        <w:spacing w:after="0" w:line="240" w:lineRule="auto"/>
      </w:pPr>
      <w:r w:rsidRPr="005E6658">
        <w:t xml:space="preserve">WorkCover WA did not make any changes </w:t>
      </w:r>
      <w:r w:rsidRPr="008D5129">
        <w:t xml:space="preserve">to its OBM and KPIs in 2017/18 as the Agency desired Outcomes, Services and KPIs remain relevant and </w:t>
      </w:r>
      <w:r>
        <w:t>appropriate. The Agency has however, realigned its OBM to the new Government Goals.</w:t>
      </w:r>
    </w:p>
    <w:p w14:paraId="27A8FFDE" w14:textId="77777777" w:rsidR="008A15D5" w:rsidRDefault="008A15D5" w:rsidP="00274BDE">
      <w:pPr>
        <w:keepLines w:val="0"/>
        <w:spacing w:after="0" w:line="240" w:lineRule="auto"/>
      </w:pPr>
    </w:p>
    <w:p w14:paraId="62112995" w14:textId="08D61DBD" w:rsidR="00274BDE" w:rsidRDefault="00274BDE" w:rsidP="00274BDE">
      <w:pPr>
        <w:keepLines w:val="0"/>
        <w:spacing w:after="0" w:line="240" w:lineRule="auto"/>
      </w:pPr>
      <w:r>
        <w:t xml:space="preserve">Refer </w:t>
      </w:r>
      <w:r w:rsidRPr="00A01C4E">
        <w:t xml:space="preserve">to </w:t>
      </w:r>
      <w:r w:rsidRPr="00A01C4E">
        <w:rPr>
          <w:i/>
        </w:rPr>
        <w:t>Section 6: Key Performance Indicators</w:t>
      </w:r>
      <w:r w:rsidRPr="00A01C4E">
        <w:t xml:space="preserve"> </w:t>
      </w:r>
      <w:r>
        <w:t xml:space="preserve">on </w:t>
      </w:r>
      <w:r w:rsidRPr="005225AA">
        <w:t xml:space="preserve">page </w:t>
      </w:r>
      <w:r w:rsidR="005225AA" w:rsidRPr="005225AA">
        <w:t>144</w:t>
      </w:r>
      <w:r w:rsidRPr="005225AA">
        <w:t xml:space="preserve"> </w:t>
      </w:r>
      <w:r>
        <w:t>for full KPI information.</w:t>
      </w:r>
    </w:p>
    <w:p w14:paraId="2D7A5CC9" w14:textId="72FDB366" w:rsidR="00760725" w:rsidRPr="00D02F02" w:rsidRDefault="00760725" w:rsidP="00274BDE">
      <w:pPr>
        <w:keepLines w:val="0"/>
        <w:spacing w:after="0" w:line="240" w:lineRule="auto"/>
      </w:pPr>
    </w:p>
    <w:tbl>
      <w:tblPr>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10: WorkCover WA's KPIs"/>
        <w:tblDescription w:val="This table outlines WorkCover WA's KPIs by key effectiveness indicators and key efficiency indicators. "/>
      </w:tblPr>
      <w:tblGrid>
        <w:gridCol w:w="685"/>
        <w:gridCol w:w="87"/>
        <w:gridCol w:w="6859"/>
      </w:tblGrid>
      <w:tr w:rsidR="00C22781" w:rsidRPr="00454FB9" w14:paraId="5537B465" w14:textId="77777777" w:rsidTr="008D5129">
        <w:trPr>
          <w:trHeight w:val="60"/>
        </w:trPr>
        <w:tc>
          <w:tcPr>
            <w:tcW w:w="7631" w:type="dxa"/>
            <w:gridSpan w:val="3"/>
            <w:shd w:val="clear" w:color="auto" w:fill="003F5F"/>
            <w:tcMar>
              <w:top w:w="113" w:type="dxa"/>
              <w:left w:w="113" w:type="dxa"/>
              <w:bottom w:w="113" w:type="dxa"/>
              <w:right w:w="113" w:type="dxa"/>
            </w:tcMar>
            <w:vAlign w:val="center"/>
          </w:tcPr>
          <w:p w14:paraId="0F309102" w14:textId="3FE6AA97" w:rsidR="00C22781" w:rsidRPr="0066536E" w:rsidRDefault="00C22781" w:rsidP="003076D9">
            <w:pPr>
              <w:rPr>
                <w:rStyle w:val="Strong"/>
                <w:color w:val="FFFFFF" w:themeColor="background1"/>
              </w:rPr>
            </w:pPr>
            <w:r w:rsidRPr="008D5129">
              <w:rPr>
                <w:rStyle w:val="Strong"/>
                <w:color w:val="FFFFFF" w:themeColor="background1"/>
              </w:rPr>
              <w:t xml:space="preserve">Table </w:t>
            </w:r>
            <w:r w:rsidR="003076D9" w:rsidRPr="008D5129">
              <w:rPr>
                <w:rStyle w:val="Strong"/>
                <w:color w:val="FFFFFF" w:themeColor="background1"/>
              </w:rPr>
              <w:t>10</w:t>
            </w:r>
            <w:r w:rsidRPr="008D5129">
              <w:rPr>
                <w:rStyle w:val="Strong"/>
                <w:color w:val="FFFFFF" w:themeColor="background1"/>
              </w:rPr>
              <w:t xml:space="preserve">: </w:t>
            </w:r>
            <w:r w:rsidR="00616E8C" w:rsidRPr="00BC7D70">
              <w:rPr>
                <w:rStyle w:val="Strong"/>
                <w:color w:val="FFFFFF" w:themeColor="background2"/>
              </w:rPr>
              <w:t>WorkCover WA</w:t>
            </w:r>
            <w:r w:rsidR="00390840" w:rsidRPr="00BC7D70">
              <w:rPr>
                <w:rStyle w:val="Strong"/>
                <w:color w:val="FFFFFF" w:themeColor="background2"/>
              </w:rPr>
              <w:t>’s KPIs</w:t>
            </w:r>
          </w:p>
        </w:tc>
      </w:tr>
      <w:tr w:rsidR="007F6C40" w:rsidRPr="00454FB9" w14:paraId="719EA434" w14:textId="77777777" w:rsidTr="008D5129">
        <w:trPr>
          <w:trHeight w:val="60"/>
        </w:trPr>
        <w:tc>
          <w:tcPr>
            <w:tcW w:w="7631" w:type="dxa"/>
            <w:gridSpan w:val="3"/>
            <w:shd w:val="clear" w:color="auto" w:fill="CEDCE8"/>
            <w:tcMar>
              <w:top w:w="113" w:type="dxa"/>
              <w:left w:w="113" w:type="dxa"/>
              <w:bottom w:w="113" w:type="dxa"/>
              <w:right w:w="113" w:type="dxa"/>
            </w:tcMar>
            <w:vAlign w:val="center"/>
          </w:tcPr>
          <w:p w14:paraId="55106925" w14:textId="77777777" w:rsidR="007F6C40" w:rsidRPr="00C92202" w:rsidRDefault="008E094F" w:rsidP="00A87BD3">
            <w:pPr>
              <w:rPr>
                <w:rStyle w:val="Strong"/>
              </w:rPr>
            </w:pPr>
            <w:r w:rsidRPr="00C92202">
              <w:rPr>
                <w:rStyle w:val="Strong"/>
              </w:rPr>
              <w:t>K</w:t>
            </w:r>
            <w:r w:rsidR="007F6C40" w:rsidRPr="00C92202">
              <w:rPr>
                <w:rStyle w:val="Strong"/>
              </w:rPr>
              <w:t xml:space="preserve">ey </w:t>
            </w:r>
            <w:r w:rsidRPr="00C92202">
              <w:rPr>
                <w:rStyle w:val="Strong"/>
              </w:rPr>
              <w:t>E</w:t>
            </w:r>
            <w:r w:rsidR="007F6C40" w:rsidRPr="00C92202">
              <w:rPr>
                <w:rStyle w:val="Strong"/>
              </w:rPr>
              <w:t xml:space="preserve">ffectiveness </w:t>
            </w:r>
            <w:r w:rsidRPr="00C92202">
              <w:rPr>
                <w:rStyle w:val="Strong"/>
              </w:rPr>
              <w:t>I</w:t>
            </w:r>
            <w:r w:rsidR="007F6C40" w:rsidRPr="00C92202">
              <w:rPr>
                <w:rStyle w:val="Strong"/>
              </w:rPr>
              <w:t>ndicators</w:t>
            </w:r>
          </w:p>
        </w:tc>
      </w:tr>
      <w:tr w:rsidR="007F6C40" w:rsidRPr="00454FB9" w14:paraId="38CA953D" w14:textId="77777777" w:rsidTr="008D5129">
        <w:trPr>
          <w:trHeight w:val="60"/>
        </w:trPr>
        <w:tc>
          <w:tcPr>
            <w:tcW w:w="685" w:type="dxa"/>
            <w:shd w:val="clear" w:color="auto" w:fill="CEDCE8"/>
            <w:tcMar>
              <w:top w:w="113" w:type="dxa"/>
              <w:left w:w="113" w:type="dxa"/>
              <w:bottom w:w="113" w:type="dxa"/>
              <w:right w:w="113" w:type="dxa"/>
            </w:tcMar>
            <w:vAlign w:val="center"/>
          </w:tcPr>
          <w:p w14:paraId="6E0E5114" w14:textId="3E9E9DBC" w:rsidR="007F6C40" w:rsidRPr="00C92202" w:rsidRDefault="00BC7D70" w:rsidP="00A87BD3">
            <w:pPr>
              <w:rPr>
                <w:rStyle w:val="Strong"/>
              </w:rPr>
            </w:pPr>
            <w:r>
              <w:rPr>
                <w:rStyle w:val="Strong"/>
              </w:rPr>
              <w:t>1.1</w:t>
            </w:r>
          </w:p>
        </w:tc>
        <w:tc>
          <w:tcPr>
            <w:tcW w:w="6946" w:type="dxa"/>
            <w:gridSpan w:val="2"/>
            <w:shd w:val="solid" w:color="FFFFFF" w:fill="auto"/>
            <w:tcMar>
              <w:top w:w="113" w:type="dxa"/>
              <w:left w:w="113" w:type="dxa"/>
              <w:bottom w:w="113" w:type="dxa"/>
              <w:right w:w="113" w:type="dxa"/>
            </w:tcMar>
            <w:vAlign w:val="center"/>
          </w:tcPr>
          <w:p w14:paraId="36496593" w14:textId="2ED5CD5A" w:rsidR="007F6C40" w:rsidRPr="00C92202" w:rsidRDefault="00BC7D70" w:rsidP="00A87BD3">
            <w:r w:rsidRPr="00C92202">
              <w:t>Number of non-compliance events identified as a result of a claim on the General Account</w:t>
            </w:r>
          </w:p>
        </w:tc>
      </w:tr>
      <w:tr w:rsidR="007F6C40" w:rsidRPr="00454FB9" w14:paraId="29690EEC" w14:textId="77777777" w:rsidTr="008D5129">
        <w:trPr>
          <w:trHeight w:val="60"/>
        </w:trPr>
        <w:tc>
          <w:tcPr>
            <w:tcW w:w="685" w:type="dxa"/>
            <w:shd w:val="clear" w:color="auto" w:fill="CEDCE8"/>
            <w:tcMar>
              <w:top w:w="113" w:type="dxa"/>
              <w:left w:w="113" w:type="dxa"/>
              <w:bottom w:w="113" w:type="dxa"/>
              <w:right w:w="113" w:type="dxa"/>
            </w:tcMar>
            <w:vAlign w:val="center"/>
          </w:tcPr>
          <w:p w14:paraId="4ECC2106" w14:textId="5B33D261" w:rsidR="007F6C40" w:rsidRPr="00C92202" w:rsidRDefault="00BC7D70" w:rsidP="00A87BD3">
            <w:pPr>
              <w:rPr>
                <w:rStyle w:val="Strong"/>
              </w:rPr>
            </w:pPr>
            <w:r>
              <w:rPr>
                <w:rStyle w:val="Strong"/>
              </w:rPr>
              <w:t>1.2</w:t>
            </w:r>
          </w:p>
        </w:tc>
        <w:tc>
          <w:tcPr>
            <w:tcW w:w="6946" w:type="dxa"/>
            <w:gridSpan w:val="2"/>
            <w:shd w:val="solid" w:color="FFFFFF" w:fill="auto"/>
            <w:tcMar>
              <w:top w:w="113" w:type="dxa"/>
              <w:left w:w="113" w:type="dxa"/>
              <w:bottom w:w="113" w:type="dxa"/>
              <w:right w:w="113" w:type="dxa"/>
            </w:tcMar>
            <w:vAlign w:val="center"/>
          </w:tcPr>
          <w:p w14:paraId="081BB12F" w14:textId="0F92390F" w:rsidR="007F6C40" w:rsidRPr="00C92202" w:rsidRDefault="00BC7D70" w:rsidP="007B6BD6">
            <w:r w:rsidRPr="00C92202">
              <w:t>Proportion of conciliations completed within eight weeks</w:t>
            </w:r>
          </w:p>
        </w:tc>
      </w:tr>
      <w:tr w:rsidR="007F6C40" w:rsidRPr="00454FB9" w14:paraId="6BE1B67A" w14:textId="77777777" w:rsidTr="008D5129">
        <w:trPr>
          <w:trHeight w:val="838"/>
        </w:trPr>
        <w:tc>
          <w:tcPr>
            <w:tcW w:w="685" w:type="dxa"/>
            <w:shd w:val="clear" w:color="auto" w:fill="CEDCE8"/>
            <w:tcMar>
              <w:top w:w="113" w:type="dxa"/>
              <w:left w:w="113" w:type="dxa"/>
              <w:bottom w:w="113" w:type="dxa"/>
              <w:right w:w="113" w:type="dxa"/>
            </w:tcMar>
            <w:vAlign w:val="center"/>
          </w:tcPr>
          <w:p w14:paraId="3E6E4C13" w14:textId="77A3B46F" w:rsidR="007F6C40" w:rsidRPr="00C92202" w:rsidRDefault="00BC7D70" w:rsidP="00A87BD3">
            <w:pPr>
              <w:rPr>
                <w:rStyle w:val="Strong"/>
              </w:rPr>
            </w:pPr>
            <w:r>
              <w:rPr>
                <w:rStyle w:val="Strong"/>
              </w:rPr>
              <w:t>1.3</w:t>
            </w:r>
          </w:p>
        </w:tc>
        <w:tc>
          <w:tcPr>
            <w:tcW w:w="6946" w:type="dxa"/>
            <w:gridSpan w:val="2"/>
            <w:shd w:val="solid" w:color="FFFFFF" w:fill="auto"/>
            <w:tcMar>
              <w:top w:w="113" w:type="dxa"/>
              <w:left w:w="113" w:type="dxa"/>
              <w:bottom w:w="113" w:type="dxa"/>
              <w:right w:w="113" w:type="dxa"/>
            </w:tcMar>
            <w:vAlign w:val="center"/>
          </w:tcPr>
          <w:p w14:paraId="286954AA" w14:textId="32B2DCF6" w:rsidR="00760725" w:rsidRPr="00C92202" w:rsidRDefault="00BC7D70" w:rsidP="00A87BD3">
            <w:r w:rsidRPr="00C92202">
              <w:t>Proportion of disputes resolved within six months</w:t>
            </w:r>
          </w:p>
        </w:tc>
      </w:tr>
      <w:tr w:rsidR="00845C82" w:rsidRPr="00454FB9" w14:paraId="38E6F555" w14:textId="77777777" w:rsidTr="008D5129">
        <w:trPr>
          <w:trHeight w:val="60"/>
        </w:trPr>
        <w:tc>
          <w:tcPr>
            <w:tcW w:w="7631" w:type="dxa"/>
            <w:gridSpan w:val="3"/>
            <w:shd w:val="clear" w:color="auto" w:fill="003F5F"/>
            <w:tcMar>
              <w:top w:w="113" w:type="dxa"/>
              <w:left w:w="113" w:type="dxa"/>
              <w:bottom w:w="113" w:type="dxa"/>
              <w:right w:w="113" w:type="dxa"/>
            </w:tcMar>
            <w:vAlign w:val="center"/>
          </w:tcPr>
          <w:p w14:paraId="4D22536A" w14:textId="77777777" w:rsidR="00845C82" w:rsidRPr="00C92202" w:rsidRDefault="00845C82" w:rsidP="00A87BD3">
            <w:pPr>
              <w:rPr>
                <w:rStyle w:val="Strong"/>
              </w:rPr>
            </w:pPr>
            <w:r w:rsidRPr="00C92202">
              <w:rPr>
                <w:rStyle w:val="Strong"/>
              </w:rPr>
              <w:t>Key Efficiency Indicators</w:t>
            </w:r>
          </w:p>
        </w:tc>
      </w:tr>
      <w:tr w:rsidR="00845C82" w:rsidRPr="00454FB9" w14:paraId="7A336500" w14:textId="77777777" w:rsidTr="008D5129">
        <w:trPr>
          <w:trHeight w:val="60"/>
        </w:trPr>
        <w:tc>
          <w:tcPr>
            <w:tcW w:w="772" w:type="dxa"/>
            <w:gridSpan w:val="2"/>
            <w:shd w:val="clear" w:color="auto" w:fill="CEDCE8"/>
            <w:tcMar>
              <w:top w:w="113" w:type="dxa"/>
              <w:left w:w="113" w:type="dxa"/>
              <w:bottom w:w="113" w:type="dxa"/>
              <w:right w:w="113" w:type="dxa"/>
            </w:tcMar>
            <w:vAlign w:val="center"/>
          </w:tcPr>
          <w:p w14:paraId="0F5E7FF8" w14:textId="12D3AAB4" w:rsidR="00845C82" w:rsidRPr="00C92202" w:rsidRDefault="00BC7D70" w:rsidP="00A87BD3">
            <w:pPr>
              <w:rPr>
                <w:rStyle w:val="Strong"/>
              </w:rPr>
            </w:pPr>
            <w:r>
              <w:rPr>
                <w:rStyle w:val="Strong"/>
              </w:rPr>
              <w:t>1.1</w:t>
            </w:r>
          </w:p>
        </w:tc>
        <w:tc>
          <w:tcPr>
            <w:tcW w:w="6859" w:type="dxa"/>
            <w:shd w:val="solid" w:color="FFFFFF" w:fill="auto"/>
            <w:tcMar>
              <w:top w:w="113" w:type="dxa"/>
              <w:left w:w="113" w:type="dxa"/>
              <w:bottom w:w="113" w:type="dxa"/>
              <w:right w:w="113" w:type="dxa"/>
            </w:tcMar>
            <w:vAlign w:val="center"/>
          </w:tcPr>
          <w:p w14:paraId="37600883" w14:textId="13E34F31" w:rsidR="00845C82" w:rsidRPr="00C92202" w:rsidRDefault="00BC7D70" w:rsidP="00A87BD3">
            <w:r w:rsidRPr="00C92202">
              <w:t>Average cost per employer compliance activity</w:t>
            </w:r>
          </w:p>
        </w:tc>
      </w:tr>
      <w:tr w:rsidR="00845C82" w:rsidRPr="00454FB9" w14:paraId="3FCB90E1" w14:textId="77777777" w:rsidTr="008D5129">
        <w:trPr>
          <w:trHeight w:val="60"/>
        </w:trPr>
        <w:tc>
          <w:tcPr>
            <w:tcW w:w="772" w:type="dxa"/>
            <w:gridSpan w:val="2"/>
            <w:shd w:val="clear" w:color="auto" w:fill="CEDCE8"/>
            <w:tcMar>
              <w:top w:w="113" w:type="dxa"/>
              <w:left w:w="113" w:type="dxa"/>
              <w:bottom w:w="113" w:type="dxa"/>
              <w:right w:w="113" w:type="dxa"/>
            </w:tcMar>
            <w:vAlign w:val="center"/>
          </w:tcPr>
          <w:p w14:paraId="20B6A1EB" w14:textId="5D486CFE" w:rsidR="00845C82" w:rsidRPr="00C92202" w:rsidRDefault="00BC7D70" w:rsidP="00A87BD3">
            <w:pPr>
              <w:rPr>
                <w:rStyle w:val="Strong"/>
              </w:rPr>
            </w:pPr>
            <w:r>
              <w:rPr>
                <w:rStyle w:val="Strong"/>
              </w:rPr>
              <w:t>1.2</w:t>
            </w:r>
          </w:p>
        </w:tc>
        <w:tc>
          <w:tcPr>
            <w:tcW w:w="6859" w:type="dxa"/>
            <w:shd w:val="solid" w:color="FFFFFF" w:fill="auto"/>
            <w:tcMar>
              <w:top w:w="113" w:type="dxa"/>
              <w:left w:w="113" w:type="dxa"/>
              <w:bottom w:w="113" w:type="dxa"/>
              <w:right w:w="113" w:type="dxa"/>
            </w:tcMar>
            <w:vAlign w:val="center"/>
          </w:tcPr>
          <w:p w14:paraId="196E8406" w14:textId="6B1C3284" w:rsidR="00845C82" w:rsidRPr="00C92202" w:rsidRDefault="00BC7D70" w:rsidP="00A87BD3">
            <w:r w:rsidRPr="00C92202">
              <w:t>Average cost per approved and monitored service provider</w:t>
            </w:r>
          </w:p>
        </w:tc>
      </w:tr>
      <w:tr w:rsidR="00845C82" w:rsidRPr="00454FB9" w14:paraId="4B1BB89A" w14:textId="77777777" w:rsidTr="008D5129">
        <w:trPr>
          <w:trHeight w:val="60"/>
        </w:trPr>
        <w:tc>
          <w:tcPr>
            <w:tcW w:w="772" w:type="dxa"/>
            <w:gridSpan w:val="2"/>
            <w:shd w:val="clear" w:color="auto" w:fill="CEDCE8"/>
            <w:tcMar>
              <w:top w:w="113" w:type="dxa"/>
              <w:left w:w="113" w:type="dxa"/>
              <w:bottom w:w="113" w:type="dxa"/>
              <w:right w:w="113" w:type="dxa"/>
            </w:tcMar>
            <w:vAlign w:val="center"/>
          </w:tcPr>
          <w:p w14:paraId="7F81D223" w14:textId="3E8A2F8E" w:rsidR="00845C82" w:rsidRPr="00C92202" w:rsidRDefault="00BC7D70" w:rsidP="00A87BD3">
            <w:pPr>
              <w:rPr>
                <w:rStyle w:val="Strong"/>
              </w:rPr>
            </w:pPr>
            <w:r>
              <w:rPr>
                <w:rStyle w:val="Strong"/>
              </w:rPr>
              <w:t>1.3</w:t>
            </w:r>
          </w:p>
        </w:tc>
        <w:tc>
          <w:tcPr>
            <w:tcW w:w="6859" w:type="dxa"/>
            <w:tcMar>
              <w:top w:w="113" w:type="dxa"/>
              <w:left w:w="113" w:type="dxa"/>
              <w:bottom w:w="113" w:type="dxa"/>
              <w:right w:w="113" w:type="dxa"/>
            </w:tcMar>
            <w:vAlign w:val="center"/>
          </w:tcPr>
          <w:p w14:paraId="32679714" w14:textId="19F2918D" w:rsidR="00845C82" w:rsidRPr="00C92202" w:rsidRDefault="00BC7D70" w:rsidP="00A87BD3">
            <w:r w:rsidRPr="00C92202">
              <w:t>Average cost per client contact to provide information and advice</w:t>
            </w:r>
          </w:p>
        </w:tc>
      </w:tr>
      <w:tr w:rsidR="00845C82" w:rsidRPr="00454FB9" w14:paraId="6E90A44B" w14:textId="77777777" w:rsidTr="008D5129">
        <w:trPr>
          <w:trHeight w:val="841"/>
        </w:trPr>
        <w:tc>
          <w:tcPr>
            <w:tcW w:w="772" w:type="dxa"/>
            <w:gridSpan w:val="2"/>
            <w:shd w:val="clear" w:color="auto" w:fill="CEDCE8"/>
            <w:tcMar>
              <w:top w:w="113" w:type="dxa"/>
              <w:left w:w="113" w:type="dxa"/>
              <w:bottom w:w="113" w:type="dxa"/>
              <w:right w:w="113" w:type="dxa"/>
            </w:tcMar>
            <w:vAlign w:val="center"/>
          </w:tcPr>
          <w:p w14:paraId="0185B9BA" w14:textId="564F27E9" w:rsidR="00845C82" w:rsidRPr="00C92202" w:rsidRDefault="00BC7D70" w:rsidP="00A87BD3">
            <w:pPr>
              <w:rPr>
                <w:rStyle w:val="Strong"/>
              </w:rPr>
            </w:pPr>
            <w:r>
              <w:rPr>
                <w:rStyle w:val="Strong"/>
              </w:rPr>
              <w:t>2.1</w:t>
            </w:r>
          </w:p>
        </w:tc>
        <w:tc>
          <w:tcPr>
            <w:tcW w:w="6859" w:type="dxa"/>
            <w:tcMar>
              <w:top w:w="113" w:type="dxa"/>
              <w:left w:w="113" w:type="dxa"/>
              <w:bottom w:w="113" w:type="dxa"/>
              <w:right w:w="113" w:type="dxa"/>
            </w:tcMar>
            <w:vAlign w:val="center"/>
          </w:tcPr>
          <w:p w14:paraId="0232B684" w14:textId="1A686D6E" w:rsidR="00845C82" w:rsidRPr="00C92202" w:rsidRDefault="00BC7D70" w:rsidP="00A87BD3">
            <w:r w:rsidRPr="00C92202">
              <w:t>Average cost to complete a conciliation</w:t>
            </w:r>
          </w:p>
        </w:tc>
      </w:tr>
      <w:tr w:rsidR="00845C82" w:rsidRPr="00454FB9" w14:paraId="0E890E02" w14:textId="77777777" w:rsidTr="008D5129">
        <w:trPr>
          <w:trHeight w:val="60"/>
        </w:trPr>
        <w:tc>
          <w:tcPr>
            <w:tcW w:w="772" w:type="dxa"/>
            <w:gridSpan w:val="2"/>
            <w:shd w:val="clear" w:color="auto" w:fill="CEDCE8"/>
            <w:tcMar>
              <w:top w:w="113" w:type="dxa"/>
              <w:left w:w="113" w:type="dxa"/>
              <w:bottom w:w="113" w:type="dxa"/>
              <w:right w:w="113" w:type="dxa"/>
            </w:tcMar>
            <w:vAlign w:val="center"/>
          </w:tcPr>
          <w:p w14:paraId="3DFBBB61" w14:textId="35BB00DE" w:rsidR="00845C82" w:rsidRPr="00C92202" w:rsidRDefault="00BC7D70" w:rsidP="00A87BD3">
            <w:pPr>
              <w:rPr>
                <w:rStyle w:val="Strong"/>
              </w:rPr>
            </w:pPr>
            <w:r>
              <w:rPr>
                <w:rStyle w:val="Strong"/>
              </w:rPr>
              <w:t>2.2</w:t>
            </w:r>
          </w:p>
        </w:tc>
        <w:tc>
          <w:tcPr>
            <w:tcW w:w="6859" w:type="dxa"/>
            <w:tcMar>
              <w:top w:w="113" w:type="dxa"/>
              <w:left w:w="113" w:type="dxa"/>
              <w:bottom w:w="113" w:type="dxa"/>
              <w:right w:w="113" w:type="dxa"/>
            </w:tcMar>
            <w:vAlign w:val="center"/>
          </w:tcPr>
          <w:p w14:paraId="7D505991" w14:textId="324E63C5" w:rsidR="00845C82" w:rsidRPr="00C92202" w:rsidRDefault="00BC7D70" w:rsidP="00A87BD3">
            <w:r w:rsidRPr="00C92202">
              <w:t>Average cost to complete an arbitration</w:t>
            </w:r>
          </w:p>
        </w:tc>
      </w:tr>
      <w:tr w:rsidR="00845C82" w:rsidRPr="00454FB9" w14:paraId="5FCE51B5" w14:textId="77777777" w:rsidTr="008D5129">
        <w:trPr>
          <w:trHeight w:val="60"/>
        </w:trPr>
        <w:tc>
          <w:tcPr>
            <w:tcW w:w="772" w:type="dxa"/>
            <w:gridSpan w:val="2"/>
            <w:shd w:val="clear" w:color="auto" w:fill="CEDCE8"/>
            <w:tcMar>
              <w:top w:w="113" w:type="dxa"/>
              <w:left w:w="113" w:type="dxa"/>
              <w:bottom w:w="113" w:type="dxa"/>
              <w:right w:w="113" w:type="dxa"/>
            </w:tcMar>
            <w:vAlign w:val="center"/>
          </w:tcPr>
          <w:p w14:paraId="3AEB1FCB" w14:textId="621D1BB7" w:rsidR="00845C82" w:rsidRPr="0066536E" w:rsidRDefault="00BC7D70" w:rsidP="00A87BD3">
            <w:pPr>
              <w:rPr>
                <w:rStyle w:val="Strong"/>
              </w:rPr>
            </w:pPr>
            <w:r>
              <w:rPr>
                <w:rStyle w:val="Strong"/>
              </w:rPr>
              <w:t>2.3</w:t>
            </w:r>
          </w:p>
        </w:tc>
        <w:tc>
          <w:tcPr>
            <w:tcW w:w="6859" w:type="dxa"/>
            <w:tcMar>
              <w:top w:w="113" w:type="dxa"/>
              <w:left w:w="113" w:type="dxa"/>
              <w:bottom w:w="113" w:type="dxa"/>
              <w:right w:w="113" w:type="dxa"/>
            </w:tcMar>
            <w:vAlign w:val="center"/>
          </w:tcPr>
          <w:p w14:paraId="692F8A02" w14:textId="0EFEFE07" w:rsidR="00845C82" w:rsidRPr="00C92202" w:rsidRDefault="00BC7D70" w:rsidP="00A87BD3">
            <w:r w:rsidRPr="00C92202">
              <w:t>Average cost to process a Memorandum of Agreement</w:t>
            </w:r>
          </w:p>
        </w:tc>
      </w:tr>
    </w:tbl>
    <w:p w14:paraId="13ACBE83" w14:textId="67640B43" w:rsidR="00C840F4" w:rsidRDefault="00C840F4" w:rsidP="00C5421B">
      <w:pPr>
        <w:keepLines w:val="0"/>
        <w:spacing w:after="0" w:line="240" w:lineRule="auto"/>
      </w:pPr>
    </w:p>
    <w:p w14:paraId="0157FA4E" w14:textId="77777777" w:rsidR="000E37CD" w:rsidRPr="009C172B" w:rsidRDefault="000E37CD" w:rsidP="009C172B">
      <w:pPr>
        <w:pStyle w:val="Heading1nonumber"/>
      </w:pPr>
      <w:bookmarkStart w:id="223" w:name="_Toc399316923"/>
      <w:bookmarkStart w:id="224" w:name="_Toc426617414"/>
      <w:bookmarkStart w:id="225" w:name="_Toc450900629"/>
      <w:bookmarkStart w:id="226" w:name="_Toc525121957"/>
      <w:bookmarkStart w:id="227" w:name="_Toc399316937"/>
      <w:r w:rsidRPr="002C2058">
        <w:t>People</w:t>
      </w:r>
      <w:bookmarkEnd w:id="223"/>
      <w:bookmarkEnd w:id="224"/>
      <w:bookmarkEnd w:id="225"/>
      <w:bookmarkEnd w:id="226"/>
    </w:p>
    <w:p w14:paraId="272A3105" w14:textId="77777777" w:rsidR="000E37CD" w:rsidRPr="00FD672E" w:rsidRDefault="000E37CD" w:rsidP="000E37CD">
      <w:pPr>
        <w:pStyle w:val="Heading2nonumber"/>
      </w:pPr>
      <w:bookmarkStart w:id="228" w:name="_Toc399316924"/>
      <w:bookmarkStart w:id="229" w:name="_Toc426617415"/>
      <w:bookmarkStart w:id="230" w:name="_Toc450900630"/>
      <w:bookmarkStart w:id="231" w:name="_Toc525121958"/>
      <w:r w:rsidRPr="00FD672E">
        <w:t>Workforce profile</w:t>
      </w:r>
      <w:bookmarkEnd w:id="228"/>
      <w:bookmarkEnd w:id="229"/>
      <w:bookmarkEnd w:id="230"/>
      <w:bookmarkEnd w:id="231"/>
    </w:p>
    <w:p w14:paraId="6FD518D8" w14:textId="002F88BE" w:rsidR="0055513A" w:rsidRPr="004D3B14" w:rsidRDefault="004D3B14" w:rsidP="004D3B14">
      <w:pPr>
        <w:rPr>
          <w:rStyle w:val="Strong"/>
          <w:b w:val="0"/>
          <w:bCs w:val="0"/>
          <w:i/>
          <w:iCs/>
          <w:color w:val="FF0000"/>
        </w:rPr>
      </w:pPr>
      <w:r w:rsidRPr="008D5129">
        <w:t xml:space="preserve">Table </w:t>
      </w:r>
      <w:r w:rsidR="002A3C1F" w:rsidRPr="008D5129">
        <w:t>11</w:t>
      </w:r>
      <w:r w:rsidRPr="008D5129">
        <w:t xml:space="preserve"> summarises WorkCover WA’s 2017/18 workforce profile. WorkCover WA’s complete full-time equivalent (FTE) profile </w:t>
      </w:r>
      <w:r>
        <w:t xml:space="preserve">is provided on </w:t>
      </w:r>
      <w:r w:rsidRPr="005225AA">
        <w:t xml:space="preserve">page </w:t>
      </w:r>
      <w:r w:rsidR="005225AA" w:rsidRPr="005225AA">
        <w:t>122</w:t>
      </w:r>
      <w:r w:rsidRPr="005225AA">
        <w:t xml:space="preserve"> </w:t>
      </w:r>
      <w:r w:rsidRPr="00A01C4E">
        <w:t xml:space="preserve">under ‘Employment and industrial relations’ in </w:t>
      </w:r>
      <w:r w:rsidRPr="00A01C4E">
        <w:rPr>
          <w:i/>
        </w:rPr>
        <w:t>Section 5: Disclosures and legal compliance</w:t>
      </w:r>
      <w:r w:rsidRPr="00A01C4E">
        <w:t>.</w:t>
      </w:r>
    </w:p>
    <w:tbl>
      <w:tblPr>
        <w:tblStyle w:val="TableGrid"/>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11: Staff by FTE"/>
        <w:tblDescription w:val="This table summarises WorkCover WA's 2017/18 workforce profile and outlines the number of staff employed as full-time permanent, full-time contract, part-time permanent, part-time contract, on secondment, in a traineeship or in a graduate program. "/>
      </w:tblPr>
      <w:tblGrid>
        <w:gridCol w:w="4536"/>
        <w:gridCol w:w="1956"/>
      </w:tblGrid>
      <w:tr w:rsidR="000E37CD" w:rsidRPr="00053DD5" w14:paraId="2E739413" w14:textId="77777777" w:rsidTr="008D5129">
        <w:trPr>
          <w:tblHeader/>
        </w:trPr>
        <w:tc>
          <w:tcPr>
            <w:tcW w:w="6492" w:type="dxa"/>
            <w:gridSpan w:val="2"/>
            <w:shd w:val="clear" w:color="auto" w:fill="003F5F"/>
          </w:tcPr>
          <w:p w14:paraId="5D1FF7D5" w14:textId="08AA9FA0" w:rsidR="000E37CD" w:rsidRPr="00775007" w:rsidRDefault="009B5632" w:rsidP="002A3C1F">
            <w:pPr>
              <w:rPr>
                <w:rStyle w:val="Strong"/>
                <w:color w:val="FFFFFF" w:themeColor="background1"/>
              </w:rPr>
            </w:pPr>
            <w:r w:rsidRPr="008D5129">
              <w:rPr>
                <w:rStyle w:val="Strong"/>
                <w:color w:val="FFFFFF" w:themeColor="background1"/>
              </w:rPr>
              <w:t xml:space="preserve">Table </w:t>
            </w:r>
            <w:r w:rsidR="002A3C1F" w:rsidRPr="008D5129">
              <w:rPr>
                <w:rStyle w:val="Strong"/>
                <w:color w:val="FFFFFF" w:themeColor="background1"/>
              </w:rPr>
              <w:t>11</w:t>
            </w:r>
            <w:r w:rsidR="000E37CD" w:rsidRPr="008D5129">
              <w:rPr>
                <w:rStyle w:val="Strong"/>
                <w:color w:val="FFFFFF" w:themeColor="background1"/>
              </w:rPr>
              <w:t xml:space="preserve">: </w:t>
            </w:r>
            <w:r w:rsidR="000E37CD" w:rsidRPr="004D3B14">
              <w:rPr>
                <w:rStyle w:val="Strong"/>
                <w:color w:val="FFFFFF" w:themeColor="background1"/>
              </w:rPr>
              <w:t>Staff by FTE</w:t>
            </w:r>
          </w:p>
        </w:tc>
      </w:tr>
      <w:tr w:rsidR="000E37CD" w:rsidRPr="00053DD5" w14:paraId="32C1826E" w14:textId="77777777" w:rsidTr="008D5129">
        <w:trPr>
          <w:trHeight w:val="455"/>
        </w:trPr>
        <w:tc>
          <w:tcPr>
            <w:tcW w:w="4536" w:type="dxa"/>
            <w:shd w:val="clear" w:color="auto" w:fill="CEDCE8"/>
            <w:vAlign w:val="center"/>
          </w:tcPr>
          <w:p w14:paraId="230473BF" w14:textId="77777777" w:rsidR="000E37CD" w:rsidRPr="009516EE" w:rsidRDefault="000E37CD" w:rsidP="002B0E41">
            <w:pPr>
              <w:rPr>
                <w:rStyle w:val="Strong"/>
              </w:rPr>
            </w:pPr>
            <w:r w:rsidRPr="009516EE">
              <w:rPr>
                <w:rStyle w:val="Strong"/>
              </w:rPr>
              <w:t>Employment type</w:t>
            </w:r>
          </w:p>
        </w:tc>
        <w:tc>
          <w:tcPr>
            <w:tcW w:w="1956" w:type="dxa"/>
            <w:shd w:val="clear" w:color="auto" w:fill="CEDCE8"/>
            <w:vAlign w:val="center"/>
          </w:tcPr>
          <w:p w14:paraId="7CD92DDD" w14:textId="76658385" w:rsidR="000E37CD" w:rsidRPr="009516EE" w:rsidRDefault="009B5632" w:rsidP="00760725">
            <w:pPr>
              <w:jc w:val="right"/>
              <w:rPr>
                <w:rStyle w:val="Strong"/>
              </w:rPr>
            </w:pPr>
            <w:r>
              <w:rPr>
                <w:rStyle w:val="Strong"/>
              </w:rPr>
              <w:t>2017/18</w:t>
            </w:r>
          </w:p>
        </w:tc>
      </w:tr>
      <w:tr w:rsidR="000E37CD" w:rsidRPr="00053DD5" w14:paraId="2121608A" w14:textId="77777777" w:rsidTr="008D5129">
        <w:trPr>
          <w:trHeight w:val="875"/>
        </w:trPr>
        <w:tc>
          <w:tcPr>
            <w:tcW w:w="4536" w:type="dxa"/>
            <w:shd w:val="clear" w:color="auto" w:fill="CEDCE8"/>
            <w:vAlign w:val="center"/>
          </w:tcPr>
          <w:p w14:paraId="44B57546" w14:textId="77777777" w:rsidR="000E37CD" w:rsidRPr="00B7501E" w:rsidRDefault="000E37CD" w:rsidP="002B0E41">
            <w:r w:rsidRPr="00B7501E">
              <w:br/>
              <w:t>Full-time permanent</w:t>
            </w:r>
          </w:p>
        </w:tc>
        <w:tc>
          <w:tcPr>
            <w:tcW w:w="1956" w:type="dxa"/>
            <w:vAlign w:val="center"/>
          </w:tcPr>
          <w:p w14:paraId="0060EAEE" w14:textId="02BB688F" w:rsidR="000E37CD" w:rsidRPr="003F2F8C" w:rsidRDefault="003F2F8C" w:rsidP="003F2F8C">
            <w:pPr>
              <w:jc w:val="right"/>
              <w:rPr>
                <w:rFonts w:cs="Arial"/>
              </w:rPr>
            </w:pPr>
            <w:r w:rsidRPr="003F2F8C">
              <w:t>95</w:t>
            </w:r>
            <w:r w:rsidR="00DB37F1" w:rsidRPr="003F2F8C">
              <w:t xml:space="preserve"> (</w:t>
            </w:r>
            <w:r w:rsidRPr="003F2F8C">
              <w:t>78</w:t>
            </w:r>
            <w:r w:rsidR="00597612">
              <w:t>.0</w:t>
            </w:r>
            <w:r w:rsidR="00DB37F1" w:rsidRPr="003F2F8C">
              <w:t>%)</w:t>
            </w:r>
          </w:p>
        </w:tc>
      </w:tr>
      <w:tr w:rsidR="000E37CD" w:rsidRPr="00053DD5" w14:paraId="7E220413" w14:textId="77777777" w:rsidTr="008D5129">
        <w:trPr>
          <w:trHeight w:val="875"/>
        </w:trPr>
        <w:tc>
          <w:tcPr>
            <w:tcW w:w="4536" w:type="dxa"/>
            <w:shd w:val="clear" w:color="auto" w:fill="CEDCE8"/>
            <w:vAlign w:val="center"/>
          </w:tcPr>
          <w:p w14:paraId="18814AD4" w14:textId="77777777" w:rsidR="000E37CD" w:rsidRPr="00B7501E" w:rsidRDefault="000E37CD" w:rsidP="002B0E41">
            <w:r w:rsidRPr="00B7501E">
              <w:br/>
              <w:t>Full-time contract</w:t>
            </w:r>
          </w:p>
        </w:tc>
        <w:tc>
          <w:tcPr>
            <w:tcW w:w="1956" w:type="dxa"/>
            <w:vAlign w:val="center"/>
          </w:tcPr>
          <w:p w14:paraId="33206DD3" w14:textId="329C3FF2" w:rsidR="000E37CD" w:rsidRPr="003F2F8C" w:rsidRDefault="003F2F8C" w:rsidP="003F2F8C">
            <w:pPr>
              <w:jc w:val="right"/>
              <w:rPr>
                <w:rFonts w:cs="Arial"/>
              </w:rPr>
            </w:pPr>
            <w:r w:rsidRPr="003F2F8C">
              <w:t>14</w:t>
            </w:r>
            <w:r w:rsidR="00DB37F1" w:rsidRPr="003F2F8C">
              <w:t xml:space="preserve"> (</w:t>
            </w:r>
            <w:r w:rsidRPr="003F2F8C">
              <w:t>11.4</w:t>
            </w:r>
            <w:r w:rsidR="00DB37F1" w:rsidRPr="003F2F8C">
              <w:t>%)</w:t>
            </w:r>
          </w:p>
        </w:tc>
      </w:tr>
      <w:tr w:rsidR="000E37CD" w:rsidRPr="00053DD5" w14:paraId="6F02CEB5" w14:textId="77777777" w:rsidTr="008D5129">
        <w:trPr>
          <w:trHeight w:val="875"/>
        </w:trPr>
        <w:tc>
          <w:tcPr>
            <w:tcW w:w="4536" w:type="dxa"/>
            <w:shd w:val="clear" w:color="auto" w:fill="CEDCE8"/>
            <w:vAlign w:val="center"/>
          </w:tcPr>
          <w:p w14:paraId="7A035797" w14:textId="79DC21F7" w:rsidR="000E37CD" w:rsidRPr="00B7501E" w:rsidRDefault="000E37CD" w:rsidP="002B0E41">
            <w:r w:rsidRPr="00B7501E">
              <w:br/>
              <w:t xml:space="preserve">Part-time </w:t>
            </w:r>
            <w:r w:rsidR="00B7501E" w:rsidRPr="00B7501E">
              <w:t xml:space="preserve">permanent </w:t>
            </w:r>
            <w:r w:rsidRPr="00B7501E">
              <w:t>(FTE)</w:t>
            </w:r>
          </w:p>
        </w:tc>
        <w:tc>
          <w:tcPr>
            <w:tcW w:w="1956" w:type="dxa"/>
            <w:vAlign w:val="center"/>
          </w:tcPr>
          <w:p w14:paraId="6D444473" w14:textId="6AA6E574" w:rsidR="000E37CD" w:rsidRPr="003F2F8C" w:rsidRDefault="003F2F8C" w:rsidP="00597612">
            <w:pPr>
              <w:jc w:val="right"/>
              <w:rPr>
                <w:rFonts w:cs="Arial"/>
              </w:rPr>
            </w:pPr>
            <w:r w:rsidRPr="003F2F8C">
              <w:t>10.8</w:t>
            </w:r>
            <w:r w:rsidR="004A69F4" w:rsidRPr="003F2F8C">
              <w:t xml:space="preserve"> </w:t>
            </w:r>
            <w:r w:rsidR="00DB37F1" w:rsidRPr="003F2F8C">
              <w:t>(</w:t>
            </w:r>
            <w:r w:rsidRPr="003F2F8C">
              <w:t>8.8</w:t>
            </w:r>
            <w:r w:rsidR="00DB37F1" w:rsidRPr="003F2F8C">
              <w:t>%)</w:t>
            </w:r>
          </w:p>
        </w:tc>
      </w:tr>
      <w:tr w:rsidR="000E37CD" w:rsidRPr="00053DD5" w14:paraId="1287333D" w14:textId="77777777" w:rsidTr="008D5129">
        <w:trPr>
          <w:trHeight w:val="875"/>
        </w:trPr>
        <w:tc>
          <w:tcPr>
            <w:tcW w:w="4536" w:type="dxa"/>
            <w:shd w:val="clear" w:color="auto" w:fill="CEDCE8"/>
            <w:vAlign w:val="center"/>
          </w:tcPr>
          <w:p w14:paraId="59C0FB5A" w14:textId="77777777" w:rsidR="000E37CD" w:rsidRPr="00B7501E" w:rsidRDefault="000E37CD" w:rsidP="002B0E41">
            <w:r w:rsidRPr="00B7501E">
              <w:t>Part-time contract (FTE)</w:t>
            </w:r>
          </w:p>
        </w:tc>
        <w:tc>
          <w:tcPr>
            <w:tcW w:w="1956" w:type="dxa"/>
            <w:vAlign w:val="center"/>
          </w:tcPr>
          <w:p w14:paraId="5B778070" w14:textId="7CA7E6A4" w:rsidR="000E37CD" w:rsidRPr="003F2F8C" w:rsidRDefault="003F2F8C" w:rsidP="003F2F8C">
            <w:pPr>
              <w:jc w:val="right"/>
              <w:rPr>
                <w:rFonts w:cs="Arial"/>
              </w:rPr>
            </w:pPr>
            <w:r w:rsidRPr="003F2F8C">
              <w:t>2.2</w:t>
            </w:r>
            <w:r w:rsidR="00B7501E" w:rsidRPr="003F2F8C">
              <w:t xml:space="preserve"> </w:t>
            </w:r>
            <w:r w:rsidR="00DB37F1" w:rsidRPr="003F2F8C">
              <w:t>(</w:t>
            </w:r>
            <w:r w:rsidRPr="003F2F8C">
              <w:t>1.8</w:t>
            </w:r>
            <w:r w:rsidR="00DB37F1" w:rsidRPr="003F2F8C">
              <w:t>%)</w:t>
            </w:r>
          </w:p>
        </w:tc>
      </w:tr>
      <w:tr w:rsidR="000E37CD" w:rsidRPr="00053DD5" w14:paraId="6E893D74" w14:textId="77777777" w:rsidTr="008D5129">
        <w:trPr>
          <w:trHeight w:val="875"/>
        </w:trPr>
        <w:tc>
          <w:tcPr>
            <w:tcW w:w="4536" w:type="dxa"/>
            <w:shd w:val="clear" w:color="auto" w:fill="CEDCE8"/>
            <w:vAlign w:val="center"/>
          </w:tcPr>
          <w:p w14:paraId="67C569DF" w14:textId="77777777" w:rsidR="000E37CD" w:rsidRPr="00B7501E" w:rsidRDefault="000E37CD" w:rsidP="002B0E41">
            <w:pPr>
              <w:rPr>
                <w:rStyle w:val="Strong"/>
              </w:rPr>
            </w:pPr>
            <w:r w:rsidRPr="00B7501E">
              <w:rPr>
                <w:rStyle w:val="Strong"/>
              </w:rPr>
              <w:br/>
              <w:t>Total (FTE)</w:t>
            </w:r>
          </w:p>
        </w:tc>
        <w:tc>
          <w:tcPr>
            <w:tcW w:w="1956" w:type="dxa"/>
            <w:shd w:val="clear" w:color="auto" w:fill="CEDCE8"/>
            <w:vAlign w:val="center"/>
          </w:tcPr>
          <w:p w14:paraId="1B7B917E" w14:textId="18EE498F" w:rsidR="000E37CD" w:rsidRPr="004D3B14" w:rsidRDefault="003F2F8C" w:rsidP="00597612">
            <w:pPr>
              <w:jc w:val="right"/>
              <w:rPr>
                <w:rStyle w:val="Strong"/>
                <w:color w:val="FF0000"/>
                <w:highlight w:val="yellow"/>
              </w:rPr>
            </w:pPr>
            <w:r w:rsidRPr="003F2F8C">
              <w:rPr>
                <w:rStyle w:val="Strong"/>
              </w:rPr>
              <w:t>12</w:t>
            </w:r>
            <w:r w:rsidR="00597612">
              <w:rPr>
                <w:rStyle w:val="Strong"/>
              </w:rPr>
              <w:t>2.00</w:t>
            </w:r>
          </w:p>
        </w:tc>
      </w:tr>
      <w:tr w:rsidR="000E37CD" w:rsidRPr="00053DD5" w14:paraId="024F399E" w14:textId="77777777" w:rsidTr="008D5129">
        <w:trPr>
          <w:trHeight w:val="875"/>
        </w:trPr>
        <w:tc>
          <w:tcPr>
            <w:tcW w:w="4536" w:type="dxa"/>
            <w:shd w:val="clear" w:color="auto" w:fill="CEDCE8"/>
            <w:vAlign w:val="center"/>
          </w:tcPr>
          <w:p w14:paraId="22076B33" w14:textId="77777777" w:rsidR="000E37CD" w:rsidRPr="00B7501E" w:rsidRDefault="000E37CD" w:rsidP="002B0E41">
            <w:r w:rsidRPr="00B7501E">
              <w:br/>
              <w:t>Staff on secondment</w:t>
            </w:r>
          </w:p>
        </w:tc>
        <w:tc>
          <w:tcPr>
            <w:tcW w:w="1956" w:type="dxa"/>
            <w:vAlign w:val="center"/>
          </w:tcPr>
          <w:p w14:paraId="11A85846" w14:textId="7A312DE7" w:rsidR="000E37CD" w:rsidRPr="003F2F8C" w:rsidRDefault="003F2F8C" w:rsidP="00760725">
            <w:pPr>
              <w:jc w:val="right"/>
              <w:rPr>
                <w:rFonts w:cs="Arial"/>
              </w:rPr>
            </w:pPr>
            <w:r w:rsidRPr="003F2F8C">
              <w:rPr>
                <w:rFonts w:cs="Arial"/>
              </w:rPr>
              <w:t>4</w:t>
            </w:r>
          </w:p>
        </w:tc>
      </w:tr>
      <w:tr w:rsidR="000E37CD" w:rsidRPr="00053DD5" w14:paraId="30603C5A" w14:textId="77777777" w:rsidTr="008D5129">
        <w:trPr>
          <w:trHeight w:val="875"/>
        </w:trPr>
        <w:tc>
          <w:tcPr>
            <w:tcW w:w="4536" w:type="dxa"/>
            <w:shd w:val="clear" w:color="auto" w:fill="CEDCE8"/>
            <w:vAlign w:val="center"/>
          </w:tcPr>
          <w:p w14:paraId="3462211D" w14:textId="77777777" w:rsidR="000E37CD" w:rsidRPr="00B7501E" w:rsidRDefault="000E37CD" w:rsidP="002B0E41">
            <w:r w:rsidRPr="00B7501E">
              <w:br/>
              <w:t>Staff on traineeship</w:t>
            </w:r>
          </w:p>
        </w:tc>
        <w:tc>
          <w:tcPr>
            <w:tcW w:w="1956" w:type="dxa"/>
            <w:shd w:val="clear" w:color="auto" w:fill="auto"/>
            <w:vAlign w:val="center"/>
          </w:tcPr>
          <w:p w14:paraId="339D30A7" w14:textId="4CCA045A" w:rsidR="000E37CD" w:rsidRPr="003F2F8C" w:rsidRDefault="003F2F8C" w:rsidP="00760725">
            <w:pPr>
              <w:jc w:val="right"/>
              <w:rPr>
                <w:rFonts w:cs="Arial"/>
              </w:rPr>
            </w:pPr>
            <w:r w:rsidRPr="003F2F8C">
              <w:rPr>
                <w:rFonts w:cs="Arial"/>
              </w:rPr>
              <w:t>0</w:t>
            </w:r>
          </w:p>
        </w:tc>
      </w:tr>
      <w:tr w:rsidR="000E37CD" w:rsidRPr="00053DD5" w14:paraId="02EA1799" w14:textId="77777777" w:rsidTr="008D5129">
        <w:trPr>
          <w:trHeight w:val="875"/>
        </w:trPr>
        <w:tc>
          <w:tcPr>
            <w:tcW w:w="4536" w:type="dxa"/>
            <w:shd w:val="clear" w:color="auto" w:fill="CEDCE8"/>
            <w:vAlign w:val="center"/>
          </w:tcPr>
          <w:p w14:paraId="76F81FAF" w14:textId="77777777" w:rsidR="000E37CD" w:rsidRPr="00B7501E" w:rsidRDefault="000E37CD" w:rsidP="002B0E41">
            <w:pPr>
              <w:spacing w:before="120" w:after="120"/>
            </w:pPr>
            <w:r w:rsidRPr="00B7501E">
              <w:t>Staff in graduate program</w:t>
            </w:r>
          </w:p>
        </w:tc>
        <w:tc>
          <w:tcPr>
            <w:tcW w:w="1956" w:type="dxa"/>
            <w:vAlign w:val="center"/>
          </w:tcPr>
          <w:p w14:paraId="27E4785C" w14:textId="2C830C71" w:rsidR="000E37CD" w:rsidRPr="003F2F8C" w:rsidRDefault="003F2F8C" w:rsidP="00760725">
            <w:pPr>
              <w:spacing w:before="120" w:after="120"/>
              <w:jc w:val="right"/>
              <w:rPr>
                <w:rFonts w:cs="Arial"/>
              </w:rPr>
            </w:pPr>
            <w:r w:rsidRPr="003F2F8C">
              <w:rPr>
                <w:rFonts w:cs="Arial"/>
              </w:rPr>
              <w:t>1</w:t>
            </w:r>
          </w:p>
        </w:tc>
      </w:tr>
    </w:tbl>
    <w:p w14:paraId="088DA788" w14:textId="77777777" w:rsidR="000E37CD" w:rsidRDefault="000E37CD" w:rsidP="000E37CD">
      <w:pPr>
        <w:pStyle w:val="Heading2nonumber"/>
      </w:pPr>
      <w:bookmarkStart w:id="232" w:name="_Toc399316925"/>
      <w:bookmarkStart w:id="233" w:name="_Toc426617416"/>
      <w:bookmarkStart w:id="234" w:name="_Toc450900631"/>
      <w:bookmarkStart w:id="235" w:name="_Toc525121959"/>
      <w:r w:rsidRPr="00577015">
        <w:t xml:space="preserve">Workforce </w:t>
      </w:r>
      <w:r>
        <w:t>p</w:t>
      </w:r>
      <w:r w:rsidRPr="00577015">
        <w:t>olicies</w:t>
      </w:r>
      <w:bookmarkEnd w:id="232"/>
      <w:bookmarkEnd w:id="233"/>
      <w:bookmarkEnd w:id="234"/>
      <w:bookmarkEnd w:id="235"/>
    </w:p>
    <w:p w14:paraId="3D60B265" w14:textId="6402B1ED" w:rsidR="000E37CD" w:rsidRPr="009B5632" w:rsidRDefault="004D3B14" w:rsidP="004D3B14">
      <w:r>
        <w:t xml:space="preserve">WorkCover WA’s workforce policies are outlined under </w:t>
      </w:r>
      <w:r w:rsidRPr="008D5129">
        <w:t xml:space="preserve">‘Opportunity and accessibility’ in </w:t>
      </w:r>
      <w:r w:rsidRPr="008D5129">
        <w:rPr>
          <w:i/>
        </w:rPr>
        <w:t>Section 4: Opportunities and challenges</w:t>
      </w:r>
      <w:r w:rsidRPr="008D5129">
        <w:t xml:space="preserve">, </w:t>
      </w:r>
      <w:r>
        <w:t xml:space="preserve">and the entries disclosed </w:t>
      </w:r>
      <w:r w:rsidRPr="008D5129">
        <w:t xml:space="preserve">under ‘Legal compliance’ in </w:t>
      </w:r>
      <w:r w:rsidRPr="008D5129">
        <w:rPr>
          <w:i/>
        </w:rPr>
        <w:t>Section 5: Disclosures and legal compliance</w:t>
      </w:r>
      <w:r w:rsidRPr="008D5129">
        <w:t>.</w:t>
      </w:r>
    </w:p>
    <w:p w14:paraId="0B57644C" w14:textId="0AC82227" w:rsidR="00BE3CFE" w:rsidRDefault="00BE3CFE" w:rsidP="00BE3CFE">
      <w:pPr>
        <w:pStyle w:val="Heading2nonumber"/>
      </w:pPr>
      <w:bookmarkStart w:id="236" w:name="_Toc525121960"/>
      <w:bookmarkStart w:id="237" w:name="_Toc426617417"/>
      <w:bookmarkStart w:id="238" w:name="_Toc450900632"/>
      <w:r>
        <w:t>Strategic Workforce and Diversity Plan 2015-2018</w:t>
      </w:r>
      <w:bookmarkEnd w:id="236"/>
    </w:p>
    <w:p w14:paraId="1A8566DE" w14:textId="4625AF1B" w:rsidR="00BE3CFE" w:rsidRDefault="00BE3CFE" w:rsidP="00BE3CFE">
      <w:r>
        <w:t xml:space="preserve">This year was the final year of the Strategic Workforce and Diversity Plan 2015-2018 (the Plan). Strategies outlined in the Plan have largely been completed and integrated into day-to-day Human Resources activities. Where the timeframe for completion extends beyond 2018, strategies have been carried forward into the new Strategic Workforce and Diversity Plan 2018-2022. </w:t>
      </w:r>
    </w:p>
    <w:p w14:paraId="3AD2DAEE" w14:textId="4C2EDFA3" w:rsidR="00BE3CFE" w:rsidRDefault="00BE3CFE" w:rsidP="00BE3CFE">
      <w:r>
        <w:t xml:space="preserve">Notable workforce achievements for the period 2015-2018 include a revised approach to recruitment and selection, implementation of a blended learning approach to staff development, and preparation of a new staff development system. </w:t>
      </w:r>
    </w:p>
    <w:p w14:paraId="6B12D2D3" w14:textId="3D465B23" w:rsidR="00BE3CFE" w:rsidRPr="00BE3CFE" w:rsidRDefault="00BE3CFE" w:rsidP="00BE3CFE">
      <w:r>
        <w:t xml:space="preserve">Development of the Strategic Workforce and Diversity Plan 2018-2022 is underway. </w:t>
      </w:r>
    </w:p>
    <w:p w14:paraId="41A8AA0D" w14:textId="77777777" w:rsidR="000E37CD" w:rsidRDefault="000E37CD" w:rsidP="000E37CD">
      <w:pPr>
        <w:pStyle w:val="Heading2nonumber"/>
      </w:pPr>
      <w:bookmarkStart w:id="239" w:name="_Toc525121961"/>
      <w:r w:rsidRPr="00A74E13">
        <w:t xml:space="preserve">Staff </w:t>
      </w:r>
      <w:bookmarkEnd w:id="237"/>
      <w:bookmarkEnd w:id="238"/>
      <w:r>
        <w:t>engagement</w:t>
      </w:r>
      <w:bookmarkEnd w:id="239"/>
      <w:r>
        <w:t xml:space="preserve"> </w:t>
      </w:r>
    </w:p>
    <w:p w14:paraId="7E909AFF" w14:textId="05AE3F09" w:rsidR="000E37CD" w:rsidRPr="00A74E13" w:rsidRDefault="009D6CE6" w:rsidP="000E37CD">
      <w:pPr>
        <w:pStyle w:val="Heading3nonumber"/>
      </w:pPr>
      <w:bookmarkStart w:id="240" w:name="_Toc525121962"/>
      <w:r>
        <w:t>Staff perceptions</w:t>
      </w:r>
      <w:bookmarkEnd w:id="240"/>
    </w:p>
    <w:p w14:paraId="1E6D4E55" w14:textId="5CAAFB1D" w:rsidR="001C23D1" w:rsidRDefault="00F97C72" w:rsidP="00FA0CB4">
      <w:r>
        <w:t>In 2016/17,</w:t>
      </w:r>
      <w:r w:rsidR="001C23D1">
        <w:t xml:space="preserve"> WorkCover WA staff completed an Employee Climate Survey</w:t>
      </w:r>
      <w:r w:rsidR="00B2128B">
        <w:t xml:space="preserve"> providing overwhelmingly positive results, however a few areas of improvement were identified.</w:t>
      </w:r>
    </w:p>
    <w:p w14:paraId="3BB7025B" w14:textId="5762D02B" w:rsidR="001C23D1" w:rsidRDefault="00F97C72" w:rsidP="00FA0CB4">
      <w:r>
        <w:t>I</w:t>
      </w:r>
      <w:r w:rsidR="001C23D1">
        <w:t>n response to the results</w:t>
      </w:r>
      <w:r>
        <w:t>, in 2017/18</w:t>
      </w:r>
      <w:r w:rsidR="00B2128B">
        <w:t xml:space="preserve"> </w:t>
      </w:r>
      <w:r w:rsidR="001C23D1">
        <w:t xml:space="preserve">WorkCover WA: </w:t>
      </w:r>
    </w:p>
    <w:p w14:paraId="539B156C" w14:textId="1EC857A6" w:rsidR="001C23D1" w:rsidRDefault="001C23D1" w:rsidP="001C23D1">
      <w:pPr>
        <w:pStyle w:val="BulletListLevel1"/>
      </w:pPr>
      <w:r>
        <w:t>commenced a comprehensive revision of the Performance Development system</w:t>
      </w:r>
    </w:p>
    <w:p w14:paraId="745AE9FC" w14:textId="77777777" w:rsidR="00B2128B" w:rsidRDefault="00B2128B" w:rsidP="001C23D1">
      <w:pPr>
        <w:pStyle w:val="BulletListLevel1"/>
      </w:pPr>
      <w:r>
        <w:t xml:space="preserve">ensured a renewed focus on regular Branch and “whole of Division” staff meetings </w:t>
      </w:r>
    </w:p>
    <w:p w14:paraId="73F1D013" w14:textId="712D7D27" w:rsidR="001C23D1" w:rsidRDefault="001C23D1" w:rsidP="00B2128B">
      <w:pPr>
        <w:pStyle w:val="BulletListLevel1"/>
      </w:pPr>
      <w:r>
        <w:t>increased the number of Intranet articles fo</w:t>
      </w:r>
      <w:r w:rsidR="00B2128B">
        <w:t>cusing on core business issues</w:t>
      </w:r>
      <w:r>
        <w:t>.</w:t>
      </w:r>
    </w:p>
    <w:p w14:paraId="71250BA1" w14:textId="19BBB31D" w:rsidR="00FA0CB4" w:rsidRPr="009B5632" w:rsidRDefault="00FA0CB4" w:rsidP="00FA0CB4">
      <w:pPr>
        <w:pStyle w:val="BulletListLevel1"/>
        <w:numPr>
          <w:ilvl w:val="0"/>
          <w:numId w:val="0"/>
        </w:numPr>
        <w:ind w:left="510" w:hanging="510"/>
      </w:pPr>
      <w:r>
        <w:t>A new staff survey is scheduled for 2018/19.</w:t>
      </w:r>
    </w:p>
    <w:p w14:paraId="73FC8901" w14:textId="73FFF599" w:rsidR="00CA6650" w:rsidRDefault="00CA6650" w:rsidP="00CA6650">
      <w:pPr>
        <w:pStyle w:val="Heading2nonumber"/>
      </w:pPr>
      <w:bookmarkStart w:id="241" w:name="_Toc525121963"/>
      <w:bookmarkStart w:id="242" w:name="_Toc450900672"/>
      <w:r w:rsidRPr="00A74E13">
        <w:t>St</w:t>
      </w:r>
      <w:r>
        <w:t>ructural changes</w:t>
      </w:r>
      <w:bookmarkEnd w:id="241"/>
    </w:p>
    <w:p w14:paraId="4282DB87" w14:textId="24B9559E" w:rsidR="00501726" w:rsidRDefault="007F5A8D" w:rsidP="007F5A8D">
      <w:r>
        <w:t xml:space="preserve">In 2017, Premier Mark McGowan MLA announced the first round of Machinery of Government </w:t>
      </w:r>
      <w:r w:rsidR="000F578B">
        <w:t xml:space="preserve">(MOG) </w:t>
      </w:r>
      <w:r>
        <w:t xml:space="preserve">changes in the public sector, as outlined in the Government’s election commitments. </w:t>
      </w:r>
    </w:p>
    <w:p w14:paraId="6F0945CE" w14:textId="7550F8DC" w:rsidR="007F5A8D" w:rsidRDefault="007F5A8D" w:rsidP="00501726">
      <w:r>
        <w:t>These wide reaching changes have affected a range of public sector agencies</w:t>
      </w:r>
      <w:r w:rsidR="000F578B">
        <w:t xml:space="preserve"> including WorkCover WA</w:t>
      </w:r>
      <w:r>
        <w:t xml:space="preserve">. </w:t>
      </w:r>
      <w:r w:rsidR="00501726">
        <w:t>The changes</w:t>
      </w:r>
      <w:r w:rsidR="000F578B">
        <w:t xml:space="preserve"> are</w:t>
      </w:r>
      <w:r w:rsidR="00501726">
        <w:t xml:space="preserve"> aimed at </w:t>
      </w:r>
      <w:r>
        <w:t xml:space="preserve">creating collaborative </w:t>
      </w:r>
      <w:r w:rsidR="00501726">
        <w:t>departments focused on whole</w:t>
      </w:r>
      <w:r w:rsidR="00501726">
        <w:noBreakHyphen/>
        <w:t>of</w:t>
      </w:r>
      <w:r w:rsidR="00501726">
        <w:noBreakHyphen/>
      </w:r>
      <w:r>
        <w:t>government objectives, and delivering services in a more efficient and effective way.</w:t>
      </w:r>
    </w:p>
    <w:p w14:paraId="0FF6F585" w14:textId="4F4FF046" w:rsidR="000F578B" w:rsidRDefault="000F578B" w:rsidP="000F578B">
      <w:r>
        <w:t xml:space="preserve">In response, WorkCover WA merged its Corporate Resources and Legislation and Scheme Information divisions to improve </w:t>
      </w:r>
      <w:r w:rsidR="00223137">
        <w:t>efficiency</w:t>
      </w:r>
      <w:r>
        <w:t xml:space="preserve"> and utilise resources more effectively. </w:t>
      </w:r>
    </w:p>
    <w:p w14:paraId="5BFE4EED" w14:textId="02FABEF2" w:rsidR="0017470D" w:rsidRPr="0017470D" w:rsidRDefault="0017470D" w:rsidP="007F5A8D">
      <w:r w:rsidRPr="0017470D">
        <w:t xml:space="preserve">In late 2016, WorkCover WA conducted an organisational review of </w:t>
      </w:r>
      <w:r w:rsidR="007D52D1">
        <w:t xml:space="preserve">our second </w:t>
      </w:r>
      <w:r w:rsidRPr="0017470D">
        <w:t xml:space="preserve">largest division, Regulatory Services. </w:t>
      </w:r>
      <w:r w:rsidR="004C535A">
        <w:t xml:space="preserve">The findings from the review have continued to be embedded in 2017/18. </w:t>
      </w:r>
      <w:r w:rsidRPr="0017470D">
        <w:t>The Division is responsible for a variety of the Agency’s functions including the regulation of service providers, compliance by scheme participants and the provision of advice and education. A number of changes were made to the Division’s staffing structure throughout 2017/18 to enable:</w:t>
      </w:r>
    </w:p>
    <w:p w14:paraId="02A342F7" w14:textId="04295977" w:rsidR="0017470D" w:rsidRPr="0017470D" w:rsidRDefault="0017470D" w:rsidP="004C535A">
      <w:pPr>
        <w:pStyle w:val="BulletListLevel1"/>
      </w:pPr>
      <w:r w:rsidRPr="0017470D">
        <w:t>more divisional resources being allocated to service delivery and front-line roles</w:t>
      </w:r>
    </w:p>
    <w:p w14:paraId="5D5AEC55" w14:textId="49F382C4" w:rsidR="0017470D" w:rsidRPr="0017470D" w:rsidRDefault="0017470D" w:rsidP="004C535A">
      <w:pPr>
        <w:pStyle w:val="BulletListLevel1"/>
      </w:pPr>
      <w:r w:rsidRPr="0017470D">
        <w:t>increased presence in metropolit</w:t>
      </w:r>
      <w:r w:rsidR="003B01DC">
        <w:t>an and regional communities</w:t>
      </w:r>
    </w:p>
    <w:p w14:paraId="5B7713DD" w14:textId="27C96799" w:rsidR="0017470D" w:rsidRDefault="0017470D" w:rsidP="004C535A">
      <w:pPr>
        <w:pStyle w:val="BulletListLevel1"/>
      </w:pPr>
      <w:r w:rsidRPr="0017470D">
        <w:t xml:space="preserve">greater range of classification levels to improve career paths and succession planning opportunities for staff. </w:t>
      </w:r>
    </w:p>
    <w:p w14:paraId="0CCC7360" w14:textId="5924E804" w:rsidR="0017470D" w:rsidRPr="0017470D" w:rsidRDefault="0017470D" w:rsidP="0017470D">
      <w:r>
        <w:t>These changes to the Regulatory Serv</w:t>
      </w:r>
      <w:r w:rsidR="000F578B">
        <w:t>ices Division further represent</w:t>
      </w:r>
      <w:r>
        <w:t xml:space="preserve"> </w:t>
      </w:r>
      <w:r w:rsidR="00597612">
        <w:br/>
      </w:r>
      <w:r>
        <w:t xml:space="preserve">WorkCover WA’s commitment to the delivery of the Machinery of Government changes. </w:t>
      </w:r>
    </w:p>
    <w:p w14:paraId="57B3A381" w14:textId="0606F2A9" w:rsidR="001C23D1" w:rsidRDefault="007F5A8D" w:rsidP="007F5A8D">
      <w:pPr>
        <w:rPr>
          <w:color w:val="FF0000"/>
        </w:rPr>
      </w:pPr>
      <w:r>
        <w:t>For more information in relation to</w:t>
      </w:r>
      <w:r w:rsidR="00501726">
        <w:t xml:space="preserve"> the changes within</w:t>
      </w:r>
      <w:r>
        <w:t xml:space="preserve"> </w:t>
      </w:r>
      <w:r w:rsidR="0017470D">
        <w:t>both the</w:t>
      </w:r>
      <w:r w:rsidR="007753D5">
        <w:t xml:space="preserve"> </w:t>
      </w:r>
      <w:r>
        <w:t>Scheme and Corporate Services and Regulatory Services</w:t>
      </w:r>
      <w:r w:rsidR="007753D5">
        <w:t xml:space="preserve"> Divisions</w:t>
      </w:r>
      <w:r w:rsidR="00501726">
        <w:t>,</w:t>
      </w:r>
      <w:r>
        <w:t xml:space="preserve"> refer to ‘Divisions’ on </w:t>
      </w:r>
      <w:r w:rsidR="005B6DC0">
        <w:br/>
      </w:r>
      <w:r w:rsidRPr="005225AA">
        <w:t xml:space="preserve">page </w:t>
      </w:r>
      <w:r w:rsidR="005225AA" w:rsidRPr="005225AA">
        <w:t>26</w:t>
      </w:r>
      <w:r w:rsidRPr="005225AA">
        <w:t>.</w:t>
      </w:r>
    </w:p>
    <w:p w14:paraId="79BBCCA3" w14:textId="49F73360" w:rsidR="00E11079" w:rsidRDefault="00E11079" w:rsidP="00E11079">
      <w:pPr>
        <w:pStyle w:val="Heading2nonumber"/>
      </w:pPr>
      <w:bookmarkStart w:id="243" w:name="_Toc525121964"/>
      <w:r>
        <w:t>Voluntary Targeted Separation Scheme Summary</w:t>
      </w:r>
      <w:bookmarkEnd w:id="243"/>
    </w:p>
    <w:p w14:paraId="1DDB1D76" w14:textId="7F221E68" w:rsidR="00B73151" w:rsidRDefault="00B73151" w:rsidP="00B73151">
      <w:r>
        <w:t xml:space="preserve">In September 2017 the Government announced the Voluntary Targeted Severance Scheme (VTSS) to assist public sector agencies in achieving efficiencies under the </w:t>
      </w:r>
      <w:r w:rsidR="000F578B">
        <w:t>MOG</w:t>
      </w:r>
      <w:r>
        <w:t xml:space="preserve"> reforms and the public sector renewal agenda.</w:t>
      </w:r>
    </w:p>
    <w:p w14:paraId="5AE84D02" w14:textId="45D8692F" w:rsidR="00B73151" w:rsidRDefault="00087515" w:rsidP="00B73151">
      <w:r>
        <w:t>WorkCover WA participated in the VTSS resulting in 14 staff accepting offers of voluntary severance equat</w:t>
      </w:r>
      <w:r w:rsidR="00223137">
        <w:t>ing</w:t>
      </w:r>
      <w:r>
        <w:t xml:space="preserve"> to 12.4 FTE. </w:t>
      </w:r>
    </w:p>
    <w:p w14:paraId="101E0FC2" w14:textId="255E1B1D" w:rsidR="007D52D1" w:rsidRDefault="007D52D1" w:rsidP="007D52D1">
      <w:r>
        <w:t xml:space="preserve">Offers of severance were enabled </w:t>
      </w:r>
      <w:r w:rsidRPr="00046FC9">
        <w:t>through</w:t>
      </w:r>
      <w:r>
        <w:t xml:space="preserve"> an organisational review leading to</w:t>
      </w:r>
      <w:r w:rsidRPr="00046FC9">
        <w:t xml:space="preserve"> structural reorganisation</w:t>
      </w:r>
      <w:r>
        <w:t xml:space="preserve">, </w:t>
      </w:r>
      <w:r w:rsidRPr="00046FC9">
        <w:t xml:space="preserve">process </w:t>
      </w:r>
      <w:r>
        <w:t>improvements</w:t>
      </w:r>
      <w:r w:rsidRPr="00046FC9">
        <w:t xml:space="preserve">, </w:t>
      </w:r>
      <w:r>
        <w:t xml:space="preserve">extension of </w:t>
      </w:r>
      <w:r w:rsidRPr="00046FC9">
        <w:t xml:space="preserve">digital </w:t>
      </w:r>
      <w:r>
        <w:t>and online services</w:t>
      </w:r>
      <w:r w:rsidRPr="00046FC9">
        <w:t xml:space="preserve">, </w:t>
      </w:r>
      <w:r>
        <w:t xml:space="preserve">and </w:t>
      </w:r>
      <w:r w:rsidRPr="00046FC9">
        <w:t xml:space="preserve">consolidation of service delivery </w:t>
      </w:r>
      <w:r>
        <w:t xml:space="preserve">through which </w:t>
      </w:r>
      <w:r w:rsidRPr="00046FC9">
        <w:t>position</w:t>
      </w:r>
      <w:r>
        <w:t>s</w:t>
      </w:r>
      <w:r w:rsidRPr="00046FC9">
        <w:t xml:space="preserve"> </w:t>
      </w:r>
      <w:r>
        <w:t xml:space="preserve">were identified </w:t>
      </w:r>
      <w:r w:rsidR="00223137">
        <w:t>that</w:t>
      </w:r>
      <w:r>
        <w:t xml:space="preserve"> were </w:t>
      </w:r>
      <w:r w:rsidRPr="00046FC9">
        <w:t xml:space="preserve">no longer required or </w:t>
      </w:r>
      <w:r>
        <w:t xml:space="preserve">which </w:t>
      </w:r>
      <w:r w:rsidRPr="00046FC9">
        <w:t>would not be required in the future</w:t>
      </w:r>
      <w:r>
        <w:t>.</w:t>
      </w:r>
    </w:p>
    <w:p w14:paraId="687B54D3" w14:textId="7D0BE463" w:rsidR="00841F50" w:rsidRPr="00B73151" w:rsidRDefault="00841F50" w:rsidP="00B73151">
      <w:r>
        <w:br w:type="page"/>
      </w:r>
    </w:p>
    <w:p w14:paraId="0D085ED6" w14:textId="40250D48" w:rsidR="00EC042E" w:rsidRPr="00A14436" w:rsidRDefault="00EC042E" w:rsidP="00801C8B">
      <w:pPr>
        <w:pStyle w:val="CoverTitle"/>
        <w:ind w:left="0"/>
      </w:pPr>
      <w:r w:rsidRPr="00A14436">
        <w:t xml:space="preserve">Section </w:t>
      </w:r>
      <w:r>
        <w:t>2:</w:t>
      </w:r>
      <w:r w:rsidRPr="00A14436">
        <w:t xml:space="preserve"> </w:t>
      </w:r>
      <w:r>
        <w:t>Scheme performance</w:t>
      </w:r>
    </w:p>
    <w:p w14:paraId="4554701F" w14:textId="0D188BE0" w:rsidR="00FD59EC" w:rsidRPr="00FD59EC" w:rsidRDefault="00FD59EC" w:rsidP="00101F61">
      <w:pPr>
        <w:pStyle w:val="Heading1nonumber"/>
      </w:pPr>
      <w:bookmarkStart w:id="244" w:name="_Toc450900673"/>
      <w:bookmarkStart w:id="245" w:name="_Toc525121965"/>
      <w:bookmarkEnd w:id="227"/>
      <w:bookmarkEnd w:id="242"/>
      <w:r w:rsidRPr="00AF4BCF">
        <w:t>Open and transparent reporting</w:t>
      </w:r>
      <w:bookmarkEnd w:id="244"/>
      <w:bookmarkEnd w:id="245"/>
    </w:p>
    <w:p w14:paraId="177AE7F8" w14:textId="2890574E" w:rsidR="0064283F" w:rsidRPr="008D5129" w:rsidRDefault="0064283F" w:rsidP="0064283F">
      <w:pPr>
        <w:rPr>
          <w:szCs w:val="22"/>
        </w:rPr>
      </w:pPr>
      <w:bookmarkStart w:id="246" w:name="_Toc450900674"/>
      <w:r w:rsidRPr="008D5129">
        <w:rPr>
          <w:szCs w:val="22"/>
        </w:rPr>
        <w:t xml:space="preserve">WorkCover WA closely monitors the performance of all aspects of the Western Australian (WA) workers’ compensation and injury management scheme (the scheme). Understanding scheme trends through the collection and analysis of data is vital to ensuring the ongoing stability of the scheme, and </w:t>
      </w:r>
      <w:r w:rsidR="00F21E0A" w:rsidRPr="008D5129">
        <w:rPr>
          <w:szCs w:val="22"/>
        </w:rPr>
        <w:t xml:space="preserve">early detection of emerging issues. </w:t>
      </w:r>
    </w:p>
    <w:p w14:paraId="6121C8CB" w14:textId="77777777" w:rsidR="0064283F" w:rsidRDefault="0064283F" w:rsidP="0064283F">
      <w:pPr>
        <w:rPr>
          <w:szCs w:val="22"/>
        </w:rPr>
      </w:pPr>
      <w:r w:rsidRPr="00503FCF">
        <w:rPr>
          <w:szCs w:val="22"/>
        </w:rPr>
        <w:t xml:space="preserve">WorkCover WA communicates new scheme developments through information sessions and regular publication of statistical information on the WorkCover WA website. </w:t>
      </w:r>
    </w:p>
    <w:p w14:paraId="6820FA52" w14:textId="52C3270F" w:rsidR="0064283F" w:rsidRDefault="0064283F" w:rsidP="0064283F">
      <w:pPr>
        <w:rPr>
          <w:szCs w:val="22"/>
        </w:rPr>
      </w:pPr>
      <w:r>
        <w:rPr>
          <w:szCs w:val="22"/>
        </w:rPr>
        <w:t>During 2017/18, the Agency published the following reports:</w:t>
      </w:r>
    </w:p>
    <w:p w14:paraId="54300F2D" w14:textId="575CA4E3" w:rsidR="0064283F" w:rsidRDefault="0064283F" w:rsidP="0064283F">
      <w:pPr>
        <w:pStyle w:val="BulletListLevel1"/>
      </w:pPr>
      <w:r>
        <w:t>Scheme Status Report</w:t>
      </w:r>
    </w:p>
    <w:p w14:paraId="23BE5201" w14:textId="4AC9B627" w:rsidR="0064283F" w:rsidRDefault="0064283F" w:rsidP="0064283F">
      <w:pPr>
        <w:pStyle w:val="BulletListLevel1"/>
      </w:pPr>
      <w:r>
        <w:t>Scheme Exits Report</w:t>
      </w:r>
    </w:p>
    <w:p w14:paraId="182E7EF8" w14:textId="10746BF8" w:rsidR="0064283F" w:rsidRDefault="0064283F" w:rsidP="0064283F">
      <w:pPr>
        <w:pStyle w:val="BulletListLevel1"/>
      </w:pPr>
      <w:r>
        <w:t>Insurer Claims Status Report</w:t>
      </w:r>
    </w:p>
    <w:p w14:paraId="5D5EC7CF" w14:textId="37EAE1B9" w:rsidR="0064283F" w:rsidRDefault="0064283F" w:rsidP="0064283F">
      <w:pPr>
        <w:pStyle w:val="BulletListLevel1"/>
      </w:pPr>
      <w:r>
        <w:t xml:space="preserve">Services Status Report (Medical, Allied Health and </w:t>
      </w:r>
      <w:r w:rsidR="00A22870">
        <w:t>Workplace</w:t>
      </w:r>
      <w:r>
        <w:t xml:space="preserve"> Rehabilitation)</w:t>
      </w:r>
    </w:p>
    <w:p w14:paraId="11E6E748" w14:textId="26C76E36" w:rsidR="0064283F" w:rsidRDefault="0064283F" w:rsidP="0064283F">
      <w:pPr>
        <w:pStyle w:val="BulletListLevel1"/>
      </w:pPr>
      <w:r>
        <w:t>Workers’ Compensation Scheme Trends</w:t>
      </w:r>
    </w:p>
    <w:p w14:paraId="7250F4AC" w14:textId="41FAF148" w:rsidR="0064283F" w:rsidRDefault="0064283F" w:rsidP="0064283F">
      <w:pPr>
        <w:pStyle w:val="BulletListLevel1"/>
      </w:pPr>
      <w:r>
        <w:t>Workers’ Compensation Annual Statistical Report</w:t>
      </w:r>
    </w:p>
    <w:p w14:paraId="712F6322" w14:textId="58455D68" w:rsidR="0064283F" w:rsidRDefault="0064283F" w:rsidP="0064283F">
      <w:pPr>
        <w:pStyle w:val="BulletListLevel1"/>
      </w:pPr>
      <w:r>
        <w:t>Industry Benchmark Report</w:t>
      </w:r>
    </w:p>
    <w:p w14:paraId="53074094" w14:textId="17C692C2" w:rsidR="0064283F" w:rsidRDefault="0064283F" w:rsidP="0064283F">
      <w:pPr>
        <w:pStyle w:val="BulletListLevel1"/>
      </w:pPr>
      <w:r>
        <w:t>Industry-specific Statistical Reports (Construction, Health care and social assistance, Manufacturing, and Mining)</w:t>
      </w:r>
    </w:p>
    <w:p w14:paraId="781D5158" w14:textId="6267F19E" w:rsidR="0064283F" w:rsidRDefault="0064283F" w:rsidP="0064283F">
      <w:pPr>
        <w:pStyle w:val="BulletListLevel1"/>
      </w:pPr>
      <w:r>
        <w:t>Conciliation and Arbitration Services Status Report</w:t>
      </w:r>
    </w:p>
    <w:p w14:paraId="37F8E4A2" w14:textId="7F52E89A" w:rsidR="0064283F" w:rsidRDefault="00597612" w:rsidP="0064283F">
      <w:pPr>
        <w:pStyle w:val="BulletListLevel1"/>
      </w:pPr>
      <w:r>
        <w:t>Long Duration Claims Report</w:t>
      </w:r>
    </w:p>
    <w:p w14:paraId="48AD2146" w14:textId="3784B85E" w:rsidR="0064283F" w:rsidRPr="00B70538" w:rsidRDefault="0064283F" w:rsidP="0064283F">
      <w:pPr>
        <w:rPr>
          <w:b/>
          <w:bCs/>
        </w:rPr>
      </w:pPr>
      <w:r w:rsidRPr="00503FCF">
        <w:t xml:space="preserve">WorkCover WA works with the scheme actuary to produce annual recommended premium rates and quarterly statistical summaries from an actuarial perspective. These reports are available on the ‘Statistical reports’ page at </w:t>
      </w:r>
      <w:hyperlink r:id="rId19" w:history="1">
        <w:r w:rsidR="00B55000" w:rsidRPr="00024723">
          <w:rPr>
            <w:rStyle w:val="Hyperlink"/>
          </w:rPr>
          <w:t>www.workcover.wa.gov.au</w:t>
        </w:r>
      </w:hyperlink>
      <w:r w:rsidRPr="00B55000">
        <w:t>.</w:t>
      </w:r>
      <w:r w:rsidR="00B55000">
        <w:t xml:space="preserve"> </w:t>
      </w:r>
    </w:p>
    <w:p w14:paraId="782AE30B" w14:textId="37421125" w:rsidR="00FD59EC" w:rsidRDefault="00FD59EC" w:rsidP="006A0C14">
      <w:pPr>
        <w:pStyle w:val="Heading1nonumber"/>
      </w:pPr>
      <w:bookmarkStart w:id="247" w:name="_Toc525121966"/>
      <w:r w:rsidRPr="00245969">
        <w:t>Comparative overview</w:t>
      </w:r>
      <w:bookmarkEnd w:id="246"/>
      <w:bookmarkEnd w:id="247"/>
    </w:p>
    <w:p w14:paraId="77EFB081" w14:textId="22ADDB67" w:rsidR="00B70538" w:rsidRDefault="00B70538" w:rsidP="00B70538">
      <w:pPr>
        <w:rPr>
          <w:szCs w:val="22"/>
        </w:rPr>
      </w:pPr>
      <w:bookmarkStart w:id="248" w:name="_Toc450900675"/>
      <w:r w:rsidRPr="008D5129">
        <w:rPr>
          <w:szCs w:val="22"/>
        </w:rPr>
        <w:t xml:space="preserve">The WA scheme is working </w:t>
      </w:r>
      <w:r w:rsidRPr="00BC3AFA">
        <w:rPr>
          <w:szCs w:val="22"/>
        </w:rPr>
        <w:t>well. According to Safe Work Australia’s C</w:t>
      </w:r>
      <w:r w:rsidRPr="00BC3AFA">
        <w:rPr>
          <w:i/>
          <w:szCs w:val="22"/>
        </w:rPr>
        <w:t xml:space="preserve">omparative Performance Monitoring Report, </w:t>
      </w:r>
      <w:r w:rsidR="00B41E26">
        <w:rPr>
          <w:i/>
          <w:szCs w:val="22"/>
        </w:rPr>
        <w:t>Nineteenth</w:t>
      </w:r>
      <w:r w:rsidRPr="00BC3AFA">
        <w:rPr>
          <w:i/>
          <w:szCs w:val="22"/>
        </w:rPr>
        <w:t xml:space="preserve"> Edition</w:t>
      </w:r>
      <w:r w:rsidRPr="00BC3AFA">
        <w:rPr>
          <w:szCs w:val="22"/>
        </w:rPr>
        <w:t>, analysis of the most recent comparative statistics shows WorkCover WA leads a scheme with:</w:t>
      </w:r>
    </w:p>
    <w:p w14:paraId="5544C80A" w14:textId="260B5058" w:rsidR="007768DB" w:rsidRDefault="007768DB" w:rsidP="007768DB">
      <w:pPr>
        <w:pStyle w:val="BulletListLevel1"/>
      </w:pPr>
      <w:r w:rsidRPr="007768DB">
        <w:t>the lowest standardised average premium rate across the States and Territories, on par with the Australian Government</w:t>
      </w:r>
    </w:p>
    <w:p w14:paraId="7094AD41" w14:textId="1C8ED5DC" w:rsidR="00B70538" w:rsidRDefault="00B03534" w:rsidP="00B70538">
      <w:pPr>
        <w:pStyle w:val="BulletListLevel1"/>
      </w:pPr>
      <w:r>
        <w:t>nearly</w:t>
      </w:r>
      <w:r w:rsidR="00B70538">
        <w:t xml:space="preserve"> three quarters of scheme costs expended on services and payments for claimants, on par with the national average</w:t>
      </w:r>
    </w:p>
    <w:p w14:paraId="342E9C37" w14:textId="42F9113D" w:rsidR="00B70538" w:rsidRDefault="00B70538" w:rsidP="00B70538">
      <w:pPr>
        <w:pStyle w:val="BulletListLevel1"/>
      </w:pPr>
      <w:r>
        <w:t>approximately 87 percent of claim disputes resolved within six months, above the national average of 83 percent</w:t>
      </w:r>
    </w:p>
    <w:p w14:paraId="59549D57" w14:textId="0978A420" w:rsidR="00B70538" w:rsidRPr="00BC3AFA" w:rsidRDefault="00B70538" w:rsidP="00B70538">
      <w:pPr>
        <w:pStyle w:val="BulletListLevel1"/>
      </w:pPr>
      <w:r>
        <w:t>a disputation rate of 3.8 percent, the second lowest of all Australian jurisdictions.</w:t>
      </w:r>
    </w:p>
    <w:p w14:paraId="798CAB7B" w14:textId="7298FE5E" w:rsidR="00FD59EC" w:rsidRPr="00884F08" w:rsidRDefault="00A1136E" w:rsidP="00884F08">
      <w:pPr>
        <w:pStyle w:val="Heading1nonumber"/>
        <w:rPr>
          <w:rFonts w:eastAsia="Calibri"/>
        </w:rPr>
      </w:pPr>
      <w:bookmarkStart w:id="249" w:name="_Toc525121967"/>
      <w:r>
        <w:t>S</w:t>
      </w:r>
      <w:r w:rsidR="00FD59EC" w:rsidRPr="00D125B8">
        <w:t>cheme performance</w:t>
      </w:r>
      <w:bookmarkEnd w:id="248"/>
      <w:r>
        <w:t xml:space="preserve"> report</w:t>
      </w:r>
      <w:bookmarkEnd w:id="249"/>
    </w:p>
    <w:p w14:paraId="119C70FF" w14:textId="30D209B4" w:rsidR="00381B94" w:rsidRPr="009B5632" w:rsidRDefault="00B70538" w:rsidP="00B70538">
      <w:bookmarkStart w:id="250" w:name="_Toc399316938"/>
      <w:bookmarkStart w:id="251" w:name="_Toc450900676"/>
      <w:r w:rsidRPr="00381B94">
        <w:rPr>
          <w:b/>
          <w:bCs/>
        </w:rPr>
        <w:t>Important:</w:t>
      </w:r>
      <w:r w:rsidRPr="00381B94">
        <w:t xml:space="preserve"> Due to the nature of the processes involved in the capture, verification and analysis of claims data, information relating to time lost as a result of workers’ compensation claims is only available one year retrospectively. Therefore, some information from </w:t>
      </w:r>
      <w:r>
        <w:t>2017/18 was unavailable at the time of publishing this report and we have therefore, in line with</w:t>
      </w:r>
      <w:r w:rsidR="00A11D24">
        <w:t xml:space="preserve"> established practice, reported</w:t>
      </w:r>
      <w:r>
        <w:t xml:space="preserve"> on information from 2016/17.</w:t>
      </w:r>
    </w:p>
    <w:p w14:paraId="7E5172A0" w14:textId="77777777" w:rsidR="00FD59EC" w:rsidRPr="00FD59EC" w:rsidRDefault="00FD59EC" w:rsidP="00245969">
      <w:pPr>
        <w:pStyle w:val="Heading2nonumber"/>
        <w:rPr>
          <w:lang w:val="en-US"/>
        </w:rPr>
      </w:pPr>
      <w:bookmarkStart w:id="252" w:name="_Toc525121968"/>
      <w:r w:rsidRPr="00FD59EC">
        <w:rPr>
          <w:lang w:val="en-US"/>
        </w:rPr>
        <w:t>Claim numbers</w:t>
      </w:r>
      <w:bookmarkEnd w:id="250"/>
      <w:bookmarkEnd w:id="251"/>
      <w:bookmarkEnd w:id="252"/>
    </w:p>
    <w:p w14:paraId="41FF424F" w14:textId="5397F763" w:rsidR="00ED7E9B" w:rsidRPr="002A71A5" w:rsidRDefault="00ED7E9B" w:rsidP="00EB262D">
      <w:r w:rsidRPr="002A71A5">
        <w:t>In 201</w:t>
      </w:r>
      <w:r>
        <w:t>6</w:t>
      </w:r>
      <w:r w:rsidRPr="002A71A5">
        <w:t>/1</w:t>
      </w:r>
      <w:r>
        <w:t>7</w:t>
      </w:r>
      <w:r w:rsidRPr="002A71A5">
        <w:t xml:space="preserve">, </w:t>
      </w:r>
      <w:r>
        <w:t>28,161</w:t>
      </w:r>
      <w:r w:rsidRPr="002A71A5">
        <w:t xml:space="preserve"> claims were lodged. Of these, </w:t>
      </w:r>
      <w:r w:rsidR="007D52D1" w:rsidRPr="007D52D1">
        <w:t xml:space="preserve">45 percent had no lost time and </w:t>
      </w:r>
      <w:r w:rsidR="007D52D1">
        <w:br/>
      </w:r>
      <w:r w:rsidRPr="002A71A5">
        <w:t>55 percent involved at least one day or shift off work (lost-time</w:t>
      </w:r>
      <w:r>
        <w:t xml:space="preserve"> claims</w:t>
      </w:r>
      <w:r w:rsidRPr="002A71A5">
        <w:t>). Of all</w:t>
      </w:r>
      <w:r w:rsidR="007D52D1">
        <w:br/>
      </w:r>
      <w:r w:rsidRPr="002A71A5">
        <w:t>lost-ti</w:t>
      </w:r>
      <w:r>
        <w:t>me claims lodged in 2016/17, 35 </w:t>
      </w:r>
      <w:r w:rsidRPr="002A71A5">
        <w:t>percent had 60 or more days or shifts lost (long duration claims).</w:t>
      </w:r>
    </w:p>
    <w:p w14:paraId="789FAD15" w14:textId="77777777" w:rsidR="00ED7E9B" w:rsidRDefault="00ED7E9B" w:rsidP="00ED7E9B">
      <w:r w:rsidRPr="002A71A5">
        <w:t xml:space="preserve">Further information on scheme performance is available from </w:t>
      </w:r>
      <w:r w:rsidRPr="004F3FEB">
        <w:rPr>
          <w:color w:val="0000FF"/>
          <w:u w:val="single"/>
        </w:rPr>
        <w:t>workcover.wa.gov.au</w:t>
      </w:r>
      <w:r w:rsidRPr="002A71A5">
        <w:t xml:space="preserve"> under ‘Resources – Research, evaluation and statistics’.</w:t>
      </w:r>
    </w:p>
    <w:tbl>
      <w:tblPr>
        <w:tblStyle w:val="TableGrid1"/>
        <w:tblW w:w="0" w:type="auto"/>
        <w:tblInd w:w="108"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ook w:val="04A0" w:firstRow="1" w:lastRow="0" w:firstColumn="1" w:lastColumn="0" w:noHBand="0" w:noVBand="1"/>
        <w:tblCaption w:val="Table 12: Claim numbers 2016/17"/>
        <w:tblDescription w:val="This table outlines the number of lost-time claims and no lost-time claims made in 2016/17. "/>
      </w:tblPr>
      <w:tblGrid>
        <w:gridCol w:w="3118"/>
        <w:gridCol w:w="3119"/>
      </w:tblGrid>
      <w:tr w:rsidR="00B64CD7" w:rsidRPr="00B64CD7" w14:paraId="79D3D471" w14:textId="77777777" w:rsidTr="00F4340E">
        <w:trPr>
          <w:tblHeader/>
        </w:trPr>
        <w:tc>
          <w:tcPr>
            <w:tcW w:w="6237" w:type="dxa"/>
            <w:gridSpan w:val="2"/>
            <w:shd w:val="clear" w:color="auto" w:fill="003F5F"/>
          </w:tcPr>
          <w:p w14:paraId="3A62C2B1" w14:textId="58912ACA" w:rsidR="00B64CD7" w:rsidRPr="00790362" w:rsidRDefault="00B5245B" w:rsidP="00685959">
            <w:pPr>
              <w:rPr>
                <w:b/>
              </w:rPr>
            </w:pPr>
            <w:r w:rsidRPr="00E930F6">
              <w:rPr>
                <w:b/>
                <w:color w:val="FFFFFF" w:themeColor="background1"/>
              </w:rPr>
              <w:t xml:space="preserve">Table </w:t>
            </w:r>
            <w:r w:rsidR="00685959" w:rsidRPr="00E930F6">
              <w:rPr>
                <w:b/>
                <w:color w:val="FFFFFF" w:themeColor="background1"/>
              </w:rPr>
              <w:t>12</w:t>
            </w:r>
            <w:r w:rsidR="00B64CD7" w:rsidRPr="00ED7E9B">
              <w:rPr>
                <w:b/>
                <w:color w:val="FFFFFF" w:themeColor="background1"/>
              </w:rPr>
              <w:t>:</w:t>
            </w:r>
            <w:r w:rsidR="0015521B" w:rsidRPr="00ED7E9B">
              <w:rPr>
                <w:b/>
                <w:color w:val="FFFFFF" w:themeColor="background1"/>
              </w:rPr>
              <w:t xml:space="preserve"> Claim n</w:t>
            </w:r>
            <w:r w:rsidR="00B64CD7" w:rsidRPr="00ED7E9B">
              <w:rPr>
                <w:b/>
                <w:color w:val="FFFFFF" w:themeColor="background1"/>
              </w:rPr>
              <w:t>umbers – 201</w:t>
            </w:r>
            <w:r w:rsidRPr="00ED7E9B">
              <w:rPr>
                <w:b/>
                <w:color w:val="FFFFFF" w:themeColor="background1"/>
              </w:rPr>
              <w:t>6/17</w:t>
            </w:r>
          </w:p>
        </w:tc>
      </w:tr>
      <w:tr w:rsidR="00B64CD7" w:rsidRPr="00B64CD7" w14:paraId="3AC68EA3" w14:textId="77777777" w:rsidTr="00F4340E">
        <w:tc>
          <w:tcPr>
            <w:tcW w:w="3118" w:type="dxa"/>
            <w:shd w:val="clear" w:color="auto" w:fill="CEDCE8"/>
            <w:vAlign w:val="center"/>
          </w:tcPr>
          <w:p w14:paraId="4E89F294" w14:textId="4A258C86" w:rsidR="00B64CD7" w:rsidRPr="00B64CD7" w:rsidRDefault="00ED7E9B" w:rsidP="008A63D6">
            <w:pPr>
              <w:spacing w:before="240"/>
            </w:pPr>
            <w:r>
              <w:t>No lost-</w:t>
            </w:r>
            <w:r w:rsidR="00B64CD7" w:rsidRPr="00B64CD7">
              <w:t>time claims</w:t>
            </w:r>
          </w:p>
        </w:tc>
        <w:tc>
          <w:tcPr>
            <w:tcW w:w="3119" w:type="dxa"/>
            <w:vAlign w:val="center"/>
          </w:tcPr>
          <w:p w14:paraId="1D2BF79A" w14:textId="216B47A3" w:rsidR="00B64CD7" w:rsidRPr="00ED7E9B" w:rsidRDefault="00221B5C" w:rsidP="008A63D6">
            <w:pPr>
              <w:spacing w:before="240"/>
              <w:jc w:val="right"/>
            </w:pPr>
            <w:r>
              <w:t>12,567</w:t>
            </w:r>
          </w:p>
        </w:tc>
      </w:tr>
      <w:tr w:rsidR="00B64CD7" w:rsidRPr="00B64CD7" w14:paraId="3A8D38C3" w14:textId="77777777" w:rsidTr="00F4340E">
        <w:tc>
          <w:tcPr>
            <w:tcW w:w="3118" w:type="dxa"/>
            <w:shd w:val="clear" w:color="auto" w:fill="CEDCE8"/>
            <w:vAlign w:val="center"/>
          </w:tcPr>
          <w:p w14:paraId="6E5AC5D3" w14:textId="5B600A4B" w:rsidR="00B64CD7" w:rsidRPr="00B64CD7" w:rsidRDefault="00B35D3E" w:rsidP="008A63D6">
            <w:pPr>
              <w:spacing w:before="240"/>
            </w:pPr>
            <w:r>
              <w:t>Lost-</w:t>
            </w:r>
            <w:r w:rsidR="00B64CD7" w:rsidRPr="00B64CD7">
              <w:t>time claims</w:t>
            </w:r>
          </w:p>
        </w:tc>
        <w:tc>
          <w:tcPr>
            <w:tcW w:w="3119" w:type="dxa"/>
            <w:vAlign w:val="center"/>
          </w:tcPr>
          <w:p w14:paraId="2B641BDA" w14:textId="13BC544B" w:rsidR="00B64CD7" w:rsidRPr="00ED7E9B" w:rsidRDefault="00221B5C" w:rsidP="008A63D6">
            <w:pPr>
              <w:spacing w:before="240"/>
              <w:jc w:val="right"/>
            </w:pPr>
            <w:r>
              <w:t>15,594</w:t>
            </w:r>
          </w:p>
        </w:tc>
      </w:tr>
      <w:tr w:rsidR="00B64CD7" w:rsidRPr="00B64CD7" w14:paraId="637FDDF8" w14:textId="77777777" w:rsidTr="00F4340E">
        <w:tc>
          <w:tcPr>
            <w:tcW w:w="3118" w:type="dxa"/>
            <w:shd w:val="clear" w:color="auto" w:fill="F8CAAA"/>
            <w:vAlign w:val="center"/>
          </w:tcPr>
          <w:p w14:paraId="56C75E04" w14:textId="77777777" w:rsidR="00B64CD7" w:rsidRPr="00B64CD7" w:rsidRDefault="00B64CD7" w:rsidP="00B64CD7">
            <w:r w:rsidRPr="00B64CD7">
              <w:br/>
              <w:t>Total number of 1–59 days/shifts lost claims</w:t>
            </w:r>
          </w:p>
        </w:tc>
        <w:tc>
          <w:tcPr>
            <w:tcW w:w="3119" w:type="dxa"/>
            <w:vAlign w:val="center"/>
          </w:tcPr>
          <w:p w14:paraId="396E9CBD" w14:textId="2B3500BE" w:rsidR="00B64CD7" w:rsidRPr="00ED7E9B" w:rsidRDefault="00221B5C" w:rsidP="009C0C74">
            <w:pPr>
              <w:jc w:val="right"/>
            </w:pPr>
            <w:r>
              <w:t>10,185</w:t>
            </w:r>
          </w:p>
        </w:tc>
      </w:tr>
      <w:tr w:rsidR="00B64CD7" w:rsidRPr="00B64CD7" w14:paraId="0B1354E8" w14:textId="77777777" w:rsidTr="00F4340E">
        <w:tc>
          <w:tcPr>
            <w:tcW w:w="3118" w:type="dxa"/>
            <w:shd w:val="clear" w:color="auto" w:fill="F8CAAA"/>
            <w:vAlign w:val="center"/>
          </w:tcPr>
          <w:p w14:paraId="3B734EBB" w14:textId="77777777" w:rsidR="00B64CD7" w:rsidRPr="00B64CD7" w:rsidRDefault="00B64CD7" w:rsidP="00B64CD7">
            <w:r w:rsidRPr="00B64CD7">
              <w:t>Total number of long duration claims (60+ days/shifts lost)</w:t>
            </w:r>
          </w:p>
        </w:tc>
        <w:tc>
          <w:tcPr>
            <w:tcW w:w="3119" w:type="dxa"/>
            <w:vAlign w:val="center"/>
          </w:tcPr>
          <w:p w14:paraId="51A03B64" w14:textId="270C41E9" w:rsidR="00B64CD7" w:rsidRPr="00ED7E9B" w:rsidRDefault="00221B5C" w:rsidP="009C0C74">
            <w:pPr>
              <w:jc w:val="right"/>
            </w:pPr>
            <w:r>
              <w:t>5,409</w:t>
            </w:r>
          </w:p>
        </w:tc>
      </w:tr>
    </w:tbl>
    <w:p w14:paraId="17F4798F" w14:textId="69A9C06F" w:rsidR="001707FB" w:rsidRDefault="001707FB" w:rsidP="001A4830">
      <w:pPr>
        <w:rPr>
          <w:noProof/>
          <w:lang w:eastAsia="en-AU"/>
        </w:rPr>
      </w:pPr>
      <w:bookmarkStart w:id="253" w:name="_Toc399316939"/>
      <w:bookmarkStart w:id="254" w:name="_Toc450900677"/>
    </w:p>
    <w:p w14:paraId="3F58A613" w14:textId="46E8072F" w:rsidR="00221B5C" w:rsidRDefault="00221B5C" w:rsidP="001A4830">
      <w:pPr>
        <w:rPr>
          <w:noProof/>
          <w:lang w:eastAsia="en-AU"/>
        </w:rPr>
      </w:pPr>
      <w:r>
        <w:rPr>
          <w:noProof/>
          <w:lang w:eastAsia="en-AU"/>
        </w:rPr>
        <w:drawing>
          <wp:inline distT="0" distB="0" distL="0" distR="0" wp14:anchorId="4E687F93" wp14:editId="3D86FC0C">
            <wp:extent cx="4638675" cy="2905125"/>
            <wp:effectExtent l="0" t="0" r="0" b="0"/>
            <wp:docPr id="2" name="Chart 2" descr="Claim numbers for 2017/18 was unavailable at the time of publication, so 2016/17 data has been used. This graph captures the number of claims made and the percentage of those that had no-lost time and did have lost-time. " title="Graph: Claim numbers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31AD86" w14:textId="486712B9" w:rsidR="00FD59EC" w:rsidRPr="00B64CD7" w:rsidRDefault="00FD59EC" w:rsidP="00B64CD7">
      <w:pPr>
        <w:pStyle w:val="Heading2nonumber"/>
        <w:rPr>
          <w:lang w:val="en-US"/>
        </w:rPr>
      </w:pPr>
      <w:bookmarkStart w:id="255" w:name="_Toc525121969"/>
      <w:r w:rsidRPr="00FD59EC">
        <w:rPr>
          <w:lang w:val="en-US"/>
        </w:rPr>
        <w:t>Claim trends</w:t>
      </w:r>
      <w:bookmarkEnd w:id="253"/>
      <w:bookmarkEnd w:id="254"/>
      <w:bookmarkEnd w:id="255"/>
    </w:p>
    <w:p w14:paraId="1B587D52" w14:textId="77777777" w:rsidR="00221B5C" w:rsidRPr="000B56D7" w:rsidRDefault="00221B5C" w:rsidP="00221B5C">
      <w:r w:rsidRPr="000B56D7">
        <w:t>From 201</w:t>
      </w:r>
      <w:r>
        <w:t>2</w:t>
      </w:r>
      <w:r w:rsidRPr="000B56D7">
        <w:t>/1</w:t>
      </w:r>
      <w:r>
        <w:t>3</w:t>
      </w:r>
      <w:r w:rsidRPr="000B56D7">
        <w:t xml:space="preserve"> to 201</w:t>
      </w:r>
      <w:r>
        <w:t>6</w:t>
      </w:r>
      <w:r w:rsidRPr="000B56D7">
        <w:t>/1</w:t>
      </w:r>
      <w:r>
        <w:t>7</w:t>
      </w:r>
      <w:r w:rsidRPr="000B56D7">
        <w:t xml:space="preserve">, the annual number of claims lodged in </w:t>
      </w:r>
      <w:r w:rsidRPr="00F4340E">
        <w:t xml:space="preserve">the WA scheme </w:t>
      </w:r>
      <w:r w:rsidRPr="000B56D7">
        <w:t>decreased by 2</w:t>
      </w:r>
      <w:r>
        <w:t>4.5</w:t>
      </w:r>
      <w:r w:rsidRPr="000B56D7">
        <w:t xml:space="preserve"> percent from 3</w:t>
      </w:r>
      <w:r>
        <w:t>7</w:t>
      </w:r>
      <w:r w:rsidRPr="000B56D7">
        <w:t>,</w:t>
      </w:r>
      <w:r>
        <w:t>297</w:t>
      </w:r>
      <w:r w:rsidRPr="000B56D7">
        <w:t xml:space="preserve"> to </w:t>
      </w:r>
      <w:r>
        <w:t>28,161.</w:t>
      </w:r>
    </w:p>
    <w:p w14:paraId="29674701" w14:textId="5EA13FB8" w:rsidR="000B1613" w:rsidRDefault="00221B5C" w:rsidP="000D416D">
      <w:r w:rsidRPr="000B56D7">
        <w:t>The number of long duration claims (claims with 60 or more days/shifts lost) increased over the last four years, whereas claims wi</w:t>
      </w:r>
      <w:r>
        <w:t>th shorter duration and no lost</w:t>
      </w:r>
      <w:r>
        <w:noBreakHyphen/>
      </w:r>
      <w:r w:rsidRPr="000B56D7">
        <w:t>time decreased.</w:t>
      </w:r>
      <w:r w:rsidR="005B6DC0">
        <w:br/>
      </w:r>
      <w:r w:rsidR="005B6DC0">
        <w:br/>
      </w:r>
      <w:r w:rsidR="005B6DC0">
        <w:br/>
      </w:r>
      <w:r w:rsidR="005B6DC0">
        <w:br/>
      </w:r>
    </w:p>
    <w:tbl>
      <w:tblPr>
        <w:tblStyle w:val="TableGrid9"/>
        <w:tblW w:w="8562" w:type="dxa"/>
        <w:tblInd w:w="-5"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ook w:val="04A0" w:firstRow="1" w:lastRow="0" w:firstColumn="1" w:lastColumn="0" w:noHBand="0" w:noVBand="1"/>
        <w:tblCaption w:val="Table 13: Claim trends"/>
        <w:tblDescription w:val="This table outlines the number of no-lost time claims, short term claims and long term claims for the last five years. "/>
      </w:tblPr>
      <w:tblGrid>
        <w:gridCol w:w="2074"/>
        <w:gridCol w:w="1300"/>
        <w:gridCol w:w="1322"/>
        <w:gridCol w:w="1322"/>
        <w:gridCol w:w="1293"/>
        <w:gridCol w:w="1251"/>
      </w:tblGrid>
      <w:tr w:rsidR="00E8458B" w:rsidRPr="00E8458B" w14:paraId="4818B5FC" w14:textId="77777777" w:rsidTr="00F4340E">
        <w:trPr>
          <w:tblHeader/>
        </w:trPr>
        <w:tc>
          <w:tcPr>
            <w:tcW w:w="8562" w:type="dxa"/>
            <w:gridSpan w:val="6"/>
            <w:shd w:val="clear" w:color="auto" w:fill="003F5F"/>
          </w:tcPr>
          <w:p w14:paraId="48142693" w14:textId="32311BAA" w:rsidR="00E8458B" w:rsidRPr="00E8458B" w:rsidRDefault="00B5245B" w:rsidP="00685959">
            <w:pPr>
              <w:rPr>
                <w:b/>
              </w:rPr>
            </w:pPr>
            <w:r w:rsidRPr="00F4340E">
              <w:rPr>
                <w:b/>
                <w:color w:val="FFFFFF" w:themeColor="background1"/>
              </w:rPr>
              <w:t xml:space="preserve">Table </w:t>
            </w:r>
            <w:r w:rsidR="00685959" w:rsidRPr="00F4340E">
              <w:rPr>
                <w:b/>
                <w:color w:val="FFFFFF" w:themeColor="background1"/>
              </w:rPr>
              <w:t>13</w:t>
            </w:r>
            <w:r w:rsidR="00E8458B" w:rsidRPr="00221B5C">
              <w:rPr>
                <w:b/>
                <w:color w:val="FFFFFF" w:themeColor="background1"/>
              </w:rPr>
              <w:t>: Claim trends</w:t>
            </w:r>
          </w:p>
        </w:tc>
      </w:tr>
      <w:tr w:rsidR="00E8458B" w:rsidRPr="00E8458B" w14:paraId="592E51F0" w14:textId="77777777" w:rsidTr="00F4340E">
        <w:trPr>
          <w:trHeight w:val="863"/>
        </w:trPr>
        <w:tc>
          <w:tcPr>
            <w:tcW w:w="2074" w:type="dxa"/>
            <w:shd w:val="clear" w:color="auto" w:fill="CEDCE8"/>
            <w:vAlign w:val="center"/>
          </w:tcPr>
          <w:p w14:paraId="770A638E" w14:textId="77777777" w:rsidR="00E8458B" w:rsidRPr="00E8458B" w:rsidRDefault="00E8458B" w:rsidP="00E8458B">
            <w:pPr>
              <w:rPr>
                <w:b/>
              </w:rPr>
            </w:pPr>
            <w:r w:rsidRPr="00E8458B">
              <w:rPr>
                <w:b/>
              </w:rPr>
              <w:t>Lodgement year</w:t>
            </w:r>
          </w:p>
        </w:tc>
        <w:tc>
          <w:tcPr>
            <w:tcW w:w="1300" w:type="dxa"/>
            <w:shd w:val="clear" w:color="auto" w:fill="CEDCE8"/>
            <w:vAlign w:val="center"/>
          </w:tcPr>
          <w:p w14:paraId="649A24B6" w14:textId="2849CD12" w:rsidR="00E8458B" w:rsidRPr="00E8458B" w:rsidRDefault="00B5245B" w:rsidP="009C0C74">
            <w:pPr>
              <w:jc w:val="right"/>
              <w:rPr>
                <w:b/>
              </w:rPr>
            </w:pPr>
            <w:r>
              <w:rPr>
                <w:b/>
              </w:rPr>
              <w:t>2012/13</w:t>
            </w:r>
          </w:p>
        </w:tc>
        <w:tc>
          <w:tcPr>
            <w:tcW w:w="1322" w:type="dxa"/>
            <w:shd w:val="clear" w:color="auto" w:fill="CEDCE8"/>
            <w:vAlign w:val="center"/>
          </w:tcPr>
          <w:p w14:paraId="087F4A24" w14:textId="2F3003B4" w:rsidR="00E8458B" w:rsidRPr="00E8458B" w:rsidRDefault="00B5245B" w:rsidP="009C0C74">
            <w:pPr>
              <w:jc w:val="right"/>
              <w:rPr>
                <w:b/>
              </w:rPr>
            </w:pPr>
            <w:r>
              <w:rPr>
                <w:b/>
              </w:rPr>
              <w:t>2013/14</w:t>
            </w:r>
          </w:p>
        </w:tc>
        <w:tc>
          <w:tcPr>
            <w:tcW w:w="1322" w:type="dxa"/>
            <w:shd w:val="clear" w:color="auto" w:fill="CEDCE8"/>
            <w:vAlign w:val="center"/>
          </w:tcPr>
          <w:p w14:paraId="164BE966" w14:textId="219318D3" w:rsidR="00E8458B" w:rsidRPr="00E8458B" w:rsidRDefault="00B5245B" w:rsidP="009C0C74">
            <w:pPr>
              <w:jc w:val="right"/>
              <w:rPr>
                <w:b/>
              </w:rPr>
            </w:pPr>
            <w:r>
              <w:rPr>
                <w:b/>
              </w:rPr>
              <w:t>2014/15</w:t>
            </w:r>
          </w:p>
        </w:tc>
        <w:tc>
          <w:tcPr>
            <w:tcW w:w="1293" w:type="dxa"/>
            <w:shd w:val="clear" w:color="auto" w:fill="CEDCE8"/>
            <w:vAlign w:val="center"/>
          </w:tcPr>
          <w:p w14:paraId="7945A8DF" w14:textId="6AD0E2B0" w:rsidR="00E8458B" w:rsidRPr="00E8458B" w:rsidRDefault="00B5245B" w:rsidP="009C0C74">
            <w:pPr>
              <w:jc w:val="right"/>
              <w:rPr>
                <w:b/>
              </w:rPr>
            </w:pPr>
            <w:r>
              <w:rPr>
                <w:b/>
              </w:rPr>
              <w:t>2015/16</w:t>
            </w:r>
          </w:p>
        </w:tc>
        <w:tc>
          <w:tcPr>
            <w:tcW w:w="1251" w:type="dxa"/>
            <w:shd w:val="clear" w:color="auto" w:fill="CEDCE8"/>
            <w:vAlign w:val="center"/>
          </w:tcPr>
          <w:p w14:paraId="006C6369" w14:textId="06C4B7F9" w:rsidR="00E8458B" w:rsidRPr="00E8458B" w:rsidRDefault="00B5245B" w:rsidP="009C0C74">
            <w:pPr>
              <w:jc w:val="right"/>
              <w:rPr>
                <w:b/>
              </w:rPr>
            </w:pPr>
            <w:r>
              <w:rPr>
                <w:b/>
              </w:rPr>
              <w:t>2016/17</w:t>
            </w:r>
          </w:p>
        </w:tc>
      </w:tr>
      <w:tr w:rsidR="00E8458B" w:rsidRPr="00E8458B" w14:paraId="1B21375C" w14:textId="77777777" w:rsidTr="00F4340E">
        <w:tc>
          <w:tcPr>
            <w:tcW w:w="2074" w:type="dxa"/>
            <w:shd w:val="clear" w:color="auto" w:fill="CEDCE8"/>
            <w:vAlign w:val="center"/>
          </w:tcPr>
          <w:p w14:paraId="610A5721" w14:textId="77777777" w:rsidR="00E8458B" w:rsidRPr="00E8458B" w:rsidRDefault="00E8458B" w:rsidP="00E8458B">
            <w:r w:rsidRPr="00E8458B">
              <w:br/>
              <w:t>Total number of workers’ compensation claims lodged</w:t>
            </w:r>
          </w:p>
        </w:tc>
        <w:tc>
          <w:tcPr>
            <w:tcW w:w="1300" w:type="dxa"/>
            <w:vAlign w:val="center"/>
          </w:tcPr>
          <w:p w14:paraId="64BD645A" w14:textId="3BF9EBC6" w:rsidR="00E8458B" w:rsidRPr="00221B5C" w:rsidRDefault="00221B5C" w:rsidP="009C0C74">
            <w:pPr>
              <w:jc w:val="right"/>
            </w:pPr>
            <w:r w:rsidRPr="00221B5C">
              <w:rPr>
                <w:rFonts w:eastAsia="Calibri"/>
              </w:rPr>
              <w:t>37,297</w:t>
            </w:r>
            <w:r w:rsidR="00E8458B" w:rsidRPr="00221B5C">
              <w:rPr>
                <w:rFonts w:eastAsia="Calibri"/>
              </w:rPr>
              <w:t xml:space="preserve"> </w:t>
            </w:r>
          </w:p>
        </w:tc>
        <w:tc>
          <w:tcPr>
            <w:tcW w:w="1322" w:type="dxa"/>
            <w:vAlign w:val="center"/>
          </w:tcPr>
          <w:p w14:paraId="50BFC8F4" w14:textId="43645B8B" w:rsidR="00E8458B" w:rsidRPr="00221B5C" w:rsidRDefault="00221B5C" w:rsidP="009C0C74">
            <w:pPr>
              <w:jc w:val="right"/>
            </w:pPr>
            <w:r w:rsidRPr="00221B5C">
              <w:rPr>
                <w:rFonts w:eastAsia="Calibri"/>
              </w:rPr>
              <w:t>35,456</w:t>
            </w:r>
          </w:p>
        </w:tc>
        <w:tc>
          <w:tcPr>
            <w:tcW w:w="1322" w:type="dxa"/>
            <w:vAlign w:val="center"/>
          </w:tcPr>
          <w:p w14:paraId="688D26EF" w14:textId="6344B6E0" w:rsidR="00E8458B" w:rsidRPr="00221B5C" w:rsidRDefault="00221B5C" w:rsidP="009C0C74">
            <w:pPr>
              <w:jc w:val="right"/>
            </w:pPr>
            <w:r w:rsidRPr="00221B5C">
              <w:rPr>
                <w:rFonts w:eastAsia="Calibri"/>
              </w:rPr>
              <w:t>32,637</w:t>
            </w:r>
          </w:p>
        </w:tc>
        <w:tc>
          <w:tcPr>
            <w:tcW w:w="1293" w:type="dxa"/>
            <w:vAlign w:val="center"/>
          </w:tcPr>
          <w:p w14:paraId="0A1B870E" w14:textId="2F3CA7BE" w:rsidR="00E8458B" w:rsidRPr="00221B5C" w:rsidRDefault="00221B5C" w:rsidP="009C0C74">
            <w:pPr>
              <w:jc w:val="right"/>
            </w:pPr>
            <w:r w:rsidRPr="00221B5C">
              <w:rPr>
                <w:rFonts w:eastAsia="Calibri"/>
              </w:rPr>
              <w:t>30,891</w:t>
            </w:r>
          </w:p>
        </w:tc>
        <w:tc>
          <w:tcPr>
            <w:tcW w:w="1251" w:type="dxa"/>
            <w:vAlign w:val="center"/>
          </w:tcPr>
          <w:p w14:paraId="5D18CA99" w14:textId="7D018900" w:rsidR="00E8458B" w:rsidRPr="00221B5C" w:rsidRDefault="00221B5C" w:rsidP="009C0C74">
            <w:pPr>
              <w:jc w:val="right"/>
              <w:rPr>
                <w:rFonts w:cs="Arial"/>
                <w:highlight w:val="yellow"/>
              </w:rPr>
            </w:pPr>
            <w:r w:rsidRPr="00221B5C">
              <w:rPr>
                <w:rFonts w:eastAsia="Calibri"/>
              </w:rPr>
              <w:t>28,161</w:t>
            </w:r>
          </w:p>
        </w:tc>
      </w:tr>
      <w:tr w:rsidR="00E8458B" w:rsidRPr="00E8458B" w14:paraId="5AD48AF7" w14:textId="77777777" w:rsidTr="00F4340E">
        <w:tc>
          <w:tcPr>
            <w:tcW w:w="2074" w:type="dxa"/>
            <w:shd w:val="clear" w:color="auto" w:fill="CEDCE8"/>
            <w:vAlign w:val="center"/>
          </w:tcPr>
          <w:p w14:paraId="64558DDA" w14:textId="31553CF7" w:rsidR="00E8458B" w:rsidRPr="00E8458B" w:rsidRDefault="00F104A1" w:rsidP="00E8458B">
            <w:r>
              <w:br/>
              <w:t>Total number of no lost</w:t>
            </w:r>
            <w:r>
              <w:noBreakHyphen/>
            </w:r>
            <w:r w:rsidR="00E8458B" w:rsidRPr="00E8458B">
              <w:t>time claims lodged</w:t>
            </w:r>
          </w:p>
        </w:tc>
        <w:tc>
          <w:tcPr>
            <w:tcW w:w="1300" w:type="dxa"/>
            <w:vAlign w:val="center"/>
          </w:tcPr>
          <w:p w14:paraId="412FBE56" w14:textId="74D11357" w:rsidR="00E8458B" w:rsidRPr="00221B5C" w:rsidRDefault="00221B5C" w:rsidP="009C0C74">
            <w:pPr>
              <w:jc w:val="right"/>
            </w:pPr>
            <w:r w:rsidRPr="00221B5C">
              <w:rPr>
                <w:rFonts w:eastAsia="Calibri"/>
              </w:rPr>
              <w:t>18,689</w:t>
            </w:r>
          </w:p>
        </w:tc>
        <w:tc>
          <w:tcPr>
            <w:tcW w:w="1322" w:type="dxa"/>
            <w:vAlign w:val="center"/>
          </w:tcPr>
          <w:p w14:paraId="5FA5B06C" w14:textId="5E9E615E" w:rsidR="00E8458B" w:rsidRPr="00221B5C" w:rsidRDefault="00221B5C" w:rsidP="009C0C74">
            <w:pPr>
              <w:jc w:val="right"/>
            </w:pPr>
            <w:r w:rsidRPr="00221B5C">
              <w:rPr>
                <w:rFonts w:eastAsia="Calibri"/>
              </w:rPr>
              <w:t>17,789</w:t>
            </w:r>
          </w:p>
        </w:tc>
        <w:tc>
          <w:tcPr>
            <w:tcW w:w="1322" w:type="dxa"/>
            <w:vAlign w:val="center"/>
          </w:tcPr>
          <w:p w14:paraId="726E0E80" w14:textId="3EFC5787" w:rsidR="00E8458B" w:rsidRPr="00221B5C" w:rsidRDefault="00221B5C" w:rsidP="009C0C74">
            <w:pPr>
              <w:jc w:val="right"/>
            </w:pPr>
            <w:r w:rsidRPr="00221B5C">
              <w:rPr>
                <w:rFonts w:eastAsia="Calibri"/>
              </w:rPr>
              <w:t>15,839</w:t>
            </w:r>
          </w:p>
        </w:tc>
        <w:tc>
          <w:tcPr>
            <w:tcW w:w="1293" w:type="dxa"/>
            <w:vAlign w:val="center"/>
          </w:tcPr>
          <w:p w14:paraId="032F3A97" w14:textId="14764120" w:rsidR="00E8458B" w:rsidRPr="00221B5C" w:rsidRDefault="00221B5C" w:rsidP="009C0C74">
            <w:pPr>
              <w:jc w:val="right"/>
            </w:pPr>
            <w:r w:rsidRPr="00221B5C">
              <w:rPr>
                <w:rFonts w:eastAsia="Calibri"/>
              </w:rPr>
              <w:t>14,307</w:t>
            </w:r>
          </w:p>
        </w:tc>
        <w:tc>
          <w:tcPr>
            <w:tcW w:w="1251" w:type="dxa"/>
            <w:vAlign w:val="center"/>
          </w:tcPr>
          <w:p w14:paraId="45E77085" w14:textId="17301010" w:rsidR="00E8458B" w:rsidRPr="00221B5C" w:rsidRDefault="00221B5C" w:rsidP="009C0C74">
            <w:pPr>
              <w:jc w:val="right"/>
              <w:rPr>
                <w:rFonts w:cs="Arial"/>
                <w:highlight w:val="yellow"/>
              </w:rPr>
            </w:pPr>
            <w:r w:rsidRPr="00221B5C">
              <w:rPr>
                <w:rFonts w:eastAsia="Calibri"/>
              </w:rPr>
              <w:t>12,567</w:t>
            </w:r>
          </w:p>
        </w:tc>
      </w:tr>
      <w:tr w:rsidR="00E8458B" w:rsidRPr="00E8458B" w14:paraId="7AF9C5B1" w14:textId="77777777" w:rsidTr="00F4340E">
        <w:tc>
          <w:tcPr>
            <w:tcW w:w="2074" w:type="dxa"/>
            <w:shd w:val="clear" w:color="auto" w:fill="CEDCE8"/>
            <w:vAlign w:val="center"/>
          </w:tcPr>
          <w:p w14:paraId="26E3FEBF" w14:textId="77777777" w:rsidR="00E8458B" w:rsidRPr="00E8458B" w:rsidRDefault="00E8458B" w:rsidP="00E8458B">
            <w:r w:rsidRPr="00E8458B">
              <w:br/>
              <w:t>Total number of 1–59 days/shifts lost claims</w:t>
            </w:r>
          </w:p>
        </w:tc>
        <w:tc>
          <w:tcPr>
            <w:tcW w:w="1300" w:type="dxa"/>
            <w:vAlign w:val="center"/>
          </w:tcPr>
          <w:p w14:paraId="13B0B723" w14:textId="7B947861" w:rsidR="00E8458B" w:rsidRPr="00221B5C" w:rsidRDefault="00221B5C" w:rsidP="009C0C74">
            <w:pPr>
              <w:jc w:val="right"/>
            </w:pPr>
            <w:r w:rsidRPr="00221B5C">
              <w:rPr>
                <w:rFonts w:eastAsia="Calibri"/>
              </w:rPr>
              <w:t>13,785</w:t>
            </w:r>
          </w:p>
        </w:tc>
        <w:tc>
          <w:tcPr>
            <w:tcW w:w="1322" w:type="dxa"/>
            <w:vAlign w:val="center"/>
          </w:tcPr>
          <w:p w14:paraId="7D6E73B5" w14:textId="73BD1617" w:rsidR="00E8458B" w:rsidRPr="00221B5C" w:rsidRDefault="00221B5C" w:rsidP="009C0C74">
            <w:pPr>
              <w:jc w:val="right"/>
            </w:pPr>
            <w:r w:rsidRPr="00221B5C">
              <w:rPr>
                <w:rFonts w:eastAsia="Calibri"/>
              </w:rPr>
              <w:t>12,695</w:t>
            </w:r>
          </w:p>
        </w:tc>
        <w:tc>
          <w:tcPr>
            <w:tcW w:w="1322" w:type="dxa"/>
            <w:vAlign w:val="center"/>
          </w:tcPr>
          <w:p w14:paraId="1159D739" w14:textId="6362EE0E" w:rsidR="00E8458B" w:rsidRPr="00221B5C" w:rsidRDefault="00221B5C" w:rsidP="009C0C74">
            <w:pPr>
              <w:jc w:val="right"/>
            </w:pPr>
            <w:r w:rsidRPr="00221B5C">
              <w:rPr>
                <w:rFonts w:eastAsia="Calibri"/>
              </w:rPr>
              <w:t>12,030</w:t>
            </w:r>
          </w:p>
        </w:tc>
        <w:tc>
          <w:tcPr>
            <w:tcW w:w="1293" w:type="dxa"/>
            <w:vAlign w:val="center"/>
          </w:tcPr>
          <w:p w14:paraId="3EA271E9" w14:textId="5CC441CC" w:rsidR="00E8458B" w:rsidRPr="00221B5C" w:rsidRDefault="00221B5C" w:rsidP="009C0C74">
            <w:pPr>
              <w:jc w:val="right"/>
            </w:pPr>
            <w:r w:rsidRPr="00221B5C">
              <w:rPr>
                <w:rFonts w:eastAsia="Calibri"/>
              </w:rPr>
              <w:t>11,546</w:t>
            </w:r>
          </w:p>
        </w:tc>
        <w:tc>
          <w:tcPr>
            <w:tcW w:w="1251" w:type="dxa"/>
            <w:vAlign w:val="center"/>
          </w:tcPr>
          <w:p w14:paraId="78F8C711" w14:textId="29CB31AE" w:rsidR="00E8458B" w:rsidRPr="00221B5C" w:rsidRDefault="00221B5C" w:rsidP="009C0C74">
            <w:pPr>
              <w:jc w:val="right"/>
              <w:rPr>
                <w:rFonts w:cs="Arial"/>
                <w:highlight w:val="yellow"/>
              </w:rPr>
            </w:pPr>
            <w:r w:rsidRPr="00221B5C">
              <w:rPr>
                <w:rFonts w:eastAsia="Calibri"/>
              </w:rPr>
              <w:t>10,185</w:t>
            </w:r>
          </w:p>
        </w:tc>
      </w:tr>
      <w:tr w:rsidR="00E8458B" w:rsidRPr="00E8458B" w14:paraId="546D6092" w14:textId="77777777" w:rsidTr="00F4340E">
        <w:tc>
          <w:tcPr>
            <w:tcW w:w="2074" w:type="dxa"/>
            <w:shd w:val="clear" w:color="auto" w:fill="CEDCE8"/>
            <w:vAlign w:val="center"/>
          </w:tcPr>
          <w:p w14:paraId="5B221481" w14:textId="77777777" w:rsidR="00E8458B" w:rsidRPr="00E8458B" w:rsidRDefault="00E8458B" w:rsidP="00E8458B">
            <w:r w:rsidRPr="00E8458B">
              <w:t>Total number of long duration claims (60+ days/shifts lost)</w:t>
            </w:r>
          </w:p>
        </w:tc>
        <w:tc>
          <w:tcPr>
            <w:tcW w:w="1300" w:type="dxa"/>
            <w:vAlign w:val="center"/>
          </w:tcPr>
          <w:p w14:paraId="457986C8" w14:textId="0020E9DD" w:rsidR="00E8458B" w:rsidRPr="00221B5C" w:rsidRDefault="00221B5C" w:rsidP="009C0C74">
            <w:pPr>
              <w:jc w:val="right"/>
            </w:pPr>
            <w:r w:rsidRPr="00221B5C">
              <w:rPr>
                <w:rFonts w:eastAsia="Calibri"/>
              </w:rPr>
              <w:t>4,823</w:t>
            </w:r>
          </w:p>
        </w:tc>
        <w:tc>
          <w:tcPr>
            <w:tcW w:w="1322" w:type="dxa"/>
            <w:vAlign w:val="center"/>
          </w:tcPr>
          <w:p w14:paraId="62349267" w14:textId="17A89AA8" w:rsidR="00E8458B" w:rsidRPr="00221B5C" w:rsidRDefault="00221B5C" w:rsidP="009C0C74">
            <w:pPr>
              <w:jc w:val="right"/>
            </w:pPr>
            <w:r w:rsidRPr="00221B5C">
              <w:rPr>
                <w:rFonts w:eastAsia="Calibri"/>
              </w:rPr>
              <w:t>4,927</w:t>
            </w:r>
          </w:p>
        </w:tc>
        <w:tc>
          <w:tcPr>
            <w:tcW w:w="1322" w:type="dxa"/>
            <w:vAlign w:val="center"/>
          </w:tcPr>
          <w:p w14:paraId="15E15AE7" w14:textId="61E35166" w:rsidR="00E8458B" w:rsidRPr="00221B5C" w:rsidRDefault="00221B5C" w:rsidP="009C0C74">
            <w:pPr>
              <w:jc w:val="right"/>
            </w:pPr>
            <w:r w:rsidRPr="00221B5C">
              <w:rPr>
                <w:rFonts w:eastAsia="Calibri"/>
              </w:rPr>
              <w:t>4,768</w:t>
            </w:r>
          </w:p>
        </w:tc>
        <w:tc>
          <w:tcPr>
            <w:tcW w:w="1293" w:type="dxa"/>
            <w:vAlign w:val="center"/>
          </w:tcPr>
          <w:p w14:paraId="01690F76" w14:textId="0EA936EE" w:rsidR="00E8458B" w:rsidRPr="00221B5C" w:rsidRDefault="00221B5C" w:rsidP="009C0C74">
            <w:pPr>
              <w:jc w:val="right"/>
            </w:pPr>
            <w:r w:rsidRPr="00221B5C">
              <w:rPr>
                <w:rFonts w:eastAsia="Calibri"/>
              </w:rPr>
              <w:t>5,038</w:t>
            </w:r>
          </w:p>
        </w:tc>
        <w:tc>
          <w:tcPr>
            <w:tcW w:w="1251" w:type="dxa"/>
            <w:vAlign w:val="center"/>
          </w:tcPr>
          <w:p w14:paraId="3682D68B" w14:textId="59158683" w:rsidR="00E8458B" w:rsidRPr="00221B5C" w:rsidRDefault="00221B5C" w:rsidP="009C0C74">
            <w:pPr>
              <w:jc w:val="right"/>
              <w:rPr>
                <w:rFonts w:cs="Arial"/>
                <w:highlight w:val="yellow"/>
              </w:rPr>
            </w:pPr>
            <w:r w:rsidRPr="00221B5C">
              <w:rPr>
                <w:rFonts w:eastAsia="Calibri"/>
              </w:rPr>
              <w:t>5,409</w:t>
            </w:r>
          </w:p>
        </w:tc>
      </w:tr>
    </w:tbl>
    <w:p w14:paraId="65724787" w14:textId="0FED7FB3" w:rsidR="0092538A" w:rsidRDefault="0092538A" w:rsidP="009C0C74">
      <w:pPr>
        <w:rPr>
          <w:noProof/>
          <w:lang w:eastAsia="en-AU"/>
        </w:rPr>
      </w:pPr>
      <w:bookmarkStart w:id="256" w:name="_Toc399316940"/>
      <w:bookmarkStart w:id="257" w:name="_Toc450900678"/>
    </w:p>
    <w:p w14:paraId="62DF3BC5" w14:textId="3C2EE8C0" w:rsidR="00801C8B" w:rsidRPr="00B5245B" w:rsidRDefault="00221B5C" w:rsidP="009C0C74">
      <w:pPr>
        <w:rPr>
          <w:color w:val="FF0000"/>
          <w:lang w:val="en-US"/>
        </w:rPr>
      </w:pPr>
      <w:r>
        <w:rPr>
          <w:noProof/>
          <w:lang w:eastAsia="en-AU"/>
        </w:rPr>
        <w:drawing>
          <wp:inline distT="0" distB="0" distL="0" distR="0" wp14:anchorId="6EA3D561" wp14:editId="7B217ED9">
            <wp:extent cx="5714999" cy="3152775"/>
            <wp:effectExtent l="0" t="0" r="635" b="0"/>
            <wp:docPr id="3" name="Chart 3" descr="This graph assesses the number of claims made for the last five financial years and looks at the total number of claims made, claims with 1-59 days of lost time, claims with over 60 days of lost time and claims with no lost time. " title="Graph - claim nu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F8AA29" w14:textId="767CC2AC" w:rsidR="00FD59EC" w:rsidRPr="003D05AF" w:rsidRDefault="00FD59EC" w:rsidP="003D05AF">
      <w:pPr>
        <w:pStyle w:val="Heading2nonumber"/>
        <w:rPr>
          <w:lang w:val="en-US"/>
        </w:rPr>
      </w:pPr>
      <w:bookmarkStart w:id="258" w:name="_Toc525121970"/>
      <w:r w:rsidRPr="00FD59EC">
        <w:rPr>
          <w:lang w:val="en-US"/>
        </w:rPr>
        <w:t>Frequency rates</w:t>
      </w:r>
      <w:bookmarkEnd w:id="256"/>
      <w:bookmarkEnd w:id="257"/>
      <w:bookmarkEnd w:id="258"/>
    </w:p>
    <w:p w14:paraId="396FBC9D" w14:textId="7491FA28" w:rsidR="00EB0AD7" w:rsidRPr="00630615" w:rsidRDefault="00630615" w:rsidP="00630615">
      <w:r>
        <w:t>The frequency rate (number of lost-time claims per million hour</w:t>
      </w:r>
      <w:r w:rsidR="00597612">
        <w:t>s worked) decreased by 11.7 per</w:t>
      </w:r>
      <w:r>
        <w:t>cent between 2012/13 and 2016</w:t>
      </w:r>
      <w:r w:rsidR="00885E84">
        <w:t>/17</w:t>
      </w:r>
      <w:r>
        <w:t xml:space="preserve">. However, the frequency rate of longer duration claims increased for this reporting period. </w:t>
      </w:r>
    </w:p>
    <w:tbl>
      <w:tblPr>
        <w:tblStyle w:val="TableGrid101"/>
        <w:tblW w:w="0" w:type="auto"/>
        <w:tblInd w:w="-3"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ook w:val="04A0" w:firstRow="1" w:lastRow="0" w:firstColumn="1" w:lastColumn="0" w:noHBand="0" w:noVBand="1"/>
        <w:tblCaption w:val="Table 14: Frequency rates"/>
        <w:tblDescription w:val="This table compares frequency rates of all lost-time claims, 1-59 day lost-time claims and long duration claims for the last five financial years. "/>
      </w:tblPr>
      <w:tblGrid>
        <w:gridCol w:w="1642"/>
        <w:gridCol w:w="1128"/>
        <w:gridCol w:w="1302"/>
        <w:gridCol w:w="1302"/>
        <w:gridCol w:w="1302"/>
        <w:gridCol w:w="1157"/>
      </w:tblGrid>
      <w:tr w:rsidR="00E8458B" w:rsidRPr="00E8458B" w14:paraId="34A641C0" w14:textId="77777777" w:rsidTr="00F4340E">
        <w:trPr>
          <w:tblHeader/>
        </w:trPr>
        <w:tc>
          <w:tcPr>
            <w:tcW w:w="7833" w:type="dxa"/>
            <w:gridSpan w:val="6"/>
            <w:shd w:val="clear" w:color="auto" w:fill="003F5F"/>
          </w:tcPr>
          <w:p w14:paraId="23454CF6" w14:textId="374C27F7" w:rsidR="00E8458B" w:rsidRPr="00E8458B" w:rsidRDefault="00B5245B" w:rsidP="00685959">
            <w:pPr>
              <w:rPr>
                <w:color w:val="FFFFFF" w:themeColor="background1"/>
              </w:rPr>
            </w:pPr>
            <w:r w:rsidRPr="00F4340E">
              <w:rPr>
                <w:b/>
                <w:color w:val="FFFFFF" w:themeColor="background1"/>
              </w:rPr>
              <w:t xml:space="preserve">Table </w:t>
            </w:r>
            <w:r w:rsidR="00685959" w:rsidRPr="00F4340E">
              <w:rPr>
                <w:b/>
                <w:color w:val="FFFFFF" w:themeColor="background1"/>
              </w:rPr>
              <w:t>14</w:t>
            </w:r>
            <w:r w:rsidR="00E8458B" w:rsidRPr="00EB0AD7">
              <w:rPr>
                <w:b/>
                <w:color w:val="FFFFFF" w:themeColor="background1"/>
              </w:rPr>
              <w:t>: Frequency rates</w:t>
            </w:r>
          </w:p>
        </w:tc>
      </w:tr>
      <w:tr w:rsidR="00E8458B" w:rsidRPr="00E8458B" w14:paraId="4580D88B" w14:textId="77777777" w:rsidTr="00F4340E">
        <w:tc>
          <w:tcPr>
            <w:tcW w:w="1642" w:type="dxa"/>
            <w:shd w:val="clear" w:color="auto" w:fill="CEDCE8"/>
          </w:tcPr>
          <w:p w14:paraId="6935280E" w14:textId="77777777" w:rsidR="00E8458B" w:rsidRPr="00E8458B" w:rsidRDefault="00E8458B" w:rsidP="00E8458B">
            <w:pPr>
              <w:rPr>
                <w:b/>
              </w:rPr>
            </w:pPr>
            <w:r w:rsidRPr="00E8458B">
              <w:rPr>
                <w:b/>
              </w:rPr>
              <w:t>Lodgement year</w:t>
            </w:r>
          </w:p>
        </w:tc>
        <w:tc>
          <w:tcPr>
            <w:tcW w:w="1128" w:type="dxa"/>
            <w:shd w:val="clear" w:color="auto" w:fill="CEDCE8"/>
          </w:tcPr>
          <w:p w14:paraId="374EA1F7" w14:textId="50486620" w:rsidR="00E8458B" w:rsidRPr="00E8458B" w:rsidRDefault="00B5245B" w:rsidP="009C0C74">
            <w:pPr>
              <w:jc w:val="right"/>
              <w:rPr>
                <w:b/>
              </w:rPr>
            </w:pPr>
            <w:r>
              <w:rPr>
                <w:b/>
              </w:rPr>
              <w:t>2012/13</w:t>
            </w:r>
          </w:p>
        </w:tc>
        <w:tc>
          <w:tcPr>
            <w:tcW w:w="1302" w:type="dxa"/>
            <w:shd w:val="clear" w:color="auto" w:fill="CEDCE8"/>
          </w:tcPr>
          <w:p w14:paraId="5EA84464" w14:textId="74F72247" w:rsidR="00E8458B" w:rsidRPr="00E8458B" w:rsidRDefault="00B5245B" w:rsidP="009C0C74">
            <w:pPr>
              <w:jc w:val="right"/>
              <w:rPr>
                <w:b/>
              </w:rPr>
            </w:pPr>
            <w:r>
              <w:rPr>
                <w:b/>
              </w:rPr>
              <w:t>2013/14</w:t>
            </w:r>
          </w:p>
        </w:tc>
        <w:tc>
          <w:tcPr>
            <w:tcW w:w="1302" w:type="dxa"/>
            <w:shd w:val="clear" w:color="auto" w:fill="CEDCE8"/>
          </w:tcPr>
          <w:p w14:paraId="78548AFD" w14:textId="519C2542" w:rsidR="00E8458B" w:rsidRPr="00E8458B" w:rsidRDefault="00B5245B" w:rsidP="009C0C74">
            <w:pPr>
              <w:jc w:val="right"/>
              <w:rPr>
                <w:b/>
              </w:rPr>
            </w:pPr>
            <w:r>
              <w:rPr>
                <w:b/>
              </w:rPr>
              <w:t>2014/15</w:t>
            </w:r>
          </w:p>
        </w:tc>
        <w:tc>
          <w:tcPr>
            <w:tcW w:w="1302" w:type="dxa"/>
            <w:shd w:val="clear" w:color="auto" w:fill="CEDCE8"/>
          </w:tcPr>
          <w:p w14:paraId="5E6503DE" w14:textId="367E8CC9" w:rsidR="00E8458B" w:rsidRPr="00E8458B" w:rsidRDefault="00B5245B" w:rsidP="009C0C74">
            <w:pPr>
              <w:jc w:val="right"/>
              <w:rPr>
                <w:b/>
              </w:rPr>
            </w:pPr>
            <w:r>
              <w:rPr>
                <w:b/>
              </w:rPr>
              <w:t>2015/16</w:t>
            </w:r>
          </w:p>
        </w:tc>
        <w:tc>
          <w:tcPr>
            <w:tcW w:w="1157" w:type="dxa"/>
            <w:shd w:val="clear" w:color="auto" w:fill="CEDCE8"/>
          </w:tcPr>
          <w:p w14:paraId="64525482" w14:textId="2917555B" w:rsidR="00E8458B" w:rsidRPr="00E8458B" w:rsidRDefault="00B5245B" w:rsidP="009C0C74">
            <w:pPr>
              <w:jc w:val="right"/>
              <w:rPr>
                <w:b/>
              </w:rPr>
            </w:pPr>
            <w:r>
              <w:rPr>
                <w:b/>
              </w:rPr>
              <w:t>2016/17</w:t>
            </w:r>
          </w:p>
        </w:tc>
      </w:tr>
      <w:tr w:rsidR="00E8458B" w:rsidRPr="00E8458B" w14:paraId="6E5F02DB" w14:textId="77777777" w:rsidTr="00F4340E">
        <w:tc>
          <w:tcPr>
            <w:tcW w:w="1642" w:type="dxa"/>
            <w:shd w:val="clear" w:color="auto" w:fill="CEDCE8"/>
            <w:vAlign w:val="center"/>
          </w:tcPr>
          <w:p w14:paraId="7B0013C0" w14:textId="739C68BA" w:rsidR="00E8458B" w:rsidRPr="00E8458B" w:rsidRDefault="00F77849" w:rsidP="00E8458B">
            <w:r>
              <w:br/>
              <w:t>Frequency rate of lost</w:t>
            </w:r>
            <w:r>
              <w:noBreakHyphen/>
            </w:r>
            <w:r w:rsidR="00E8458B" w:rsidRPr="00E8458B">
              <w:t>time claims (at least one day/shift lost)</w:t>
            </w:r>
          </w:p>
        </w:tc>
        <w:tc>
          <w:tcPr>
            <w:tcW w:w="1128" w:type="dxa"/>
            <w:vAlign w:val="center"/>
          </w:tcPr>
          <w:p w14:paraId="4D02A2FD" w14:textId="573E266E" w:rsidR="00E8458B" w:rsidRPr="00EB0AD7" w:rsidRDefault="00EB0AD7" w:rsidP="009C0C74">
            <w:pPr>
              <w:jc w:val="right"/>
            </w:pPr>
            <w:r w:rsidRPr="00EB0AD7">
              <w:t>8.8</w:t>
            </w:r>
          </w:p>
        </w:tc>
        <w:tc>
          <w:tcPr>
            <w:tcW w:w="1302" w:type="dxa"/>
            <w:vAlign w:val="center"/>
          </w:tcPr>
          <w:p w14:paraId="79338FA9" w14:textId="78A3E724" w:rsidR="00E8458B" w:rsidRPr="00EB0AD7" w:rsidRDefault="00EB0AD7" w:rsidP="009C0C74">
            <w:pPr>
              <w:jc w:val="right"/>
            </w:pPr>
            <w:r w:rsidRPr="00EB0AD7">
              <w:t>8.2</w:t>
            </w:r>
          </w:p>
        </w:tc>
        <w:tc>
          <w:tcPr>
            <w:tcW w:w="1302" w:type="dxa"/>
            <w:vAlign w:val="center"/>
          </w:tcPr>
          <w:p w14:paraId="4A1B38BC" w14:textId="32D569D6" w:rsidR="00E8458B" w:rsidRPr="00EB0AD7" w:rsidRDefault="00EB0AD7" w:rsidP="009C0C74">
            <w:pPr>
              <w:jc w:val="right"/>
            </w:pPr>
            <w:r w:rsidRPr="00EB0AD7">
              <w:t>7.7</w:t>
            </w:r>
          </w:p>
        </w:tc>
        <w:tc>
          <w:tcPr>
            <w:tcW w:w="1302" w:type="dxa"/>
            <w:vAlign w:val="center"/>
          </w:tcPr>
          <w:p w14:paraId="115C6555" w14:textId="7B8167A3" w:rsidR="00E8458B" w:rsidRPr="00EB0AD7" w:rsidRDefault="00EB0AD7" w:rsidP="009C0C74">
            <w:pPr>
              <w:jc w:val="right"/>
            </w:pPr>
            <w:r w:rsidRPr="00EB0AD7">
              <w:t>8.0</w:t>
            </w:r>
          </w:p>
        </w:tc>
        <w:tc>
          <w:tcPr>
            <w:tcW w:w="1157" w:type="dxa"/>
            <w:vAlign w:val="center"/>
          </w:tcPr>
          <w:p w14:paraId="20A829F9" w14:textId="6892456E" w:rsidR="00E8458B" w:rsidRPr="00266148" w:rsidRDefault="00266148" w:rsidP="009C0C74">
            <w:pPr>
              <w:jc w:val="right"/>
            </w:pPr>
            <w:r w:rsidRPr="00266148">
              <w:t>7.7</w:t>
            </w:r>
          </w:p>
        </w:tc>
      </w:tr>
      <w:tr w:rsidR="00E8458B" w:rsidRPr="00E8458B" w14:paraId="634AC167" w14:textId="77777777" w:rsidTr="00F4340E">
        <w:tc>
          <w:tcPr>
            <w:tcW w:w="1642" w:type="dxa"/>
            <w:shd w:val="clear" w:color="auto" w:fill="CEDCE8"/>
            <w:vAlign w:val="center"/>
          </w:tcPr>
          <w:p w14:paraId="4DFD7DC0" w14:textId="77777777" w:rsidR="00E8458B" w:rsidRPr="00E8458B" w:rsidRDefault="00E8458B" w:rsidP="00E8458B">
            <w:r w:rsidRPr="00E8458B">
              <w:br/>
              <w:t>Frequency rate of 1–59 days/shifts lost claims</w:t>
            </w:r>
          </w:p>
        </w:tc>
        <w:tc>
          <w:tcPr>
            <w:tcW w:w="1128" w:type="dxa"/>
            <w:vAlign w:val="center"/>
          </w:tcPr>
          <w:p w14:paraId="10CE01B3" w14:textId="44C0F5F5" w:rsidR="00E8458B" w:rsidRPr="00EB0AD7" w:rsidRDefault="00EB0AD7" w:rsidP="009C0C74">
            <w:pPr>
              <w:jc w:val="right"/>
            </w:pPr>
            <w:r w:rsidRPr="00EB0AD7">
              <w:t>6.5</w:t>
            </w:r>
          </w:p>
        </w:tc>
        <w:tc>
          <w:tcPr>
            <w:tcW w:w="1302" w:type="dxa"/>
            <w:vAlign w:val="center"/>
          </w:tcPr>
          <w:p w14:paraId="4A23E66D" w14:textId="13312DE4" w:rsidR="00E8458B" w:rsidRPr="00EB0AD7" w:rsidRDefault="00EB0AD7" w:rsidP="009C0C74">
            <w:pPr>
              <w:jc w:val="right"/>
            </w:pPr>
            <w:r w:rsidRPr="00EB0AD7">
              <w:t>5.9</w:t>
            </w:r>
          </w:p>
        </w:tc>
        <w:tc>
          <w:tcPr>
            <w:tcW w:w="1302" w:type="dxa"/>
            <w:vAlign w:val="center"/>
          </w:tcPr>
          <w:p w14:paraId="5E4BB87D" w14:textId="0B9F1A4F" w:rsidR="00E8458B" w:rsidRPr="00EB0AD7" w:rsidRDefault="00EB0AD7" w:rsidP="00266148">
            <w:pPr>
              <w:jc w:val="right"/>
            </w:pPr>
            <w:r w:rsidRPr="00EB0AD7">
              <w:t>5.</w:t>
            </w:r>
            <w:r w:rsidR="00266148">
              <w:t>6</w:t>
            </w:r>
          </w:p>
        </w:tc>
        <w:tc>
          <w:tcPr>
            <w:tcW w:w="1302" w:type="dxa"/>
            <w:vAlign w:val="center"/>
          </w:tcPr>
          <w:p w14:paraId="19F18BE6" w14:textId="00D76DE2" w:rsidR="00E8458B" w:rsidRPr="00EB0AD7" w:rsidRDefault="00EB0AD7" w:rsidP="00266148">
            <w:pPr>
              <w:jc w:val="right"/>
            </w:pPr>
            <w:r w:rsidRPr="00EB0AD7">
              <w:t>5.</w:t>
            </w:r>
            <w:r w:rsidR="00266148">
              <w:t>6</w:t>
            </w:r>
          </w:p>
        </w:tc>
        <w:tc>
          <w:tcPr>
            <w:tcW w:w="1157" w:type="dxa"/>
            <w:vAlign w:val="center"/>
          </w:tcPr>
          <w:p w14:paraId="6290AD07" w14:textId="20E68CDA" w:rsidR="00E8458B" w:rsidRPr="00266148" w:rsidRDefault="00266148" w:rsidP="009C0C74">
            <w:pPr>
              <w:jc w:val="right"/>
            </w:pPr>
            <w:r w:rsidRPr="00266148">
              <w:t>5.1</w:t>
            </w:r>
          </w:p>
        </w:tc>
      </w:tr>
      <w:tr w:rsidR="00E8458B" w:rsidRPr="00E8458B" w14:paraId="5DC85B5E" w14:textId="77777777" w:rsidTr="00F4340E">
        <w:tc>
          <w:tcPr>
            <w:tcW w:w="1642" w:type="dxa"/>
            <w:shd w:val="clear" w:color="auto" w:fill="CEDCE8"/>
            <w:vAlign w:val="center"/>
          </w:tcPr>
          <w:p w14:paraId="45EA80C8" w14:textId="77777777" w:rsidR="00E8458B" w:rsidRPr="00E8458B" w:rsidRDefault="00E8458B" w:rsidP="00E8458B">
            <w:r w:rsidRPr="00E8458B">
              <w:br/>
              <w:t>Frequency rate of long duration claims (60+ days/shifts lost)</w:t>
            </w:r>
          </w:p>
        </w:tc>
        <w:tc>
          <w:tcPr>
            <w:tcW w:w="1128" w:type="dxa"/>
            <w:vAlign w:val="center"/>
          </w:tcPr>
          <w:p w14:paraId="505B55DE" w14:textId="56301E13" w:rsidR="00E8458B" w:rsidRPr="00EB0AD7" w:rsidRDefault="00EB0AD7" w:rsidP="009C0C74">
            <w:pPr>
              <w:jc w:val="right"/>
            </w:pPr>
            <w:r w:rsidRPr="00EB0AD7">
              <w:t>2.3</w:t>
            </w:r>
          </w:p>
        </w:tc>
        <w:tc>
          <w:tcPr>
            <w:tcW w:w="1302" w:type="dxa"/>
            <w:vAlign w:val="center"/>
          </w:tcPr>
          <w:p w14:paraId="5AF9FDFD" w14:textId="1296720C" w:rsidR="00E8458B" w:rsidRPr="00EB0AD7" w:rsidRDefault="00EB0AD7" w:rsidP="009C0C74">
            <w:pPr>
              <w:jc w:val="right"/>
            </w:pPr>
            <w:r w:rsidRPr="00EB0AD7">
              <w:t>2.3</w:t>
            </w:r>
          </w:p>
        </w:tc>
        <w:tc>
          <w:tcPr>
            <w:tcW w:w="1302" w:type="dxa"/>
            <w:vAlign w:val="center"/>
          </w:tcPr>
          <w:p w14:paraId="4391B2AB" w14:textId="392B5260" w:rsidR="00E8458B" w:rsidRPr="00EB0AD7" w:rsidRDefault="00DD63F7" w:rsidP="009C0C74">
            <w:pPr>
              <w:jc w:val="right"/>
            </w:pPr>
            <w:r>
              <w:t>2.2</w:t>
            </w:r>
          </w:p>
        </w:tc>
        <w:tc>
          <w:tcPr>
            <w:tcW w:w="1302" w:type="dxa"/>
            <w:vAlign w:val="center"/>
          </w:tcPr>
          <w:p w14:paraId="47802934" w14:textId="39E95120" w:rsidR="00E8458B" w:rsidRPr="00EB0AD7" w:rsidRDefault="00EB0AD7" w:rsidP="00266148">
            <w:pPr>
              <w:jc w:val="right"/>
            </w:pPr>
            <w:r w:rsidRPr="00EB0AD7">
              <w:t>2.</w:t>
            </w:r>
            <w:r w:rsidR="00266148">
              <w:t>4</w:t>
            </w:r>
          </w:p>
        </w:tc>
        <w:tc>
          <w:tcPr>
            <w:tcW w:w="1157" w:type="dxa"/>
            <w:vAlign w:val="center"/>
          </w:tcPr>
          <w:p w14:paraId="1AB99CFD" w14:textId="34486AD9" w:rsidR="00E8458B" w:rsidRPr="00266148" w:rsidRDefault="00266148" w:rsidP="009C0C74">
            <w:pPr>
              <w:jc w:val="right"/>
            </w:pPr>
            <w:r w:rsidRPr="00266148">
              <w:t>2.7</w:t>
            </w:r>
          </w:p>
        </w:tc>
      </w:tr>
    </w:tbl>
    <w:p w14:paraId="37851739" w14:textId="07D8C758" w:rsidR="00630615" w:rsidRDefault="00630615" w:rsidP="00801C8B">
      <w:pPr>
        <w:pStyle w:val="Heading3nonumber"/>
        <w:rPr>
          <w:lang w:val="en-US"/>
        </w:rPr>
      </w:pPr>
      <w:bookmarkStart w:id="259" w:name="_Toc525121971"/>
      <w:bookmarkStart w:id="260" w:name="_Toc399316941"/>
      <w:bookmarkStart w:id="261" w:name="_Toc450900679"/>
      <w:r>
        <w:rPr>
          <w:noProof/>
          <w:lang w:eastAsia="en-AU"/>
        </w:rPr>
        <w:drawing>
          <wp:inline distT="0" distB="0" distL="0" distR="0" wp14:anchorId="22642215" wp14:editId="4B5341B0">
            <wp:extent cx="5543550" cy="3057525"/>
            <wp:effectExtent l="0" t="0" r="0" b="0"/>
            <wp:docPr id="5" name="Chart 5" descr="This graph compares frequency rates of all lost-time claims, 1-59 day lost-time claims and long duration claims for the last five financial years. " title="Graph: Frequency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59"/>
    </w:p>
    <w:p w14:paraId="41733D8B" w14:textId="0213021F" w:rsidR="00FD59EC" w:rsidRPr="00801C8B" w:rsidRDefault="00830213" w:rsidP="00801C8B">
      <w:pPr>
        <w:pStyle w:val="Heading3nonumber"/>
        <w:rPr>
          <w:lang w:val="en-US"/>
        </w:rPr>
      </w:pPr>
      <w:bookmarkStart w:id="262" w:name="_Toc525121972"/>
      <w:r>
        <w:rPr>
          <w:lang w:val="en-US"/>
        </w:rPr>
        <w:t>Frequency of lost-</w:t>
      </w:r>
      <w:r w:rsidR="00FD59EC" w:rsidRPr="00FD59EC">
        <w:rPr>
          <w:lang w:val="en-US"/>
        </w:rPr>
        <w:t>time claims by industry</w:t>
      </w:r>
      <w:bookmarkEnd w:id="260"/>
      <w:bookmarkEnd w:id="261"/>
      <w:bookmarkEnd w:id="262"/>
      <w:r w:rsidR="00FD59EC" w:rsidRPr="00FD59EC">
        <w:rPr>
          <w:lang w:val="en-US"/>
        </w:rPr>
        <w:t xml:space="preserve"> </w:t>
      </w:r>
    </w:p>
    <w:p w14:paraId="399DC517" w14:textId="245D6FA1" w:rsidR="002C5475" w:rsidRPr="00402FB3" w:rsidRDefault="00402FB3" w:rsidP="002C5475">
      <w:bookmarkStart w:id="263" w:name="_Toc399316942"/>
      <w:bookmarkStart w:id="264" w:name="_Toc450900680"/>
      <w:r>
        <w:t xml:space="preserve">In 2016/17, the industries with the highest lost-time claim frequencies were Arts and recreation services, Agriculture, forestry and fishing, Manufacturing, and Health care and social assistance. </w:t>
      </w:r>
    </w:p>
    <w:tbl>
      <w:tblPr>
        <w:tblStyle w:val="TableGrid41"/>
        <w:tblW w:w="7258" w:type="dxa"/>
        <w:tblInd w:w="108"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16: Frequency of lost-time claims by industry 2016/17"/>
        <w:tblDescription w:val="This table outlines the frequency of lost-time claims by industry in 2016/17. "/>
      </w:tblPr>
      <w:tblGrid>
        <w:gridCol w:w="4707"/>
        <w:gridCol w:w="2551"/>
      </w:tblGrid>
      <w:tr w:rsidR="00385B78" w:rsidRPr="00385B78" w14:paraId="5FAE1FB4" w14:textId="77777777" w:rsidTr="00F4340E">
        <w:trPr>
          <w:tblHeader/>
        </w:trPr>
        <w:tc>
          <w:tcPr>
            <w:tcW w:w="7258" w:type="dxa"/>
            <w:gridSpan w:val="2"/>
            <w:shd w:val="clear" w:color="auto" w:fill="003F5F"/>
          </w:tcPr>
          <w:p w14:paraId="5C08FBBB" w14:textId="145B4B74" w:rsidR="00385B78" w:rsidRPr="00685959" w:rsidRDefault="00385B78" w:rsidP="00685959">
            <w:pPr>
              <w:rPr>
                <w:b/>
                <w:bCs/>
              </w:rPr>
            </w:pPr>
            <w:r w:rsidRPr="00685959">
              <w:br w:type="page"/>
            </w:r>
            <w:r w:rsidR="00B5245B" w:rsidRPr="00F4340E">
              <w:rPr>
                <w:b/>
                <w:bCs/>
                <w:color w:val="FFFFFF" w:themeColor="background1"/>
                <w:shd w:val="clear" w:color="auto" w:fill="003F5F"/>
              </w:rPr>
              <w:t xml:space="preserve">Table </w:t>
            </w:r>
            <w:r w:rsidR="00685959" w:rsidRPr="00F4340E">
              <w:rPr>
                <w:b/>
                <w:bCs/>
                <w:color w:val="FFFFFF" w:themeColor="background1"/>
                <w:shd w:val="clear" w:color="auto" w:fill="003F5F"/>
              </w:rPr>
              <w:t>15</w:t>
            </w:r>
            <w:r w:rsidRPr="00F4340E">
              <w:rPr>
                <w:b/>
                <w:bCs/>
                <w:color w:val="FFFFFF" w:themeColor="background1"/>
                <w:shd w:val="clear" w:color="auto" w:fill="003F5F"/>
              </w:rPr>
              <w:t>: Frequency of lost-time claim</w:t>
            </w:r>
            <w:r w:rsidR="00B5245B" w:rsidRPr="00F4340E">
              <w:rPr>
                <w:b/>
                <w:bCs/>
                <w:color w:val="FFFFFF" w:themeColor="background1"/>
                <w:shd w:val="clear" w:color="auto" w:fill="003F5F"/>
              </w:rPr>
              <w:t>s by industry 2016/17</w:t>
            </w:r>
          </w:p>
        </w:tc>
      </w:tr>
      <w:tr w:rsidR="00385B78" w:rsidRPr="00385B78" w14:paraId="0EAF034C" w14:textId="77777777" w:rsidTr="00F4340E">
        <w:tc>
          <w:tcPr>
            <w:tcW w:w="4707" w:type="dxa"/>
            <w:shd w:val="clear" w:color="auto" w:fill="CEDCE8"/>
          </w:tcPr>
          <w:p w14:paraId="36033660" w14:textId="77777777" w:rsidR="00385B78" w:rsidRPr="00685959" w:rsidRDefault="00385B78" w:rsidP="00385B78">
            <w:pPr>
              <w:rPr>
                <w:b/>
                <w:bCs/>
              </w:rPr>
            </w:pPr>
            <w:r w:rsidRPr="00685959">
              <w:rPr>
                <w:b/>
                <w:bCs/>
              </w:rPr>
              <w:t>Frequency of lost-time claims by industry</w:t>
            </w:r>
          </w:p>
        </w:tc>
        <w:tc>
          <w:tcPr>
            <w:tcW w:w="2551" w:type="dxa"/>
            <w:shd w:val="clear" w:color="auto" w:fill="CEDCE8"/>
            <w:vAlign w:val="center"/>
          </w:tcPr>
          <w:p w14:paraId="3449CFA0" w14:textId="77777777" w:rsidR="00385B78" w:rsidRPr="00685959" w:rsidRDefault="00385B78" w:rsidP="00385B78">
            <w:pPr>
              <w:rPr>
                <w:b/>
                <w:bCs/>
              </w:rPr>
            </w:pPr>
            <w:r w:rsidRPr="00685959">
              <w:rPr>
                <w:b/>
                <w:bCs/>
              </w:rPr>
              <w:t>Frequency Rate</w:t>
            </w:r>
          </w:p>
        </w:tc>
      </w:tr>
      <w:tr w:rsidR="00385B78" w:rsidRPr="00385B78" w14:paraId="0D02FC7E" w14:textId="77777777" w:rsidTr="00F4340E">
        <w:tc>
          <w:tcPr>
            <w:tcW w:w="4707" w:type="dxa"/>
            <w:shd w:val="clear" w:color="auto" w:fill="auto"/>
          </w:tcPr>
          <w:p w14:paraId="6B1E29BD" w14:textId="53C2AD19" w:rsidR="00385B78" w:rsidRPr="00685959" w:rsidRDefault="00402FB3" w:rsidP="00385B78">
            <w:pPr>
              <w:rPr>
                <w:lang w:eastAsia="en-AU"/>
              </w:rPr>
            </w:pPr>
            <w:r w:rsidRPr="00685959">
              <w:rPr>
                <w:lang w:eastAsia="en-AU"/>
              </w:rPr>
              <w:t>Arts and recreation services</w:t>
            </w:r>
          </w:p>
        </w:tc>
        <w:tc>
          <w:tcPr>
            <w:tcW w:w="2551" w:type="dxa"/>
            <w:shd w:val="clear" w:color="auto" w:fill="auto"/>
          </w:tcPr>
          <w:p w14:paraId="7F341B29" w14:textId="6A843A63" w:rsidR="00385B78" w:rsidRPr="00685959" w:rsidRDefault="00402FB3" w:rsidP="00116E85">
            <w:pPr>
              <w:jc w:val="right"/>
            </w:pPr>
            <w:r w:rsidRPr="00685959">
              <w:t>13.2</w:t>
            </w:r>
          </w:p>
        </w:tc>
      </w:tr>
      <w:tr w:rsidR="00385B78" w:rsidRPr="00385B78" w14:paraId="223408B1" w14:textId="77777777" w:rsidTr="00F4340E">
        <w:tc>
          <w:tcPr>
            <w:tcW w:w="4707" w:type="dxa"/>
            <w:shd w:val="clear" w:color="auto" w:fill="auto"/>
          </w:tcPr>
          <w:p w14:paraId="469D2658" w14:textId="29AAAE98" w:rsidR="00385B78" w:rsidRPr="00685959" w:rsidRDefault="00402FB3" w:rsidP="00385B78">
            <w:pPr>
              <w:rPr>
                <w:lang w:eastAsia="en-AU"/>
              </w:rPr>
            </w:pPr>
            <w:r w:rsidRPr="00685959">
              <w:rPr>
                <w:lang w:eastAsia="en-AU"/>
              </w:rPr>
              <w:t>Agriculture, forestry and fishing</w:t>
            </w:r>
          </w:p>
        </w:tc>
        <w:tc>
          <w:tcPr>
            <w:tcW w:w="2551" w:type="dxa"/>
            <w:shd w:val="clear" w:color="auto" w:fill="auto"/>
          </w:tcPr>
          <w:p w14:paraId="15D4DD21" w14:textId="18A34FA7" w:rsidR="00385B78" w:rsidRPr="00685959" w:rsidRDefault="00402FB3" w:rsidP="00116E85">
            <w:pPr>
              <w:jc w:val="right"/>
            </w:pPr>
            <w:r w:rsidRPr="00685959">
              <w:t>12.9</w:t>
            </w:r>
          </w:p>
        </w:tc>
      </w:tr>
      <w:tr w:rsidR="00385B78" w:rsidRPr="00385B78" w14:paraId="35E882E5" w14:textId="77777777" w:rsidTr="00F4340E">
        <w:tc>
          <w:tcPr>
            <w:tcW w:w="4707" w:type="dxa"/>
            <w:shd w:val="clear" w:color="auto" w:fill="auto"/>
          </w:tcPr>
          <w:p w14:paraId="413E2FA3" w14:textId="273A5957" w:rsidR="00385B78" w:rsidRPr="00685959" w:rsidRDefault="00402FB3" w:rsidP="00385B78">
            <w:pPr>
              <w:rPr>
                <w:lang w:eastAsia="en-AU"/>
              </w:rPr>
            </w:pPr>
            <w:r w:rsidRPr="00685959">
              <w:rPr>
                <w:lang w:eastAsia="en-AU"/>
              </w:rPr>
              <w:t>Manufacturing</w:t>
            </w:r>
          </w:p>
        </w:tc>
        <w:tc>
          <w:tcPr>
            <w:tcW w:w="2551" w:type="dxa"/>
            <w:shd w:val="clear" w:color="auto" w:fill="auto"/>
          </w:tcPr>
          <w:p w14:paraId="09B6690B" w14:textId="2579017D" w:rsidR="00385B78" w:rsidRPr="00685959" w:rsidRDefault="00402FB3" w:rsidP="00116E85">
            <w:pPr>
              <w:jc w:val="right"/>
            </w:pPr>
            <w:r w:rsidRPr="00685959">
              <w:t>12.1</w:t>
            </w:r>
          </w:p>
        </w:tc>
      </w:tr>
      <w:tr w:rsidR="00402FB3" w:rsidRPr="00385B78" w14:paraId="73E89762" w14:textId="77777777" w:rsidTr="00F4340E">
        <w:tc>
          <w:tcPr>
            <w:tcW w:w="4707" w:type="dxa"/>
            <w:shd w:val="clear" w:color="auto" w:fill="auto"/>
          </w:tcPr>
          <w:p w14:paraId="71CD7A2D" w14:textId="497EEB13" w:rsidR="00402FB3" w:rsidRPr="00685959" w:rsidRDefault="00402FB3" w:rsidP="00385B78">
            <w:pPr>
              <w:rPr>
                <w:lang w:eastAsia="en-AU"/>
              </w:rPr>
            </w:pPr>
            <w:r w:rsidRPr="00685959">
              <w:rPr>
                <w:lang w:eastAsia="en-AU"/>
              </w:rPr>
              <w:t xml:space="preserve">Health care and social assistance </w:t>
            </w:r>
          </w:p>
        </w:tc>
        <w:tc>
          <w:tcPr>
            <w:tcW w:w="2551" w:type="dxa"/>
            <w:shd w:val="clear" w:color="auto" w:fill="auto"/>
          </w:tcPr>
          <w:p w14:paraId="72D51737" w14:textId="42EBAD8D" w:rsidR="00402FB3" w:rsidRPr="00685959" w:rsidRDefault="00402FB3" w:rsidP="00116E85">
            <w:pPr>
              <w:jc w:val="right"/>
            </w:pPr>
            <w:r w:rsidRPr="00685959">
              <w:t>10.9</w:t>
            </w:r>
          </w:p>
        </w:tc>
      </w:tr>
      <w:tr w:rsidR="00402FB3" w:rsidRPr="00385B78" w14:paraId="462BBB9D" w14:textId="77777777" w:rsidTr="00F4340E">
        <w:tc>
          <w:tcPr>
            <w:tcW w:w="4707" w:type="dxa"/>
            <w:shd w:val="clear" w:color="auto" w:fill="auto"/>
          </w:tcPr>
          <w:p w14:paraId="654489A0" w14:textId="4112A3D5" w:rsidR="00402FB3" w:rsidRPr="00685959" w:rsidRDefault="00402FB3" w:rsidP="00385B78">
            <w:pPr>
              <w:rPr>
                <w:lang w:eastAsia="en-AU"/>
              </w:rPr>
            </w:pPr>
            <w:r w:rsidRPr="00685959">
              <w:rPr>
                <w:lang w:eastAsia="en-AU"/>
              </w:rPr>
              <w:t>Construction</w:t>
            </w:r>
          </w:p>
        </w:tc>
        <w:tc>
          <w:tcPr>
            <w:tcW w:w="2551" w:type="dxa"/>
            <w:shd w:val="clear" w:color="auto" w:fill="auto"/>
          </w:tcPr>
          <w:p w14:paraId="1160B5D1" w14:textId="23E5863C" w:rsidR="00402FB3" w:rsidRPr="00685959" w:rsidRDefault="00402FB3" w:rsidP="00116E85">
            <w:pPr>
              <w:jc w:val="right"/>
            </w:pPr>
            <w:r w:rsidRPr="00685959">
              <w:t>10.7</w:t>
            </w:r>
          </w:p>
        </w:tc>
      </w:tr>
      <w:tr w:rsidR="00402FB3" w:rsidRPr="00385B78" w14:paraId="5B6C1178" w14:textId="77777777" w:rsidTr="00F4340E">
        <w:tc>
          <w:tcPr>
            <w:tcW w:w="4707" w:type="dxa"/>
            <w:shd w:val="clear" w:color="auto" w:fill="auto"/>
          </w:tcPr>
          <w:p w14:paraId="32817621" w14:textId="2EC02A27" w:rsidR="00402FB3" w:rsidRPr="00685959" w:rsidRDefault="00402FB3" w:rsidP="00385B78">
            <w:pPr>
              <w:rPr>
                <w:lang w:eastAsia="en-AU"/>
              </w:rPr>
            </w:pPr>
            <w:r w:rsidRPr="00685959">
              <w:rPr>
                <w:lang w:eastAsia="en-AU"/>
              </w:rPr>
              <w:t>Transport, postal and warehousing</w:t>
            </w:r>
          </w:p>
        </w:tc>
        <w:tc>
          <w:tcPr>
            <w:tcW w:w="2551" w:type="dxa"/>
            <w:shd w:val="clear" w:color="auto" w:fill="auto"/>
          </w:tcPr>
          <w:p w14:paraId="2B9DAFC0" w14:textId="22825CEF" w:rsidR="00402FB3" w:rsidRPr="00685959" w:rsidRDefault="00402FB3" w:rsidP="00116E85">
            <w:pPr>
              <w:jc w:val="right"/>
            </w:pPr>
            <w:r w:rsidRPr="00685959">
              <w:t>10.4</w:t>
            </w:r>
          </w:p>
        </w:tc>
      </w:tr>
      <w:tr w:rsidR="00402FB3" w:rsidRPr="00385B78" w14:paraId="0A202871" w14:textId="77777777" w:rsidTr="00F4340E">
        <w:tc>
          <w:tcPr>
            <w:tcW w:w="4707" w:type="dxa"/>
            <w:shd w:val="clear" w:color="auto" w:fill="auto"/>
          </w:tcPr>
          <w:p w14:paraId="7955228E" w14:textId="564CFDFC" w:rsidR="00402FB3" w:rsidRPr="00685959" w:rsidRDefault="00402FB3" w:rsidP="00385B78">
            <w:pPr>
              <w:rPr>
                <w:lang w:eastAsia="en-AU"/>
              </w:rPr>
            </w:pPr>
            <w:r w:rsidRPr="00685959">
              <w:rPr>
                <w:lang w:eastAsia="en-AU"/>
              </w:rPr>
              <w:t>Education and training</w:t>
            </w:r>
          </w:p>
        </w:tc>
        <w:tc>
          <w:tcPr>
            <w:tcW w:w="2551" w:type="dxa"/>
            <w:shd w:val="clear" w:color="auto" w:fill="auto"/>
          </w:tcPr>
          <w:p w14:paraId="521BA89B" w14:textId="3A3C91F2" w:rsidR="00402FB3" w:rsidRPr="00685959" w:rsidRDefault="00402FB3" w:rsidP="00116E85">
            <w:pPr>
              <w:jc w:val="right"/>
            </w:pPr>
            <w:r w:rsidRPr="00685959">
              <w:t>8.9</w:t>
            </w:r>
          </w:p>
        </w:tc>
      </w:tr>
      <w:tr w:rsidR="00402FB3" w:rsidRPr="00385B78" w14:paraId="35E540B0" w14:textId="77777777" w:rsidTr="00F4340E">
        <w:tc>
          <w:tcPr>
            <w:tcW w:w="4707" w:type="dxa"/>
            <w:shd w:val="clear" w:color="auto" w:fill="auto"/>
          </w:tcPr>
          <w:p w14:paraId="3C39F0EA" w14:textId="1AB69A8E" w:rsidR="00402FB3" w:rsidRPr="00685959" w:rsidRDefault="00402FB3" w:rsidP="00385B78">
            <w:pPr>
              <w:rPr>
                <w:lang w:eastAsia="en-AU"/>
              </w:rPr>
            </w:pPr>
            <w:r w:rsidRPr="00685959">
              <w:rPr>
                <w:lang w:eastAsia="en-AU"/>
              </w:rPr>
              <w:t>Public administration and safety</w:t>
            </w:r>
          </w:p>
        </w:tc>
        <w:tc>
          <w:tcPr>
            <w:tcW w:w="2551" w:type="dxa"/>
            <w:shd w:val="clear" w:color="auto" w:fill="auto"/>
          </w:tcPr>
          <w:p w14:paraId="15DC0CD7" w14:textId="07A4198A" w:rsidR="00402FB3" w:rsidRPr="00685959" w:rsidRDefault="00402FB3" w:rsidP="00116E85">
            <w:pPr>
              <w:jc w:val="right"/>
            </w:pPr>
            <w:r w:rsidRPr="00685959">
              <w:t>8.2</w:t>
            </w:r>
          </w:p>
        </w:tc>
      </w:tr>
      <w:tr w:rsidR="00402FB3" w:rsidRPr="00385B78" w14:paraId="2047DB99" w14:textId="77777777" w:rsidTr="00F4340E">
        <w:tc>
          <w:tcPr>
            <w:tcW w:w="4707" w:type="dxa"/>
            <w:shd w:val="clear" w:color="auto" w:fill="auto"/>
          </w:tcPr>
          <w:p w14:paraId="63404EE7" w14:textId="75DEC20B" w:rsidR="00402FB3" w:rsidRPr="00685959" w:rsidRDefault="00402FB3" w:rsidP="00385B78">
            <w:pPr>
              <w:rPr>
                <w:lang w:eastAsia="en-AU"/>
              </w:rPr>
            </w:pPr>
            <w:r w:rsidRPr="00685959">
              <w:rPr>
                <w:lang w:eastAsia="en-AU"/>
              </w:rPr>
              <w:t>Wholesale trade</w:t>
            </w:r>
          </w:p>
        </w:tc>
        <w:tc>
          <w:tcPr>
            <w:tcW w:w="2551" w:type="dxa"/>
            <w:shd w:val="clear" w:color="auto" w:fill="auto"/>
          </w:tcPr>
          <w:p w14:paraId="351FCEA8" w14:textId="320A1017" w:rsidR="00402FB3" w:rsidRPr="00685959" w:rsidRDefault="00402FB3" w:rsidP="00116E85">
            <w:pPr>
              <w:jc w:val="right"/>
            </w:pPr>
            <w:r w:rsidRPr="00685959">
              <w:t>8.0</w:t>
            </w:r>
          </w:p>
        </w:tc>
      </w:tr>
      <w:tr w:rsidR="00380EA3" w:rsidRPr="00385B78" w14:paraId="24CC60E2" w14:textId="77777777" w:rsidTr="00F4340E">
        <w:tc>
          <w:tcPr>
            <w:tcW w:w="4707" w:type="dxa"/>
            <w:shd w:val="clear" w:color="auto" w:fill="CEDCE8"/>
          </w:tcPr>
          <w:p w14:paraId="1DD73BF3" w14:textId="62724C56" w:rsidR="00380EA3" w:rsidRPr="00685959" w:rsidRDefault="00380EA3" w:rsidP="00380EA3">
            <w:pPr>
              <w:rPr>
                <w:lang w:eastAsia="en-AU"/>
              </w:rPr>
            </w:pPr>
            <w:r w:rsidRPr="00685959">
              <w:rPr>
                <w:lang w:eastAsia="en-AU"/>
              </w:rPr>
              <w:t>All industry average</w:t>
            </w:r>
          </w:p>
        </w:tc>
        <w:tc>
          <w:tcPr>
            <w:tcW w:w="2551" w:type="dxa"/>
          </w:tcPr>
          <w:p w14:paraId="6523ADB8" w14:textId="55E75AF4" w:rsidR="00380EA3" w:rsidRPr="00685959" w:rsidRDefault="00380EA3" w:rsidP="00380EA3">
            <w:pPr>
              <w:jc w:val="right"/>
            </w:pPr>
            <w:r w:rsidRPr="00685959">
              <w:t>7.7</w:t>
            </w:r>
          </w:p>
        </w:tc>
      </w:tr>
      <w:tr w:rsidR="00380EA3" w:rsidRPr="00385B78" w14:paraId="2918F545" w14:textId="77777777" w:rsidTr="00F4340E">
        <w:tc>
          <w:tcPr>
            <w:tcW w:w="4707" w:type="dxa"/>
            <w:shd w:val="clear" w:color="auto" w:fill="CEDCE8"/>
          </w:tcPr>
          <w:p w14:paraId="4CC5E4ED" w14:textId="0C12F395" w:rsidR="00380EA3" w:rsidRPr="00685959" w:rsidRDefault="00380EA3" w:rsidP="00380EA3">
            <w:pPr>
              <w:rPr>
                <w:lang w:eastAsia="en-AU"/>
              </w:rPr>
            </w:pPr>
            <w:r w:rsidRPr="00685959">
              <w:rPr>
                <w:lang w:eastAsia="en-AU"/>
              </w:rPr>
              <w:t>Electricity, gas, water and waste services</w:t>
            </w:r>
          </w:p>
        </w:tc>
        <w:tc>
          <w:tcPr>
            <w:tcW w:w="2551" w:type="dxa"/>
          </w:tcPr>
          <w:p w14:paraId="5EEC44D1" w14:textId="4E1743D0" w:rsidR="00380EA3" w:rsidRPr="00685959" w:rsidRDefault="00380EA3" w:rsidP="00380EA3">
            <w:pPr>
              <w:jc w:val="right"/>
            </w:pPr>
            <w:r w:rsidRPr="00685959">
              <w:t>7.2</w:t>
            </w:r>
          </w:p>
        </w:tc>
      </w:tr>
      <w:tr w:rsidR="00380EA3" w:rsidRPr="00385B78" w14:paraId="0A838E40" w14:textId="77777777" w:rsidTr="00F4340E">
        <w:tc>
          <w:tcPr>
            <w:tcW w:w="4707" w:type="dxa"/>
            <w:shd w:val="clear" w:color="auto" w:fill="CEDCE8"/>
          </w:tcPr>
          <w:p w14:paraId="101236C2" w14:textId="03EE6867" w:rsidR="00380EA3" w:rsidRPr="00685959" w:rsidRDefault="00380EA3" w:rsidP="00380EA3">
            <w:pPr>
              <w:rPr>
                <w:lang w:eastAsia="en-AU"/>
              </w:rPr>
            </w:pPr>
            <w:r w:rsidRPr="00685959">
              <w:rPr>
                <w:lang w:eastAsia="en-AU"/>
              </w:rPr>
              <w:t>Accommodation and food services</w:t>
            </w:r>
          </w:p>
        </w:tc>
        <w:tc>
          <w:tcPr>
            <w:tcW w:w="2551" w:type="dxa"/>
          </w:tcPr>
          <w:p w14:paraId="25CB7CE8" w14:textId="15403F15" w:rsidR="00380EA3" w:rsidRPr="00685959" w:rsidRDefault="00380EA3" w:rsidP="00380EA3">
            <w:pPr>
              <w:jc w:val="right"/>
            </w:pPr>
            <w:r w:rsidRPr="00685959">
              <w:t>6.4</w:t>
            </w:r>
          </w:p>
        </w:tc>
      </w:tr>
      <w:tr w:rsidR="00380EA3" w:rsidRPr="00385B78" w14:paraId="569BA68C" w14:textId="77777777" w:rsidTr="00F4340E">
        <w:tc>
          <w:tcPr>
            <w:tcW w:w="4707" w:type="dxa"/>
            <w:shd w:val="clear" w:color="auto" w:fill="CEDCE8"/>
          </w:tcPr>
          <w:p w14:paraId="588481F1" w14:textId="12BBE8A6" w:rsidR="00380EA3" w:rsidRPr="00685959" w:rsidRDefault="00380EA3" w:rsidP="00380EA3">
            <w:pPr>
              <w:rPr>
                <w:lang w:eastAsia="en-AU"/>
              </w:rPr>
            </w:pPr>
            <w:r w:rsidRPr="00685959">
              <w:rPr>
                <w:lang w:eastAsia="en-AU"/>
              </w:rPr>
              <w:t>Retail trade</w:t>
            </w:r>
          </w:p>
        </w:tc>
        <w:tc>
          <w:tcPr>
            <w:tcW w:w="2551" w:type="dxa"/>
          </w:tcPr>
          <w:p w14:paraId="6E79ED90" w14:textId="14A2055C" w:rsidR="00380EA3" w:rsidRPr="00685959" w:rsidRDefault="00380EA3" w:rsidP="00380EA3">
            <w:pPr>
              <w:jc w:val="right"/>
            </w:pPr>
            <w:r w:rsidRPr="00685959">
              <w:t>6.2</w:t>
            </w:r>
          </w:p>
        </w:tc>
      </w:tr>
      <w:tr w:rsidR="00380EA3" w:rsidRPr="00385B78" w14:paraId="05F4B38D" w14:textId="77777777" w:rsidTr="00F4340E">
        <w:tc>
          <w:tcPr>
            <w:tcW w:w="4707" w:type="dxa"/>
            <w:shd w:val="clear" w:color="auto" w:fill="CEDCE8"/>
          </w:tcPr>
          <w:p w14:paraId="675E7D6F" w14:textId="7844A901" w:rsidR="00380EA3" w:rsidRPr="00685959" w:rsidRDefault="00380EA3" w:rsidP="00380EA3">
            <w:pPr>
              <w:rPr>
                <w:lang w:eastAsia="en-AU"/>
              </w:rPr>
            </w:pPr>
            <w:r w:rsidRPr="00685959">
              <w:rPr>
                <w:lang w:eastAsia="en-AU"/>
              </w:rPr>
              <w:t>Other services</w:t>
            </w:r>
          </w:p>
        </w:tc>
        <w:tc>
          <w:tcPr>
            <w:tcW w:w="2551" w:type="dxa"/>
          </w:tcPr>
          <w:p w14:paraId="2EFEF473" w14:textId="6070CD40" w:rsidR="00380EA3" w:rsidRPr="00685959" w:rsidRDefault="00380EA3" w:rsidP="00380EA3">
            <w:pPr>
              <w:jc w:val="right"/>
            </w:pPr>
            <w:r w:rsidRPr="00685959">
              <w:t>6.2</w:t>
            </w:r>
          </w:p>
        </w:tc>
      </w:tr>
      <w:tr w:rsidR="00380EA3" w:rsidRPr="00385B78" w14:paraId="1E571BB6" w14:textId="77777777" w:rsidTr="00F4340E">
        <w:tc>
          <w:tcPr>
            <w:tcW w:w="4707" w:type="dxa"/>
            <w:shd w:val="clear" w:color="auto" w:fill="CEDCE8"/>
          </w:tcPr>
          <w:p w14:paraId="6BF4F596" w14:textId="5889483D" w:rsidR="00380EA3" w:rsidRPr="00685959" w:rsidRDefault="00380EA3" w:rsidP="00380EA3">
            <w:pPr>
              <w:rPr>
                <w:lang w:eastAsia="en-AU"/>
              </w:rPr>
            </w:pPr>
            <w:r w:rsidRPr="00685959">
              <w:rPr>
                <w:lang w:eastAsia="en-AU"/>
              </w:rPr>
              <w:t>Unknown industry</w:t>
            </w:r>
          </w:p>
        </w:tc>
        <w:tc>
          <w:tcPr>
            <w:tcW w:w="2551" w:type="dxa"/>
          </w:tcPr>
          <w:p w14:paraId="2F7E60DF" w14:textId="0F53EB81" w:rsidR="00380EA3" w:rsidRPr="00685959" w:rsidRDefault="00380EA3" w:rsidP="00380EA3">
            <w:pPr>
              <w:jc w:val="right"/>
            </w:pPr>
            <w:r w:rsidRPr="00685959">
              <w:t>6.0</w:t>
            </w:r>
          </w:p>
        </w:tc>
      </w:tr>
      <w:tr w:rsidR="00380EA3" w:rsidRPr="00385B78" w14:paraId="7FEA89D2" w14:textId="77777777" w:rsidTr="00F4340E">
        <w:tc>
          <w:tcPr>
            <w:tcW w:w="4707" w:type="dxa"/>
            <w:shd w:val="clear" w:color="auto" w:fill="CEDCE8"/>
          </w:tcPr>
          <w:p w14:paraId="6A50A67C" w14:textId="5E4D57A7" w:rsidR="00380EA3" w:rsidRPr="00685959" w:rsidRDefault="00380EA3" w:rsidP="00380EA3">
            <w:pPr>
              <w:rPr>
                <w:lang w:eastAsia="en-AU"/>
              </w:rPr>
            </w:pPr>
            <w:r w:rsidRPr="00685959">
              <w:rPr>
                <w:lang w:eastAsia="en-AU"/>
              </w:rPr>
              <w:t>Mining</w:t>
            </w:r>
          </w:p>
        </w:tc>
        <w:tc>
          <w:tcPr>
            <w:tcW w:w="2551" w:type="dxa"/>
          </w:tcPr>
          <w:p w14:paraId="330FCAF9" w14:textId="22E1669B" w:rsidR="00380EA3" w:rsidRPr="00685959" w:rsidRDefault="00380EA3" w:rsidP="00380EA3">
            <w:pPr>
              <w:jc w:val="right"/>
            </w:pPr>
            <w:r w:rsidRPr="00685959">
              <w:t>5.8</w:t>
            </w:r>
          </w:p>
        </w:tc>
      </w:tr>
      <w:tr w:rsidR="00380EA3" w:rsidRPr="00385B78" w14:paraId="1A84501B" w14:textId="77777777" w:rsidTr="00F4340E">
        <w:tc>
          <w:tcPr>
            <w:tcW w:w="4707" w:type="dxa"/>
            <w:shd w:val="clear" w:color="auto" w:fill="CEDCE8"/>
          </w:tcPr>
          <w:p w14:paraId="476F9827" w14:textId="4F31CE36" w:rsidR="00380EA3" w:rsidRPr="00685959" w:rsidRDefault="00380EA3" w:rsidP="00380EA3">
            <w:pPr>
              <w:rPr>
                <w:lang w:eastAsia="en-AU"/>
              </w:rPr>
            </w:pPr>
            <w:r w:rsidRPr="00685959">
              <w:rPr>
                <w:lang w:eastAsia="en-AU"/>
              </w:rPr>
              <w:t>Administrative and support services</w:t>
            </w:r>
          </w:p>
        </w:tc>
        <w:tc>
          <w:tcPr>
            <w:tcW w:w="2551" w:type="dxa"/>
          </w:tcPr>
          <w:p w14:paraId="1F2CF373" w14:textId="19ADD753" w:rsidR="00380EA3" w:rsidRPr="00685959" w:rsidRDefault="00380EA3" w:rsidP="00380EA3">
            <w:pPr>
              <w:jc w:val="right"/>
            </w:pPr>
            <w:r w:rsidRPr="00685959">
              <w:t>4.3</w:t>
            </w:r>
          </w:p>
        </w:tc>
      </w:tr>
      <w:tr w:rsidR="00380EA3" w:rsidRPr="00385B78" w14:paraId="7C8AEA1C" w14:textId="77777777" w:rsidTr="00F4340E">
        <w:tc>
          <w:tcPr>
            <w:tcW w:w="4707" w:type="dxa"/>
            <w:shd w:val="clear" w:color="auto" w:fill="CEDCE8"/>
          </w:tcPr>
          <w:p w14:paraId="3C029D41" w14:textId="03618900" w:rsidR="00380EA3" w:rsidRPr="00685959" w:rsidRDefault="00380EA3" w:rsidP="00380EA3">
            <w:pPr>
              <w:rPr>
                <w:lang w:eastAsia="en-AU"/>
              </w:rPr>
            </w:pPr>
            <w:r w:rsidRPr="00685959">
              <w:rPr>
                <w:lang w:eastAsia="en-AU"/>
              </w:rPr>
              <w:t>Rental, hiring and real estate services</w:t>
            </w:r>
          </w:p>
        </w:tc>
        <w:tc>
          <w:tcPr>
            <w:tcW w:w="2551" w:type="dxa"/>
          </w:tcPr>
          <w:p w14:paraId="4B57A612" w14:textId="7622A2E4" w:rsidR="00380EA3" w:rsidRPr="00685959" w:rsidRDefault="00380EA3" w:rsidP="00380EA3">
            <w:pPr>
              <w:jc w:val="right"/>
            </w:pPr>
            <w:r w:rsidRPr="00685959">
              <w:t>2.7</w:t>
            </w:r>
          </w:p>
        </w:tc>
      </w:tr>
      <w:tr w:rsidR="00380EA3" w:rsidRPr="00385B78" w14:paraId="6B9E380C" w14:textId="77777777" w:rsidTr="00F4340E">
        <w:tc>
          <w:tcPr>
            <w:tcW w:w="4707" w:type="dxa"/>
            <w:shd w:val="clear" w:color="auto" w:fill="CEDCE8"/>
          </w:tcPr>
          <w:p w14:paraId="7B4F171F" w14:textId="4FB192CA" w:rsidR="00380EA3" w:rsidRPr="00685959" w:rsidRDefault="00380EA3" w:rsidP="00380EA3">
            <w:pPr>
              <w:rPr>
                <w:lang w:eastAsia="en-AU"/>
              </w:rPr>
            </w:pPr>
            <w:r w:rsidRPr="00685959">
              <w:rPr>
                <w:lang w:eastAsia="en-AU"/>
              </w:rPr>
              <w:t>Information media and telecommunication</w:t>
            </w:r>
          </w:p>
        </w:tc>
        <w:tc>
          <w:tcPr>
            <w:tcW w:w="2551" w:type="dxa"/>
          </w:tcPr>
          <w:p w14:paraId="2436F693" w14:textId="12DE6039" w:rsidR="00380EA3" w:rsidRPr="00685959" w:rsidRDefault="00380EA3" w:rsidP="00380EA3">
            <w:pPr>
              <w:jc w:val="right"/>
            </w:pPr>
            <w:r w:rsidRPr="00685959">
              <w:t>2.1</w:t>
            </w:r>
          </w:p>
        </w:tc>
      </w:tr>
      <w:tr w:rsidR="00380EA3" w:rsidRPr="00385B78" w14:paraId="08758687" w14:textId="77777777" w:rsidTr="00F4340E">
        <w:tc>
          <w:tcPr>
            <w:tcW w:w="4707" w:type="dxa"/>
            <w:shd w:val="clear" w:color="auto" w:fill="CEDCE8"/>
          </w:tcPr>
          <w:p w14:paraId="4832616D" w14:textId="4C56CBE0" w:rsidR="00380EA3" w:rsidRPr="00685959" w:rsidRDefault="00380EA3" w:rsidP="00380EA3">
            <w:pPr>
              <w:rPr>
                <w:lang w:eastAsia="en-AU"/>
              </w:rPr>
            </w:pPr>
            <w:r w:rsidRPr="00685959">
              <w:rPr>
                <w:lang w:eastAsia="en-AU"/>
              </w:rPr>
              <w:t>Professional, scientific and technical services</w:t>
            </w:r>
          </w:p>
        </w:tc>
        <w:tc>
          <w:tcPr>
            <w:tcW w:w="2551" w:type="dxa"/>
          </w:tcPr>
          <w:p w14:paraId="4FD06312" w14:textId="278FDAE2" w:rsidR="00380EA3" w:rsidRPr="00685959" w:rsidRDefault="00380EA3" w:rsidP="00380EA3">
            <w:pPr>
              <w:jc w:val="right"/>
            </w:pPr>
            <w:r w:rsidRPr="00685959">
              <w:t>1.6</w:t>
            </w:r>
          </w:p>
        </w:tc>
      </w:tr>
      <w:tr w:rsidR="00380EA3" w:rsidRPr="00385B78" w14:paraId="50607294" w14:textId="77777777" w:rsidTr="00F4340E">
        <w:tc>
          <w:tcPr>
            <w:tcW w:w="4707" w:type="dxa"/>
            <w:shd w:val="clear" w:color="auto" w:fill="CEDCE8"/>
          </w:tcPr>
          <w:p w14:paraId="528BABB0" w14:textId="0326951C" w:rsidR="00380EA3" w:rsidRPr="00685959" w:rsidRDefault="00380EA3" w:rsidP="00380EA3">
            <w:pPr>
              <w:rPr>
                <w:lang w:eastAsia="en-AU"/>
              </w:rPr>
            </w:pPr>
            <w:r w:rsidRPr="00685959">
              <w:rPr>
                <w:lang w:eastAsia="en-AU"/>
              </w:rPr>
              <w:t>Financial and insurance services</w:t>
            </w:r>
          </w:p>
        </w:tc>
        <w:tc>
          <w:tcPr>
            <w:tcW w:w="2551" w:type="dxa"/>
          </w:tcPr>
          <w:p w14:paraId="534670C1" w14:textId="285BE055" w:rsidR="00380EA3" w:rsidRPr="00685959" w:rsidRDefault="00380EA3" w:rsidP="00380EA3">
            <w:pPr>
              <w:jc w:val="right"/>
            </w:pPr>
            <w:r w:rsidRPr="00685959">
              <w:t>0.7</w:t>
            </w:r>
          </w:p>
        </w:tc>
      </w:tr>
    </w:tbl>
    <w:p w14:paraId="05E1ABA8" w14:textId="3FA3A2F5" w:rsidR="00402FB3" w:rsidRDefault="00FD746A" w:rsidP="00753429">
      <w:pPr>
        <w:pStyle w:val="Heading2nonumber"/>
        <w:tabs>
          <w:tab w:val="left" w:pos="4275"/>
        </w:tabs>
        <w:rPr>
          <w:lang w:val="en-US"/>
        </w:rPr>
      </w:pPr>
      <w:bookmarkStart w:id="265" w:name="_Toc525121973"/>
      <w:r>
        <w:rPr>
          <w:noProof/>
          <w:lang w:eastAsia="en-AU"/>
        </w:rPr>
        <w:drawing>
          <wp:inline distT="0" distB="0" distL="0" distR="0" wp14:anchorId="03AF5C50" wp14:editId="15E82258">
            <wp:extent cx="5629275" cy="5429250"/>
            <wp:effectExtent l="0" t="0" r="0" b="0"/>
            <wp:docPr id="7" name="Chart 7" descr="This graph outlines the frequency of lost-time claims by industry for 2016/17. The top industries were arts and recreation services, agriculture, forestry and fishing, manufacturing and health care and social assistance. " title="Graph: Frequency of lost-time claims by indust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265"/>
    </w:p>
    <w:p w14:paraId="1EDA1C5F" w14:textId="5ACA76AF" w:rsidR="00FD59EC" w:rsidRDefault="00FD59EC" w:rsidP="00753429">
      <w:pPr>
        <w:pStyle w:val="Heading2nonumber"/>
        <w:tabs>
          <w:tab w:val="left" w:pos="4275"/>
        </w:tabs>
        <w:rPr>
          <w:lang w:val="en-US"/>
        </w:rPr>
      </w:pPr>
      <w:bookmarkStart w:id="266" w:name="_Toc525121974"/>
      <w:r w:rsidRPr="00FD59EC">
        <w:rPr>
          <w:lang w:val="en-US"/>
        </w:rPr>
        <w:t>Scheme payments 201</w:t>
      </w:r>
      <w:r w:rsidR="00E54444">
        <w:rPr>
          <w:lang w:val="en-US"/>
        </w:rPr>
        <w:t>7</w:t>
      </w:r>
      <w:r w:rsidRPr="00FD59EC">
        <w:rPr>
          <w:lang w:val="en-US"/>
        </w:rPr>
        <w:t>/1</w:t>
      </w:r>
      <w:bookmarkEnd w:id="263"/>
      <w:bookmarkEnd w:id="264"/>
      <w:r w:rsidR="00E54444">
        <w:rPr>
          <w:lang w:val="en-US"/>
        </w:rPr>
        <w:t>8</w:t>
      </w:r>
      <w:bookmarkEnd w:id="266"/>
      <w:r w:rsidR="00753429">
        <w:rPr>
          <w:lang w:val="en-US"/>
        </w:rPr>
        <w:tab/>
      </w:r>
    </w:p>
    <w:p w14:paraId="7B6AFAD3" w14:textId="59FD1443" w:rsidR="00E54444" w:rsidRPr="00402FB3" w:rsidRDefault="00597612" w:rsidP="00E54444">
      <w:r>
        <w:t>During 2017/18, 65.9 per</w:t>
      </w:r>
      <w:r w:rsidR="00402FB3">
        <w:t>cent of scheme payments were paid directly to workers in the form of income payment and common law and l</w:t>
      </w:r>
      <w:r>
        <w:t>ump sum payouts, while 23.7 per</w:t>
      </w:r>
      <w:r w:rsidR="00402FB3">
        <w:t xml:space="preserve">cent of payments were made for treatment services, such as medical, allied health and </w:t>
      </w:r>
      <w:r w:rsidR="00A22870">
        <w:t>workplace</w:t>
      </w:r>
      <w:r w:rsidR="00402FB3">
        <w:t xml:space="preserve"> rehabilitation services. The remaining 10.</w:t>
      </w:r>
      <w:r>
        <w:t>5 per</w:t>
      </w:r>
      <w:r w:rsidR="00402FB3">
        <w:t xml:space="preserve">cent of payments were related to legal and other services. </w:t>
      </w:r>
    </w:p>
    <w:tbl>
      <w:tblPr>
        <w:tblStyle w:val="TableGrid"/>
        <w:tblW w:w="9072"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16: Scheme payments 2017/18"/>
        <w:tblDescription w:val="This table outlines the scheme payments for 2017/18 categorised into the amount spent on income payments, common law and lump sum payouts, treatment service payments and legal and other service payments. "/>
      </w:tblPr>
      <w:tblGrid>
        <w:gridCol w:w="4962"/>
        <w:gridCol w:w="2574"/>
        <w:gridCol w:w="1536"/>
      </w:tblGrid>
      <w:tr w:rsidR="00FD59EC" w:rsidRPr="00FD59EC" w14:paraId="766EEC98" w14:textId="77777777" w:rsidTr="00F4340E">
        <w:trPr>
          <w:tblHeader/>
        </w:trPr>
        <w:tc>
          <w:tcPr>
            <w:tcW w:w="9072" w:type="dxa"/>
            <w:gridSpan w:val="3"/>
            <w:shd w:val="clear" w:color="auto" w:fill="003F5F"/>
            <w:hideMark/>
          </w:tcPr>
          <w:p w14:paraId="17E2E4C4" w14:textId="73C4ABF1" w:rsidR="00FD59EC" w:rsidRPr="00FD59EC" w:rsidRDefault="009F5F0A" w:rsidP="00685959">
            <w:pPr>
              <w:rPr>
                <w:rFonts w:eastAsiaTheme="majorEastAsia"/>
                <w:b/>
                <w:bCs/>
                <w:color w:val="FFFFFF" w:themeColor="background2"/>
              </w:rPr>
            </w:pPr>
            <w:r w:rsidRPr="00F4340E">
              <w:rPr>
                <w:rFonts w:eastAsiaTheme="majorEastAsia"/>
                <w:b/>
                <w:bCs/>
                <w:color w:val="FFFFFF" w:themeColor="background1"/>
                <w:lang w:eastAsia="en-AU"/>
              </w:rPr>
              <w:t xml:space="preserve">Table </w:t>
            </w:r>
            <w:r w:rsidR="00685959" w:rsidRPr="00F4340E">
              <w:rPr>
                <w:rFonts w:eastAsiaTheme="majorEastAsia"/>
                <w:b/>
                <w:bCs/>
                <w:color w:val="FFFFFF" w:themeColor="background1"/>
                <w:lang w:eastAsia="en-AU"/>
              </w:rPr>
              <w:t>16</w:t>
            </w:r>
            <w:r w:rsidR="00FD59EC" w:rsidRPr="00E54444">
              <w:rPr>
                <w:rFonts w:eastAsiaTheme="majorEastAsia"/>
                <w:b/>
                <w:bCs/>
                <w:color w:val="FFFFFF" w:themeColor="background1"/>
                <w:lang w:eastAsia="en-AU"/>
              </w:rPr>
              <w:t>: Scheme payments 201</w:t>
            </w:r>
            <w:r w:rsidR="00E54444" w:rsidRPr="00E54444">
              <w:rPr>
                <w:rFonts w:eastAsiaTheme="majorEastAsia"/>
                <w:b/>
                <w:bCs/>
                <w:color w:val="FFFFFF" w:themeColor="background1"/>
                <w:lang w:eastAsia="en-AU"/>
              </w:rPr>
              <w:t>7</w:t>
            </w:r>
            <w:r w:rsidR="00FD59EC" w:rsidRPr="00E54444">
              <w:rPr>
                <w:rFonts w:eastAsiaTheme="majorEastAsia"/>
                <w:b/>
                <w:bCs/>
                <w:color w:val="FFFFFF" w:themeColor="background1"/>
                <w:lang w:eastAsia="en-AU"/>
              </w:rPr>
              <w:t>/1</w:t>
            </w:r>
            <w:r w:rsidR="00E54444" w:rsidRPr="00E54444">
              <w:rPr>
                <w:rFonts w:eastAsiaTheme="majorEastAsia"/>
                <w:b/>
                <w:bCs/>
                <w:color w:val="FFFFFF" w:themeColor="background1"/>
                <w:lang w:eastAsia="en-AU"/>
              </w:rPr>
              <w:t>8</w:t>
            </w:r>
          </w:p>
        </w:tc>
      </w:tr>
      <w:tr w:rsidR="008067D6" w:rsidRPr="00FD59EC" w14:paraId="665784CB" w14:textId="77777777" w:rsidTr="00F4340E">
        <w:tc>
          <w:tcPr>
            <w:tcW w:w="4962" w:type="dxa"/>
            <w:shd w:val="clear" w:color="auto" w:fill="CEDCE8"/>
            <w:hideMark/>
          </w:tcPr>
          <w:p w14:paraId="187788AB" w14:textId="3F437D44" w:rsidR="008067D6" w:rsidRPr="00FD59EC" w:rsidRDefault="008067D6" w:rsidP="008067D6">
            <w:pPr>
              <w:rPr>
                <w:rFonts w:eastAsiaTheme="majorEastAsia"/>
              </w:rPr>
            </w:pPr>
            <w:r w:rsidRPr="00FD59EC">
              <w:rPr>
                <w:lang w:eastAsia="en-AU"/>
              </w:rPr>
              <w:t>Income payment</w:t>
            </w:r>
            <w:r w:rsidR="00785559">
              <w:rPr>
                <w:lang w:eastAsia="en-AU"/>
              </w:rPr>
              <w:t>s</w:t>
            </w:r>
          </w:p>
        </w:tc>
        <w:tc>
          <w:tcPr>
            <w:tcW w:w="2574" w:type="dxa"/>
            <w:hideMark/>
          </w:tcPr>
          <w:p w14:paraId="3CC2CEEE" w14:textId="17943C80" w:rsidR="008067D6" w:rsidRPr="001704D0" w:rsidRDefault="001704D0" w:rsidP="0035087D">
            <w:pPr>
              <w:jc w:val="right"/>
            </w:pPr>
            <w:r w:rsidRPr="001704D0">
              <w:t>$331.1</w:t>
            </w:r>
            <w:r w:rsidR="00DB7709" w:rsidRPr="001704D0">
              <w:t xml:space="preserve"> </w:t>
            </w:r>
            <w:r w:rsidR="008067D6" w:rsidRPr="001704D0">
              <w:t>million</w:t>
            </w:r>
          </w:p>
        </w:tc>
        <w:tc>
          <w:tcPr>
            <w:tcW w:w="1536" w:type="dxa"/>
            <w:hideMark/>
          </w:tcPr>
          <w:p w14:paraId="18894CE4" w14:textId="165AF4AB" w:rsidR="008067D6" w:rsidRPr="001704D0" w:rsidRDefault="001704D0" w:rsidP="0035087D">
            <w:pPr>
              <w:jc w:val="right"/>
              <w:rPr>
                <w:lang w:eastAsia="en-AU"/>
              </w:rPr>
            </w:pPr>
            <w:r w:rsidRPr="001704D0">
              <w:t>37.3%</w:t>
            </w:r>
          </w:p>
        </w:tc>
      </w:tr>
      <w:tr w:rsidR="008067D6" w:rsidRPr="00FD59EC" w14:paraId="40AA520A" w14:textId="77777777" w:rsidTr="00F4340E">
        <w:tc>
          <w:tcPr>
            <w:tcW w:w="4962" w:type="dxa"/>
            <w:shd w:val="clear" w:color="auto" w:fill="CEDCE8"/>
            <w:hideMark/>
          </w:tcPr>
          <w:p w14:paraId="468E41E7" w14:textId="77777777" w:rsidR="008067D6" w:rsidRPr="00FD59EC" w:rsidRDefault="008067D6" w:rsidP="008067D6">
            <w:pPr>
              <w:rPr>
                <w:lang w:eastAsia="en-AU"/>
              </w:rPr>
            </w:pPr>
            <w:r w:rsidRPr="00FD59EC">
              <w:rPr>
                <w:lang w:eastAsia="en-AU"/>
              </w:rPr>
              <w:t>Common law and lump sum payments</w:t>
            </w:r>
          </w:p>
        </w:tc>
        <w:tc>
          <w:tcPr>
            <w:tcW w:w="2574" w:type="dxa"/>
            <w:hideMark/>
          </w:tcPr>
          <w:p w14:paraId="5A8312CF" w14:textId="545A3851" w:rsidR="008067D6" w:rsidRPr="001704D0" w:rsidRDefault="001704D0" w:rsidP="0035087D">
            <w:pPr>
              <w:jc w:val="right"/>
            </w:pPr>
            <w:r w:rsidRPr="001704D0">
              <w:t>$253.5 million</w:t>
            </w:r>
          </w:p>
        </w:tc>
        <w:tc>
          <w:tcPr>
            <w:tcW w:w="1536" w:type="dxa"/>
            <w:hideMark/>
          </w:tcPr>
          <w:p w14:paraId="71756B82" w14:textId="77E0E3E1" w:rsidR="008067D6" w:rsidRPr="001704D0" w:rsidRDefault="001704D0" w:rsidP="0035087D">
            <w:pPr>
              <w:jc w:val="right"/>
              <w:rPr>
                <w:lang w:eastAsia="en-AU"/>
              </w:rPr>
            </w:pPr>
            <w:r w:rsidRPr="001704D0">
              <w:t>28.6%</w:t>
            </w:r>
          </w:p>
        </w:tc>
      </w:tr>
      <w:tr w:rsidR="008067D6" w:rsidRPr="00FD59EC" w14:paraId="67787B60" w14:textId="77777777" w:rsidTr="00F4340E">
        <w:tc>
          <w:tcPr>
            <w:tcW w:w="4962" w:type="dxa"/>
            <w:shd w:val="clear" w:color="auto" w:fill="CEDCE8"/>
            <w:hideMark/>
          </w:tcPr>
          <w:p w14:paraId="611A0E31" w14:textId="77777777" w:rsidR="008067D6" w:rsidRPr="00FD59EC" w:rsidRDefault="008067D6" w:rsidP="008067D6">
            <w:pPr>
              <w:rPr>
                <w:lang w:eastAsia="en-AU"/>
              </w:rPr>
            </w:pPr>
            <w:r w:rsidRPr="00FD59EC">
              <w:rPr>
                <w:lang w:eastAsia="en-AU"/>
              </w:rPr>
              <w:t>Treatment service payments</w:t>
            </w:r>
          </w:p>
        </w:tc>
        <w:tc>
          <w:tcPr>
            <w:tcW w:w="2574" w:type="dxa"/>
            <w:hideMark/>
          </w:tcPr>
          <w:p w14:paraId="3F9F4F5C" w14:textId="1EA1B0ED" w:rsidR="008067D6" w:rsidRPr="001704D0" w:rsidRDefault="001704D0" w:rsidP="0035087D">
            <w:pPr>
              <w:jc w:val="right"/>
            </w:pPr>
            <w:r w:rsidRPr="001704D0">
              <w:t>$210.1 million</w:t>
            </w:r>
          </w:p>
        </w:tc>
        <w:tc>
          <w:tcPr>
            <w:tcW w:w="1536" w:type="dxa"/>
            <w:hideMark/>
          </w:tcPr>
          <w:p w14:paraId="5DB442EE" w14:textId="471B93E1" w:rsidR="008067D6" w:rsidRPr="001704D0" w:rsidRDefault="001704D0" w:rsidP="0035087D">
            <w:pPr>
              <w:jc w:val="right"/>
              <w:rPr>
                <w:lang w:eastAsia="en-AU"/>
              </w:rPr>
            </w:pPr>
            <w:r w:rsidRPr="001704D0">
              <w:t>23.7%</w:t>
            </w:r>
          </w:p>
        </w:tc>
      </w:tr>
      <w:tr w:rsidR="008067D6" w:rsidRPr="00FD59EC" w14:paraId="3A23973F" w14:textId="77777777" w:rsidTr="00F4340E">
        <w:tc>
          <w:tcPr>
            <w:tcW w:w="4962" w:type="dxa"/>
            <w:shd w:val="clear" w:color="auto" w:fill="CEDCE8"/>
            <w:hideMark/>
          </w:tcPr>
          <w:p w14:paraId="142206B1" w14:textId="77777777" w:rsidR="008067D6" w:rsidRPr="00FD59EC" w:rsidRDefault="008067D6" w:rsidP="008067D6">
            <w:pPr>
              <w:rPr>
                <w:lang w:eastAsia="en-AU"/>
              </w:rPr>
            </w:pPr>
            <w:r w:rsidRPr="00FD59EC">
              <w:rPr>
                <w:lang w:eastAsia="en-AU"/>
              </w:rPr>
              <w:t>Legal and other service payments</w:t>
            </w:r>
          </w:p>
        </w:tc>
        <w:tc>
          <w:tcPr>
            <w:tcW w:w="2574" w:type="dxa"/>
            <w:hideMark/>
          </w:tcPr>
          <w:p w14:paraId="78676E98" w14:textId="08C124D9" w:rsidR="008067D6" w:rsidRPr="001704D0" w:rsidRDefault="001704D0" w:rsidP="001704D0">
            <w:pPr>
              <w:jc w:val="right"/>
            </w:pPr>
            <w:r w:rsidRPr="001704D0">
              <w:t>$92.8</w:t>
            </w:r>
            <w:r w:rsidR="008067D6" w:rsidRPr="001704D0">
              <w:t xml:space="preserve"> million</w:t>
            </w:r>
          </w:p>
        </w:tc>
        <w:tc>
          <w:tcPr>
            <w:tcW w:w="1536" w:type="dxa"/>
            <w:hideMark/>
          </w:tcPr>
          <w:p w14:paraId="330AA333" w14:textId="5493AA87" w:rsidR="008067D6" w:rsidRPr="001704D0" w:rsidRDefault="001704D0" w:rsidP="0035087D">
            <w:pPr>
              <w:jc w:val="right"/>
              <w:rPr>
                <w:lang w:eastAsia="en-AU"/>
              </w:rPr>
            </w:pPr>
            <w:r w:rsidRPr="001704D0">
              <w:t>10.5%</w:t>
            </w:r>
          </w:p>
        </w:tc>
      </w:tr>
    </w:tbl>
    <w:p w14:paraId="6B860B2F" w14:textId="77777777" w:rsidR="009F5F0A" w:rsidRDefault="009F5F0A" w:rsidP="000A1824"/>
    <w:p w14:paraId="4D52F199" w14:textId="020B58EC" w:rsidR="001704D0" w:rsidRDefault="001704D0" w:rsidP="009F5F0A">
      <w:pPr>
        <w:pStyle w:val="Heading2nonumber"/>
      </w:pPr>
      <w:bookmarkStart w:id="267" w:name="_Toc525121975"/>
      <w:r>
        <w:rPr>
          <w:noProof/>
          <w:lang w:eastAsia="en-AU"/>
        </w:rPr>
        <w:drawing>
          <wp:anchor distT="0" distB="0" distL="114300" distR="114300" simplePos="0" relativeHeight="251661312" behindDoc="0" locked="0" layoutInCell="1" allowOverlap="1" wp14:anchorId="1FEBE84F" wp14:editId="6F182A9C">
            <wp:simplePos x="0" y="0"/>
            <wp:positionH relativeFrom="margin">
              <wp:align>center</wp:align>
            </wp:positionH>
            <wp:positionV relativeFrom="paragraph">
              <wp:posOffset>3175</wp:posOffset>
            </wp:positionV>
            <wp:extent cx="3048000" cy="4413388"/>
            <wp:effectExtent l="0" t="0" r="0" b="6350"/>
            <wp:wrapTopAndBottom/>
            <wp:docPr id="29" name="Chart 29" descr="This graph outlines the scheme payments for 2017/18 categorised into the amount spent on income payments, common law and lump sum payouts, treatment service payments and legal and other service payments. " title="Graph - Scheme payments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267"/>
    </w:p>
    <w:p w14:paraId="7DF84A3B" w14:textId="1E2D818C" w:rsidR="009F5F0A" w:rsidRDefault="009F5F0A" w:rsidP="009F5F0A">
      <w:pPr>
        <w:pStyle w:val="Heading2nonumber"/>
      </w:pPr>
      <w:bookmarkStart w:id="268" w:name="_Toc525121976"/>
      <w:r>
        <w:t>Average recommended premium rates</w:t>
      </w:r>
      <w:bookmarkEnd w:id="268"/>
    </w:p>
    <w:p w14:paraId="3583E8F4" w14:textId="2494ED6E" w:rsidR="00FD746A" w:rsidRPr="00FD746A" w:rsidRDefault="00FD746A" w:rsidP="00BC53C9">
      <w:r w:rsidRPr="00FD746A">
        <w:t>WorkCover WA publishes annual recommended premium rates for workers’ compensation insurance for each industry. The average recommended premium rate for 2018/19 represents an incr</w:t>
      </w:r>
      <w:r w:rsidR="00597612">
        <w:t>ease of 3.9 per</w:t>
      </w:r>
      <w:r w:rsidRPr="00FD746A">
        <w:t>cent on th</w:t>
      </w:r>
      <w:r w:rsidR="00597612">
        <w:t>e previous rate, from 1.525 percent to 1.585 per</w:t>
      </w:r>
      <w:r w:rsidRPr="00FD746A">
        <w:t>cent of total wages.</w:t>
      </w:r>
    </w:p>
    <w:p w14:paraId="208CA286" w14:textId="77777777" w:rsidR="00FD746A" w:rsidRPr="00FD746A" w:rsidRDefault="00FD746A" w:rsidP="00BC53C9">
      <w:r w:rsidRPr="00FD746A">
        <w:t>In 2017/18 WorkCover WA published recommended premium rates for 2018/19 based on Australian and New Zealand Industrial Classification (ANZSIC) 2006 classifications. Previously recommended premium rates were based on ANZSIC 1993 classifications.</w:t>
      </w:r>
    </w:p>
    <w:p w14:paraId="4E43BCE7" w14:textId="77777777" w:rsidR="00FD746A" w:rsidRPr="00FD746A" w:rsidRDefault="00FD746A" w:rsidP="00BC53C9">
      <w:r w:rsidRPr="00FD746A">
        <w:t>The change to ANZSIC 2006 does not affect the overall average recommended premium rate although some classes will be impacted. Recommended premium rates are developed with the assistance of the scheme actuary. In 2017/18 the scheme actuary was PricewaterhouseCoopers Actuarial.</w:t>
      </w:r>
    </w:p>
    <w:p w14:paraId="17B2DC09" w14:textId="77777777" w:rsidR="00FD746A" w:rsidRPr="00FD746A" w:rsidRDefault="00FD746A" w:rsidP="00BC53C9">
      <w:r w:rsidRPr="00FD746A">
        <w:t>The increase in 2018/19 premium rates is the result of a number of factors, including increasing average claim costs and expenses and a reduction in wages.</w:t>
      </w:r>
    </w:p>
    <w:p w14:paraId="43B0113F" w14:textId="39FFE3A2" w:rsidR="00FD746A" w:rsidRPr="00FD746A" w:rsidRDefault="00F21E0A" w:rsidP="00FD746A">
      <w:pPr>
        <w:rPr>
          <w:rFonts w:cs="Arial"/>
          <w:bCs/>
        </w:rPr>
      </w:pPr>
      <w:r>
        <w:rPr>
          <w:rFonts w:cs="Arial"/>
          <w:bCs/>
        </w:rPr>
        <w:t>A</w:t>
      </w:r>
      <w:r w:rsidR="00FD746A" w:rsidRPr="00FD746A">
        <w:rPr>
          <w:rFonts w:cs="Arial"/>
          <w:bCs/>
        </w:rPr>
        <w:t>verage recommended premium rates vary from year to year to ensure the scheme is fully funded. The average recommended prem</w:t>
      </w:r>
      <w:r w:rsidR="00597612">
        <w:rPr>
          <w:rFonts w:cs="Arial"/>
          <w:bCs/>
        </w:rPr>
        <w:t>ium rate has reduced by 8.8 per</w:t>
      </w:r>
      <w:r w:rsidR="00FD746A" w:rsidRPr="00FD746A">
        <w:rPr>
          <w:rFonts w:cs="Arial"/>
          <w:bCs/>
        </w:rPr>
        <w:t xml:space="preserve">cent over the last decade. </w:t>
      </w:r>
    </w:p>
    <w:tbl>
      <w:tblPr>
        <w:tblStyle w:val="TableGrid62"/>
        <w:tblW w:w="9083"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17: WA average recommended premium rates"/>
        <w:tblDescription w:val="This table compares average recommended premium rates for the last ten financial years. "/>
      </w:tblPr>
      <w:tblGrid>
        <w:gridCol w:w="908"/>
        <w:gridCol w:w="908"/>
        <w:gridCol w:w="908"/>
        <w:gridCol w:w="909"/>
        <w:gridCol w:w="908"/>
        <w:gridCol w:w="908"/>
        <w:gridCol w:w="909"/>
        <w:gridCol w:w="908"/>
        <w:gridCol w:w="908"/>
        <w:gridCol w:w="909"/>
      </w:tblGrid>
      <w:tr w:rsidR="00CA2893" w:rsidRPr="00E8458B" w14:paraId="5052BA07" w14:textId="77777777" w:rsidTr="007242B4">
        <w:trPr>
          <w:trHeight w:val="529"/>
          <w:tblHeader/>
        </w:trPr>
        <w:tc>
          <w:tcPr>
            <w:tcW w:w="9083" w:type="dxa"/>
            <w:gridSpan w:val="10"/>
            <w:shd w:val="clear" w:color="auto" w:fill="003F5F"/>
          </w:tcPr>
          <w:p w14:paraId="12CFFE12" w14:textId="0FEE6B9E" w:rsidR="00CA2893" w:rsidRPr="00685959" w:rsidRDefault="009F5F0A" w:rsidP="008D3070">
            <w:pPr>
              <w:ind w:left="-79"/>
              <w:rPr>
                <w:b/>
                <w:bCs/>
                <w:color w:val="FFFFFF" w:themeColor="background1"/>
              </w:rPr>
            </w:pPr>
            <w:r w:rsidRPr="00F4340E">
              <w:rPr>
                <w:b/>
                <w:bCs/>
                <w:color w:val="FFFFFF" w:themeColor="background1"/>
              </w:rPr>
              <w:t xml:space="preserve">Table </w:t>
            </w:r>
            <w:r w:rsidR="00685959" w:rsidRPr="00F4340E">
              <w:rPr>
                <w:b/>
                <w:bCs/>
                <w:color w:val="FFFFFF" w:themeColor="background1"/>
              </w:rPr>
              <w:t>17</w:t>
            </w:r>
            <w:r w:rsidR="00CA2893" w:rsidRPr="00F4340E">
              <w:rPr>
                <w:b/>
                <w:bCs/>
                <w:color w:val="FFFFFF" w:themeColor="background1"/>
              </w:rPr>
              <w:t xml:space="preserve">: </w:t>
            </w:r>
            <w:r w:rsidR="00CA2893" w:rsidRPr="00685959">
              <w:rPr>
                <w:b/>
                <w:bCs/>
                <w:color w:val="FFFFFF" w:themeColor="background1"/>
              </w:rPr>
              <w:t xml:space="preserve">WA </w:t>
            </w:r>
            <w:r w:rsidR="008D3070">
              <w:rPr>
                <w:b/>
                <w:bCs/>
                <w:color w:val="FFFFFF" w:themeColor="background1"/>
              </w:rPr>
              <w:t>a</w:t>
            </w:r>
            <w:r w:rsidR="00CA2893" w:rsidRPr="00685959">
              <w:rPr>
                <w:b/>
                <w:bCs/>
                <w:color w:val="FFFFFF" w:themeColor="background1"/>
              </w:rPr>
              <w:t xml:space="preserve">verage recommended premium rates </w:t>
            </w:r>
          </w:p>
        </w:tc>
      </w:tr>
      <w:tr w:rsidR="00CA2893" w:rsidRPr="00E8458B" w14:paraId="789FB630" w14:textId="77777777" w:rsidTr="007242B4">
        <w:trPr>
          <w:trHeight w:val="433"/>
        </w:trPr>
        <w:tc>
          <w:tcPr>
            <w:tcW w:w="908" w:type="dxa"/>
            <w:shd w:val="clear" w:color="auto" w:fill="CEDCE8"/>
          </w:tcPr>
          <w:p w14:paraId="10B76EF2" w14:textId="68E01D86" w:rsidR="00CA2893" w:rsidRPr="00685959" w:rsidRDefault="005C124E" w:rsidP="008121F9">
            <w:pPr>
              <w:jc w:val="center"/>
            </w:pPr>
            <w:r w:rsidRPr="00685959">
              <w:t>2009</w:t>
            </w:r>
            <w:r w:rsidR="00CA2893" w:rsidRPr="00685959">
              <w:t>/</w:t>
            </w:r>
            <w:r w:rsidR="00192AA2" w:rsidRPr="00685959">
              <w:t>20</w:t>
            </w:r>
            <w:r w:rsidRPr="00685959">
              <w:t>10</w:t>
            </w:r>
          </w:p>
        </w:tc>
        <w:tc>
          <w:tcPr>
            <w:tcW w:w="908" w:type="dxa"/>
            <w:shd w:val="clear" w:color="auto" w:fill="CEDCE8"/>
          </w:tcPr>
          <w:p w14:paraId="6827E991" w14:textId="550D0F58" w:rsidR="00CA2893" w:rsidRPr="00685959" w:rsidRDefault="005C124E" w:rsidP="008121F9">
            <w:pPr>
              <w:jc w:val="center"/>
            </w:pPr>
            <w:r w:rsidRPr="00685959">
              <w:t>2010</w:t>
            </w:r>
            <w:r w:rsidR="00CA2893" w:rsidRPr="00685959">
              <w:t>/</w:t>
            </w:r>
            <w:r w:rsidR="00192AA2" w:rsidRPr="00685959">
              <w:t>20</w:t>
            </w:r>
            <w:r w:rsidRPr="00685959">
              <w:t>11</w:t>
            </w:r>
          </w:p>
        </w:tc>
        <w:tc>
          <w:tcPr>
            <w:tcW w:w="908" w:type="dxa"/>
            <w:shd w:val="clear" w:color="auto" w:fill="CEDCE8"/>
          </w:tcPr>
          <w:p w14:paraId="5E384D98" w14:textId="48D1CE30" w:rsidR="00CA2893" w:rsidRPr="00685959" w:rsidRDefault="005C124E" w:rsidP="008121F9">
            <w:pPr>
              <w:jc w:val="center"/>
            </w:pPr>
            <w:r w:rsidRPr="00685959">
              <w:t>2011</w:t>
            </w:r>
            <w:r w:rsidR="00CA2893" w:rsidRPr="00685959">
              <w:t>/</w:t>
            </w:r>
            <w:r w:rsidR="00192AA2" w:rsidRPr="00685959">
              <w:t>20</w:t>
            </w:r>
            <w:r w:rsidRPr="00685959">
              <w:t>12</w:t>
            </w:r>
          </w:p>
        </w:tc>
        <w:tc>
          <w:tcPr>
            <w:tcW w:w="909" w:type="dxa"/>
            <w:shd w:val="clear" w:color="auto" w:fill="CEDCE8"/>
          </w:tcPr>
          <w:p w14:paraId="3105ABF8" w14:textId="6F319C70" w:rsidR="00CA2893" w:rsidRPr="00685959" w:rsidRDefault="005C124E" w:rsidP="008121F9">
            <w:pPr>
              <w:jc w:val="center"/>
            </w:pPr>
            <w:r w:rsidRPr="00685959">
              <w:t>2012</w:t>
            </w:r>
            <w:r w:rsidR="00CA2893" w:rsidRPr="00685959">
              <w:t>/</w:t>
            </w:r>
            <w:r w:rsidR="00192AA2" w:rsidRPr="00685959">
              <w:t>20</w:t>
            </w:r>
            <w:r w:rsidRPr="00685959">
              <w:t>13</w:t>
            </w:r>
          </w:p>
        </w:tc>
        <w:tc>
          <w:tcPr>
            <w:tcW w:w="908" w:type="dxa"/>
            <w:shd w:val="clear" w:color="auto" w:fill="CEDCE8"/>
          </w:tcPr>
          <w:p w14:paraId="41A30436" w14:textId="3F71DD04" w:rsidR="00CA2893" w:rsidRPr="00685959" w:rsidRDefault="005C124E" w:rsidP="008121F9">
            <w:pPr>
              <w:jc w:val="center"/>
            </w:pPr>
            <w:r w:rsidRPr="00685959">
              <w:t>2013</w:t>
            </w:r>
            <w:r w:rsidR="00CA2893" w:rsidRPr="00685959">
              <w:t>/</w:t>
            </w:r>
            <w:r w:rsidR="00192AA2" w:rsidRPr="00685959">
              <w:t>20</w:t>
            </w:r>
            <w:r w:rsidRPr="00685959">
              <w:t>14</w:t>
            </w:r>
          </w:p>
        </w:tc>
        <w:tc>
          <w:tcPr>
            <w:tcW w:w="908" w:type="dxa"/>
            <w:shd w:val="clear" w:color="auto" w:fill="CEDCE8"/>
          </w:tcPr>
          <w:p w14:paraId="25E57186" w14:textId="43355C3A" w:rsidR="00CA2893" w:rsidRPr="00685959" w:rsidRDefault="005C124E" w:rsidP="008121F9">
            <w:pPr>
              <w:jc w:val="center"/>
            </w:pPr>
            <w:r w:rsidRPr="00685959">
              <w:t>2014</w:t>
            </w:r>
            <w:r w:rsidR="00CA2893" w:rsidRPr="00685959">
              <w:t>/</w:t>
            </w:r>
            <w:r w:rsidR="00192AA2" w:rsidRPr="00685959">
              <w:t>20</w:t>
            </w:r>
            <w:r w:rsidRPr="00685959">
              <w:t>15</w:t>
            </w:r>
          </w:p>
        </w:tc>
        <w:tc>
          <w:tcPr>
            <w:tcW w:w="909" w:type="dxa"/>
            <w:shd w:val="clear" w:color="auto" w:fill="CEDCE8"/>
          </w:tcPr>
          <w:p w14:paraId="6E40D65A" w14:textId="0939CF7B" w:rsidR="00CA2893" w:rsidRPr="00685959" w:rsidRDefault="005C124E" w:rsidP="008121F9">
            <w:pPr>
              <w:jc w:val="center"/>
            </w:pPr>
            <w:r w:rsidRPr="00685959">
              <w:t>2015</w:t>
            </w:r>
            <w:r w:rsidR="00CA2893" w:rsidRPr="00685959">
              <w:t>/</w:t>
            </w:r>
            <w:r w:rsidR="00192AA2" w:rsidRPr="00685959">
              <w:t>20</w:t>
            </w:r>
            <w:r w:rsidRPr="00685959">
              <w:t>16</w:t>
            </w:r>
          </w:p>
        </w:tc>
        <w:tc>
          <w:tcPr>
            <w:tcW w:w="908" w:type="dxa"/>
            <w:shd w:val="clear" w:color="auto" w:fill="CEDCE8"/>
          </w:tcPr>
          <w:p w14:paraId="486C2F22" w14:textId="79B91529" w:rsidR="00CA2893" w:rsidRPr="00685959" w:rsidRDefault="005C124E" w:rsidP="008121F9">
            <w:pPr>
              <w:jc w:val="center"/>
            </w:pPr>
            <w:r w:rsidRPr="00685959">
              <w:t>2016</w:t>
            </w:r>
            <w:r w:rsidR="00CA2893" w:rsidRPr="00685959">
              <w:t>/</w:t>
            </w:r>
            <w:r w:rsidR="00192AA2" w:rsidRPr="00685959">
              <w:t>20</w:t>
            </w:r>
            <w:r w:rsidRPr="00685959">
              <w:t>17</w:t>
            </w:r>
          </w:p>
        </w:tc>
        <w:tc>
          <w:tcPr>
            <w:tcW w:w="908" w:type="dxa"/>
            <w:shd w:val="clear" w:color="auto" w:fill="CEDCE8"/>
            <w:vAlign w:val="center"/>
          </w:tcPr>
          <w:p w14:paraId="79590FAD" w14:textId="5DEF6667" w:rsidR="00CA2893" w:rsidRPr="00685959" w:rsidRDefault="005C124E" w:rsidP="008121F9">
            <w:pPr>
              <w:jc w:val="center"/>
            </w:pPr>
            <w:r w:rsidRPr="00685959">
              <w:t>2017</w:t>
            </w:r>
            <w:r w:rsidR="00CA2893" w:rsidRPr="00685959">
              <w:t>/</w:t>
            </w:r>
            <w:r w:rsidR="00192AA2" w:rsidRPr="00685959">
              <w:t>20</w:t>
            </w:r>
            <w:r w:rsidRPr="00685959">
              <w:t>18</w:t>
            </w:r>
          </w:p>
        </w:tc>
        <w:tc>
          <w:tcPr>
            <w:tcW w:w="909" w:type="dxa"/>
            <w:shd w:val="clear" w:color="auto" w:fill="CEDCE8"/>
            <w:vAlign w:val="center"/>
          </w:tcPr>
          <w:p w14:paraId="68BB685D" w14:textId="3C9237D6" w:rsidR="00CA2893" w:rsidRPr="00685959" w:rsidRDefault="005C124E" w:rsidP="008121F9">
            <w:pPr>
              <w:jc w:val="center"/>
            </w:pPr>
            <w:r w:rsidRPr="00685959">
              <w:t>2018</w:t>
            </w:r>
            <w:r w:rsidR="00CA2893" w:rsidRPr="00685959">
              <w:t>/</w:t>
            </w:r>
            <w:r w:rsidR="00192AA2" w:rsidRPr="00685959">
              <w:t>20</w:t>
            </w:r>
            <w:r w:rsidRPr="00685959">
              <w:t>19</w:t>
            </w:r>
          </w:p>
        </w:tc>
      </w:tr>
      <w:tr w:rsidR="00CA2893" w:rsidRPr="00E8458B" w14:paraId="232CFBA9" w14:textId="77777777" w:rsidTr="007242B4">
        <w:trPr>
          <w:trHeight w:val="544"/>
        </w:trPr>
        <w:tc>
          <w:tcPr>
            <w:tcW w:w="908" w:type="dxa"/>
            <w:shd w:val="clear" w:color="auto" w:fill="FFFFFF" w:themeFill="background1"/>
          </w:tcPr>
          <w:p w14:paraId="221D39B0" w14:textId="3E593CC2" w:rsidR="00CA2893" w:rsidRPr="00685959" w:rsidRDefault="00B83C9E" w:rsidP="00192AA2">
            <w:r w:rsidRPr="00685959">
              <w:t>1.738</w:t>
            </w:r>
          </w:p>
        </w:tc>
        <w:tc>
          <w:tcPr>
            <w:tcW w:w="908" w:type="dxa"/>
            <w:shd w:val="clear" w:color="auto" w:fill="FFFFFF" w:themeFill="background1"/>
          </w:tcPr>
          <w:p w14:paraId="563ADE4B" w14:textId="007CA716" w:rsidR="00CA2893" w:rsidRPr="00685959" w:rsidRDefault="00B83C9E" w:rsidP="00192AA2">
            <w:r w:rsidRPr="00685959">
              <w:t>1.497</w:t>
            </w:r>
          </w:p>
        </w:tc>
        <w:tc>
          <w:tcPr>
            <w:tcW w:w="908" w:type="dxa"/>
            <w:shd w:val="clear" w:color="auto" w:fill="FFFFFF" w:themeFill="background1"/>
          </w:tcPr>
          <w:p w14:paraId="2B6EB66B" w14:textId="4922AAD8" w:rsidR="00CA2893" w:rsidRPr="00685959" w:rsidRDefault="00B83C9E" w:rsidP="00192AA2">
            <w:r w:rsidRPr="00685959">
              <w:t>1.569</w:t>
            </w:r>
          </w:p>
        </w:tc>
        <w:tc>
          <w:tcPr>
            <w:tcW w:w="909" w:type="dxa"/>
            <w:shd w:val="clear" w:color="auto" w:fill="FFFFFF" w:themeFill="background1"/>
          </w:tcPr>
          <w:p w14:paraId="5158F22C" w14:textId="0C25AD2D" w:rsidR="00CA2893" w:rsidRPr="00685959" w:rsidRDefault="00B83C9E" w:rsidP="00192AA2">
            <w:r w:rsidRPr="00685959">
              <w:t>1.691</w:t>
            </w:r>
          </w:p>
        </w:tc>
        <w:tc>
          <w:tcPr>
            <w:tcW w:w="908" w:type="dxa"/>
            <w:shd w:val="clear" w:color="auto" w:fill="FFFFFF" w:themeFill="background1"/>
          </w:tcPr>
          <w:p w14:paraId="5C4F70E0" w14:textId="1C7140C9" w:rsidR="00CA2893" w:rsidRPr="00685959" w:rsidRDefault="00B83C9E" w:rsidP="00192AA2">
            <w:r w:rsidRPr="00685959">
              <w:t>1.668</w:t>
            </w:r>
          </w:p>
        </w:tc>
        <w:tc>
          <w:tcPr>
            <w:tcW w:w="908" w:type="dxa"/>
            <w:shd w:val="clear" w:color="auto" w:fill="FFFFFF" w:themeFill="background1"/>
          </w:tcPr>
          <w:p w14:paraId="6EAA3AFB" w14:textId="3FCF23A7" w:rsidR="00CA2893" w:rsidRPr="00685959" w:rsidRDefault="00B83C9E" w:rsidP="00192AA2">
            <w:r w:rsidRPr="00685959">
              <w:t>1.556</w:t>
            </w:r>
          </w:p>
        </w:tc>
        <w:tc>
          <w:tcPr>
            <w:tcW w:w="909" w:type="dxa"/>
            <w:shd w:val="clear" w:color="auto" w:fill="FFFFFF" w:themeFill="background1"/>
          </w:tcPr>
          <w:p w14:paraId="13A5A7D2" w14:textId="0897A632" w:rsidR="00CA2893" w:rsidRPr="00685959" w:rsidRDefault="00B83C9E" w:rsidP="00192AA2">
            <w:r w:rsidRPr="00685959">
              <w:t>1.483</w:t>
            </w:r>
          </w:p>
        </w:tc>
        <w:tc>
          <w:tcPr>
            <w:tcW w:w="908" w:type="dxa"/>
            <w:shd w:val="clear" w:color="auto" w:fill="FFFFFF" w:themeFill="background1"/>
          </w:tcPr>
          <w:p w14:paraId="5523E7D9" w14:textId="3CCF8E8D" w:rsidR="00CA2893" w:rsidRPr="00685959" w:rsidRDefault="00B83C9E" w:rsidP="00192AA2">
            <w:r w:rsidRPr="00685959">
              <w:t>1.478</w:t>
            </w:r>
          </w:p>
        </w:tc>
        <w:tc>
          <w:tcPr>
            <w:tcW w:w="908" w:type="dxa"/>
            <w:shd w:val="clear" w:color="auto" w:fill="FFFFFF" w:themeFill="background1"/>
            <w:vAlign w:val="center"/>
          </w:tcPr>
          <w:p w14:paraId="5D825163" w14:textId="019C8E85" w:rsidR="00CA2893" w:rsidRPr="00685959" w:rsidRDefault="00B83C9E" w:rsidP="00192AA2">
            <w:r w:rsidRPr="00685959">
              <w:t>1.525</w:t>
            </w:r>
          </w:p>
        </w:tc>
        <w:tc>
          <w:tcPr>
            <w:tcW w:w="909" w:type="dxa"/>
            <w:shd w:val="clear" w:color="auto" w:fill="FFFFFF" w:themeFill="background1"/>
            <w:vAlign w:val="center"/>
          </w:tcPr>
          <w:p w14:paraId="6B792FD5" w14:textId="6E1428E1" w:rsidR="00CA2893" w:rsidRPr="00685959" w:rsidRDefault="00B83C9E" w:rsidP="00192AA2">
            <w:r w:rsidRPr="00685959">
              <w:t>1.585</w:t>
            </w:r>
          </w:p>
        </w:tc>
      </w:tr>
    </w:tbl>
    <w:p w14:paraId="75CADD19" w14:textId="77777777" w:rsidR="00FE39B5" w:rsidRPr="00085A7C" w:rsidRDefault="00FE39B5" w:rsidP="00E8458B">
      <w:pPr>
        <w:keepLines w:val="0"/>
        <w:spacing w:after="0" w:line="240" w:lineRule="auto"/>
        <w:rPr>
          <w:rFonts w:cs="Arial"/>
          <w:bCs/>
          <w:color w:val="FF0000"/>
          <w:highlight w:val="yellow"/>
        </w:rPr>
      </w:pPr>
    </w:p>
    <w:p w14:paraId="129062DA" w14:textId="05A6A2B5" w:rsidR="000D067D" w:rsidRDefault="00FD746A" w:rsidP="001A4830">
      <w:pPr>
        <w:rPr>
          <w:rStyle w:val="Heading2nonumberChar"/>
        </w:rPr>
      </w:pPr>
      <w:bookmarkStart w:id="269" w:name="_Toc399316944"/>
      <w:bookmarkStart w:id="270" w:name="_Toc450900682"/>
      <w:r>
        <w:rPr>
          <w:noProof/>
          <w:lang w:eastAsia="en-AU"/>
        </w:rPr>
        <w:drawing>
          <wp:inline distT="0" distB="0" distL="0" distR="0" wp14:anchorId="64BCAB21" wp14:editId="55697906">
            <wp:extent cx="5657850" cy="1943099"/>
            <wp:effectExtent l="0" t="0" r="0" b="635"/>
            <wp:docPr id="10" name="Chart 10" descr="This graph provides data and comparison of the recommended premium rates for the last decade. " title="Graph: Average recommended premium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1704D0">
        <w:br/>
      </w:r>
    </w:p>
    <w:p w14:paraId="01870D32" w14:textId="482D06E8" w:rsidR="00FD59EC" w:rsidRPr="005F5F1D" w:rsidRDefault="00FD59EC" w:rsidP="001A4830">
      <w:bookmarkStart w:id="271" w:name="_Toc525121977"/>
      <w:r w:rsidRPr="0084787E">
        <w:rPr>
          <w:rStyle w:val="Heading2nonumberChar"/>
        </w:rPr>
        <w:t>Scheme payments and premium income</w:t>
      </w:r>
      <w:bookmarkEnd w:id="269"/>
      <w:bookmarkEnd w:id="270"/>
      <w:bookmarkEnd w:id="271"/>
      <w:r w:rsidRPr="0084787E">
        <w:rPr>
          <w:rStyle w:val="Heading2nonumberChar"/>
        </w:rPr>
        <w:t xml:space="preserve"> </w:t>
      </w:r>
    </w:p>
    <w:p w14:paraId="1BBADB63" w14:textId="4DF99263" w:rsidR="00B83C9E" w:rsidRPr="001704D0" w:rsidRDefault="001704D0" w:rsidP="00B83C9E">
      <w:r>
        <w:t xml:space="preserve">This table shows changes in premiums collected and compensation paid during the past five financial years. Variations in claim payments and premium income over time reflect changes in number of employees, wage growth and inflationary pressures. </w:t>
      </w:r>
      <w:r w:rsidR="00E83476">
        <w:br/>
      </w:r>
      <w:r w:rsidR="00E83476">
        <w:br/>
      </w:r>
    </w:p>
    <w:tbl>
      <w:tblPr>
        <w:tblStyle w:val="TableGrid71"/>
        <w:tblW w:w="9356" w:type="dxa"/>
        <w:tblInd w:w="108"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18: Scheme payments and premium income"/>
        <w:tblDescription w:val="This table shows changes in premiums collected and compensation paid during the past five financial years"/>
      </w:tblPr>
      <w:tblGrid>
        <w:gridCol w:w="2722"/>
        <w:gridCol w:w="1462"/>
        <w:gridCol w:w="1293"/>
        <w:gridCol w:w="1293"/>
        <w:gridCol w:w="1293"/>
        <w:gridCol w:w="1293"/>
      </w:tblGrid>
      <w:tr w:rsidR="00B83C9E" w:rsidRPr="00502A56" w14:paraId="0BC5EE50" w14:textId="77777777" w:rsidTr="007242B4">
        <w:trPr>
          <w:tblHeader/>
        </w:trPr>
        <w:tc>
          <w:tcPr>
            <w:tcW w:w="9356" w:type="dxa"/>
            <w:gridSpan w:val="6"/>
            <w:shd w:val="clear" w:color="auto" w:fill="003F5F"/>
          </w:tcPr>
          <w:p w14:paraId="4422F2B5" w14:textId="66216292" w:rsidR="00B83C9E" w:rsidRPr="00502A56" w:rsidRDefault="00B83C9E" w:rsidP="00685959">
            <w:pPr>
              <w:rPr>
                <w:b/>
              </w:rPr>
            </w:pPr>
            <w:r w:rsidRPr="007242B4">
              <w:rPr>
                <w:b/>
                <w:color w:val="FFFFFF" w:themeColor="background1"/>
              </w:rPr>
              <w:t xml:space="preserve">Table </w:t>
            </w:r>
            <w:r w:rsidR="00685959" w:rsidRPr="007242B4">
              <w:rPr>
                <w:b/>
                <w:color w:val="FFFFFF" w:themeColor="background1"/>
              </w:rPr>
              <w:t>18</w:t>
            </w:r>
            <w:r w:rsidRPr="00B83C9E">
              <w:rPr>
                <w:b/>
                <w:color w:val="FFFFFF" w:themeColor="background1"/>
              </w:rPr>
              <w:t xml:space="preserve">: Scheme payments and premium income </w:t>
            </w:r>
          </w:p>
        </w:tc>
      </w:tr>
      <w:tr w:rsidR="00B83C9E" w:rsidRPr="00502A56" w14:paraId="742958E0" w14:textId="77777777" w:rsidTr="007242B4">
        <w:trPr>
          <w:trHeight w:val="374"/>
        </w:trPr>
        <w:tc>
          <w:tcPr>
            <w:tcW w:w="2722" w:type="dxa"/>
            <w:shd w:val="clear" w:color="auto" w:fill="CEDCE8"/>
          </w:tcPr>
          <w:p w14:paraId="43541D66" w14:textId="77777777" w:rsidR="00B83C9E" w:rsidRPr="00192AA2" w:rsidRDefault="00B83C9E" w:rsidP="00EB262D">
            <w:pPr>
              <w:rPr>
                <w:rStyle w:val="Strong"/>
              </w:rPr>
            </w:pPr>
            <w:r w:rsidRPr="00192AA2">
              <w:rPr>
                <w:rStyle w:val="Strong"/>
              </w:rPr>
              <w:t>Scheme payments and premium income</w:t>
            </w:r>
          </w:p>
        </w:tc>
        <w:tc>
          <w:tcPr>
            <w:tcW w:w="1462" w:type="dxa"/>
            <w:shd w:val="clear" w:color="auto" w:fill="CEDCE8"/>
          </w:tcPr>
          <w:p w14:paraId="0CF89D96" w14:textId="77777777" w:rsidR="00B83C9E" w:rsidRPr="00192AA2" w:rsidRDefault="00B83C9E" w:rsidP="008121F9">
            <w:pPr>
              <w:jc w:val="center"/>
              <w:rPr>
                <w:rStyle w:val="Strong"/>
                <w:rFonts w:eastAsia="Calibri"/>
              </w:rPr>
            </w:pPr>
            <w:r>
              <w:rPr>
                <w:rStyle w:val="Strong"/>
                <w:rFonts w:eastAsia="Calibri"/>
              </w:rPr>
              <w:t>2013/14</w:t>
            </w:r>
          </w:p>
        </w:tc>
        <w:tc>
          <w:tcPr>
            <w:tcW w:w="1293" w:type="dxa"/>
            <w:shd w:val="clear" w:color="auto" w:fill="CEDCE8"/>
          </w:tcPr>
          <w:p w14:paraId="38C23A91" w14:textId="77777777" w:rsidR="00B83C9E" w:rsidRPr="00192AA2" w:rsidRDefault="00B83C9E" w:rsidP="008121F9">
            <w:pPr>
              <w:jc w:val="center"/>
              <w:rPr>
                <w:rStyle w:val="Strong"/>
                <w:rFonts w:eastAsia="Calibri"/>
              </w:rPr>
            </w:pPr>
            <w:r>
              <w:rPr>
                <w:rStyle w:val="Strong"/>
                <w:rFonts w:eastAsia="Calibri"/>
              </w:rPr>
              <w:t>2014/15</w:t>
            </w:r>
          </w:p>
        </w:tc>
        <w:tc>
          <w:tcPr>
            <w:tcW w:w="1293" w:type="dxa"/>
            <w:shd w:val="clear" w:color="auto" w:fill="CEDCE8"/>
          </w:tcPr>
          <w:p w14:paraId="0E4D9390" w14:textId="77777777" w:rsidR="00B83C9E" w:rsidRPr="00192AA2" w:rsidRDefault="00B83C9E" w:rsidP="008121F9">
            <w:pPr>
              <w:jc w:val="center"/>
              <w:rPr>
                <w:rStyle w:val="Strong"/>
                <w:rFonts w:eastAsia="Calibri"/>
              </w:rPr>
            </w:pPr>
            <w:r>
              <w:rPr>
                <w:rStyle w:val="Strong"/>
                <w:rFonts w:eastAsia="Calibri"/>
              </w:rPr>
              <w:t>2015/16</w:t>
            </w:r>
          </w:p>
        </w:tc>
        <w:tc>
          <w:tcPr>
            <w:tcW w:w="1293" w:type="dxa"/>
            <w:shd w:val="clear" w:color="auto" w:fill="CEDCE8"/>
          </w:tcPr>
          <w:p w14:paraId="5122A858" w14:textId="77777777" w:rsidR="00B83C9E" w:rsidRPr="00192AA2" w:rsidRDefault="00B83C9E" w:rsidP="008121F9">
            <w:pPr>
              <w:jc w:val="center"/>
              <w:rPr>
                <w:rStyle w:val="Strong"/>
                <w:rFonts w:eastAsia="Calibri"/>
              </w:rPr>
            </w:pPr>
            <w:r>
              <w:rPr>
                <w:rStyle w:val="Strong"/>
                <w:rFonts w:eastAsia="Calibri"/>
              </w:rPr>
              <w:t>2016/17</w:t>
            </w:r>
          </w:p>
        </w:tc>
        <w:tc>
          <w:tcPr>
            <w:tcW w:w="1293" w:type="dxa"/>
            <w:shd w:val="clear" w:color="auto" w:fill="CEDCE8"/>
          </w:tcPr>
          <w:p w14:paraId="39A1182D" w14:textId="77777777" w:rsidR="00B83C9E" w:rsidRPr="00192AA2" w:rsidRDefault="00B83C9E" w:rsidP="008121F9">
            <w:pPr>
              <w:jc w:val="center"/>
              <w:rPr>
                <w:rStyle w:val="Strong"/>
              </w:rPr>
            </w:pPr>
            <w:r>
              <w:rPr>
                <w:rStyle w:val="Strong"/>
              </w:rPr>
              <w:t>2017/18</w:t>
            </w:r>
          </w:p>
        </w:tc>
      </w:tr>
      <w:tr w:rsidR="00B83C9E" w:rsidRPr="00502A56" w14:paraId="039A499C" w14:textId="77777777" w:rsidTr="007242B4">
        <w:tc>
          <w:tcPr>
            <w:tcW w:w="2722" w:type="dxa"/>
            <w:shd w:val="clear" w:color="auto" w:fill="FFFFFF" w:themeFill="background1"/>
          </w:tcPr>
          <w:p w14:paraId="7143841B" w14:textId="77777777" w:rsidR="00B83C9E" w:rsidRPr="00502A56" w:rsidRDefault="00B83C9E" w:rsidP="00EB262D">
            <w:r w:rsidRPr="00502A56">
              <w:t>Total workers’ compensation premiums (premium payers only)</w:t>
            </w:r>
          </w:p>
        </w:tc>
        <w:tc>
          <w:tcPr>
            <w:tcW w:w="1462" w:type="dxa"/>
            <w:shd w:val="clear" w:color="auto" w:fill="FFFFFF" w:themeFill="background1"/>
          </w:tcPr>
          <w:p w14:paraId="462FEE07" w14:textId="41641DB0" w:rsidR="00B83C9E" w:rsidRPr="005C124E" w:rsidRDefault="00B83C9E" w:rsidP="00B83C9E">
            <w:pPr>
              <w:jc w:val="center"/>
              <w:rPr>
                <w:rFonts w:eastAsia="Calibri"/>
                <w:color w:val="FF0000"/>
              </w:rPr>
            </w:pPr>
            <w:r w:rsidRPr="00502A56">
              <w:t>$1,250.7 million</w:t>
            </w:r>
          </w:p>
        </w:tc>
        <w:tc>
          <w:tcPr>
            <w:tcW w:w="1293" w:type="dxa"/>
            <w:shd w:val="clear" w:color="auto" w:fill="FFFFFF" w:themeFill="background1"/>
          </w:tcPr>
          <w:p w14:paraId="37CB63E0" w14:textId="65E13D5F" w:rsidR="00B83C9E" w:rsidRPr="005C124E" w:rsidRDefault="00B83C9E" w:rsidP="00B83C9E">
            <w:pPr>
              <w:jc w:val="center"/>
              <w:rPr>
                <w:rFonts w:eastAsia="Calibri"/>
                <w:color w:val="FF0000"/>
              </w:rPr>
            </w:pPr>
            <w:r w:rsidRPr="00502A56">
              <w:t>$1,169.3 million</w:t>
            </w:r>
          </w:p>
        </w:tc>
        <w:tc>
          <w:tcPr>
            <w:tcW w:w="1293" w:type="dxa"/>
            <w:shd w:val="clear" w:color="auto" w:fill="FFFFFF" w:themeFill="background1"/>
          </w:tcPr>
          <w:p w14:paraId="10C36058" w14:textId="3F5A8ACB" w:rsidR="00B83C9E" w:rsidRPr="005C124E" w:rsidRDefault="00B83C9E" w:rsidP="00B83C9E">
            <w:pPr>
              <w:jc w:val="center"/>
              <w:rPr>
                <w:rFonts w:eastAsia="Calibri"/>
                <w:color w:val="FF0000"/>
              </w:rPr>
            </w:pPr>
            <w:r w:rsidRPr="00502A56">
              <w:t>$1,023.6 million</w:t>
            </w:r>
          </w:p>
        </w:tc>
        <w:tc>
          <w:tcPr>
            <w:tcW w:w="1293" w:type="dxa"/>
            <w:shd w:val="clear" w:color="auto" w:fill="FFFFFF" w:themeFill="background1"/>
          </w:tcPr>
          <w:p w14:paraId="3253CCE3" w14:textId="5DEA40F0" w:rsidR="00B83C9E" w:rsidRPr="005C124E" w:rsidRDefault="00B83C9E" w:rsidP="00B83C9E">
            <w:pPr>
              <w:jc w:val="center"/>
              <w:rPr>
                <w:rFonts w:eastAsia="Calibri"/>
                <w:color w:val="FF0000"/>
              </w:rPr>
            </w:pPr>
            <w:r w:rsidRPr="00E46B0D">
              <w:t>$1,013.8</w:t>
            </w:r>
            <w:r w:rsidRPr="00E46B0D">
              <w:br/>
              <w:t>million</w:t>
            </w:r>
          </w:p>
        </w:tc>
        <w:tc>
          <w:tcPr>
            <w:tcW w:w="1293" w:type="dxa"/>
            <w:shd w:val="clear" w:color="auto" w:fill="FFFFFF" w:themeFill="background1"/>
          </w:tcPr>
          <w:p w14:paraId="53E7EDCA" w14:textId="041BB771" w:rsidR="00B83C9E" w:rsidRPr="00B83C9E" w:rsidRDefault="0053386F" w:rsidP="000D0C3C">
            <w:pPr>
              <w:jc w:val="center"/>
              <w:rPr>
                <w:color w:val="FF0000"/>
                <w:highlight w:val="yellow"/>
              </w:rPr>
            </w:pPr>
            <w:r w:rsidRPr="0053386F">
              <w:t>$9</w:t>
            </w:r>
            <w:r w:rsidR="000D0C3C">
              <w:t>92.7</w:t>
            </w:r>
            <w:r w:rsidRPr="0053386F">
              <w:t xml:space="preserve"> million</w:t>
            </w:r>
            <w:r w:rsidR="00B83C9E" w:rsidRPr="00B83C9E">
              <w:rPr>
                <w:color w:val="FF0000"/>
                <w:highlight w:val="yellow"/>
              </w:rPr>
              <w:br/>
            </w:r>
          </w:p>
        </w:tc>
      </w:tr>
      <w:tr w:rsidR="00B83C9E" w:rsidRPr="00502A56" w14:paraId="00A5173F" w14:textId="77777777" w:rsidTr="007242B4">
        <w:tc>
          <w:tcPr>
            <w:tcW w:w="2722" w:type="dxa"/>
            <w:shd w:val="clear" w:color="auto" w:fill="FFFFFF" w:themeFill="background1"/>
          </w:tcPr>
          <w:p w14:paraId="51069660" w14:textId="6B166064" w:rsidR="00B83C9E" w:rsidRPr="00502A56" w:rsidRDefault="00B83C9E" w:rsidP="00EB262D">
            <w:r w:rsidRPr="00502A56">
              <w:t xml:space="preserve">Total workers’ compensation payments (premium payers and </w:t>
            </w:r>
            <w:r w:rsidR="005B6DC0">
              <w:br/>
            </w:r>
            <w:r w:rsidRPr="00502A56">
              <w:t>self-insurers)</w:t>
            </w:r>
          </w:p>
        </w:tc>
        <w:tc>
          <w:tcPr>
            <w:tcW w:w="1462" w:type="dxa"/>
            <w:shd w:val="clear" w:color="auto" w:fill="FFFFFF" w:themeFill="background1"/>
          </w:tcPr>
          <w:p w14:paraId="04C3BD44" w14:textId="74FA16EA" w:rsidR="00B83C9E" w:rsidRPr="005C124E" w:rsidRDefault="00B83C9E" w:rsidP="00B83C9E">
            <w:pPr>
              <w:jc w:val="center"/>
              <w:rPr>
                <w:rFonts w:eastAsia="Calibri"/>
                <w:color w:val="FF0000"/>
              </w:rPr>
            </w:pPr>
            <w:r w:rsidRPr="00502A56">
              <w:t>$902.2 million</w:t>
            </w:r>
          </w:p>
        </w:tc>
        <w:tc>
          <w:tcPr>
            <w:tcW w:w="1293" w:type="dxa"/>
            <w:shd w:val="clear" w:color="auto" w:fill="FFFFFF" w:themeFill="background1"/>
          </w:tcPr>
          <w:p w14:paraId="64408BC1" w14:textId="11594394" w:rsidR="00B83C9E" w:rsidRPr="005C124E" w:rsidRDefault="00B83C9E" w:rsidP="00B83C9E">
            <w:pPr>
              <w:jc w:val="center"/>
              <w:rPr>
                <w:rFonts w:eastAsia="Calibri"/>
                <w:color w:val="FF0000"/>
              </w:rPr>
            </w:pPr>
            <w:r>
              <w:t>$943.0</w:t>
            </w:r>
            <w:r w:rsidRPr="00502A56">
              <w:t xml:space="preserve"> million</w:t>
            </w:r>
          </w:p>
        </w:tc>
        <w:tc>
          <w:tcPr>
            <w:tcW w:w="1293" w:type="dxa"/>
            <w:shd w:val="clear" w:color="auto" w:fill="FFFFFF" w:themeFill="background1"/>
          </w:tcPr>
          <w:p w14:paraId="1B3E51D8" w14:textId="5554E9C3" w:rsidR="00B83C9E" w:rsidRPr="005C124E" w:rsidRDefault="00B83C9E" w:rsidP="001704D0">
            <w:pPr>
              <w:jc w:val="center"/>
              <w:rPr>
                <w:rFonts w:eastAsia="Calibri"/>
                <w:color w:val="FF0000"/>
              </w:rPr>
            </w:pPr>
            <w:r w:rsidRPr="00502A56">
              <w:t>$96</w:t>
            </w:r>
            <w:r w:rsidR="001704D0">
              <w:t>7</w:t>
            </w:r>
            <w:r w:rsidRPr="00502A56">
              <w:t>.</w:t>
            </w:r>
            <w:r w:rsidR="001704D0">
              <w:t>4</w:t>
            </w:r>
            <w:r w:rsidRPr="00502A56">
              <w:t xml:space="preserve"> million</w:t>
            </w:r>
          </w:p>
        </w:tc>
        <w:tc>
          <w:tcPr>
            <w:tcW w:w="1293" w:type="dxa"/>
            <w:shd w:val="clear" w:color="auto" w:fill="FFFFFF" w:themeFill="background1"/>
          </w:tcPr>
          <w:p w14:paraId="40D68012" w14:textId="70A0AC31" w:rsidR="00B83C9E" w:rsidRPr="005C124E" w:rsidRDefault="00B83C9E" w:rsidP="001704D0">
            <w:pPr>
              <w:jc w:val="center"/>
              <w:rPr>
                <w:rFonts w:eastAsia="Calibri"/>
                <w:color w:val="FF0000"/>
              </w:rPr>
            </w:pPr>
            <w:r>
              <w:t>$94</w:t>
            </w:r>
            <w:r w:rsidR="001704D0">
              <w:t>5.5</w:t>
            </w:r>
            <w:r w:rsidRPr="00105318">
              <w:br/>
              <w:t>million</w:t>
            </w:r>
          </w:p>
        </w:tc>
        <w:tc>
          <w:tcPr>
            <w:tcW w:w="1293" w:type="dxa"/>
            <w:shd w:val="clear" w:color="auto" w:fill="FFFFFF" w:themeFill="background1"/>
          </w:tcPr>
          <w:p w14:paraId="7FFBF9A4" w14:textId="148D8FCC" w:rsidR="00B83C9E" w:rsidRPr="00B83C9E" w:rsidRDefault="00B41D08" w:rsidP="0053386F">
            <w:pPr>
              <w:jc w:val="center"/>
              <w:rPr>
                <w:color w:val="FF0000"/>
                <w:highlight w:val="yellow"/>
              </w:rPr>
            </w:pPr>
            <w:r w:rsidRPr="00B41D08">
              <w:t>$</w:t>
            </w:r>
            <w:r w:rsidR="0053386F">
              <w:t>917.1</w:t>
            </w:r>
            <w:r w:rsidRPr="00B41D08">
              <w:t xml:space="preserve"> million</w:t>
            </w:r>
          </w:p>
        </w:tc>
      </w:tr>
    </w:tbl>
    <w:p w14:paraId="58049DB4" w14:textId="77777777" w:rsidR="00B83C9E" w:rsidRDefault="00B83C9E" w:rsidP="00B83C9E">
      <w:pPr>
        <w:rPr>
          <w:color w:val="FFFFFF" w:themeColor="background1"/>
        </w:rPr>
      </w:pPr>
    </w:p>
    <w:p w14:paraId="10A74F6E" w14:textId="6EF7B31F" w:rsidR="0053386F" w:rsidRPr="00681E68" w:rsidRDefault="00300099" w:rsidP="00B83C9E">
      <w:pPr>
        <w:rPr>
          <w:color w:val="FFFFFF" w:themeColor="background1"/>
        </w:rPr>
      </w:pPr>
      <w:r>
        <w:rPr>
          <w:noProof/>
          <w:lang w:eastAsia="en-AU"/>
        </w:rPr>
        <w:drawing>
          <wp:anchor distT="0" distB="0" distL="114300" distR="114300" simplePos="0" relativeHeight="251669504" behindDoc="1" locked="0" layoutInCell="1" allowOverlap="1" wp14:anchorId="54B5F139" wp14:editId="17B51DB6">
            <wp:simplePos x="0" y="0"/>
            <wp:positionH relativeFrom="margin">
              <wp:align>center</wp:align>
            </wp:positionH>
            <wp:positionV relativeFrom="paragraph">
              <wp:posOffset>1905</wp:posOffset>
            </wp:positionV>
            <wp:extent cx="4953000" cy="4114800"/>
            <wp:effectExtent l="0" t="0" r="0" b="0"/>
            <wp:wrapTight wrapText="bothSides">
              <wp:wrapPolygon edited="0">
                <wp:start x="0" y="0"/>
                <wp:lineTo x="0" y="21500"/>
                <wp:lineTo x="21517" y="21500"/>
                <wp:lineTo x="21517"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434E12A" w14:textId="34F1CE46" w:rsidR="00FD59EC" w:rsidRPr="00FD59EC" w:rsidRDefault="00FD59EC" w:rsidP="00245969">
      <w:pPr>
        <w:pStyle w:val="Heading2nonumber"/>
        <w:rPr>
          <w:lang w:val="en-US"/>
        </w:rPr>
      </w:pPr>
      <w:bookmarkStart w:id="272" w:name="_Toc399316945"/>
      <w:bookmarkStart w:id="273" w:name="_Toc450900683"/>
      <w:bookmarkStart w:id="274" w:name="_Toc525121978"/>
      <w:r w:rsidRPr="00FD59EC">
        <w:rPr>
          <w:lang w:val="en-US"/>
        </w:rPr>
        <w:t>Settlements</w:t>
      </w:r>
      <w:bookmarkEnd w:id="272"/>
      <w:bookmarkEnd w:id="273"/>
      <w:bookmarkEnd w:id="274"/>
      <w:r w:rsidRPr="00FD59EC">
        <w:rPr>
          <w:lang w:val="en-US"/>
        </w:rPr>
        <w:t xml:space="preserve"> </w:t>
      </w:r>
    </w:p>
    <w:p w14:paraId="6B8249B7" w14:textId="6DCB7174" w:rsidR="005B6D09" w:rsidRDefault="00B41D08" w:rsidP="005B6D09">
      <w:r>
        <w:t xml:space="preserve">Settlement of workers’ compensation claims may occur in a number of ways in the Western Australian scheme. A Memorandum of Agreement may include compensation for redemption of future weekly payments, and medical expenses and lump sum payments for specific injuries or impairments. Section 92(f) deeds arise from the settlement of actions for common law damages relating to workplace injuries that do not proceed to judgement in a court. </w:t>
      </w:r>
    </w:p>
    <w:p w14:paraId="5F8A5D2E" w14:textId="344BE12D" w:rsidR="00B41D08" w:rsidRPr="00B41D08" w:rsidRDefault="00B41D08" w:rsidP="005B6D09">
      <w:r>
        <w:t xml:space="preserve">The number of 92(f) deed settlements increased between 2013/14 and 2017/18. However, the number of Memoranda of Agreement decreased during this time. </w:t>
      </w:r>
    </w:p>
    <w:tbl>
      <w:tblPr>
        <w:tblStyle w:val="TableGrid"/>
        <w:tblW w:w="0" w:type="auto"/>
        <w:tblInd w:w="-3"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ook w:val="04A0" w:firstRow="1" w:lastRow="0" w:firstColumn="1" w:lastColumn="0" w:noHBand="0" w:noVBand="1"/>
        <w:tblCaption w:val="Table 19: Number of settlements "/>
        <w:tblDescription w:val="This table outlines the number of settlements made by a Section 92(f) deed or Memoranda of Agreement for the past five financial years. "/>
      </w:tblPr>
      <w:tblGrid>
        <w:gridCol w:w="1977"/>
        <w:gridCol w:w="1406"/>
        <w:gridCol w:w="1406"/>
        <w:gridCol w:w="1406"/>
        <w:gridCol w:w="1405"/>
        <w:gridCol w:w="1405"/>
      </w:tblGrid>
      <w:tr w:rsidR="00085A7C" w:rsidRPr="00085A7C" w14:paraId="36F38844" w14:textId="77777777" w:rsidTr="007242B4">
        <w:trPr>
          <w:tblHeader/>
        </w:trPr>
        <w:tc>
          <w:tcPr>
            <w:tcW w:w="9005" w:type="dxa"/>
            <w:gridSpan w:val="6"/>
            <w:shd w:val="clear" w:color="auto" w:fill="003F5F"/>
          </w:tcPr>
          <w:p w14:paraId="15494548" w14:textId="7599803B" w:rsidR="00FD59EC" w:rsidRPr="00B23914" w:rsidRDefault="005C124E" w:rsidP="00685959">
            <w:pPr>
              <w:jc w:val="both"/>
              <w:rPr>
                <w:b/>
                <w:bCs/>
                <w:color w:val="FF0000"/>
              </w:rPr>
            </w:pPr>
            <w:r w:rsidRPr="007242B4">
              <w:rPr>
                <w:b/>
                <w:bCs/>
                <w:color w:val="FFFFFF" w:themeColor="background1"/>
              </w:rPr>
              <w:t xml:space="preserve">Table </w:t>
            </w:r>
            <w:r w:rsidR="00685959" w:rsidRPr="007242B4">
              <w:rPr>
                <w:b/>
                <w:bCs/>
                <w:color w:val="FFFFFF" w:themeColor="background1"/>
              </w:rPr>
              <w:t>19</w:t>
            </w:r>
            <w:r w:rsidR="00FD59EC" w:rsidRPr="005B6D09">
              <w:rPr>
                <w:b/>
                <w:bCs/>
                <w:color w:val="FFFFFF" w:themeColor="background1"/>
              </w:rPr>
              <w:t xml:space="preserve">: Number of settlements </w:t>
            </w:r>
          </w:p>
        </w:tc>
      </w:tr>
      <w:tr w:rsidR="00085A7C" w:rsidRPr="00085A7C" w14:paraId="5BBA743B" w14:textId="77777777" w:rsidTr="007242B4">
        <w:tc>
          <w:tcPr>
            <w:tcW w:w="1977" w:type="dxa"/>
            <w:shd w:val="clear" w:color="auto" w:fill="CEDCE8"/>
          </w:tcPr>
          <w:p w14:paraId="37BF5984" w14:textId="77777777" w:rsidR="00085A7C" w:rsidRPr="00B23914" w:rsidRDefault="00085A7C" w:rsidP="00085A7C">
            <w:pPr>
              <w:rPr>
                <w:b/>
                <w:bCs/>
              </w:rPr>
            </w:pPr>
            <w:r w:rsidRPr="00B23914">
              <w:rPr>
                <w:b/>
                <w:bCs/>
              </w:rPr>
              <w:t>Settlements</w:t>
            </w:r>
          </w:p>
        </w:tc>
        <w:tc>
          <w:tcPr>
            <w:tcW w:w="1406" w:type="dxa"/>
            <w:shd w:val="clear" w:color="auto" w:fill="CEDCE8"/>
            <w:vAlign w:val="center"/>
          </w:tcPr>
          <w:p w14:paraId="42D9FB5D" w14:textId="5F2EC5E9" w:rsidR="00085A7C" w:rsidRPr="00B23914" w:rsidRDefault="005C124E" w:rsidP="008121F9">
            <w:pPr>
              <w:jc w:val="center"/>
              <w:rPr>
                <w:b/>
                <w:bCs/>
              </w:rPr>
            </w:pPr>
            <w:r>
              <w:rPr>
                <w:b/>
                <w:bCs/>
              </w:rPr>
              <w:t>2013/14</w:t>
            </w:r>
          </w:p>
        </w:tc>
        <w:tc>
          <w:tcPr>
            <w:tcW w:w="1406" w:type="dxa"/>
            <w:shd w:val="clear" w:color="auto" w:fill="CEDCE8"/>
            <w:vAlign w:val="center"/>
          </w:tcPr>
          <w:p w14:paraId="3F8CF388" w14:textId="3A3234FE" w:rsidR="00085A7C" w:rsidRPr="00B23914" w:rsidRDefault="005C124E" w:rsidP="008121F9">
            <w:pPr>
              <w:jc w:val="center"/>
              <w:rPr>
                <w:b/>
                <w:bCs/>
              </w:rPr>
            </w:pPr>
            <w:r>
              <w:rPr>
                <w:b/>
                <w:bCs/>
              </w:rPr>
              <w:t>2014/15</w:t>
            </w:r>
          </w:p>
        </w:tc>
        <w:tc>
          <w:tcPr>
            <w:tcW w:w="1406" w:type="dxa"/>
            <w:shd w:val="clear" w:color="auto" w:fill="CEDCE8"/>
            <w:vAlign w:val="center"/>
          </w:tcPr>
          <w:p w14:paraId="1D676C98" w14:textId="7FC1F3BD" w:rsidR="00085A7C" w:rsidRPr="00B23914" w:rsidRDefault="005C124E" w:rsidP="008121F9">
            <w:pPr>
              <w:jc w:val="center"/>
              <w:rPr>
                <w:b/>
                <w:bCs/>
              </w:rPr>
            </w:pPr>
            <w:r>
              <w:rPr>
                <w:b/>
                <w:bCs/>
              </w:rPr>
              <w:t>2015/16</w:t>
            </w:r>
          </w:p>
        </w:tc>
        <w:tc>
          <w:tcPr>
            <w:tcW w:w="1405" w:type="dxa"/>
            <w:shd w:val="clear" w:color="auto" w:fill="CEDCE8"/>
          </w:tcPr>
          <w:p w14:paraId="23BDC1F0" w14:textId="7B525EB1" w:rsidR="00085A7C" w:rsidRPr="00B23914" w:rsidRDefault="005C124E" w:rsidP="008121F9">
            <w:pPr>
              <w:jc w:val="center"/>
              <w:rPr>
                <w:b/>
                <w:bCs/>
              </w:rPr>
            </w:pPr>
            <w:r>
              <w:rPr>
                <w:b/>
                <w:bCs/>
              </w:rPr>
              <w:t>2016/17</w:t>
            </w:r>
          </w:p>
        </w:tc>
        <w:tc>
          <w:tcPr>
            <w:tcW w:w="1405" w:type="dxa"/>
            <w:shd w:val="clear" w:color="auto" w:fill="CEDCE8"/>
          </w:tcPr>
          <w:p w14:paraId="41C5C8F0" w14:textId="5E1DA50C" w:rsidR="00085A7C" w:rsidRPr="00B23914" w:rsidRDefault="005C124E" w:rsidP="008121F9">
            <w:pPr>
              <w:jc w:val="center"/>
              <w:rPr>
                <w:b/>
                <w:bCs/>
              </w:rPr>
            </w:pPr>
            <w:r>
              <w:rPr>
                <w:b/>
                <w:bCs/>
              </w:rPr>
              <w:t>2017/18</w:t>
            </w:r>
          </w:p>
        </w:tc>
      </w:tr>
      <w:tr w:rsidR="00B23914" w:rsidRPr="00085A7C" w14:paraId="4A2A08E7" w14:textId="77777777" w:rsidTr="007242B4">
        <w:tc>
          <w:tcPr>
            <w:tcW w:w="1977" w:type="dxa"/>
            <w:shd w:val="clear" w:color="auto" w:fill="CEDCE8"/>
          </w:tcPr>
          <w:p w14:paraId="1B09DB7F" w14:textId="77777777" w:rsidR="00B23914" w:rsidRPr="00B23914" w:rsidRDefault="00B23914" w:rsidP="00B23914">
            <w:r w:rsidRPr="00B23914">
              <w:br/>
              <w:t xml:space="preserve">Section 92(f) deeds </w:t>
            </w:r>
          </w:p>
        </w:tc>
        <w:tc>
          <w:tcPr>
            <w:tcW w:w="1406" w:type="dxa"/>
            <w:vAlign w:val="center"/>
          </w:tcPr>
          <w:p w14:paraId="6436455E" w14:textId="3B2076DD" w:rsidR="00B23914" w:rsidRPr="003308F0" w:rsidRDefault="003308F0" w:rsidP="003868C6">
            <w:pPr>
              <w:jc w:val="right"/>
            </w:pPr>
            <w:r w:rsidRPr="003308F0">
              <w:t>1,916</w:t>
            </w:r>
          </w:p>
        </w:tc>
        <w:tc>
          <w:tcPr>
            <w:tcW w:w="1406" w:type="dxa"/>
            <w:vAlign w:val="center"/>
          </w:tcPr>
          <w:p w14:paraId="111003C3" w14:textId="11DD49D6" w:rsidR="00B23914" w:rsidRPr="003308F0" w:rsidRDefault="003308F0" w:rsidP="003868C6">
            <w:pPr>
              <w:jc w:val="right"/>
            </w:pPr>
            <w:r w:rsidRPr="003308F0">
              <w:t>2,085</w:t>
            </w:r>
          </w:p>
        </w:tc>
        <w:tc>
          <w:tcPr>
            <w:tcW w:w="1406" w:type="dxa"/>
            <w:vAlign w:val="center"/>
          </w:tcPr>
          <w:p w14:paraId="2E6D16CC" w14:textId="41B212FD" w:rsidR="00B23914" w:rsidRPr="003308F0" w:rsidRDefault="003308F0" w:rsidP="003868C6">
            <w:pPr>
              <w:jc w:val="right"/>
            </w:pPr>
            <w:r w:rsidRPr="003308F0">
              <w:t>2,207</w:t>
            </w:r>
          </w:p>
        </w:tc>
        <w:tc>
          <w:tcPr>
            <w:tcW w:w="1405" w:type="dxa"/>
            <w:vAlign w:val="center"/>
          </w:tcPr>
          <w:p w14:paraId="2A106A79" w14:textId="2D8F864B" w:rsidR="00B23914" w:rsidRPr="003308F0" w:rsidRDefault="003308F0" w:rsidP="003868C6">
            <w:pPr>
              <w:jc w:val="right"/>
            </w:pPr>
            <w:r w:rsidRPr="003308F0">
              <w:t>2,206</w:t>
            </w:r>
          </w:p>
        </w:tc>
        <w:tc>
          <w:tcPr>
            <w:tcW w:w="1405" w:type="dxa"/>
            <w:vAlign w:val="center"/>
          </w:tcPr>
          <w:p w14:paraId="52D1800B" w14:textId="031DF3D7" w:rsidR="00B23914" w:rsidRPr="00B41D08" w:rsidRDefault="00B41D08" w:rsidP="003868C6">
            <w:pPr>
              <w:jc w:val="right"/>
            </w:pPr>
            <w:r w:rsidRPr="00B41D08">
              <w:t>2,523</w:t>
            </w:r>
          </w:p>
        </w:tc>
      </w:tr>
      <w:tr w:rsidR="00B23914" w:rsidRPr="00085A7C" w14:paraId="10BDEFA9" w14:textId="77777777" w:rsidTr="007242B4">
        <w:tc>
          <w:tcPr>
            <w:tcW w:w="1977" w:type="dxa"/>
            <w:shd w:val="clear" w:color="auto" w:fill="CEDCE8"/>
          </w:tcPr>
          <w:p w14:paraId="49A456C4" w14:textId="44D350A8" w:rsidR="00B23914" w:rsidRPr="00B23914" w:rsidRDefault="00B23914" w:rsidP="0008102E">
            <w:r w:rsidRPr="00B23914">
              <w:t>Memorand</w:t>
            </w:r>
            <w:r w:rsidR="0008102E">
              <w:t>a</w:t>
            </w:r>
            <w:r w:rsidRPr="00B23914">
              <w:t xml:space="preserve"> of Agreement</w:t>
            </w:r>
          </w:p>
        </w:tc>
        <w:tc>
          <w:tcPr>
            <w:tcW w:w="1406" w:type="dxa"/>
            <w:vAlign w:val="center"/>
          </w:tcPr>
          <w:p w14:paraId="40A176AB" w14:textId="35D84A4E" w:rsidR="00B23914" w:rsidRPr="003308F0" w:rsidRDefault="003308F0" w:rsidP="003868C6">
            <w:pPr>
              <w:jc w:val="right"/>
            </w:pPr>
            <w:r w:rsidRPr="003308F0">
              <w:t>3,996</w:t>
            </w:r>
          </w:p>
        </w:tc>
        <w:tc>
          <w:tcPr>
            <w:tcW w:w="1406" w:type="dxa"/>
            <w:vAlign w:val="center"/>
          </w:tcPr>
          <w:p w14:paraId="0D525351" w14:textId="1A82EC7C" w:rsidR="00B23914" w:rsidRPr="003308F0" w:rsidRDefault="003308F0" w:rsidP="003868C6">
            <w:pPr>
              <w:jc w:val="right"/>
            </w:pPr>
            <w:r w:rsidRPr="003308F0">
              <w:t>4,113</w:t>
            </w:r>
          </w:p>
        </w:tc>
        <w:tc>
          <w:tcPr>
            <w:tcW w:w="1406" w:type="dxa"/>
            <w:vAlign w:val="center"/>
          </w:tcPr>
          <w:p w14:paraId="2A53120F" w14:textId="2E687DF3" w:rsidR="00B23914" w:rsidRPr="003308F0" w:rsidRDefault="003308F0" w:rsidP="003868C6">
            <w:pPr>
              <w:jc w:val="right"/>
            </w:pPr>
            <w:r w:rsidRPr="003308F0">
              <w:t>4,327</w:t>
            </w:r>
          </w:p>
        </w:tc>
        <w:tc>
          <w:tcPr>
            <w:tcW w:w="1405" w:type="dxa"/>
            <w:vAlign w:val="center"/>
          </w:tcPr>
          <w:p w14:paraId="4FE895CD" w14:textId="371B7B6D" w:rsidR="00B23914" w:rsidRPr="003308F0" w:rsidRDefault="003308F0" w:rsidP="003868C6">
            <w:pPr>
              <w:jc w:val="right"/>
            </w:pPr>
            <w:r w:rsidRPr="003308F0">
              <w:t>4,116</w:t>
            </w:r>
          </w:p>
        </w:tc>
        <w:tc>
          <w:tcPr>
            <w:tcW w:w="1405" w:type="dxa"/>
            <w:vAlign w:val="center"/>
          </w:tcPr>
          <w:p w14:paraId="28C7B6D6" w14:textId="697BE1BE" w:rsidR="00B23914" w:rsidRPr="00B41D08" w:rsidRDefault="00B41D08" w:rsidP="003868C6">
            <w:pPr>
              <w:jc w:val="right"/>
            </w:pPr>
            <w:r w:rsidRPr="00B41D08">
              <w:t>3,859</w:t>
            </w:r>
          </w:p>
        </w:tc>
      </w:tr>
    </w:tbl>
    <w:p w14:paraId="4C1CF5B1" w14:textId="025E17F2" w:rsidR="00774708" w:rsidRDefault="00825A02">
      <w:pPr>
        <w:keepLines w:val="0"/>
        <w:spacing w:after="0" w:line="240" w:lineRule="auto"/>
      </w:pPr>
      <w:r>
        <w:rPr>
          <w:noProof/>
          <w:lang w:eastAsia="en-AU"/>
        </w:rPr>
        <w:drawing>
          <wp:anchor distT="0" distB="0" distL="114300" distR="114300" simplePos="0" relativeHeight="251659264" behindDoc="0" locked="0" layoutInCell="1" allowOverlap="1" wp14:anchorId="464E5219" wp14:editId="2B0E4D4B">
            <wp:simplePos x="0" y="0"/>
            <wp:positionH relativeFrom="margin">
              <wp:align>center</wp:align>
            </wp:positionH>
            <wp:positionV relativeFrom="margin">
              <wp:posOffset>5154295</wp:posOffset>
            </wp:positionV>
            <wp:extent cx="4419600" cy="2733675"/>
            <wp:effectExtent l="0" t="0" r="0" b="0"/>
            <wp:wrapTopAndBottom/>
            <wp:docPr id="4" name="Chart 4" descr="This graph highlights the number of Memoranda of Agreement and Section 92(f) deeds registered at WorkCover WA over the last five financial years. " title="Figure - Number of settl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30D36AB1" w14:textId="1BD42E4A" w:rsidR="00B41D08" w:rsidRDefault="00B41D08">
      <w:pPr>
        <w:keepLines w:val="0"/>
        <w:spacing w:after="0" w:line="240" w:lineRule="auto"/>
        <w:sectPr w:rsidR="00B41D08" w:rsidSect="0022499A">
          <w:headerReference w:type="default" r:id="rId28"/>
          <w:pgSz w:w="11906" w:h="16838" w:code="9"/>
          <w:pgMar w:top="1701" w:right="1440" w:bottom="1440" w:left="1440" w:header="624" w:footer="0" w:gutter="0"/>
          <w:cols w:space="708"/>
          <w:docGrid w:linePitch="360"/>
        </w:sectPr>
      </w:pPr>
    </w:p>
    <w:p w14:paraId="0E0A6D5B" w14:textId="5F968EEB" w:rsidR="00BC34ED" w:rsidRPr="001C0112" w:rsidRDefault="00BC34ED" w:rsidP="00BB3984">
      <w:pPr>
        <w:pStyle w:val="CoverTitle"/>
        <w:ind w:left="0"/>
      </w:pPr>
      <w:bookmarkStart w:id="275" w:name="_Toc399316946"/>
      <w:bookmarkStart w:id="276" w:name="_Toc450900684"/>
      <w:r w:rsidRPr="001C0112">
        <w:t>Section 3: Report on Operations</w:t>
      </w:r>
      <w:bookmarkEnd w:id="275"/>
      <w:bookmarkEnd w:id="276"/>
    </w:p>
    <w:p w14:paraId="4111FEAC" w14:textId="77777777" w:rsidR="00BC34ED" w:rsidRPr="00ED246E" w:rsidRDefault="00BC34ED" w:rsidP="00ED246E">
      <w:pPr>
        <w:pStyle w:val="Heading1nonumber"/>
      </w:pPr>
      <w:bookmarkStart w:id="277" w:name="_Toc399316947"/>
      <w:bookmarkStart w:id="278" w:name="_Toc426617467"/>
      <w:bookmarkStart w:id="279" w:name="_Toc450900685"/>
      <w:bookmarkStart w:id="280" w:name="_Toc525121979"/>
      <w:r w:rsidRPr="00ED246E">
        <w:t>Service 1: Scheme Regulation</w:t>
      </w:r>
      <w:bookmarkEnd w:id="277"/>
      <w:bookmarkEnd w:id="278"/>
      <w:bookmarkEnd w:id="279"/>
      <w:bookmarkEnd w:id="280"/>
      <w:r w:rsidRPr="00ED246E">
        <w:t xml:space="preserve"> </w:t>
      </w:r>
    </w:p>
    <w:p w14:paraId="6A63D251" w14:textId="6BB0FD24" w:rsidR="007149E5" w:rsidRPr="0084237B" w:rsidRDefault="00BC34ED" w:rsidP="007149E5">
      <w:pPr>
        <w:rPr>
          <w:iCs/>
        </w:rPr>
      </w:pPr>
      <w:r w:rsidRPr="0084237B">
        <w:rPr>
          <w:rStyle w:val="Emphasis"/>
        </w:rPr>
        <w:t>Regulation of scheme participants for compliance with legislative requirements</w:t>
      </w:r>
      <w:r w:rsidR="0084237B" w:rsidRPr="0084237B">
        <w:rPr>
          <w:rStyle w:val="Emphasis"/>
        </w:rPr>
        <w:t>.</w:t>
      </w:r>
    </w:p>
    <w:p w14:paraId="7A7F7DD2" w14:textId="77777777" w:rsidR="00C709D8" w:rsidRDefault="00C709D8" w:rsidP="00C709D8">
      <w:pPr>
        <w:pStyle w:val="Heading1nonumber"/>
      </w:pPr>
      <w:bookmarkStart w:id="281" w:name="_Toc525121980"/>
      <w:bookmarkStart w:id="282" w:name="_Toc426617468"/>
      <w:bookmarkStart w:id="283" w:name="_Toc450900686"/>
      <w:bookmarkStart w:id="284" w:name="_Toc399316948"/>
      <w:r>
        <w:t>Workers’ Compensation Regulatory Framework</w:t>
      </w:r>
      <w:bookmarkEnd w:id="281"/>
    </w:p>
    <w:p w14:paraId="080AD4FB" w14:textId="150FCFEB" w:rsidR="00C709D8" w:rsidRPr="00005476" w:rsidRDefault="00005476" w:rsidP="00C709D8">
      <w:r>
        <w:t xml:space="preserve">The Workers’ Compensation Regulatory Framework (the Framework) </w:t>
      </w:r>
      <w:r w:rsidR="00C709D8">
        <w:t>provides staff with a ‘one stop shop’ for all regulatory tools.</w:t>
      </w:r>
    </w:p>
    <w:p w14:paraId="2299660B" w14:textId="77777777" w:rsidR="00C709D8" w:rsidRDefault="00C709D8" w:rsidP="00C709D8">
      <w:r>
        <w:t>In the course of developing the Framework:</w:t>
      </w:r>
    </w:p>
    <w:p w14:paraId="71EC8B0F" w14:textId="77777777" w:rsidR="00C709D8" w:rsidRDefault="00C709D8" w:rsidP="00C709D8">
      <w:pPr>
        <w:pStyle w:val="BulletListLevel1"/>
      </w:pPr>
      <w:r>
        <w:t>all regulatory tools were reviewed and updated</w:t>
      </w:r>
    </w:p>
    <w:p w14:paraId="1A9FC134" w14:textId="77777777" w:rsidR="00C709D8" w:rsidRDefault="00C709D8" w:rsidP="00C709D8">
      <w:pPr>
        <w:pStyle w:val="BulletListLevel1"/>
      </w:pPr>
      <w:r>
        <w:t xml:space="preserve">regulatory policies were developed for all stakeholders </w:t>
      </w:r>
    </w:p>
    <w:p w14:paraId="7DC39A04" w14:textId="77777777" w:rsidR="00C709D8" w:rsidRDefault="00C709D8" w:rsidP="00C709D8">
      <w:pPr>
        <w:pStyle w:val="BulletListLevel1"/>
      </w:pPr>
      <w:r>
        <w:t>supporting regulatory processes were developed</w:t>
      </w:r>
    </w:p>
    <w:p w14:paraId="53F87926" w14:textId="77777777" w:rsidR="00C709D8" w:rsidRDefault="00C709D8" w:rsidP="00C709D8">
      <w:pPr>
        <w:pStyle w:val="BulletListLevel1"/>
      </w:pPr>
      <w:r>
        <w:t>reviews were undertaken of all Standard Operating Procedures</w:t>
      </w:r>
    </w:p>
    <w:p w14:paraId="7E4C7DA5" w14:textId="77777777" w:rsidR="00C709D8" w:rsidRDefault="00C709D8" w:rsidP="00C709D8">
      <w:pPr>
        <w:pStyle w:val="BulletListLevel1"/>
      </w:pPr>
      <w:r>
        <w:t>a Quality Criteria Checklist was produced to ensure document standards are maintained.</w:t>
      </w:r>
    </w:p>
    <w:p w14:paraId="577D10C9" w14:textId="341DD772" w:rsidR="00C709D8" w:rsidRDefault="00C709D8" w:rsidP="00C709D8">
      <w:r>
        <w:t xml:space="preserve">Regulatory policies for employers, insurers, self-insurers, service providers and communications and education are available to stakeholders on the WorkCover WA website. All documents </w:t>
      </w:r>
      <w:r w:rsidR="002E1CC5">
        <w:t xml:space="preserve">will be reviewed on an annual basis. </w:t>
      </w:r>
      <w:r>
        <w:t xml:space="preserve"> </w:t>
      </w:r>
    </w:p>
    <w:p w14:paraId="12A07F0F" w14:textId="35D07D5C" w:rsidR="00981462" w:rsidRPr="00ED246E" w:rsidRDefault="0086154B" w:rsidP="00F825DF">
      <w:pPr>
        <w:pStyle w:val="Heading1nonumber"/>
      </w:pPr>
      <w:bookmarkStart w:id="285" w:name="_Toc525121981"/>
      <w:r w:rsidRPr="00C2475A">
        <w:t>Regulating employers</w:t>
      </w:r>
      <w:bookmarkEnd w:id="282"/>
      <w:bookmarkEnd w:id="283"/>
      <w:bookmarkEnd w:id="285"/>
    </w:p>
    <w:tbl>
      <w:tblPr>
        <w:tblW w:w="9072" w:type="dxa"/>
        <w:tblInd w:w="80" w:type="dxa"/>
        <w:tblBorders>
          <w:top w:val="single" w:sz="8" w:space="0" w:color="9FBCD0"/>
          <w:left w:val="single" w:sz="8" w:space="0" w:color="9FBCD0"/>
          <w:bottom w:val="single" w:sz="8" w:space="0" w:color="9FBCD0"/>
          <w:right w:val="single" w:sz="8" w:space="0" w:color="9FBCD0"/>
          <w:insideH w:val="single" w:sz="8" w:space="0" w:color="9FBCD0"/>
          <w:insideV w:val="single" w:sz="8" w:space="0" w:color="9FBCD0"/>
        </w:tblBorders>
        <w:tblLayout w:type="fixed"/>
        <w:tblCellMar>
          <w:left w:w="0" w:type="dxa"/>
          <w:right w:w="0" w:type="dxa"/>
        </w:tblCellMar>
        <w:tblLook w:val="0000" w:firstRow="0" w:lastRow="0" w:firstColumn="0" w:lastColumn="0" w:noHBand="0" w:noVBand="0"/>
      </w:tblPr>
      <w:tblGrid>
        <w:gridCol w:w="2462"/>
        <w:gridCol w:w="3402"/>
        <w:gridCol w:w="3208"/>
      </w:tblGrid>
      <w:tr w:rsidR="0086154B" w:rsidRPr="0086154B" w14:paraId="55BF5BD3" w14:textId="77777777" w:rsidTr="007242B4">
        <w:trPr>
          <w:trHeight w:val="60"/>
        </w:trPr>
        <w:tc>
          <w:tcPr>
            <w:tcW w:w="2462" w:type="dxa"/>
            <w:vMerge w:val="restart"/>
            <w:shd w:val="clear" w:color="auto" w:fill="003F5F"/>
            <w:tcMar>
              <w:top w:w="113" w:type="dxa"/>
              <w:left w:w="80" w:type="dxa"/>
              <w:bottom w:w="113" w:type="dxa"/>
              <w:right w:w="80" w:type="dxa"/>
            </w:tcMar>
          </w:tcPr>
          <w:p w14:paraId="12CC3A3D" w14:textId="77777777" w:rsidR="0086154B" w:rsidRPr="00CC292E" w:rsidRDefault="0086154B" w:rsidP="0086154B">
            <w:pPr>
              <w:rPr>
                <w:b/>
                <w:bCs/>
                <w:color w:val="FFFFFF" w:themeColor="background1"/>
              </w:rPr>
            </w:pPr>
            <w:r w:rsidRPr="00CC292E">
              <w:rPr>
                <w:b/>
                <w:bCs/>
                <w:color w:val="FFFFFF" w:themeColor="background1"/>
              </w:rPr>
              <w:t>This scheme service contributes to, and is aligned with:</w:t>
            </w:r>
          </w:p>
        </w:tc>
        <w:tc>
          <w:tcPr>
            <w:tcW w:w="3402" w:type="dxa"/>
            <w:shd w:val="clear" w:color="auto" w:fill="003F5F"/>
            <w:tcMar>
              <w:top w:w="113" w:type="dxa"/>
              <w:left w:w="80" w:type="dxa"/>
              <w:bottom w:w="113" w:type="dxa"/>
              <w:right w:w="80" w:type="dxa"/>
            </w:tcMar>
          </w:tcPr>
          <w:p w14:paraId="3FE2ED15" w14:textId="21D7DB4B" w:rsidR="0086154B" w:rsidRPr="00CC292E" w:rsidRDefault="0084237B" w:rsidP="0086154B">
            <w:pPr>
              <w:rPr>
                <w:b/>
                <w:bCs/>
                <w:color w:val="FFFFFF" w:themeColor="background1"/>
              </w:rPr>
            </w:pPr>
            <w:r>
              <w:rPr>
                <w:b/>
                <w:bCs/>
                <w:color w:val="FFFFFF" w:themeColor="background1"/>
              </w:rPr>
              <w:t>Government Goals</w:t>
            </w:r>
          </w:p>
        </w:tc>
        <w:tc>
          <w:tcPr>
            <w:tcW w:w="3208" w:type="dxa"/>
            <w:shd w:val="clear" w:color="auto" w:fill="003F5F"/>
            <w:tcMar>
              <w:top w:w="113" w:type="dxa"/>
              <w:left w:w="80" w:type="dxa"/>
              <w:bottom w:w="113" w:type="dxa"/>
              <w:right w:w="80" w:type="dxa"/>
            </w:tcMar>
          </w:tcPr>
          <w:p w14:paraId="7FAE1DEF" w14:textId="595BB357" w:rsidR="0086154B" w:rsidRPr="00CC292E" w:rsidRDefault="00616E8C" w:rsidP="0086154B">
            <w:pPr>
              <w:rPr>
                <w:b/>
                <w:bCs/>
                <w:color w:val="FFFFFF" w:themeColor="background1"/>
              </w:rPr>
            </w:pPr>
            <w:r w:rsidRPr="00CC292E">
              <w:rPr>
                <w:b/>
                <w:bCs/>
                <w:color w:val="FFFFFF" w:themeColor="background1"/>
              </w:rPr>
              <w:t>WorkCover WA</w:t>
            </w:r>
            <w:r w:rsidR="00FB45E7" w:rsidRPr="00CC292E">
              <w:rPr>
                <w:b/>
                <w:bCs/>
                <w:color w:val="FFFFFF" w:themeColor="background1"/>
              </w:rPr>
              <w:t xml:space="preserve"> s</w:t>
            </w:r>
            <w:r w:rsidR="0086154B" w:rsidRPr="00CC292E">
              <w:rPr>
                <w:b/>
                <w:bCs/>
                <w:color w:val="FFFFFF" w:themeColor="background1"/>
              </w:rPr>
              <w:t>trat</w:t>
            </w:r>
            <w:r w:rsidR="00FB45E7" w:rsidRPr="00CC292E">
              <w:rPr>
                <w:b/>
                <w:bCs/>
                <w:color w:val="FFFFFF" w:themeColor="background1"/>
              </w:rPr>
              <w:t>egic g</w:t>
            </w:r>
            <w:r w:rsidR="0086154B" w:rsidRPr="00CC292E">
              <w:rPr>
                <w:b/>
                <w:bCs/>
                <w:color w:val="FFFFFF" w:themeColor="background1"/>
              </w:rPr>
              <w:t>oal</w:t>
            </w:r>
          </w:p>
        </w:tc>
      </w:tr>
      <w:tr w:rsidR="0086154B" w:rsidRPr="0086154B" w14:paraId="30A3C98B" w14:textId="77777777" w:rsidTr="007242B4">
        <w:trPr>
          <w:trHeight w:val="825"/>
        </w:trPr>
        <w:tc>
          <w:tcPr>
            <w:tcW w:w="2462" w:type="dxa"/>
            <w:vMerge/>
            <w:shd w:val="clear" w:color="auto" w:fill="003F5F"/>
          </w:tcPr>
          <w:p w14:paraId="29328D30" w14:textId="77777777" w:rsidR="0086154B" w:rsidRPr="0086154B" w:rsidRDefault="0086154B" w:rsidP="0086154B">
            <w:pPr>
              <w:rPr>
                <w:lang w:eastAsia="en-AU"/>
              </w:rPr>
            </w:pPr>
          </w:p>
        </w:tc>
        <w:tc>
          <w:tcPr>
            <w:tcW w:w="3402" w:type="dxa"/>
            <w:shd w:val="clear" w:color="auto" w:fill="auto"/>
            <w:tcMar>
              <w:top w:w="113" w:type="dxa"/>
              <w:left w:w="80" w:type="dxa"/>
              <w:bottom w:w="113" w:type="dxa"/>
              <w:right w:w="80" w:type="dxa"/>
            </w:tcMar>
          </w:tcPr>
          <w:p w14:paraId="5BAEB167" w14:textId="356041DC" w:rsidR="0086154B" w:rsidRPr="007242B4" w:rsidRDefault="00981462" w:rsidP="0086154B">
            <w:pPr>
              <w:rPr>
                <w:bCs/>
              </w:rPr>
            </w:pPr>
            <w:r w:rsidRPr="007242B4">
              <w:rPr>
                <w:bCs/>
              </w:rPr>
              <w:t>Sustainable Finances</w:t>
            </w:r>
          </w:p>
          <w:p w14:paraId="44F159A2" w14:textId="40A9D1E6" w:rsidR="00E77CB8" w:rsidRPr="007242B4" w:rsidRDefault="00981462" w:rsidP="0086154B">
            <w:pPr>
              <w:rPr>
                <w:bCs/>
              </w:rPr>
            </w:pPr>
            <w:r w:rsidRPr="007242B4">
              <w:rPr>
                <w:bCs/>
              </w:rPr>
              <w:t>Future jobs and skills</w:t>
            </w:r>
          </w:p>
          <w:p w14:paraId="4DE638A0" w14:textId="77777777" w:rsidR="00981462" w:rsidRPr="007242B4" w:rsidRDefault="00981462" w:rsidP="0086154B">
            <w:pPr>
              <w:rPr>
                <w:bCs/>
              </w:rPr>
            </w:pPr>
            <w:r w:rsidRPr="007242B4">
              <w:rPr>
                <w:bCs/>
              </w:rPr>
              <w:t>Strong communities</w:t>
            </w:r>
          </w:p>
          <w:p w14:paraId="2D862079" w14:textId="1A914363" w:rsidR="00E77CB8" w:rsidRPr="00CC292E" w:rsidRDefault="00981462" w:rsidP="0086154B">
            <w:pPr>
              <w:rPr>
                <w:bCs/>
              </w:rPr>
            </w:pPr>
            <w:r w:rsidRPr="007242B4">
              <w:rPr>
                <w:bCs/>
              </w:rPr>
              <w:t>Better places</w:t>
            </w:r>
          </w:p>
        </w:tc>
        <w:tc>
          <w:tcPr>
            <w:tcW w:w="3208" w:type="dxa"/>
            <w:tcMar>
              <w:top w:w="113" w:type="dxa"/>
              <w:left w:w="80" w:type="dxa"/>
              <w:bottom w:w="113" w:type="dxa"/>
              <w:right w:w="80" w:type="dxa"/>
            </w:tcMar>
          </w:tcPr>
          <w:p w14:paraId="458A9807" w14:textId="2AD573A4" w:rsidR="004A36A3" w:rsidRPr="00CC292E" w:rsidRDefault="00E77CB8" w:rsidP="00F7361B">
            <w:r>
              <w:t>1 – Strategic scheme management</w:t>
            </w:r>
          </w:p>
        </w:tc>
      </w:tr>
    </w:tbl>
    <w:p w14:paraId="2027DE07" w14:textId="67B63BF5" w:rsidR="00F7361B" w:rsidRDefault="00F7361B" w:rsidP="00F42638">
      <w:pPr>
        <w:pStyle w:val="BulletListLevel1"/>
        <w:numPr>
          <w:ilvl w:val="0"/>
          <w:numId w:val="0"/>
        </w:numPr>
      </w:pPr>
    </w:p>
    <w:p w14:paraId="00EAB079" w14:textId="77777777" w:rsidR="00E77CB8" w:rsidRDefault="00E77CB8" w:rsidP="00E77CB8">
      <w:r w:rsidRPr="00D77155">
        <w:t xml:space="preserve">WorkCover WA devotes significant </w:t>
      </w:r>
      <w:r>
        <w:t>resources</w:t>
      </w:r>
      <w:r w:rsidRPr="00D77155">
        <w:t xml:space="preserve"> to </w:t>
      </w:r>
      <w:r>
        <w:t xml:space="preserve">regulating </w:t>
      </w:r>
      <w:r w:rsidRPr="00D77155">
        <w:t>employers</w:t>
      </w:r>
      <w:r>
        <w:t xml:space="preserve"> for compliance with their obligations </w:t>
      </w:r>
      <w:r w:rsidRPr="00192AA2">
        <w:t xml:space="preserve">under the </w:t>
      </w:r>
      <w:r w:rsidRPr="00192AA2">
        <w:rPr>
          <w:rFonts w:cs="Arial"/>
          <w:i/>
        </w:rPr>
        <w:t xml:space="preserve">Workers' Compensation and Injury Management Act </w:t>
      </w:r>
      <w:r w:rsidRPr="007242B4">
        <w:rPr>
          <w:rFonts w:cs="Arial"/>
          <w:i/>
        </w:rPr>
        <w:t xml:space="preserve">1981 </w:t>
      </w:r>
      <w:r w:rsidRPr="007242B4">
        <w:rPr>
          <w:rFonts w:cs="Arial"/>
        </w:rPr>
        <w:t>(</w:t>
      </w:r>
      <w:r w:rsidRPr="007242B4">
        <w:t xml:space="preserve">the Act) through </w:t>
      </w:r>
      <w:r w:rsidRPr="00192AA2">
        <w:t xml:space="preserve">the </w:t>
      </w:r>
      <w:r w:rsidRPr="00D77155">
        <w:t>application of an Employer Compliance Framework.</w:t>
      </w:r>
    </w:p>
    <w:p w14:paraId="171B47B7" w14:textId="385CFD99" w:rsidR="00E5719E" w:rsidRDefault="00E5719E" w:rsidP="00E77CB8">
      <w:r>
        <w:t>During 2017/18, employer compliance activities included:</w:t>
      </w:r>
    </w:p>
    <w:p w14:paraId="0BD2FDBD" w14:textId="6DF946A3" w:rsidR="00E5719E" w:rsidRDefault="00E5719E" w:rsidP="00E5719E">
      <w:pPr>
        <w:pStyle w:val="BulletListLevel1"/>
      </w:pPr>
      <w:r>
        <w:t>expired policy enquiries</w:t>
      </w:r>
    </w:p>
    <w:p w14:paraId="094D1A5E" w14:textId="636C0030" w:rsidR="00E5719E" w:rsidRDefault="00E5719E" w:rsidP="00E5719E">
      <w:pPr>
        <w:pStyle w:val="BulletListLevel1"/>
      </w:pPr>
      <w:r>
        <w:t>assessment of policy cancellation requests</w:t>
      </w:r>
    </w:p>
    <w:p w14:paraId="41C5FC47" w14:textId="3BFA98D9" w:rsidR="00E5719E" w:rsidRDefault="00E5719E" w:rsidP="00E5719E">
      <w:pPr>
        <w:pStyle w:val="BulletListLevel1"/>
      </w:pPr>
      <w:r>
        <w:t>investigations into suspected:</w:t>
      </w:r>
    </w:p>
    <w:p w14:paraId="41502DD2" w14:textId="47747874" w:rsidR="00E5719E" w:rsidRDefault="00E5719E" w:rsidP="00E5719E">
      <w:pPr>
        <w:pStyle w:val="BulletListLevel1"/>
        <w:numPr>
          <w:ilvl w:val="1"/>
          <w:numId w:val="3"/>
        </w:numPr>
      </w:pPr>
      <w:r>
        <w:t>breaches of an employer’s legal requirement to hold workers’ compensation insurance to cover all workers</w:t>
      </w:r>
    </w:p>
    <w:p w14:paraId="077ADB18" w14:textId="0FB468CA" w:rsidR="00E5719E" w:rsidRDefault="00E5719E" w:rsidP="00E5719E">
      <w:pPr>
        <w:pStyle w:val="BulletListLevel1"/>
        <w:numPr>
          <w:ilvl w:val="1"/>
          <w:numId w:val="3"/>
        </w:numPr>
      </w:pPr>
      <w:r>
        <w:t>late/irregular weekly payments to injured workers</w:t>
      </w:r>
    </w:p>
    <w:p w14:paraId="2571897E" w14:textId="33F6D8FC" w:rsidR="00E5719E" w:rsidRDefault="00873E4D" w:rsidP="00E5719E">
      <w:pPr>
        <w:pStyle w:val="BulletListLevel1"/>
        <w:numPr>
          <w:ilvl w:val="1"/>
          <w:numId w:val="3"/>
        </w:numPr>
      </w:pPr>
      <w:r>
        <w:t>fraud</w:t>
      </w:r>
    </w:p>
    <w:p w14:paraId="1724C1D6" w14:textId="532AFF57" w:rsidR="00E5719E" w:rsidRDefault="00E5719E" w:rsidP="00E5719E">
      <w:pPr>
        <w:pStyle w:val="BulletListLevel1"/>
      </w:pPr>
      <w:r>
        <w:t xml:space="preserve">proactive campaigns to educate employers and identify non-compliance in </w:t>
      </w:r>
      <w:r w:rsidR="005B3FFD">
        <w:t xml:space="preserve">particular </w:t>
      </w:r>
      <w:r>
        <w:t>industries</w:t>
      </w:r>
      <w:r w:rsidR="005B3FFD">
        <w:t xml:space="preserve"> and suburbs</w:t>
      </w:r>
      <w:r>
        <w:t xml:space="preserve"> </w:t>
      </w:r>
      <w:r w:rsidR="00F825DF">
        <w:t xml:space="preserve">(refer to </w:t>
      </w:r>
      <w:r w:rsidR="00F825DF" w:rsidRPr="00E47B67">
        <w:t xml:space="preserve">page </w:t>
      </w:r>
      <w:r w:rsidR="00E47B67" w:rsidRPr="00E47B67">
        <w:t>75</w:t>
      </w:r>
      <w:r w:rsidR="00F825DF" w:rsidRPr="00E47B67">
        <w:t xml:space="preserve"> </w:t>
      </w:r>
      <w:r w:rsidR="00F825DF">
        <w:t>for further information)</w:t>
      </w:r>
    </w:p>
    <w:p w14:paraId="69D794C4" w14:textId="0C36478E" w:rsidR="004D20BE" w:rsidRDefault="00E5719E" w:rsidP="00FD02D4">
      <w:pPr>
        <w:pStyle w:val="BulletListLevel1"/>
      </w:pPr>
      <w:r>
        <w:t xml:space="preserve">regional compliance visits </w:t>
      </w:r>
      <w:r w:rsidR="00F825DF">
        <w:t xml:space="preserve">(refer to </w:t>
      </w:r>
      <w:r w:rsidR="00F825DF" w:rsidRPr="00E47B67">
        <w:t xml:space="preserve">page </w:t>
      </w:r>
      <w:r w:rsidR="00E47B67" w:rsidRPr="00E47B67">
        <w:t>73</w:t>
      </w:r>
      <w:r w:rsidR="00F825DF" w:rsidRPr="00E47B67">
        <w:t xml:space="preserve"> for </w:t>
      </w:r>
      <w:r w:rsidR="00F825DF">
        <w:t>further information).</w:t>
      </w:r>
    </w:p>
    <w:tbl>
      <w:tblPr>
        <w:tblStyle w:val="TableGrid"/>
        <w:tblW w:w="0" w:type="auto"/>
        <w:tblInd w:w="-5"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ook w:val="04A0" w:firstRow="1" w:lastRow="0" w:firstColumn="1" w:lastColumn="0" w:noHBand="0" w:noVBand="1"/>
        <w:tblCaption w:val="Table 20: 2017/18 compliance outcomes"/>
        <w:tblDescription w:val="This table outlines the compliance outcomes for 2017/18, including the number of inspections, investigations, letters of caution sent, infringement notices issues, prosecutions completed, enquiries into lapsed/expired policies and enquiries into policy cancellations. "/>
      </w:tblPr>
      <w:tblGrid>
        <w:gridCol w:w="4626"/>
        <w:gridCol w:w="3000"/>
      </w:tblGrid>
      <w:tr w:rsidR="0086154B" w:rsidRPr="0086154B" w14:paraId="0A81AB5E" w14:textId="77777777" w:rsidTr="007242B4">
        <w:trPr>
          <w:tblHeader/>
        </w:trPr>
        <w:tc>
          <w:tcPr>
            <w:tcW w:w="7626" w:type="dxa"/>
            <w:gridSpan w:val="2"/>
            <w:shd w:val="clear" w:color="auto" w:fill="003F5F"/>
          </w:tcPr>
          <w:p w14:paraId="313CF4A2" w14:textId="1041BE96" w:rsidR="0086154B" w:rsidRPr="0086154B" w:rsidRDefault="000C5741" w:rsidP="00685959">
            <w:pPr>
              <w:rPr>
                <w:b/>
                <w:bCs/>
                <w:color w:val="FFFFFF" w:themeColor="background1"/>
              </w:rPr>
            </w:pPr>
            <w:r w:rsidRPr="007242B4">
              <w:rPr>
                <w:b/>
                <w:bCs/>
                <w:color w:val="FFFFFF" w:themeColor="background1"/>
              </w:rPr>
              <w:t xml:space="preserve">Table </w:t>
            </w:r>
            <w:r w:rsidR="00685959" w:rsidRPr="007242B4">
              <w:rPr>
                <w:b/>
                <w:bCs/>
                <w:color w:val="FFFFFF" w:themeColor="background1"/>
              </w:rPr>
              <w:t>20</w:t>
            </w:r>
            <w:r w:rsidR="0086154B" w:rsidRPr="007242B4">
              <w:rPr>
                <w:b/>
                <w:bCs/>
                <w:color w:val="FFFFFF" w:themeColor="background1"/>
              </w:rPr>
              <w:t xml:space="preserve">: </w:t>
            </w:r>
            <w:r w:rsidR="0086154B" w:rsidRPr="0095389B">
              <w:rPr>
                <w:b/>
                <w:bCs/>
                <w:color w:val="FFFFFF" w:themeColor="background1"/>
              </w:rPr>
              <w:t>201</w:t>
            </w:r>
            <w:r w:rsidR="00ED164E" w:rsidRPr="0095389B">
              <w:rPr>
                <w:b/>
                <w:bCs/>
                <w:color w:val="FFFFFF" w:themeColor="background1"/>
              </w:rPr>
              <w:t>7</w:t>
            </w:r>
            <w:r w:rsidR="0086154B" w:rsidRPr="0095389B">
              <w:rPr>
                <w:b/>
                <w:bCs/>
                <w:color w:val="FFFFFF" w:themeColor="background1"/>
              </w:rPr>
              <w:t>/1</w:t>
            </w:r>
            <w:r w:rsidR="00ED164E" w:rsidRPr="0095389B">
              <w:rPr>
                <w:b/>
                <w:bCs/>
                <w:color w:val="FFFFFF" w:themeColor="background1"/>
              </w:rPr>
              <w:t>8</w:t>
            </w:r>
            <w:r w:rsidR="0086154B" w:rsidRPr="0095389B">
              <w:rPr>
                <w:b/>
                <w:bCs/>
                <w:color w:val="FFFFFF" w:themeColor="background1"/>
              </w:rPr>
              <w:t xml:space="preserve"> compliance outcomes</w:t>
            </w:r>
          </w:p>
        </w:tc>
      </w:tr>
      <w:tr w:rsidR="0086154B" w:rsidRPr="0086154B" w14:paraId="7B817685" w14:textId="77777777" w:rsidTr="007242B4">
        <w:tc>
          <w:tcPr>
            <w:tcW w:w="4626" w:type="dxa"/>
            <w:shd w:val="clear" w:color="auto" w:fill="CEDCE8"/>
            <w:vAlign w:val="center"/>
          </w:tcPr>
          <w:p w14:paraId="2B97F7B0" w14:textId="77777777" w:rsidR="0086154B" w:rsidRPr="0086154B" w:rsidRDefault="0086154B" w:rsidP="0086154B">
            <w:pPr>
              <w:rPr>
                <w:b/>
                <w:bCs/>
              </w:rPr>
            </w:pPr>
            <w:r w:rsidRPr="0086154B">
              <w:rPr>
                <w:b/>
                <w:bCs/>
              </w:rPr>
              <w:t>Compliance activity</w:t>
            </w:r>
          </w:p>
        </w:tc>
        <w:tc>
          <w:tcPr>
            <w:tcW w:w="3000" w:type="dxa"/>
            <w:shd w:val="clear" w:color="auto" w:fill="CEDCE8"/>
            <w:vAlign w:val="center"/>
          </w:tcPr>
          <w:p w14:paraId="0005D9CE" w14:textId="77777777" w:rsidR="0086154B" w:rsidRPr="0086154B" w:rsidRDefault="0086154B" w:rsidP="005E341F">
            <w:pPr>
              <w:jc w:val="right"/>
              <w:rPr>
                <w:b/>
                <w:bCs/>
              </w:rPr>
            </w:pPr>
            <w:r w:rsidRPr="0086154B">
              <w:rPr>
                <w:b/>
                <w:bCs/>
              </w:rPr>
              <w:t>Total number</w:t>
            </w:r>
          </w:p>
        </w:tc>
      </w:tr>
      <w:tr w:rsidR="00647DCA" w:rsidRPr="0086154B" w14:paraId="3C33BA52" w14:textId="77777777" w:rsidTr="007242B4">
        <w:tc>
          <w:tcPr>
            <w:tcW w:w="4626" w:type="dxa"/>
            <w:shd w:val="clear" w:color="auto" w:fill="CEDCE8"/>
            <w:vAlign w:val="center"/>
          </w:tcPr>
          <w:p w14:paraId="3E58FE21" w14:textId="277FAD8A" w:rsidR="00647DCA" w:rsidRPr="0086154B" w:rsidRDefault="00647DCA" w:rsidP="0086154B">
            <w:r>
              <w:t>Compliance inspections</w:t>
            </w:r>
          </w:p>
        </w:tc>
        <w:tc>
          <w:tcPr>
            <w:tcW w:w="3000" w:type="dxa"/>
          </w:tcPr>
          <w:p w14:paraId="771A04B6" w14:textId="4C938A43" w:rsidR="00647DCA" w:rsidRPr="00FD02D4" w:rsidRDefault="00FD02D4" w:rsidP="005E341F">
            <w:pPr>
              <w:jc w:val="right"/>
            </w:pPr>
            <w:r w:rsidRPr="00FD02D4">
              <w:t>2,230</w:t>
            </w:r>
          </w:p>
        </w:tc>
      </w:tr>
      <w:tr w:rsidR="0086154B" w:rsidRPr="0086154B" w14:paraId="5EF22166" w14:textId="77777777" w:rsidTr="007242B4">
        <w:tc>
          <w:tcPr>
            <w:tcW w:w="4626" w:type="dxa"/>
            <w:shd w:val="clear" w:color="auto" w:fill="CEDCE8"/>
            <w:vAlign w:val="center"/>
          </w:tcPr>
          <w:p w14:paraId="30ACBF7C" w14:textId="77777777" w:rsidR="0086154B" w:rsidRPr="0086154B" w:rsidRDefault="0086154B" w:rsidP="0086154B">
            <w:r w:rsidRPr="0086154B">
              <w:t>Compliance investigations</w:t>
            </w:r>
          </w:p>
        </w:tc>
        <w:tc>
          <w:tcPr>
            <w:tcW w:w="3000" w:type="dxa"/>
          </w:tcPr>
          <w:p w14:paraId="6E3AC05A" w14:textId="41D0D943" w:rsidR="0086154B" w:rsidRPr="00FD02D4" w:rsidRDefault="00FD02D4" w:rsidP="00F476BE">
            <w:pPr>
              <w:jc w:val="right"/>
            </w:pPr>
            <w:r w:rsidRPr="00FD02D4">
              <w:t>2,512</w:t>
            </w:r>
          </w:p>
        </w:tc>
      </w:tr>
      <w:tr w:rsidR="0086154B" w:rsidRPr="0086154B" w14:paraId="2FA721AE" w14:textId="77777777" w:rsidTr="007242B4">
        <w:tc>
          <w:tcPr>
            <w:tcW w:w="4626" w:type="dxa"/>
            <w:shd w:val="clear" w:color="auto" w:fill="CEDCE8"/>
            <w:vAlign w:val="center"/>
          </w:tcPr>
          <w:p w14:paraId="09F824B1" w14:textId="3703A6DE" w:rsidR="0086154B" w:rsidRPr="0086154B" w:rsidRDefault="0086154B" w:rsidP="00B16C8E">
            <w:r w:rsidRPr="0086154B">
              <w:t xml:space="preserve">Letters of caution </w:t>
            </w:r>
            <w:r w:rsidR="007B6A59">
              <w:t>sent</w:t>
            </w:r>
          </w:p>
        </w:tc>
        <w:tc>
          <w:tcPr>
            <w:tcW w:w="3000" w:type="dxa"/>
          </w:tcPr>
          <w:p w14:paraId="0FA45D97" w14:textId="3F0811E7" w:rsidR="0086154B" w:rsidRPr="00FD02D4" w:rsidRDefault="00FD02D4" w:rsidP="005E341F">
            <w:pPr>
              <w:jc w:val="right"/>
            </w:pPr>
            <w:r w:rsidRPr="00FD02D4">
              <w:t>83</w:t>
            </w:r>
          </w:p>
        </w:tc>
      </w:tr>
      <w:tr w:rsidR="0010597D" w:rsidRPr="0086154B" w14:paraId="5A65EF98" w14:textId="77777777" w:rsidTr="007242B4">
        <w:tc>
          <w:tcPr>
            <w:tcW w:w="4626" w:type="dxa"/>
            <w:shd w:val="clear" w:color="auto" w:fill="CEDCE8"/>
          </w:tcPr>
          <w:p w14:paraId="41BD5EF3" w14:textId="50A02555" w:rsidR="0010597D" w:rsidRPr="0086154B" w:rsidRDefault="00224545" w:rsidP="0010597D">
            <w:r>
              <w:t>Infringement notices</w:t>
            </w:r>
            <w:r w:rsidR="0010597D" w:rsidRPr="00620746">
              <w:t xml:space="preserve"> issued </w:t>
            </w:r>
          </w:p>
        </w:tc>
        <w:tc>
          <w:tcPr>
            <w:tcW w:w="3000" w:type="dxa"/>
          </w:tcPr>
          <w:p w14:paraId="18F06BD8" w14:textId="3160F405" w:rsidR="0010597D" w:rsidRPr="00FD02D4" w:rsidRDefault="00FD02D4" w:rsidP="00E1722C">
            <w:pPr>
              <w:jc w:val="right"/>
            </w:pPr>
            <w:r w:rsidRPr="00FD02D4">
              <w:t>529</w:t>
            </w:r>
          </w:p>
        </w:tc>
      </w:tr>
      <w:tr w:rsidR="0086154B" w:rsidRPr="0086154B" w14:paraId="3BB46205" w14:textId="77777777" w:rsidTr="007242B4">
        <w:tc>
          <w:tcPr>
            <w:tcW w:w="4626" w:type="dxa"/>
            <w:shd w:val="clear" w:color="auto" w:fill="CEDCE8"/>
            <w:vAlign w:val="center"/>
          </w:tcPr>
          <w:p w14:paraId="39C3D00D" w14:textId="77777777" w:rsidR="0086154B" w:rsidRPr="0086154B" w:rsidRDefault="0086154B" w:rsidP="0086154B">
            <w:r w:rsidRPr="0086154B">
              <w:t>Prosecutions completed</w:t>
            </w:r>
          </w:p>
        </w:tc>
        <w:tc>
          <w:tcPr>
            <w:tcW w:w="3000" w:type="dxa"/>
          </w:tcPr>
          <w:p w14:paraId="28115346" w14:textId="5E1DF56B" w:rsidR="0086154B" w:rsidRPr="00FD02D4" w:rsidRDefault="00FD02D4" w:rsidP="005E341F">
            <w:pPr>
              <w:jc w:val="right"/>
            </w:pPr>
            <w:r w:rsidRPr="00FD02D4">
              <w:t>43</w:t>
            </w:r>
          </w:p>
        </w:tc>
      </w:tr>
      <w:tr w:rsidR="00A93E18" w:rsidRPr="0086154B" w14:paraId="76D67E80" w14:textId="77777777" w:rsidTr="007242B4">
        <w:tc>
          <w:tcPr>
            <w:tcW w:w="4626" w:type="dxa"/>
            <w:shd w:val="clear" w:color="auto" w:fill="CEDCE8"/>
            <w:vAlign w:val="center"/>
          </w:tcPr>
          <w:p w14:paraId="12213F7F" w14:textId="77777777" w:rsidR="00A93E18" w:rsidRPr="0086154B" w:rsidRDefault="00A93E18" w:rsidP="00A93E18">
            <w:r w:rsidRPr="0086154B">
              <w:t>Enquiries into lapsed/expired policies</w:t>
            </w:r>
          </w:p>
        </w:tc>
        <w:tc>
          <w:tcPr>
            <w:tcW w:w="3000" w:type="dxa"/>
          </w:tcPr>
          <w:p w14:paraId="208DB146" w14:textId="6BEF0358" w:rsidR="00A93E18" w:rsidRPr="00FD02D4" w:rsidRDefault="00FD02D4" w:rsidP="005E341F">
            <w:pPr>
              <w:jc w:val="right"/>
            </w:pPr>
            <w:r w:rsidRPr="00FD02D4">
              <w:t>6,707</w:t>
            </w:r>
          </w:p>
        </w:tc>
      </w:tr>
      <w:tr w:rsidR="00A93E18" w:rsidRPr="0086154B" w14:paraId="7B5B327E" w14:textId="77777777" w:rsidTr="007242B4">
        <w:tc>
          <w:tcPr>
            <w:tcW w:w="4626" w:type="dxa"/>
            <w:shd w:val="clear" w:color="auto" w:fill="CEDCE8"/>
            <w:vAlign w:val="center"/>
          </w:tcPr>
          <w:p w14:paraId="1DBFFDEC" w14:textId="77777777" w:rsidR="00A93E18" w:rsidRPr="0086154B" w:rsidRDefault="00A93E18" w:rsidP="00A93E18">
            <w:r w:rsidRPr="0086154B">
              <w:t>Enquiries into policy cancellations</w:t>
            </w:r>
          </w:p>
        </w:tc>
        <w:tc>
          <w:tcPr>
            <w:tcW w:w="3000" w:type="dxa"/>
          </w:tcPr>
          <w:p w14:paraId="697CFF4E" w14:textId="4383C39A" w:rsidR="00A93E18" w:rsidRPr="00FD02D4" w:rsidRDefault="00FD02D4" w:rsidP="005E341F">
            <w:pPr>
              <w:jc w:val="right"/>
            </w:pPr>
            <w:r w:rsidRPr="00FD02D4">
              <w:t>4,515</w:t>
            </w:r>
          </w:p>
        </w:tc>
      </w:tr>
    </w:tbl>
    <w:p w14:paraId="26BEA9BF" w14:textId="432976C0" w:rsidR="00C36046" w:rsidRPr="00981462" w:rsidRDefault="00981462" w:rsidP="00897A29">
      <w:bookmarkStart w:id="286" w:name="_Toc399316955"/>
      <w:bookmarkStart w:id="287" w:name="_Toc426617470"/>
      <w:r>
        <w:br/>
      </w:r>
      <w:r w:rsidR="009E5FC1">
        <w:rPr>
          <w:rFonts w:eastAsia="Calibri"/>
        </w:rPr>
        <w:t>WorkCover WA</w:t>
      </w:r>
      <w:r w:rsidR="00E402A9">
        <w:rPr>
          <w:rFonts w:eastAsia="Calibri"/>
        </w:rPr>
        <w:t xml:space="preserve">’s effective regulation of employers </w:t>
      </w:r>
      <w:r w:rsidR="009E5FC1">
        <w:rPr>
          <w:rFonts w:eastAsia="Calibri"/>
        </w:rPr>
        <w:t xml:space="preserve">is </w:t>
      </w:r>
      <w:r w:rsidR="006961B0">
        <w:rPr>
          <w:rFonts w:eastAsia="Calibri"/>
        </w:rPr>
        <w:t>also</w:t>
      </w:r>
      <w:r w:rsidR="009E5FC1">
        <w:rPr>
          <w:rFonts w:eastAsia="Calibri"/>
        </w:rPr>
        <w:t xml:space="preserve"> demonstrated</w:t>
      </w:r>
      <w:r w:rsidR="00E402A9">
        <w:rPr>
          <w:rFonts w:eastAsia="Calibri"/>
        </w:rPr>
        <w:t xml:space="preserve"> through the following </w:t>
      </w:r>
      <w:r w:rsidR="009E5FC1">
        <w:rPr>
          <w:rFonts w:eastAsia="Calibri"/>
        </w:rPr>
        <w:t>Agency</w:t>
      </w:r>
      <w:r w:rsidR="00E402A9">
        <w:rPr>
          <w:rFonts w:eastAsia="Calibri"/>
        </w:rPr>
        <w:t xml:space="preserve"> Key Performance </w:t>
      </w:r>
      <w:r w:rsidR="00E402A9" w:rsidRPr="00192AA2">
        <w:rPr>
          <w:rFonts w:eastAsia="Calibri"/>
        </w:rPr>
        <w:t>Indicator</w:t>
      </w:r>
      <w:r w:rsidR="009E5FC1" w:rsidRPr="00192AA2">
        <w:rPr>
          <w:rFonts w:eastAsia="Calibri"/>
        </w:rPr>
        <w:t xml:space="preserve"> (KPI)</w:t>
      </w:r>
      <w:r w:rsidR="00E402A9" w:rsidRPr="00192AA2">
        <w:rPr>
          <w:rFonts w:eastAsia="Calibri"/>
        </w:rPr>
        <w:t xml:space="preserve"> </w:t>
      </w:r>
      <w:r w:rsidR="00E402A9">
        <w:rPr>
          <w:rFonts w:eastAsia="Calibri"/>
        </w:rPr>
        <w:t>of effectiveness:</w:t>
      </w:r>
    </w:p>
    <w:tbl>
      <w:tblPr>
        <w:tblStyle w:val="TableGrid"/>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21: 2017/18 KPI effectiveness indicator related to employer compliance"/>
        <w:tblDescription w:val="This table outlines the KPI effectiveness of the number of non-compliance events identified as a result of a claim on the General Account. "/>
      </w:tblPr>
      <w:tblGrid>
        <w:gridCol w:w="3012"/>
        <w:gridCol w:w="3014"/>
        <w:gridCol w:w="2763"/>
      </w:tblGrid>
      <w:tr w:rsidR="00897A29" w:rsidRPr="00EF3D60" w14:paraId="021D3162" w14:textId="77777777" w:rsidTr="007242B4">
        <w:trPr>
          <w:tblHeader/>
        </w:trPr>
        <w:tc>
          <w:tcPr>
            <w:tcW w:w="8789" w:type="dxa"/>
            <w:gridSpan w:val="3"/>
            <w:shd w:val="clear" w:color="auto" w:fill="003F5F"/>
          </w:tcPr>
          <w:p w14:paraId="5445500F" w14:textId="474C0EED" w:rsidR="00897A29" w:rsidRPr="005378AA" w:rsidRDefault="00920564" w:rsidP="00685959">
            <w:pPr>
              <w:rPr>
                <w:rStyle w:val="Strong"/>
                <w:color w:val="FFFFFF" w:themeColor="background1"/>
              </w:rPr>
            </w:pPr>
            <w:r w:rsidRPr="007242B4">
              <w:rPr>
                <w:rStyle w:val="Strong"/>
                <w:color w:val="FFFFFF" w:themeColor="background1"/>
              </w:rPr>
              <w:t xml:space="preserve">Table </w:t>
            </w:r>
            <w:r w:rsidR="00685959" w:rsidRPr="007242B4">
              <w:rPr>
                <w:rStyle w:val="Strong"/>
                <w:color w:val="FFFFFF" w:themeColor="background1"/>
              </w:rPr>
              <w:t>21</w:t>
            </w:r>
            <w:r w:rsidRPr="007242B4">
              <w:rPr>
                <w:rStyle w:val="Strong"/>
                <w:color w:val="FFFFFF" w:themeColor="background1"/>
              </w:rPr>
              <w:t xml:space="preserve">: </w:t>
            </w:r>
            <w:r w:rsidRPr="00981462">
              <w:rPr>
                <w:rStyle w:val="Strong"/>
                <w:color w:val="FFFFFF" w:themeColor="background1"/>
              </w:rPr>
              <w:t>2017</w:t>
            </w:r>
            <w:r w:rsidR="00897A29" w:rsidRPr="00981462">
              <w:rPr>
                <w:rStyle w:val="Strong"/>
                <w:color w:val="FFFFFF" w:themeColor="background1"/>
              </w:rPr>
              <w:t>/1</w:t>
            </w:r>
            <w:r w:rsidRPr="00981462">
              <w:rPr>
                <w:rStyle w:val="Strong"/>
                <w:color w:val="FFFFFF" w:themeColor="background1"/>
              </w:rPr>
              <w:t>8</w:t>
            </w:r>
            <w:r w:rsidR="00897A29" w:rsidRPr="00981462">
              <w:rPr>
                <w:rStyle w:val="Strong"/>
                <w:color w:val="FFFFFF" w:themeColor="background1"/>
              </w:rPr>
              <w:t xml:space="preserve"> </w:t>
            </w:r>
            <w:r w:rsidR="00E402A9" w:rsidRPr="00981462">
              <w:rPr>
                <w:rStyle w:val="Strong"/>
                <w:color w:val="FFFFFF" w:themeColor="background1"/>
              </w:rPr>
              <w:t>KPI effectiveness indicator</w:t>
            </w:r>
            <w:r w:rsidR="00897A29" w:rsidRPr="00981462">
              <w:rPr>
                <w:rStyle w:val="Strong"/>
                <w:color w:val="FFFFFF" w:themeColor="background1"/>
              </w:rPr>
              <w:t xml:space="preserve"> related to </w:t>
            </w:r>
            <w:r w:rsidR="00E402A9" w:rsidRPr="00981462">
              <w:rPr>
                <w:rStyle w:val="Strong"/>
                <w:color w:val="FFFFFF" w:themeColor="background1"/>
              </w:rPr>
              <w:t>employer compliance</w:t>
            </w:r>
          </w:p>
        </w:tc>
      </w:tr>
      <w:tr w:rsidR="00897A29" w:rsidRPr="00EF3D60" w14:paraId="234D1E43" w14:textId="77777777" w:rsidTr="007242B4">
        <w:tc>
          <w:tcPr>
            <w:tcW w:w="3012" w:type="dxa"/>
            <w:shd w:val="clear" w:color="auto" w:fill="CEDCE8"/>
            <w:vAlign w:val="center"/>
          </w:tcPr>
          <w:p w14:paraId="34FC3F97" w14:textId="77777777" w:rsidR="00897A29" w:rsidRPr="005378AA" w:rsidRDefault="00897A29" w:rsidP="0004106E">
            <w:pPr>
              <w:rPr>
                <w:rStyle w:val="Strong"/>
              </w:rPr>
            </w:pPr>
            <w:r w:rsidRPr="005378AA">
              <w:rPr>
                <w:rStyle w:val="Strong"/>
              </w:rPr>
              <w:t>Description</w:t>
            </w:r>
          </w:p>
        </w:tc>
        <w:tc>
          <w:tcPr>
            <w:tcW w:w="3014" w:type="dxa"/>
            <w:shd w:val="clear" w:color="auto" w:fill="CEDCE8"/>
            <w:vAlign w:val="center"/>
          </w:tcPr>
          <w:p w14:paraId="4C20462B" w14:textId="597D2DD5" w:rsidR="00897A29" w:rsidRPr="005378AA" w:rsidRDefault="00EB5F2B" w:rsidP="0004106E">
            <w:pPr>
              <w:rPr>
                <w:rStyle w:val="Strong"/>
              </w:rPr>
            </w:pPr>
            <w:r>
              <w:rPr>
                <w:rStyle w:val="Strong"/>
              </w:rPr>
              <w:t>2017/18</w:t>
            </w:r>
            <w:r w:rsidR="00897A29" w:rsidRPr="005378AA">
              <w:rPr>
                <w:rStyle w:val="Strong"/>
              </w:rPr>
              <w:t xml:space="preserve"> Target/Result</w:t>
            </w:r>
          </w:p>
        </w:tc>
        <w:tc>
          <w:tcPr>
            <w:tcW w:w="2763" w:type="dxa"/>
            <w:shd w:val="clear" w:color="auto" w:fill="CEDCE8"/>
            <w:vAlign w:val="center"/>
          </w:tcPr>
          <w:p w14:paraId="0D30C6F3" w14:textId="77777777" w:rsidR="00897A29" w:rsidRPr="005378AA" w:rsidRDefault="00897A29" w:rsidP="0004106E">
            <w:pPr>
              <w:rPr>
                <w:rStyle w:val="Strong"/>
              </w:rPr>
            </w:pPr>
            <w:r w:rsidRPr="005378AA">
              <w:rPr>
                <w:rStyle w:val="Strong"/>
              </w:rPr>
              <w:t>Reference</w:t>
            </w:r>
          </w:p>
        </w:tc>
      </w:tr>
      <w:tr w:rsidR="00897A29" w:rsidRPr="00EF3D60" w14:paraId="792A2091" w14:textId="77777777" w:rsidTr="007242B4">
        <w:trPr>
          <w:trHeight w:val="286"/>
        </w:trPr>
        <w:tc>
          <w:tcPr>
            <w:tcW w:w="3012" w:type="dxa"/>
            <w:shd w:val="clear" w:color="auto" w:fill="CEDCE8"/>
            <w:vAlign w:val="center"/>
          </w:tcPr>
          <w:p w14:paraId="608EBCD7" w14:textId="0F785142" w:rsidR="00897A29" w:rsidRPr="001106B3" w:rsidRDefault="00E402A9" w:rsidP="00E402A9">
            <w:r>
              <w:t>1.1</w:t>
            </w:r>
            <w:r w:rsidR="00897A29" w:rsidRPr="001106B3">
              <w:t xml:space="preserve"> </w:t>
            </w:r>
            <w:r w:rsidR="007A139F">
              <w:t>Number of non</w:t>
            </w:r>
            <w:r w:rsidR="007A139F">
              <w:noBreakHyphen/>
            </w:r>
            <w:r>
              <w:t>compliance events identified as a result of a claim on the General Account</w:t>
            </w:r>
          </w:p>
        </w:tc>
        <w:tc>
          <w:tcPr>
            <w:tcW w:w="3014" w:type="dxa"/>
          </w:tcPr>
          <w:p w14:paraId="5EEF6F67" w14:textId="4A5EA211" w:rsidR="00897A29" w:rsidRPr="00FD02D4" w:rsidRDefault="00FD02D4" w:rsidP="0004106E">
            <w:r w:rsidRPr="00FD02D4">
              <w:t>6</w:t>
            </w:r>
            <w:r w:rsidR="00897A29" w:rsidRPr="00FD02D4">
              <w:t xml:space="preserve"> - Target</w:t>
            </w:r>
          </w:p>
          <w:p w14:paraId="2291A075" w14:textId="57B3B681" w:rsidR="00897A29" w:rsidRPr="00EB5F2B" w:rsidRDefault="00FD02D4" w:rsidP="0004106E">
            <w:pPr>
              <w:rPr>
                <w:color w:val="FF0000"/>
              </w:rPr>
            </w:pPr>
            <w:r w:rsidRPr="00FD02D4">
              <w:t>4</w:t>
            </w:r>
            <w:r w:rsidR="00897A29" w:rsidRPr="00FD02D4">
              <w:t xml:space="preserve"> - Result</w:t>
            </w:r>
          </w:p>
        </w:tc>
        <w:tc>
          <w:tcPr>
            <w:tcW w:w="2763" w:type="dxa"/>
          </w:tcPr>
          <w:p w14:paraId="47C55A68" w14:textId="56A49041" w:rsidR="00897A29" w:rsidRPr="00EB5F2B" w:rsidRDefault="00A724C1" w:rsidP="00E47B67">
            <w:pPr>
              <w:rPr>
                <w:color w:val="FF0000"/>
              </w:rPr>
            </w:pPr>
            <w:r w:rsidRPr="00E47B67">
              <w:t xml:space="preserve">p. </w:t>
            </w:r>
            <w:r w:rsidR="00E47B67" w:rsidRPr="00E47B67">
              <w:t>150</w:t>
            </w:r>
          </w:p>
        </w:tc>
      </w:tr>
    </w:tbl>
    <w:p w14:paraId="28BD738D" w14:textId="42F5674B" w:rsidR="00C36046" w:rsidRPr="00C36046" w:rsidRDefault="00C36046" w:rsidP="00C36046">
      <w:pPr>
        <w:rPr>
          <w:iCs/>
          <w:sz w:val="22"/>
          <w:szCs w:val="22"/>
        </w:rPr>
      </w:pPr>
      <w:r>
        <w:rPr>
          <w:iCs/>
        </w:rPr>
        <w:br/>
      </w:r>
      <w:r w:rsidRPr="00C36046">
        <w:rPr>
          <w:iCs/>
        </w:rPr>
        <w:t>The above result indicates the low number of claims that result from employers who do not hold a workers’ compensation policy. This is largely due to a range of compliance and education activities that identify uninsured employers prior to a claim eventuating. Refer to ‘Indicator 1.1’ within Section 6: Key Performance Indicators for further explanatory detail on this KPI.</w:t>
      </w:r>
    </w:p>
    <w:p w14:paraId="0007B98D" w14:textId="42F5674B" w:rsidR="0038400A" w:rsidRDefault="0038400A" w:rsidP="0038400A">
      <w:pPr>
        <w:pStyle w:val="Heading2nonumber"/>
      </w:pPr>
      <w:bookmarkStart w:id="288" w:name="_Toc525121982"/>
      <w:r>
        <w:t>Implement</w:t>
      </w:r>
      <w:r w:rsidR="00DD63F7">
        <w:t>ation of a</w:t>
      </w:r>
      <w:r>
        <w:t xml:space="preserve"> new investigation model</w:t>
      </w:r>
      <w:bookmarkEnd w:id="288"/>
    </w:p>
    <w:p w14:paraId="709BD8FE" w14:textId="7A0BB554" w:rsidR="0038400A" w:rsidRDefault="0038400A" w:rsidP="0038400A">
      <w:r>
        <w:t>Since the</w:t>
      </w:r>
      <w:r w:rsidR="00DD63F7">
        <w:t xml:space="preserve"> 2014</w:t>
      </w:r>
      <w:r>
        <w:t xml:space="preserve"> introduction of infringement notices for less serious </w:t>
      </w:r>
      <w:r w:rsidR="00DD63F7">
        <w:t>breaches of workers’ compensation legislation</w:t>
      </w:r>
      <w:r>
        <w:t xml:space="preserve">, </w:t>
      </w:r>
      <w:r w:rsidR="00922E20">
        <w:t>modified penalties ha</w:t>
      </w:r>
      <w:r w:rsidR="00FA6F8F">
        <w:t>ve been applied on more than 95 percent</w:t>
      </w:r>
      <w:r w:rsidR="00922E20">
        <w:t xml:space="preserve"> of all enforcement cases. As this outcome is less time and resource intensive than preparing cases for prosecution, it was recognised that WorkCover WA’s processes could be simplified to reflect a less rigid approach</w:t>
      </w:r>
      <w:r w:rsidR="00DD63F7">
        <w:t xml:space="preserve"> to investigation</w:t>
      </w:r>
      <w:r w:rsidR="00922E20">
        <w:t>.</w:t>
      </w:r>
    </w:p>
    <w:p w14:paraId="431A4E0C" w14:textId="2BFED0F5" w:rsidR="00922E20" w:rsidRDefault="00922E20" w:rsidP="0038400A">
      <w:r>
        <w:t>The objectives were to update the investigation model to:</w:t>
      </w:r>
    </w:p>
    <w:p w14:paraId="669BE0FA" w14:textId="0F227F84" w:rsidR="00922E20" w:rsidRDefault="00922E20" w:rsidP="00922E20">
      <w:pPr>
        <w:pStyle w:val="BulletListLevel1"/>
      </w:pPr>
      <w:r>
        <w:t>recognise the more administrative nature of the majority of investigations</w:t>
      </w:r>
    </w:p>
    <w:p w14:paraId="3C407057" w14:textId="5DF9B54C" w:rsidR="00922E20" w:rsidRDefault="00922E20" w:rsidP="00922E20">
      <w:pPr>
        <w:pStyle w:val="BulletListLevel1"/>
      </w:pPr>
      <w:r>
        <w:t>create greater transparency and con</w:t>
      </w:r>
      <w:r w:rsidR="006D26D1">
        <w:t>sistency in compliance decision-</w:t>
      </w:r>
      <w:r w:rsidR="00A50018">
        <w:t>making</w:t>
      </w:r>
    </w:p>
    <w:p w14:paraId="3982B07D" w14:textId="2BF5B4A1" w:rsidR="00922E20" w:rsidRDefault="00922E20" w:rsidP="00922E20">
      <w:pPr>
        <w:pStyle w:val="BulletListLevel1"/>
      </w:pPr>
      <w:r>
        <w:t>streamline process</w:t>
      </w:r>
      <w:r w:rsidR="006D26D1">
        <w:t>es</w:t>
      </w:r>
      <w:r>
        <w:t xml:space="preserve"> and remove delays, duplication and unnecessary steps.</w:t>
      </w:r>
    </w:p>
    <w:p w14:paraId="73D81B98" w14:textId="4E7F34F4" w:rsidR="000D11BA" w:rsidRDefault="00922E20" w:rsidP="00922E20">
      <w:r>
        <w:t>A new investigation model, support</w:t>
      </w:r>
      <w:r w:rsidR="00662BAE">
        <w:t>ed</w:t>
      </w:r>
      <w:r>
        <w:t xml:space="preserve"> by internal policies and templates, </w:t>
      </w:r>
      <w:r w:rsidR="00662BAE">
        <w:t>w</w:t>
      </w:r>
      <w:r>
        <w:t>as introduced on 1 March 2018</w:t>
      </w:r>
      <w:r w:rsidR="000D11BA">
        <w:t xml:space="preserve"> and underpinned by Service Standards implemented in April 2018</w:t>
      </w:r>
      <w:r>
        <w:t>.</w:t>
      </w:r>
      <w:r w:rsidR="000D11BA">
        <w:t xml:space="preserve"> </w:t>
      </w:r>
      <w:r w:rsidR="00432474">
        <w:t>Standards</w:t>
      </w:r>
      <w:r w:rsidR="000D11BA">
        <w:t xml:space="preserve"> have been developed to reflect good practice in case management, investigations, administrative decision making and customer service. </w:t>
      </w:r>
    </w:p>
    <w:p w14:paraId="3A122A80" w14:textId="76CFB045" w:rsidR="000D11BA" w:rsidRDefault="000D11BA" w:rsidP="00922E20">
      <w:r>
        <w:t xml:space="preserve">The new investigation model has resulted in the number of compliance investigations </w:t>
      </w:r>
      <w:r w:rsidR="006C1AA5">
        <w:t xml:space="preserve">more than </w:t>
      </w:r>
      <w:r>
        <w:t xml:space="preserve">doubling from 1,161 in 2016/17 to </w:t>
      </w:r>
      <w:r w:rsidR="006D12AD">
        <w:t>2,512</w:t>
      </w:r>
      <w:r w:rsidRPr="000D11BA">
        <w:rPr>
          <w:color w:val="FF0000"/>
        </w:rPr>
        <w:t xml:space="preserve"> </w:t>
      </w:r>
      <w:r>
        <w:t xml:space="preserve">in 2017/18. Data collected through this model is also being used to improve the targeted detection of businesses that employ workers without workers’ compensation insurance. WorkCover WA Inspectors are assigned geographical portfolios to enlarge the Agency’s regulatory footprint and provide more effective detection of uninsured employers. </w:t>
      </w:r>
    </w:p>
    <w:p w14:paraId="16B5D6E5" w14:textId="06DBF716" w:rsidR="00922E20" w:rsidRPr="0038400A" w:rsidRDefault="00922E20" w:rsidP="00922E20">
      <w:r>
        <w:t xml:space="preserve">This project was </w:t>
      </w:r>
      <w:r w:rsidR="006D12AD">
        <w:t xml:space="preserve">successfully </w:t>
      </w:r>
      <w:r>
        <w:t xml:space="preserve">completed in 2017/18. </w:t>
      </w:r>
    </w:p>
    <w:p w14:paraId="6E3B5698" w14:textId="5C38CAE7" w:rsidR="00C7259B" w:rsidRDefault="00C7259B" w:rsidP="00C7259B">
      <w:pPr>
        <w:pStyle w:val="Heading2nonumber"/>
      </w:pPr>
      <w:bookmarkStart w:id="289" w:name="_Toc399316956"/>
      <w:bookmarkStart w:id="290" w:name="_Toc426617471"/>
      <w:bookmarkStart w:id="291" w:name="_Toc450900689"/>
      <w:bookmarkStart w:id="292" w:name="_Toc525121983"/>
      <w:bookmarkStart w:id="293" w:name="_Toc450900688"/>
      <w:r w:rsidRPr="00566079">
        <w:t xml:space="preserve">Regional </w:t>
      </w:r>
      <w:bookmarkEnd w:id="289"/>
      <w:bookmarkEnd w:id="290"/>
      <w:bookmarkEnd w:id="291"/>
      <w:r w:rsidRPr="00566079">
        <w:t>plan</w:t>
      </w:r>
      <w:bookmarkEnd w:id="292"/>
    </w:p>
    <w:p w14:paraId="423FA67C" w14:textId="71E86B19" w:rsidR="00BA3A97" w:rsidRDefault="00BA3A97" w:rsidP="00C7259B">
      <w:r w:rsidRPr="00BA3A97">
        <w:t>WorkCover WA</w:t>
      </w:r>
      <w:r>
        <w:t xml:space="preserve"> aims to ensure all employers, irrespective of where they operate within the State, comply with their obligations in relation to workers’ compensation and injury management.</w:t>
      </w:r>
    </w:p>
    <w:p w14:paraId="754EFA62" w14:textId="45F48095" w:rsidR="00BA3A97" w:rsidRPr="00BA3A97" w:rsidRDefault="00BA3A97" w:rsidP="00C7259B">
      <w:r w:rsidRPr="007242B4">
        <w:t xml:space="preserve">To increase WorkCover WA’s presence in the regional areas of Western Australia (WA), WorkCover WA </w:t>
      </w:r>
      <w:r w:rsidR="009B7901" w:rsidRPr="007242B4">
        <w:t>maintains a three year</w:t>
      </w:r>
      <w:r w:rsidRPr="007242B4">
        <w:t xml:space="preserve"> </w:t>
      </w:r>
      <w:r w:rsidR="00DD2767" w:rsidRPr="007242B4">
        <w:t xml:space="preserve">Regional Plan </w:t>
      </w:r>
      <w:r w:rsidRPr="007242B4">
        <w:t xml:space="preserve">to ensure </w:t>
      </w:r>
      <w:r>
        <w:t>systematic compliance and educational activities within the regions.</w:t>
      </w:r>
    </w:p>
    <w:p w14:paraId="0435936F" w14:textId="5BF51186" w:rsidR="00DD2767" w:rsidRDefault="00DD2767" w:rsidP="00C7259B">
      <w:r>
        <w:t xml:space="preserve">This year </w:t>
      </w:r>
      <w:r w:rsidR="00BA3A97" w:rsidRPr="00BA3A97">
        <w:t>WorkCover WA</w:t>
      </w:r>
      <w:r w:rsidR="00BA3A97">
        <w:t xml:space="preserve"> completed all remaining visits in the </w:t>
      </w:r>
      <w:r w:rsidR="007509DD">
        <w:t>2015-</w:t>
      </w:r>
      <w:r w:rsidR="002E1583">
        <w:t xml:space="preserve">2018 </w:t>
      </w:r>
      <w:r w:rsidR="00BA3A97">
        <w:t xml:space="preserve">Regional Plan. The visits were well received by employers, insurers, insurance brokers, workers and medical service providers in the </w:t>
      </w:r>
      <w:r>
        <w:t>areas</w:t>
      </w:r>
      <w:r w:rsidR="00BA3A97">
        <w:t xml:space="preserve">. </w:t>
      </w:r>
      <w:r>
        <w:t xml:space="preserve">A new Regional Plan for </w:t>
      </w:r>
      <w:r w:rsidR="002E1583">
        <w:br/>
      </w:r>
      <w:r w:rsidR="007509DD">
        <w:t>2018-</w:t>
      </w:r>
      <w:r>
        <w:t>20</w:t>
      </w:r>
      <w:r w:rsidR="00490218">
        <w:t>19</w:t>
      </w:r>
      <w:r>
        <w:t xml:space="preserve"> has been approved.</w:t>
      </w:r>
    </w:p>
    <w:p w14:paraId="1EE2CC8C" w14:textId="013560AA" w:rsidR="00BA3A97" w:rsidRPr="007242B4" w:rsidRDefault="00BA3A97" w:rsidP="00C7259B">
      <w:r w:rsidRPr="007242B4">
        <w:t xml:space="preserve">For further information on our regional activities </w:t>
      </w:r>
      <w:r w:rsidR="00DD2767" w:rsidRPr="007242B4">
        <w:t xml:space="preserve">in 2017/18 </w:t>
      </w:r>
      <w:r w:rsidRPr="007242B4">
        <w:t xml:space="preserve">see </w:t>
      </w:r>
      <w:r w:rsidRPr="007242B4">
        <w:rPr>
          <w:i/>
        </w:rPr>
        <w:t>Case study 1: Regional activity</w:t>
      </w:r>
      <w:r w:rsidR="00363D97" w:rsidRPr="007242B4">
        <w:t xml:space="preserve"> below</w:t>
      </w:r>
      <w:r w:rsidRPr="007242B4">
        <w:t>.</w:t>
      </w:r>
    </w:p>
    <w:p w14:paraId="55617F2F" w14:textId="055011AB" w:rsidR="00AF5251" w:rsidRDefault="009D6923" w:rsidP="00AF5251">
      <w:pPr>
        <w:pStyle w:val="Heading3nonumber"/>
      </w:pPr>
      <w:bookmarkStart w:id="294" w:name="_Toc525121984"/>
      <w:r>
        <w:t xml:space="preserve">Case study 1: </w:t>
      </w:r>
      <w:r w:rsidR="00AF5251">
        <w:t xml:space="preserve">Regional </w:t>
      </w:r>
      <w:r w:rsidR="00B40FC6">
        <w:t>activity</w:t>
      </w:r>
      <w:bookmarkEnd w:id="294"/>
    </w:p>
    <w:p w14:paraId="544353B9" w14:textId="16B80FA5" w:rsidR="0095729A" w:rsidRPr="0095729A" w:rsidRDefault="0095729A" w:rsidP="00902B52">
      <w:r>
        <w:t xml:space="preserve">Under the Regional Plan, WorkCover WA visited </w:t>
      </w:r>
      <w:r w:rsidR="00827E98" w:rsidRPr="00827E98">
        <w:t>nine</w:t>
      </w:r>
      <w:r w:rsidRPr="00827E98">
        <w:t xml:space="preserve"> </w:t>
      </w:r>
      <w:r>
        <w:t>regional centres in 2017/18. During the visits</w:t>
      </w:r>
      <w:r w:rsidR="006D26D1">
        <w:t>,</w:t>
      </w:r>
      <w:r>
        <w:t xml:space="preserve"> WorkCover WA conducted </w:t>
      </w:r>
      <w:r w:rsidR="00ED0861">
        <w:t xml:space="preserve">workplace </w:t>
      </w:r>
      <w:r>
        <w:t xml:space="preserve">compliance </w:t>
      </w:r>
      <w:r w:rsidR="00BA3A97">
        <w:t>inspections</w:t>
      </w:r>
      <w:r>
        <w:t xml:space="preserve"> and delivered education seminars to </w:t>
      </w:r>
      <w:r w:rsidRPr="00827E98">
        <w:t>medical clinics, employer groups and regional insurance branches.</w:t>
      </w:r>
    </w:p>
    <w:p w14:paraId="1B941642" w14:textId="6D1797C1" w:rsidR="00902B52" w:rsidRDefault="00993F94" w:rsidP="00902B52">
      <w:pPr>
        <w:rPr>
          <w:b/>
        </w:rPr>
      </w:pPr>
      <w:r>
        <w:rPr>
          <w:b/>
        </w:rPr>
        <w:t>Pilbara</w:t>
      </w:r>
    </w:p>
    <w:p w14:paraId="6E7E72B9" w14:textId="77777777" w:rsidR="00E47B67" w:rsidRDefault="00C2307F" w:rsidP="00902B52">
      <w:r>
        <w:t xml:space="preserve">In August </w:t>
      </w:r>
      <w:r w:rsidR="00964925">
        <w:t>2017,</w:t>
      </w:r>
      <w:r w:rsidR="00333B21">
        <w:t xml:space="preserve"> WorkCover WA carried out 87</w:t>
      </w:r>
      <w:r w:rsidR="00A81478">
        <w:t xml:space="preserve"> inspections on businesses in Karratha</w:t>
      </w:r>
      <w:r w:rsidR="00333B21">
        <w:t xml:space="preserve"> and Dampier</w:t>
      </w:r>
      <w:r w:rsidR="00A81478">
        <w:t>. The majority of businesses visited were</w:t>
      </w:r>
      <w:r w:rsidR="00964925">
        <w:t xml:space="preserve"> in the retail industry. </w:t>
      </w:r>
      <w:r w:rsidR="00BA3A97">
        <w:t>WorkCover WA</w:t>
      </w:r>
      <w:r w:rsidR="00A81478">
        <w:t xml:space="preserve"> inspectors </w:t>
      </w:r>
      <w:r w:rsidR="00964925">
        <w:t xml:space="preserve">also </w:t>
      </w:r>
      <w:r w:rsidR="00554A43">
        <w:t>consulted</w:t>
      </w:r>
      <w:r w:rsidR="00333B21">
        <w:t xml:space="preserve"> a local i</w:t>
      </w:r>
      <w:r w:rsidR="00964925">
        <w:t xml:space="preserve">nsurance broker during the </w:t>
      </w:r>
      <w:r w:rsidR="00554A43">
        <w:t>visit</w:t>
      </w:r>
      <w:r w:rsidR="00964925">
        <w:t xml:space="preserve"> to </w:t>
      </w:r>
      <w:r w:rsidR="00ED0861">
        <w:t>provide</w:t>
      </w:r>
      <w:r w:rsidR="00964925">
        <w:t xml:space="preserve"> education.</w:t>
      </w:r>
    </w:p>
    <w:p w14:paraId="2A262F0E" w14:textId="77777777" w:rsidR="00E47B67" w:rsidRDefault="00E47B67" w:rsidP="00902B52"/>
    <w:p w14:paraId="15E7E6D5" w14:textId="77777777" w:rsidR="00E47B67" w:rsidRDefault="00E47B67" w:rsidP="00902B52"/>
    <w:p w14:paraId="200E0F41" w14:textId="04040AFD" w:rsidR="00993F94" w:rsidRPr="00E47B67" w:rsidRDefault="00993F94" w:rsidP="00902B52">
      <w:r w:rsidRPr="00993F94">
        <w:rPr>
          <w:b/>
        </w:rPr>
        <w:t>Goldfields</w:t>
      </w:r>
    </w:p>
    <w:p w14:paraId="7740D825" w14:textId="29DD6BAB" w:rsidR="00703B35" w:rsidRDefault="00C2307F" w:rsidP="00902B52">
      <w:r>
        <w:t>In</w:t>
      </w:r>
      <w:r w:rsidR="003667C0">
        <w:t xml:space="preserve"> September 2017, WorkCover WA carried out 124 inspections on businesses in Esperance, Ravensthorpe and Hopetoun. </w:t>
      </w:r>
      <w:r w:rsidR="00D30562">
        <w:t>WorkCover WA i</w:t>
      </w:r>
      <w:r w:rsidR="00511E4B">
        <w:t>nspectors also met with Ravensthorpe Regional Council, Esperance Chamber of Commer</w:t>
      </w:r>
      <w:r w:rsidR="001762D6">
        <w:t>ce and Esperance Business Local during the visit.</w:t>
      </w:r>
    </w:p>
    <w:p w14:paraId="4F262410" w14:textId="5B84AB5E" w:rsidR="00993F94" w:rsidRDefault="00993F94" w:rsidP="00902B52">
      <w:pPr>
        <w:rPr>
          <w:b/>
        </w:rPr>
      </w:pPr>
      <w:r>
        <w:rPr>
          <w:b/>
        </w:rPr>
        <w:t>Kimberley</w:t>
      </w:r>
    </w:p>
    <w:p w14:paraId="28C3E043" w14:textId="4E80C7EE" w:rsidR="00897342" w:rsidRPr="00897342" w:rsidRDefault="00C2307F" w:rsidP="00902B52">
      <w:r>
        <w:t>In</w:t>
      </w:r>
      <w:r w:rsidR="00897342">
        <w:t xml:space="preserve"> October 2017, WorkCover WA carried out 64 inspections on business</w:t>
      </w:r>
      <w:r w:rsidR="003667C0">
        <w:t>es</w:t>
      </w:r>
      <w:r w:rsidR="00897342">
        <w:t xml:space="preserve"> in Kununurra. The majority of businesses visited were </w:t>
      </w:r>
      <w:r w:rsidR="001762D6">
        <w:t xml:space="preserve">in the </w:t>
      </w:r>
      <w:r w:rsidR="00897342">
        <w:t>mechanical repair</w:t>
      </w:r>
      <w:r w:rsidR="00B75CD1">
        <w:t>, tourism, retail and café</w:t>
      </w:r>
      <w:r w:rsidR="001762D6">
        <w:t xml:space="preserve"> industries</w:t>
      </w:r>
      <w:r w:rsidR="00B75CD1">
        <w:t>. I</w:t>
      </w:r>
      <w:r w:rsidR="00897342">
        <w:t>nspectors also met with Kimberley Small Business Support</w:t>
      </w:r>
      <w:r w:rsidR="006C1AA5">
        <w:t>,</w:t>
      </w:r>
      <w:r w:rsidR="00897342">
        <w:t xml:space="preserve"> </w:t>
      </w:r>
      <w:r w:rsidR="006C1AA5">
        <w:t>who</w:t>
      </w:r>
      <w:r w:rsidR="00F97C72">
        <w:t xml:space="preserve"> expressed interest in having WorkCover WA involved in annual information sessions for business owners in Kununurra and Broome.</w:t>
      </w:r>
    </w:p>
    <w:p w14:paraId="111039CC" w14:textId="77777777" w:rsidR="00C2307F" w:rsidRDefault="00C2307F" w:rsidP="00C2307F">
      <w:pPr>
        <w:rPr>
          <w:b/>
        </w:rPr>
      </w:pPr>
      <w:r>
        <w:rPr>
          <w:b/>
        </w:rPr>
        <w:t>Wheatbelt</w:t>
      </w:r>
    </w:p>
    <w:p w14:paraId="3685F3B1" w14:textId="48C33742" w:rsidR="00C2307F" w:rsidRDefault="00C2307F" w:rsidP="00C2307F">
      <w:r>
        <w:t>In October 2017, WorkCover WA travelled to the Wheatbelt town of Dallwallinu to deliver a joint presentation w</w:t>
      </w:r>
      <w:r w:rsidRPr="007242B4">
        <w:t xml:space="preserve">ith </w:t>
      </w:r>
      <w:r w:rsidR="000A7016" w:rsidRPr="007242B4">
        <w:t>Local Government Insurance Scheme (</w:t>
      </w:r>
      <w:r w:rsidR="000A7016" w:rsidRPr="00554A43">
        <w:t xml:space="preserve">LGIS) </w:t>
      </w:r>
      <w:r w:rsidR="000A7016">
        <w:t xml:space="preserve">to local shire representatives and educational materials to the </w:t>
      </w:r>
      <w:r w:rsidR="00ED0861">
        <w:t>town’s</w:t>
      </w:r>
      <w:r w:rsidR="000A7016">
        <w:t xml:space="preserve"> medical practice.</w:t>
      </w:r>
      <w:r>
        <w:t xml:space="preserve"> </w:t>
      </w:r>
    </w:p>
    <w:p w14:paraId="4BE2AA10" w14:textId="113E866C" w:rsidR="00C2307F" w:rsidRDefault="00C2307F" w:rsidP="00C2307F">
      <w:r>
        <w:t xml:space="preserve">WorkCover WA inspectors also visited Jurien Bay, Lancelin, Gingin and Toodyay in November 2017 and carried out 71 inspections on businesses in the area. </w:t>
      </w:r>
    </w:p>
    <w:p w14:paraId="64ADC489" w14:textId="1A3428C2" w:rsidR="00993F94" w:rsidRPr="00993F94" w:rsidRDefault="00993F94" w:rsidP="00902B52">
      <w:pPr>
        <w:rPr>
          <w:b/>
        </w:rPr>
      </w:pPr>
      <w:r w:rsidRPr="00993F94">
        <w:rPr>
          <w:b/>
        </w:rPr>
        <w:t>Midwest</w:t>
      </w:r>
    </w:p>
    <w:p w14:paraId="21BFD524" w14:textId="6F29121C" w:rsidR="00EE317D" w:rsidRDefault="00C2307F" w:rsidP="00902B52">
      <w:r>
        <w:t>In</w:t>
      </w:r>
      <w:r w:rsidR="00A81478">
        <w:t xml:space="preserve"> November 2017, WorkCover WA </w:t>
      </w:r>
      <w:r>
        <w:t xml:space="preserve">officers </w:t>
      </w:r>
      <w:r w:rsidR="00A81478">
        <w:t xml:space="preserve">visited </w:t>
      </w:r>
      <w:r w:rsidR="001762D6">
        <w:t>Geraldton, Dongara and Kalbarri</w:t>
      </w:r>
      <w:r w:rsidR="00A81478">
        <w:t xml:space="preserve"> and carried </w:t>
      </w:r>
      <w:r w:rsidR="00A81478" w:rsidRPr="00EE317D">
        <w:t xml:space="preserve">out </w:t>
      </w:r>
      <w:r w:rsidR="00EE317D" w:rsidRPr="00EE317D">
        <w:t xml:space="preserve">52 </w:t>
      </w:r>
      <w:r w:rsidR="00A81478" w:rsidRPr="00EE317D">
        <w:t xml:space="preserve">inspections </w:t>
      </w:r>
      <w:r w:rsidR="00A81478">
        <w:t>on businesses in the area.</w:t>
      </w:r>
      <w:r w:rsidR="001762D6">
        <w:t xml:space="preserve"> </w:t>
      </w:r>
      <w:r w:rsidR="006C1AA5">
        <w:t>The officers</w:t>
      </w:r>
      <w:r w:rsidR="001762D6">
        <w:t xml:space="preserve"> </w:t>
      </w:r>
      <w:r>
        <w:t xml:space="preserve">also </w:t>
      </w:r>
      <w:r w:rsidR="001762D6">
        <w:t>delivered a joint presentation</w:t>
      </w:r>
      <w:r w:rsidR="00EE317D">
        <w:t xml:space="preserve"> with </w:t>
      </w:r>
      <w:r w:rsidR="000A7016" w:rsidRPr="007242B4">
        <w:t xml:space="preserve">LGIS </w:t>
      </w:r>
      <w:r w:rsidR="00EE317D" w:rsidRPr="007242B4">
        <w:t xml:space="preserve">to </w:t>
      </w:r>
      <w:r w:rsidR="00EE317D">
        <w:t>representatives from the Shires of Geraldton, Dongara, Carew and Mingenew</w:t>
      </w:r>
      <w:r w:rsidR="006C1AA5">
        <w:t xml:space="preserve">, </w:t>
      </w:r>
      <w:r w:rsidR="00554A43">
        <w:t>and</w:t>
      </w:r>
      <w:r w:rsidR="00EE317D">
        <w:t xml:space="preserve"> held meetings with local insurers, insurance brokers, accountants and a business advisory service.</w:t>
      </w:r>
    </w:p>
    <w:p w14:paraId="6BA568B5" w14:textId="24C3D942" w:rsidR="00E921E6" w:rsidRPr="00E921E6" w:rsidRDefault="00E921E6" w:rsidP="00902B52">
      <w:pPr>
        <w:rPr>
          <w:b/>
        </w:rPr>
      </w:pPr>
      <w:r w:rsidRPr="00E921E6">
        <w:rPr>
          <w:b/>
        </w:rPr>
        <w:t>Great Southern</w:t>
      </w:r>
    </w:p>
    <w:p w14:paraId="12D81B19" w14:textId="5D45C66E" w:rsidR="00737557" w:rsidRDefault="00C2307F" w:rsidP="00902B52">
      <w:r>
        <w:t>In</w:t>
      </w:r>
      <w:r w:rsidR="00737557">
        <w:t xml:space="preserve"> February 2018, WorkCover WA </w:t>
      </w:r>
      <w:r>
        <w:t xml:space="preserve">inspectors </w:t>
      </w:r>
      <w:r w:rsidR="00737557">
        <w:t>carried out 86 inspections on businesses in Albany and met with four local insurance brokers</w:t>
      </w:r>
      <w:r>
        <w:t xml:space="preserve"> during the </w:t>
      </w:r>
      <w:r w:rsidR="006D26D1">
        <w:t>visit</w:t>
      </w:r>
      <w:r w:rsidR="00737557">
        <w:t xml:space="preserve">. Information packs were </w:t>
      </w:r>
      <w:r>
        <w:t>provided</w:t>
      </w:r>
      <w:r w:rsidR="00737557">
        <w:t xml:space="preserve"> to six local medical practices in the </w:t>
      </w:r>
      <w:r>
        <w:t>region</w:t>
      </w:r>
      <w:r w:rsidR="00737557">
        <w:t xml:space="preserve"> to raise awareness of </w:t>
      </w:r>
      <w:r w:rsidR="00ED0861">
        <w:t>WorkCover WA’s</w:t>
      </w:r>
      <w:r w:rsidR="00737557">
        <w:t xml:space="preserve"> gp</w:t>
      </w:r>
      <w:r w:rsidR="00737557" w:rsidRPr="00737557">
        <w:rPr>
          <w:i/>
        </w:rPr>
        <w:t>support</w:t>
      </w:r>
      <w:r w:rsidR="00737557">
        <w:t xml:space="preserve"> website and where to direct injured workers for more information.</w:t>
      </w:r>
    </w:p>
    <w:p w14:paraId="7C8F3C70" w14:textId="77777777" w:rsidR="00E47B67" w:rsidRDefault="00E47B67" w:rsidP="00902B52">
      <w:pPr>
        <w:rPr>
          <w:b/>
        </w:rPr>
      </w:pPr>
    </w:p>
    <w:p w14:paraId="1E0E8455" w14:textId="77777777" w:rsidR="00E47B67" w:rsidRDefault="00E47B67" w:rsidP="00902B52">
      <w:pPr>
        <w:rPr>
          <w:b/>
        </w:rPr>
      </w:pPr>
    </w:p>
    <w:p w14:paraId="2DF77D3B" w14:textId="77777777" w:rsidR="00E47B67" w:rsidRDefault="00E47B67" w:rsidP="00902B52">
      <w:pPr>
        <w:rPr>
          <w:b/>
        </w:rPr>
      </w:pPr>
    </w:p>
    <w:p w14:paraId="58EFAB52" w14:textId="2BFD5FE9" w:rsidR="00E921E6" w:rsidRPr="00E921E6" w:rsidRDefault="00E921E6" w:rsidP="00902B52">
      <w:pPr>
        <w:rPr>
          <w:b/>
        </w:rPr>
      </w:pPr>
      <w:r w:rsidRPr="000A1A2D">
        <w:rPr>
          <w:b/>
        </w:rPr>
        <w:t>South West</w:t>
      </w:r>
    </w:p>
    <w:p w14:paraId="16773DB4" w14:textId="176B63C8" w:rsidR="007F3485" w:rsidRPr="007F3485" w:rsidRDefault="007F3485" w:rsidP="00902B52">
      <w:r>
        <w:t xml:space="preserve">In May 2018, WorkCover WA officers conducted an educational visit to Bunbury. The officers attended a BizLinks Forum event and conducted a pop up information booth at Bunbury Forum. They also visited three insurers, five insurance brokers, eight medical practices, three health care providers, WorkSafe WA and South West MLC Adele Farina’s office to provide education and deliver information packs. </w:t>
      </w:r>
    </w:p>
    <w:p w14:paraId="2EF4DD53" w14:textId="3D77A260" w:rsidR="000A1A2D" w:rsidRDefault="000A1A2D" w:rsidP="00902B52">
      <w:pPr>
        <w:rPr>
          <w:b/>
        </w:rPr>
      </w:pPr>
      <w:r>
        <w:rPr>
          <w:b/>
        </w:rPr>
        <w:t>Gascoyne</w:t>
      </w:r>
    </w:p>
    <w:p w14:paraId="476FAF68" w14:textId="77777777" w:rsidR="009F5E91" w:rsidRDefault="00C2307F" w:rsidP="00C4530C">
      <w:r>
        <w:t>In</w:t>
      </w:r>
      <w:r w:rsidR="00F06083">
        <w:t xml:space="preserve"> May 2018, WorkCover WA carried </w:t>
      </w:r>
      <w:r w:rsidR="00F06083" w:rsidRPr="00DD5E42">
        <w:t xml:space="preserve">out </w:t>
      </w:r>
      <w:r w:rsidR="00CD779B">
        <w:t>40</w:t>
      </w:r>
      <w:r w:rsidR="00F06083" w:rsidRPr="00DD5E42">
        <w:t xml:space="preserve"> inspections </w:t>
      </w:r>
      <w:r w:rsidR="00F06083">
        <w:t>on businesses in Carnarvon and Coral Bay</w:t>
      </w:r>
      <w:r>
        <w:t xml:space="preserve">. </w:t>
      </w:r>
      <w:r w:rsidR="00C643A5">
        <w:t xml:space="preserve">Businesses that were inspected </w:t>
      </w:r>
      <w:r w:rsidR="00EE2D47">
        <w:t xml:space="preserve">included a hairdresser, real estate agents, cafes, </w:t>
      </w:r>
      <w:r w:rsidR="00155548">
        <w:t>tour operators</w:t>
      </w:r>
      <w:r w:rsidR="00EE2D47">
        <w:t xml:space="preserve"> and retail stores. </w:t>
      </w:r>
    </w:p>
    <w:p w14:paraId="1C0D8F21" w14:textId="1527E6EB" w:rsidR="00F06083" w:rsidRPr="00172DFB" w:rsidRDefault="0055790C" w:rsidP="00C4530C">
      <w:r>
        <w:t>WorkCover </w:t>
      </w:r>
      <w:r w:rsidR="00C2307F">
        <w:t xml:space="preserve">WA </w:t>
      </w:r>
      <w:r w:rsidR="009F5E91">
        <w:t xml:space="preserve">also provided education and delivered information packs to the Shire of Carnarvon, Carnarvon TAFE, Carnarvon Medical Health Campus, Carnarvon Medical Centre, </w:t>
      </w:r>
      <w:r w:rsidR="00951D2F">
        <w:t>insurance brokers</w:t>
      </w:r>
      <w:r w:rsidR="009F5E91">
        <w:t xml:space="preserve"> and Coral Bay Nursing Post.</w:t>
      </w:r>
    </w:p>
    <w:p w14:paraId="38C20D9E" w14:textId="668601EE" w:rsidR="000A1A2D" w:rsidRDefault="000A1A2D" w:rsidP="00902B52">
      <w:pPr>
        <w:rPr>
          <w:b/>
        </w:rPr>
      </w:pPr>
      <w:r>
        <w:rPr>
          <w:b/>
        </w:rPr>
        <w:t>Christmas Island</w:t>
      </w:r>
    </w:p>
    <w:p w14:paraId="3197F001" w14:textId="1F4FFE7F" w:rsidR="0013356B" w:rsidRPr="00347389" w:rsidRDefault="00ED0861" w:rsidP="00902B52">
      <w:pPr>
        <w:rPr>
          <w:color w:val="FF0000"/>
        </w:rPr>
      </w:pPr>
      <w:r>
        <w:rPr>
          <w:rFonts w:eastAsia="Calibri"/>
        </w:rPr>
        <w:t xml:space="preserve">WorkCover WA, in collaboration with the </w:t>
      </w:r>
      <w:r w:rsidR="00554A43">
        <w:rPr>
          <w:rFonts w:eastAsia="Calibri"/>
        </w:rPr>
        <w:t>Commonwealth</w:t>
      </w:r>
      <w:r>
        <w:rPr>
          <w:rFonts w:eastAsia="Calibri"/>
        </w:rPr>
        <w:t xml:space="preserve"> Government,</w:t>
      </w:r>
      <w:r w:rsidR="0013356B" w:rsidRPr="00347389">
        <w:rPr>
          <w:rFonts w:eastAsia="Calibri"/>
        </w:rPr>
        <w:t xml:space="preserve"> visited </w:t>
      </w:r>
      <w:r w:rsidR="00D248E8">
        <w:rPr>
          <w:rFonts w:eastAsia="Calibri"/>
        </w:rPr>
        <w:t>Christmas Island in May 2018</w:t>
      </w:r>
      <w:r w:rsidR="00827E98">
        <w:rPr>
          <w:rFonts w:eastAsia="Calibri"/>
        </w:rPr>
        <w:t xml:space="preserve">. Inspections were conducted on 77 businesses, with the majority in the mining and retail industry. </w:t>
      </w:r>
      <w:r w:rsidR="00827E98">
        <w:t>Wo</w:t>
      </w:r>
      <w:r w:rsidR="0013356B">
        <w:t xml:space="preserve">rkCover WA officers also held meetings and delivered educational packs to </w:t>
      </w:r>
      <w:r w:rsidR="00D248E8" w:rsidRPr="00D248E8">
        <w:t xml:space="preserve">social workers, health services, the Shire of Christmas Island and the Indian Ocean Territories office. </w:t>
      </w:r>
    </w:p>
    <w:p w14:paraId="6B7F021D" w14:textId="1C3E6DEF" w:rsidR="004B030E" w:rsidRDefault="004B030E" w:rsidP="004B030E">
      <w:pPr>
        <w:pStyle w:val="Heading3nonumber"/>
      </w:pPr>
      <w:bookmarkStart w:id="295" w:name="_Toc525121985"/>
      <w:r>
        <w:t xml:space="preserve">Indian Ocean Territories Service Delivery </w:t>
      </w:r>
      <w:r w:rsidR="00490218">
        <w:t>Arrangement</w:t>
      </w:r>
      <w:bookmarkEnd w:id="295"/>
    </w:p>
    <w:p w14:paraId="7D3DF3BA" w14:textId="77777777" w:rsidR="004E56C2" w:rsidRDefault="004E56C2" w:rsidP="004E56C2">
      <w:pPr>
        <w:rPr>
          <w:rFonts w:eastAsia="Calibri"/>
        </w:rPr>
      </w:pPr>
      <w:r>
        <w:rPr>
          <w:rFonts w:eastAsia="Calibri"/>
        </w:rPr>
        <w:t>WorkCover WA has a Service Delivery Agreement with the Commonwealth Government. This Agreement ensures compliance obligations are being met in the Indian Ocean Territories, and education and advice is available to local employers and injured workers.</w:t>
      </w:r>
    </w:p>
    <w:p w14:paraId="7CD57EC4" w14:textId="209D217B" w:rsidR="009C0833" w:rsidRPr="00FF1A7C" w:rsidRDefault="004E56C2" w:rsidP="004E56C2">
      <w:pPr>
        <w:rPr>
          <w:rFonts w:eastAsia="Calibri"/>
        </w:rPr>
      </w:pPr>
      <w:r>
        <w:rPr>
          <w:rFonts w:eastAsia="Calibri"/>
        </w:rPr>
        <w:t>In 2017/18 WorkCover WA and the Commonwealth Department of Infrastructure and Regional Development completed a new Service Delivery Agreement which runs fr</w:t>
      </w:r>
      <w:r w:rsidR="005A14D1">
        <w:rPr>
          <w:rFonts w:eastAsia="Calibri"/>
        </w:rPr>
        <w:t>om 1 July 2017 to 30 June 2021.</w:t>
      </w:r>
      <w:r w:rsidR="00307673">
        <w:rPr>
          <w:rFonts w:eastAsia="Calibri"/>
        </w:rPr>
        <w:br/>
      </w:r>
      <w:r w:rsidR="00307673">
        <w:rPr>
          <w:rFonts w:eastAsia="Calibri"/>
        </w:rPr>
        <w:br/>
      </w:r>
      <w:r w:rsidR="0021326E" w:rsidRPr="00307673">
        <w:rPr>
          <w:rStyle w:val="Heading2nonumberChar"/>
        </w:rPr>
        <w:t xml:space="preserve">Targeted </w:t>
      </w:r>
      <w:r w:rsidR="00307673" w:rsidRPr="00307673">
        <w:rPr>
          <w:rStyle w:val="Heading2nonumberChar"/>
        </w:rPr>
        <w:t xml:space="preserve">regulatory </w:t>
      </w:r>
      <w:r w:rsidR="0021326E" w:rsidRPr="00307673">
        <w:rPr>
          <w:rStyle w:val="Heading2nonumberChar"/>
        </w:rPr>
        <w:t>education</w:t>
      </w:r>
    </w:p>
    <w:p w14:paraId="0BF4CFFF" w14:textId="77777777" w:rsidR="00F97C72" w:rsidRDefault="004B4F67" w:rsidP="00AE47DA">
      <w:bookmarkStart w:id="296" w:name="_Toc399316958"/>
      <w:bookmarkStart w:id="297" w:name="_Toc426617475"/>
      <w:bookmarkStart w:id="298" w:name="_Toc450900692"/>
      <w:bookmarkEnd w:id="286"/>
      <w:bookmarkEnd w:id="287"/>
      <w:bookmarkEnd w:id="293"/>
      <w:r>
        <w:t>WorkCover WA’s Education Plan aims to raise awareness of our Agency and the rights, roles and responsibilities of various parties within the scheme.</w:t>
      </w:r>
      <w:r w:rsidR="00D520FF">
        <w:t xml:space="preserve"> </w:t>
      </w:r>
    </w:p>
    <w:p w14:paraId="312218BA" w14:textId="49DC3324" w:rsidR="004B4F67" w:rsidRDefault="005B116C" w:rsidP="00AE47DA">
      <w:r>
        <w:t xml:space="preserve">WorkCover WA’s targeted regulatory education campaigns are </w:t>
      </w:r>
      <w:r w:rsidR="00D520FF">
        <w:t xml:space="preserve">explained in further detail </w:t>
      </w:r>
      <w:r w:rsidR="00A24A53" w:rsidRPr="007242B4">
        <w:t>below.</w:t>
      </w:r>
    </w:p>
    <w:p w14:paraId="71144F03" w14:textId="0A27BC6D" w:rsidR="004B4F67" w:rsidRDefault="00A24A53" w:rsidP="004B4F67">
      <w:pPr>
        <w:pStyle w:val="Heading3nonumber"/>
      </w:pPr>
      <w:bookmarkStart w:id="299" w:name="_Toc525121986"/>
      <w:r>
        <w:t>Case study 2: Industry c</w:t>
      </w:r>
      <w:r w:rsidR="004B4F67">
        <w:t>ampaigns</w:t>
      </w:r>
      <w:bookmarkEnd w:id="299"/>
    </w:p>
    <w:p w14:paraId="08E94F43" w14:textId="627FEC48" w:rsidR="004B4F67" w:rsidRPr="004B4F67" w:rsidRDefault="004B4F67" w:rsidP="00AE47DA">
      <w:pPr>
        <w:rPr>
          <w:b/>
        </w:rPr>
      </w:pPr>
      <w:r>
        <w:t xml:space="preserve">As part of the </w:t>
      </w:r>
      <w:r w:rsidR="00A24A53">
        <w:t xml:space="preserve">2017/18 </w:t>
      </w:r>
      <w:r>
        <w:t xml:space="preserve">Education Plan, WorkCover WA ran </w:t>
      </w:r>
      <w:r w:rsidR="00D520FF">
        <w:t xml:space="preserve">three </w:t>
      </w:r>
      <w:r>
        <w:t xml:space="preserve">campaigns </w:t>
      </w:r>
      <w:r w:rsidR="009F3412">
        <w:t>focused</w:t>
      </w:r>
      <w:r>
        <w:t xml:space="preserve"> on targeted industr</w:t>
      </w:r>
      <w:r w:rsidR="0074524E">
        <w:t>ies</w:t>
      </w:r>
      <w:r>
        <w:t>.</w:t>
      </w:r>
      <w:r w:rsidR="00346D60">
        <w:t xml:space="preserve"> </w:t>
      </w:r>
      <w:r>
        <w:t xml:space="preserve">The industries selected were considered </w:t>
      </w:r>
      <w:r w:rsidR="00346D60">
        <w:t xml:space="preserve">to present a </w:t>
      </w:r>
      <w:r>
        <w:t>high</w:t>
      </w:r>
      <w:r w:rsidR="00346D60">
        <w:t>er</w:t>
      </w:r>
      <w:r>
        <w:t xml:space="preserve"> risk </w:t>
      </w:r>
      <w:r w:rsidR="00346D60">
        <w:t xml:space="preserve">of non-compliance with the duty to </w:t>
      </w:r>
      <w:r w:rsidR="006C1AA5">
        <w:t>have</w:t>
      </w:r>
      <w:r w:rsidR="00346D60">
        <w:t xml:space="preserve"> workers’ compensation insurance </w:t>
      </w:r>
      <w:r>
        <w:t xml:space="preserve">or </w:t>
      </w:r>
      <w:r w:rsidR="00346D60">
        <w:t xml:space="preserve">were </w:t>
      </w:r>
      <w:r>
        <w:t>emerging industries.</w:t>
      </w:r>
    </w:p>
    <w:p w14:paraId="55D6F233" w14:textId="27498878" w:rsidR="004B4F67" w:rsidRDefault="00E0719B" w:rsidP="004930E9">
      <w:pPr>
        <w:pStyle w:val="Heading4"/>
        <w:ind w:left="0"/>
      </w:pPr>
      <w:r>
        <w:t>Hand C</w:t>
      </w:r>
      <w:r w:rsidR="004B4F67">
        <w:t xml:space="preserve">ar </w:t>
      </w:r>
      <w:r>
        <w:t>Wash C</w:t>
      </w:r>
      <w:r w:rsidR="004B4F67">
        <w:t>ampaign</w:t>
      </w:r>
    </w:p>
    <w:p w14:paraId="1FB22F14" w14:textId="609863F7" w:rsidR="004B4F67" w:rsidRDefault="004B4F67" w:rsidP="00AE47DA">
      <w:r>
        <w:t xml:space="preserve">The first </w:t>
      </w:r>
      <w:r w:rsidR="00BA739C">
        <w:t xml:space="preserve">industry </w:t>
      </w:r>
      <w:r>
        <w:t xml:space="preserve">campaign </w:t>
      </w:r>
      <w:r w:rsidR="00A24A53">
        <w:t>ran from July to September 2017</w:t>
      </w:r>
      <w:r w:rsidR="00346D60">
        <w:t xml:space="preserve"> and</w:t>
      </w:r>
      <w:r w:rsidR="00A24A53">
        <w:t xml:space="preserve"> focus</w:t>
      </w:r>
      <w:r w:rsidR="00346D60">
        <w:t>ed</w:t>
      </w:r>
      <w:r w:rsidR="00A24A53">
        <w:t xml:space="preserve"> </w:t>
      </w:r>
      <w:r>
        <w:t>on the car wash industry.</w:t>
      </w:r>
      <w:r w:rsidR="002E5AA9">
        <w:t xml:space="preserve"> </w:t>
      </w:r>
      <w:r w:rsidR="00346D60">
        <w:t xml:space="preserve">During the </w:t>
      </w:r>
      <w:r w:rsidR="006D26D1">
        <w:t>campaign</w:t>
      </w:r>
      <w:r w:rsidR="00346D60">
        <w:t xml:space="preserve">, </w:t>
      </w:r>
      <w:r w:rsidR="002E5AA9">
        <w:t>WorkCover WA inspectors conducted 24 i</w:t>
      </w:r>
      <w:r w:rsidR="00BF42E2">
        <w:t xml:space="preserve">nspections. One employer was prosecuted for failing to hold insurance and others were issued </w:t>
      </w:r>
      <w:r w:rsidR="00A24A53">
        <w:t xml:space="preserve">with </w:t>
      </w:r>
      <w:r w:rsidR="00BF42E2">
        <w:t>infringement notices.</w:t>
      </w:r>
    </w:p>
    <w:p w14:paraId="4D54D586" w14:textId="7276F2A9" w:rsidR="002E5AA9" w:rsidRDefault="00346D60" w:rsidP="00AE47DA">
      <w:r>
        <w:t>E</w:t>
      </w:r>
      <w:r w:rsidR="002E5AA9">
        <w:t xml:space="preserve">ducational letters were distributed to </w:t>
      </w:r>
      <w:r w:rsidR="00ED0861">
        <w:t xml:space="preserve">car wash </w:t>
      </w:r>
      <w:r w:rsidR="002E5AA9">
        <w:t xml:space="preserve">employers selected at random and </w:t>
      </w:r>
      <w:r w:rsidR="00F97C72">
        <w:t xml:space="preserve">to </w:t>
      </w:r>
      <w:r w:rsidR="002E5AA9">
        <w:t>key industry representatives including</w:t>
      </w:r>
      <w:r w:rsidR="00250F15">
        <w:t xml:space="preserve"> the</w:t>
      </w:r>
      <w:r w:rsidR="002E5AA9">
        <w:t xml:space="preserve"> </w:t>
      </w:r>
      <w:r w:rsidR="002E5AA9" w:rsidRPr="007242B4">
        <w:t>Australian Car Wash Association</w:t>
      </w:r>
      <w:r w:rsidR="00250F15" w:rsidRPr="007242B4">
        <w:t xml:space="preserve"> (ACWA)</w:t>
      </w:r>
      <w:r w:rsidR="002E5AA9" w:rsidRPr="007242B4">
        <w:t xml:space="preserve">, Small Business Development Corporation </w:t>
      </w:r>
      <w:r w:rsidR="000A227C" w:rsidRPr="007242B4">
        <w:t xml:space="preserve">(SBDC) </w:t>
      </w:r>
      <w:r w:rsidR="002E5AA9" w:rsidRPr="007242B4">
        <w:t>and the Chamber of Commerce and Industry Western Australia</w:t>
      </w:r>
      <w:r w:rsidR="000A227C" w:rsidRPr="007242B4">
        <w:t xml:space="preserve"> (CCIWA)</w:t>
      </w:r>
      <w:r w:rsidR="002E5AA9" w:rsidRPr="007242B4">
        <w:t>.</w:t>
      </w:r>
    </w:p>
    <w:p w14:paraId="46564C08" w14:textId="77777777" w:rsidR="00AE47DA" w:rsidRDefault="00AE47DA" w:rsidP="00AE47DA">
      <w:r>
        <w:t>Two WorkCover WA officers attended an ACWA meeting in March 2018 to discuss campaign findings and industry specific workers’ compensation concerns, such as the use of contractors in car wash businesses.</w:t>
      </w:r>
    </w:p>
    <w:p w14:paraId="0D2DBE2F" w14:textId="77AFB960" w:rsidR="00BF42E2" w:rsidRDefault="00BF42E2" w:rsidP="00AE47DA">
      <w:r>
        <w:t xml:space="preserve">This emerging industry continues to be monitored by WorkCover WA and our Agency has been </w:t>
      </w:r>
      <w:r w:rsidR="00250F15">
        <w:t>working with ACWA</w:t>
      </w:r>
      <w:r>
        <w:t xml:space="preserve"> to educate business operators about their workers’ compensation obligations. </w:t>
      </w:r>
    </w:p>
    <w:p w14:paraId="3AEB3AA2" w14:textId="5D02208A" w:rsidR="004B4F67" w:rsidRPr="004B4F67" w:rsidRDefault="00E0719B" w:rsidP="004930E9">
      <w:pPr>
        <w:pStyle w:val="Heading4"/>
        <w:ind w:left="0"/>
      </w:pPr>
      <w:r>
        <w:t>Road Freight, Restaurants and Cafes C</w:t>
      </w:r>
      <w:r w:rsidR="004B4F67">
        <w:t>ampaign</w:t>
      </w:r>
    </w:p>
    <w:p w14:paraId="6F883F71" w14:textId="513FE474" w:rsidR="000A227C" w:rsidRDefault="004B4F67" w:rsidP="004B4F67">
      <w:r>
        <w:t xml:space="preserve">The second </w:t>
      </w:r>
      <w:r w:rsidR="00BA739C">
        <w:t xml:space="preserve">industry </w:t>
      </w:r>
      <w:r>
        <w:t>campaign ran from October to December 2017 and focused on road freight services, restaurants and cafes.</w:t>
      </w:r>
      <w:r w:rsidR="00E515A9">
        <w:t xml:space="preserve"> </w:t>
      </w:r>
    </w:p>
    <w:p w14:paraId="0D96F443" w14:textId="5B1537E5" w:rsidR="000A227C" w:rsidRDefault="000A227C" w:rsidP="000A227C">
      <w:r>
        <w:t xml:space="preserve">WorkCover WA sent letters to </w:t>
      </w:r>
      <w:r w:rsidR="00ED0861" w:rsidRPr="007242B4">
        <w:t xml:space="preserve">the </w:t>
      </w:r>
      <w:r w:rsidRPr="007242B4">
        <w:t xml:space="preserve">SBDC, CCIWA, Transport </w:t>
      </w:r>
      <w:r>
        <w:t xml:space="preserve">Workers Union, WA Road Transport Road Association, National Road Transport Association, Transafe WA, </w:t>
      </w:r>
      <w:r w:rsidR="00346D60">
        <w:t>N</w:t>
      </w:r>
      <w:r>
        <w:t xml:space="preserve">ational Restaurant Association, and </w:t>
      </w:r>
      <w:r w:rsidR="00ED0861">
        <w:t xml:space="preserve">the </w:t>
      </w:r>
      <w:r>
        <w:t xml:space="preserve">Restaurants and Catering Industry Association of WA. The letters </w:t>
      </w:r>
      <w:r w:rsidR="00752E0E">
        <w:t>directed recipients to the WorkCover WA website</w:t>
      </w:r>
      <w:r w:rsidR="00A206D8">
        <w:t xml:space="preserve"> and </w:t>
      </w:r>
      <w:r>
        <w:t xml:space="preserve">acted as an informative tool to educate industry representatives of </w:t>
      </w:r>
      <w:r w:rsidR="00A206D8">
        <w:t>the Agency’s</w:t>
      </w:r>
      <w:r>
        <w:t xml:space="preserve"> role in the scheme and to remind employers of their duty to hold workers’ compensation</w:t>
      </w:r>
      <w:r w:rsidR="00346D60">
        <w:t xml:space="preserve"> insurance</w:t>
      </w:r>
      <w:r>
        <w:t>.</w:t>
      </w:r>
    </w:p>
    <w:p w14:paraId="2B521955" w14:textId="4CFDC070" w:rsidR="000A227C" w:rsidRDefault="000A227C" w:rsidP="004B4F67">
      <w:r>
        <w:t>An article was published in Wheels Magazine in December 2017 further promot</w:t>
      </w:r>
      <w:r w:rsidR="00ED0861">
        <w:t xml:space="preserve">ing the campaign’s key messages to transport operators. </w:t>
      </w:r>
    </w:p>
    <w:p w14:paraId="1A2F342B" w14:textId="04194EFD" w:rsidR="000A227C" w:rsidRDefault="006D26D1" w:rsidP="004B4F67">
      <w:r>
        <w:t>The</w:t>
      </w:r>
      <w:r w:rsidR="000A227C">
        <w:t xml:space="preserve"> campaign was a success, with WorkCover WA inspec</w:t>
      </w:r>
      <w:r w:rsidR="006D12AD">
        <w:t>tors conducting 408 inspections</w:t>
      </w:r>
      <w:r w:rsidR="000A227C">
        <w:t>.</w:t>
      </w:r>
    </w:p>
    <w:p w14:paraId="484ED0F7" w14:textId="0619FA12" w:rsidR="004B4F67" w:rsidRDefault="00E0719B" w:rsidP="004930E9">
      <w:pPr>
        <w:pStyle w:val="Heading4"/>
        <w:ind w:left="0"/>
      </w:pPr>
      <w:r>
        <w:t>Residential Construction Industry C</w:t>
      </w:r>
      <w:r w:rsidR="004B4F67">
        <w:t>ampaign</w:t>
      </w:r>
    </w:p>
    <w:p w14:paraId="145FD5E7" w14:textId="0BF0FF1F" w:rsidR="004B4F67" w:rsidRDefault="004B4F67" w:rsidP="004B4F67">
      <w:pPr>
        <w:rPr>
          <w:lang w:val="en-US" w:eastAsia="en-AU"/>
        </w:rPr>
      </w:pPr>
      <w:r>
        <w:rPr>
          <w:lang w:val="en-US" w:eastAsia="en-AU"/>
        </w:rPr>
        <w:t xml:space="preserve">The </w:t>
      </w:r>
      <w:r w:rsidR="00454A08">
        <w:rPr>
          <w:lang w:val="en-US" w:eastAsia="en-AU"/>
        </w:rPr>
        <w:t>final</w:t>
      </w:r>
      <w:r>
        <w:rPr>
          <w:lang w:val="en-US" w:eastAsia="en-AU"/>
        </w:rPr>
        <w:t xml:space="preserve"> </w:t>
      </w:r>
      <w:r w:rsidR="00BA739C">
        <w:rPr>
          <w:lang w:val="en-US" w:eastAsia="en-AU"/>
        </w:rPr>
        <w:t xml:space="preserve">industry </w:t>
      </w:r>
      <w:r>
        <w:rPr>
          <w:lang w:val="en-US" w:eastAsia="en-AU"/>
        </w:rPr>
        <w:t>campaign ran from January to June 2018 and focused on the residential construction industry. WorkCover WA inspectors conducted compliance checks during this time on painters and bricklayers.</w:t>
      </w:r>
    </w:p>
    <w:p w14:paraId="2C4C4DB2" w14:textId="5F8FF48E" w:rsidR="004B4F67" w:rsidRDefault="004B4F67" w:rsidP="004B4F67">
      <w:pPr>
        <w:rPr>
          <w:lang w:val="en-US" w:eastAsia="en-AU"/>
        </w:rPr>
      </w:pPr>
      <w:r>
        <w:rPr>
          <w:lang w:val="en-US" w:eastAsia="en-AU"/>
        </w:rPr>
        <w:t>Articles and advertisements were pub</w:t>
      </w:r>
      <w:r w:rsidR="00E515A9">
        <w:rPr>
          <w:lang w:val="en-US" w:eastAsia="en-AU"/>
        </w:rPr>
        <w:t>lished in industry publications</w:t>
      </w:r>
      <w:r>
        <w:rPr>
          <w:lang w:val="en-US" w:eastAsia="en-AU"/>
        </w:rPr>
        <w:t xml:space="preserve"> including Master Builders Magazine and</w:t>
      </w:r>
      <w:r w:rsidR="00ED0861">
        <w:rPr>
          <w:lang w:val="en-US" w:eastAsia="en-AU"/>
        </w:rPr>
        <w:t xml:space="preserve"> the</w:t>
      </w:r>
      <w:r>
        <w:rPr>
          <w:lang w:val="en-US" w:eastAsia="en-AU"/>
        </w:rPr>
        <w:t xml:space="preserve"> Housing Industry Association’s Building News. An educational email was also sent to residential construction industry associations and </w:t>
      </w:r>
      <w:r w:rsidR="006B4423">
        <w:rPr>
          <w:lang w:val="en-US" w:eastAsia="en-AU"/>
        </w:rPr>
        <w:t>over 300 employers</w:t>
      </w:r>
      <w:r>
        <w:rPr>
          <w:lang w:val="en-US" w:eastAsia="en-AU"/>
        </w:rPr>
        <w:t xml:space="preserve"> advising them of the campaign and </w:t>
      </w:r>
      <w:r w:rsidR="006B4423">
        <w:rPr>
          <w:lang w:val="en-US" w:eastAsia="en-AU"/>
        </w:rPr>
        <w:t xml:space="preserve">of </w:t>
      </w:r>
      <w:r>
        <w:rPr>
          <w:lang w:val="en-US" w:eastAsia="en-AU"/>
        </w:rPr>
        <w:t>the</w:t>
      </w:r>
      <w:r w:rsidR="006B4423">
        <w:rPr>
          <w:lang w:val="en-US" w:eastAsia="en-AU"/>
        </w:rPr>
        <w:t>ir</w:t>
      </w:r>
      <w:r>
        <w:rPr>
          <w:lang w:val="en-US" w:eastAsia="en-AU"/>
        </w:rPr>
        <w:t xml:space="preserve"> duty to hold workers’ compensation insurance.</w:t>
      </w:r>
    </w:p>
    <w:p w14:paraId="51FF0EFE" w14:textId="70B5F869" w:rsidR="004B4F67" w:rsidRDefault="004B4F67" w:rsidP="004B4F67">
      <w:pPr>
        <w:rPr>
          <w:color w:val="FF0000"/>
          <w:lang w:val="en-US" w:eastAsia="en-AU"/>
        </w:rPr>
      </w:pPr>
      <w:r>
        <w:rPr>
          <w:lang w:val="en-US" w:eastAsia="en-AU"/>
        </w:rPr>
        <w:t xml:space="preserve">As part of the campaign, WorkCover WA held a Residential Construction Industry Seminar on 10 April 2018. Further information </w:t>
      </w:r>
      <w:r w:rsidR="00E515A9">
        <w:rPr>
          <w:lang w:val="en-US" w:eastAsia="en-AU"/>
        </w:rPr>
        <w:t>on</w:t>
      </w:r>
      <w:r>
        <w:rPr>
          <w:lang w:val="en-US" w:eastAsia="en-AU"/>
        </w:rPr>
        <w:t xml:space="preserve"> the </w:t>
      </w:r>
      <w:r w:rsidR="00691085">
        <w:rPr>
          <w:lang w:val="en-US" w:eastAsia="en-AU"/>
        </w:rPr>
        <w:t xml:space="preserve">Residential Construction Industry Seminar </w:t>
      </w:r>
      <w:r>
        <w:rPr>
          <w:lang w:val="en-US" w:eastAsia="en-AU"/>
        </w:rPr>
        <w:t xml:space="preserve">can be found on </w:t>
      </w:r>
      <w:r w:rsidRPr="00E47B67">
        <w:rPr>
          <w:lang w:val="en-US" w:eastAsia="en-AU"/>
        </w:rPr>
        <w:t xml:space="preserve">page </w:t>
      </w:r>
      <w:r w:rsidR="00E47B67" w:rsidRPr="00E47B67">
        <w:rPr>
          <w:lang w:val="en-US" w:eastAsia="en-AU"/>
        </w:rPr>
        <w:t>102</w:t>
      </w:r>
      <w:r>
        <w:rPr>
          <w:lang w:val="en-US" w:eastAsia="en-AU"/>
        </w:rPr>
        <w:t xml:space="preserve">. WorkCover WA also exhibited at the Perth Tradies Expo </w:t>
      </w:r>
      <w:r w:rsidR="0031362D">
        <w:rPr>
          <w:lang w:val="en-US" w:eastAsia="en-AU"/>
        </w:rPr>
        <w:t>from</w:t>
      </w:r>
      <w:r>
        <w:rPr>
          <w:lang w:val="en-US" w:eastAsia="en-AU"/>
        </w:rPr>
        <w:t xml:space="preserve"> 22 to 24 June 2018</w:t>
      </w:r>
      <w:r w:rsidR="003C672E">
        <w:rPr>
          <w:lang w:val="en-US" w:eastAsia="en-AU"/>
        </w:rPr>
        <w:t xml:space="preserve">. Further information </w:t>
      </w:r>
      <w:r w:rsidR="00E515A9">
        <w:rPr>
          <w:lang w:val="en-US" w:eastAsia="en-AU"/>
        </w:rPr>
        <w:t>on</w:t>
      </w:r>
      <w:r w:rsidR="003C672E">
        <w:rPr>
          <w:lang w:val="en-US" w:eastAsia="en-AU"/>
        </w:rPr>
        <w:t xml:space="preserve"> the </w:t>
      </w:r>
      <w:r w:rsidR="00E515A9">
        <w:rPr>
          <w:lang w:val="en-US" w:eastAsia="en-AU"/>
        </w:rPr>
        <w:t>Tradies Expo</w:t>
      </w:r>
      <w:r w:rsidR="003C672E">
        <w:rPr>
          <w:lang w:val="en-US" w:eastAsia="en-AU"/>
        </w:rPr>
        <w:t xml:space="preserve"> can be found </w:t>
      </w:r>
      <w:r w:rsidR="006B4423">
        <w:rPr>
          <w:lang w:val="en-US" w:eastAsia="en-AU"/>
        </w:rPr>
        <w:t xml:space="preserve">on </w:t>
      </w:r>
      <w:r w:rsidR="006B4423" w:rsidRPr="00E47B67">
        <w:rPr>
          <w:lang w:val="en-US" w:eastAsia="en-AU"/>
        </w:rPr>
        <w:t xml:space="preserve">page </w:t>
      </w:r>
      <w:r w:rsidR="00E47B67" w:rsidRPr="00E47B67">
        <w:rPr>
          <w:lang w:val="en-US" w:eastAsia="en-AU"/>
        </w:rPr>
        <w:t>104</w:t>
      </w:r>
      <w:r w:rsidR="006B4423" w:rsidRPr="00E47B67">
        <w:rPr>
          <w:lang w:val="en-US" w:eastAsia="en-AU"/>
        </w:rPr>
        <w:t>.</w:t>
      </w:r>
    </w:p>
    <w:p w14:paraId="17B2913A" w14:textId="2A0C8358" w:rsidR="00B31E1E" w:rsidRDefault="00E0719B" w:rsidP="00B31E1E">
      <w:pPr>
        <w:pStyle w:val="Heading3nonumber"/>
        <w:rPr>
          <w:lang w:val="en-US" w:eastAsia="en-AU"/>
        </w:rPr>
      </w:pPr>
      <w:bookmarkStart w:id="300" w:name="_Toc525121987"/>
      <w:r>
        <w:rPr>
          <w:lang w:val="en-US" w:eastAsia="en-AU"/>
        </w:rPr>
        <w:t xml:space="preserve">GP </w:t>
      </w:r>
      <w:r w:rsidR="00E515A9">
        <w:rPr>
          <w:lang w:val="en-US" w:eastAsia="en-AU"/>
        </w:rPr>
        <w:t>c</w:t>
      </w:r>
      <w:r w:rsidR="00B31E1E">
        <w:rPr>
          <w:lang w:val="en-US" w:eastAsia="en-AU"/>
        </w:rPr>
        <w:t>ampaign</w:t>
      </w:r>
      <w:bookmarkEnd w:id="300"/>
    </w:p>
    <w:p w14:paraId="6499CE9D" w14:textId="7CF09DDC" w:rsidR="00D16F13" w:rsidRDefault="00D16F13" w:rsidP="001F7DD9">
      <w:pPr>
        <w:rPr>
          <w:lang w:val="en-US" w:eastAsia="en-AU"/>
        </w:rPr>
      </w:pPr>
      <w:r>
        <w:rPr>
          <w:lang w:val="en-US" w:eastAsia="en-AU"/>
        </w:rPr>
        <w:t>The GP ca</w:t>
      </w:r>
      <w:r w:rsidR="00E515A9">
        <w:rPr>
          <w:lang w:val="en-US" w:eastAsia="en-AU"/>
        </w:rPr>
        <w:t xml:space="preserve">mpaign was developed in 2017/18 with the aim of educating </w:t>
      </w:r>
      <w:r>
        <w:rPr>
          <w:lang w:val="en-US" w:eastAsia="en-AU"/>
        </w:rPr>
        <w:t>general practitioners on the</w:t>
      </w:r>
      <w:r w:rsidR="00E515A9">
        <w:rPr>
          <w:lang w:val="en-US" w:eastAsia="en-AU"/>
        </w:rPr>
        <w:t>ir role within the scheme</w:t>
      </w:r>
      <w:r w:rsidR="00494140">
        <w:rPr>
          <w:lang w:val="en-US" w:eastAsia="en-AU"/>
        </w:rPr>
        <w:t xml:space="preserve"> and the</w:t>
      </w:r>
      <w:r>
        <w:rPr>
          <w:lang w:val="en-US" w:eastAsia="en-AU"/>
        </w:rPr>
        <w:t xml:space="preserve"> importance of </w:t>
      </w:r>
      <w:r w:rsidR="007D52D1">
        <w:rPr>
          <w:lang w:val="en-US" w:eastAsia="en-AU"/>
        </w:rPr>
        <w:br/>
      </w:r>
      <w:r>
        <w:rPr>
          <w:lang w:val="en-US" w:eastAsia="en-AU"/>
        </w:rPr>
        <w:t>Certificates of Capacity.</w:t>
      </w:r>
    </w:p>
    <w:p w14:paraId="1CCE66F4" w14:textId="4A5D1252" w:rsidR="00494140" w:rsidRDefault="00D16F13" w:rsidP="001F7DD9">
      <w:pPr>
        <w:rPr>
          <w:lang w:val="en-US" w:eastAsia="en-AU"/>
        </w:rPr>
      </w:pPr>
      <w:r>
        <w:rPr>
          <w:lang w:val="en-US" w:eastAsia="en-AU"/>
        </w:rPr>
        <w:t xml:space="preserve">As part of the campaign, WorkCover WA </w:t>
      </w:r>
      <w:r w:rsidR="003C672E">
        <w:rPr>
          <w:lang w:val="en-US" w:eastAsia="en-AU"/>
        </w:rPr>
        <w:t xml:space="preserve">determined </w:t>
      </w:r>
      <w:r w:rsidR="00346D60">
        <w:rPr>
          <w:lang w:val="en-US" w:eastAsia="en-AU"/>
        </w:rPr>
        <w:t xml:space="preserve">the </w:t>
      </w:r>
      <w:r w:rsidR="003C5B76">
        <w:rPr>
          <w:lang w:val="en-US" w:eastAsia="en-AU"/>
        </w:rPr>
        <w:t xml:space="preserve">top ten </w:t>
      </w:r>
      <w:r w:rsidR="003C672E">
        <w:rPr>
          <w:lang w:val="en-US" w:eastAsia="en-AU"/>
        </w:rPr>
        <w:t xml:space="preserve">suburbs </w:t>
      </w:r>
      <w:r w:rsidR="00766BE6" w:rsidRPr="007242B4">
        <w:rPr>
          <w:lang w:val="en-US" w:eastAsia="en-AU"/>
        </w:rPr>
        <w:t xml:space="preserve">in WA </w:t>
      </w:r>
      <w:r w:rsidR="00346D60" w:rsidRPr="007242B4">
        <w:rPr>
          <w:lang w:val="en-US" w:eastAsia="en-AU"/>
        </w:rPr>
        <w:t>with</w:t>
      </w:r>
      <w:r w:rsidR="003C672E" w:rsidRPr="007242B4">
        <w:rPr>
          <w:lang w:val="en-US" w:eastAsia="en-AU"/>
        </w:rPr>
        <w:t xml:space="preserve"> </w:t>
      </w:r>
      <w:r w:rsidR="003C672E">
        <w:rPr>
          <w:lang w:val="en-US" w:eastAsia="en-AU"/>
        </w:rPr>
        <w:t xml:space="preserve">the highest number of workers’ compensation claims and </w:t>
      </w:r>
      <w:r w:rsidR="00766BE6">
        <w:rPr>
          <w:lang w:val="en-US" w:eastAsia="en-AU"/>
        </w:rPr>
        <w:t>targeted</w:t>
      </w:r>
      <w:r w:rsidR="003C672E">
        <w:rPr>
          <w:lang w:val="en-US" w:eastAsia="en-AU"/>
        </w:rPr>
        <w:t xml:space="preserve"> medical centres within these suburbs. Education</w:t>
      </w:r>
      <w:r w:rsidR="00883329">
        <w:rPr>
          <w:lang w:val="en-US" w:eastAsia="en-AU"/>
        </w:rPr>
        <w:t>al</w:t>
      </w:r>
      <w:r w:rsidR="003C672E">
        <w:rPr>
          <w:lang w:val="en-US" w:eastAsia="en-AU"/>
        </w:rPr>
        <w:t xml:space="preserve"> emails and resources were sent to </w:t>
      </w:r>
      <w:r w:rsidR="003C5B76">
        <w:rPr>
          <w:lang w:val="en-US" w:eastAsia="en-AU"/>
        </w:rPr>
        <w:t>over</w:t>
      </w:r>
      <w:r w:rsidR="003C5B76" w:rsidRPr="003C5B76">
        <w:rPr>
          <w:lang w:val="en-US" w:eastAsia="en-AU"/>
        </w:rPr>
        <w:t xml:space="preserve"> 70</w:t>
      </w:r>
      <w:r w:rsidR="003C672E" w:rsidRPr="003C5B76">
        <w:rPr>
          <w:lang w:val="en-US" w:eastAsia="en-AU"/>
        </w:rPr>
        <w:t xml:space="preserve"> </w:t>
      </w:r>
      <w:r w:rsidR="003C672E">
        <w:rPr>
          <w:lang w:val="en-US" w:eastAsia="en-AU"/>
        </w:rPr>
        <w:t>m</w:t>
      </w:r>
      <w:r w:rsidR="003C5B76">
        <w:rPr>
          <w:lang w:val="en-US" w:eastAsia="en-AU"/>
        </w:rPr>
        <w:t xml:space="preserve">edical centres in </w:t>
      </w:r>
      <w:r w:rsidR="00511441">
        <w:rPr>
          <w:lang w:val="en-US" w:eastAsia="en-AU"/>
        </w:rPr>
        <w:t xml:space="preserve">suburbs </w:t>
      </w:r>
      <w:r w:rsidR="003C5B76">
        <w:rPr>
          <w:lang w:val="en-US" w:eastAsia="en-AU"/>
        </w:rPr>
        <w:t>including Baldivis, Ellenbrook and Thornlie.</w:t>
      </w:r>
      <w:r w:rsidR="00494140">
        <w:rPr>
          <w:lang w:val="en-US" w:eastAsia="en-AU"/>
        </w:rPr>
        <w:t xml:space="preserve"> </w:t>
      </w:r>
      <w:r w:rsidR="003C672E">
        <w:rPr>
          <w:lang w:val="en-US" w:eastAsia="en-AU"/>
        </w:rPr>
        <w:t xml:space="preserve">Articles were also published on the WorkCover WA and </w:t>
      </w:r>
      <w:r w:rsidR="003C672E" w:rsidRPr="00494140">
        <w:rPr>
          <w:i/>
          <w:lang w:val="en-US" w:eastAsia="en-AU"/>
        </w:rPr>
        <w:t xml:space="preserve">gpsupport </w:t>
      </w:r>
      <w:r w:rsidR="003C672E">
        <w:rPr>
          <w:lang w:val="en-US" w:eastAsia="en-AU"/>
        </w:rPr>
        <w:t xml:space="preserve">websites, and </w:t>
      </w:r>
      <w:r w:rsidR="00E515A9">
        <w:rPr>
          <w:lang w:val="en-US" w:eastAsia="en-AU"/>
        </w:rPr>
        <w:t xml:space="preserve">educational </w:t>
      </w:r>
      <w:r w:rsidR="00494140">
        <w:rPr>
          <w:lang w:val="en-US" w:eastAsia="en-AU"/>
        </w:rPr>
        <w:t xml:space="preserve">posts published on our </w:t>
      </w:r>
      <w:r w:rsidR="003C672E">
        <w:rPr>
          <w:lang w:val="en-US" w:eastAsia="en-AU"/>
        </w:rPr>
        <w:t xml:space="preserve">Twitter and Facebook pages. </w:t>
      </w:r>
    </w:p>
    <w:p w14:paraId="11A7B560" w14:textId="5469A236" w:rsidR="00494140" w:rsidRDefault="00494140" w:rsidP="001F7DD9">
      <w:pPr>
        <w:rPr>
          <w:lang w:val="en-US" w:eastAsia="en-AU"/>
        </w:rPr>
      </w:pPr>
      <w:r>
        <w:rPr>
          <w:lang w:val="en-US" w:eastAsia="en-AU"/>
        </w:rPr>
        <w:t xml:space="preserve">In 2018/19, WorkCover WA will publish </w:t>
      </w:r>
      <w:r w:rsidR="00766BE6">
        <w:rPr>
          <w:lang w:val="en-US" w:eastAsia="en-AU"/>
        </w:rPr>
        <w:t xml:space="preserve">further </w:t>
      </w:r>
      <w:r>
        <w:rPr>
          <w:lang w:val="en-US" w:eastAsia="en-AU"/>
        </w:rPr>
        <w:t>articles and advertisements in relevant</w:t>
      </w:r>
      <w:r w:rsidR="00766BE6">
        <w:rPr>
          <w:lang w:val="en-US" w:eastAsia="en-AU"/>
        </w:rPr>
        <w:t xml:space="preserve"> medical</w:t>
      </w:r>
      <w:r>
        <w:rPr>
          <w:lang w:val="en-US" w:eastAsia="en-AU"/>
        </w:rPr>
        <w:t xml:space="preserve"> publications. The results of the c</w:t>
      </w:r>
      <w:r w:rsidR="008E52F9">
        <w:rPr>
          <w:lang w:val="en-US" w:eastAsia="en-AU"/>
        </w:rPr>
        <w:t>ampaign will be available</w:t>
      </w:r>
      <w:r>
        <w:rPr>
          <w:lang w:val="en-US" w:eastAsia="en-AU"/>
        </w:rPr>
        <w:t xml:space="preserve"> next financial year.</w:t>
      </w:r>
    </w:p>
    <w:p w14:paraId="7669CEBE" w14:textId="60CAAC7D" w:rsidR="0088275D" w:rsidRPr="008D2493" w:rsidRDefault="00294C37" w:rsidP="008D2493">
      <w:pPr>
        <w:pStyle w:val="Heading3nonumber"/>
        <w:rPr>
          <w:lang w:val="en-US" w:eastAsia="en-AU"/>
        </w:rPr>
      </w:pPr>
      <w:bookmarkStart w:id="301" w:name="_Toc525121988"/>
      <w:r>
        <w:rPr>
          <w:lang w:val="en-US" w:eastAsia="en-AU"/>
        </w:rPr>
        <w:t>Business insurance p</w:t>
      </w:r>
      <w:r w:rsidR="00A6177D">
        <w:rPr>
          <w:lang w:val="en-US" w:eastAsia="en-AU"/>
        </w:rPr>
        <w:t>ackages</w:t>
      </w:r>
      <w:bookmarkEnd w:id="301"/>
    </w:p>
    <w:p w14:paraId="5393B759" w14:textId="48EDC9D8" w:rsidR="00A6177D" w:rsidRPr="007F3485" w:rsidRDefault="00A6177D" w:rsidP="00A6177D">
      <w:pPr>
        <w:rPr>
          <w:highlight w:val="cyan"/>
        </w:rPr>
      </w:pPr>
      <w:r>
        <w:t xml:space="preserve">In 2017/18 WorkCover WA </w:t>
      </w:r>
      <w:r w:rsidR="00E75D9D">
        <w:t xml:space="preserve">identified </w:t>
      </w:r>
      <w:r>
        <w:t>a number of cases where employers mistakenly believed their ‘business insurance package’ covered them for workers’ compensation. Many of these packages specifically exclude workers’ compensation liability.</w:t>
      </w:r>
    </w:p>
    <w:p w14:paraId="7E268FFD" w14:textId="4DBFAECC" w:rsidR="0082364D" w:rsidRDefault="00A6177D" w:rsidP="00A6177D">
      <w:r>
        <w:t>In response</w:t>
      </w:r>
      <w:r w:rsidR="00294C37">
        <w:t xml:space="preserve"> to these findings</w:t>
      </w:r>
      <w:r>
        <w:t xml:space="preserve">, WorkCover WA ran a </w:t>
      </w:r>
      <w:r w:rsidR="00AC6DFF">
        <w:t xml:space="preserve">targeted education </w:t>
      </w:r>
      <w:r>
        <w:t xml:space="preserve">campaign </w:t>
      </w:r>
      <w:r w:rsidR="00AC6DFF">
        <w:t xml:space="preserve">which </w:t>
      </w:r>
      <w:r>
        <w:t xml:space="preserve">involved </w:t>
      </w:r>
      <w:r w:rsidR="00464A25">
        <w:t>submitting e-news articles to relevant agencies and associations</w:t>
      </w:r>
      <w:r w:rsidR="00F1472F">
        <w:t xml:space="preserve">. </w:t>
      </w:r>
      <w:r w:rsidR="006C1AA5">
        <w:t>The articles</w:t>
      </w:r>
      <w:r w:rsidR="00EA33D4">
        <w:t xml:space="preserve"> </w:t>
      </w:r>
      <w:r w:rsidR="00464A25">
        <w:t>advis</w:t>
      </w:r>
      <w:r w:rsidR="006C1AA5">
        <w:t>ed</w:t>
      </w:r>
      <w:r w:rsidR="00464A25">
        <w:t xml:space="preserve"> employers to check they had adequate workers’ </w:t>
      </w:r>
      <w:r w:rsidR="006C1AA5">
        <w:t>compensation insurance coverage, and t</w:t>
      </w:r>
      <w:r w:rsidR="0082364D">
        <w:t xml:space="preserve">his information was also published on the WorkCover WA Facebook and </w:t>
      </w:r>
      <w:r w:rsidR="005A14D1">
        <w:t xml:space="preserve">Twitter accounts. </w:t>
      </w:r>
    </w:p>
    <w:p w14:paraId="2D30D241" w14:textId="06DDF4C7" w:rsidR="005A14D1" w:rsidRDefault="005A14D1" w:rsidP="005A14D1">
      <w:r>
        <w:t xml:space="preserve">Letters were sent to approved and other commercial insurers requesting their ‘business insurance’ product advertisements be clear about whether workers’ compensation insurance was included or not. WorkCover WA worked directly with one large business insurance provider to correct information on their website. </w:t>
      </w:r>
    </w:p>
    <w:p w14:paraId="24DE4866" w14:textId="5BB68AF2" w:rsidR="005A14D1" w:rsidRDefault="005A14D1" w:rsidP="005A14D1">
      <w:r>
        <w:t xml:space="preserve">The issue was also promoted at the Insurance Brokers’ Breakfast Seminar in December 2017. See </w:t>
      </w:r>
      <w:r w:rsidRPr="00E47B67">
        <w:t xml:space="preserve">page </w:t>
      </w:r>
      <w:r w:rsidR="00E47B67" w:rsidRPr="00E47B67">
        <w:t>101</w:t>
      </w:r>
      <w:r w:rsidRPr="00E47B67">
        <w:t xml:space="preserve"> </w:t>
      </w:r>
      <w:r>
        <w:t>for more information about this event.</w:t>
      </w:r>
    </w:p>
    <w:p w14:paraId="1EC3AF91" w14:textId="7DB91E41" w:rsidR="0086154B" w:rsidRPr="0086154B" w:rsidRDefault="00B06FC7" w:rsidP="00A84DD5">
      <w:pPr>
        <w:pStyle w:val="Heading2nonumber"/>
      </w:pPr>
      <w:bookmarkStart w:id="302" w:name="_Toc525121989"/>
      <w:r>
        <w:t>N</w:t>
      </w:r>
      <w:r w:rsidR="00B23D3A">
        <w:t xml:space="preserve">oise </w:t>
      </w:r>
      <w:r w:rsidR="0086154B" w:rsidRPr="0086154B">
        <w:t>induced hearing loss</w:t>
      </w:r>
      <w:bookmarkEnd w:id="296"/>
      <w:bookmarkEnd w:id="297"/>
      <w:bookmarkEnd w:id="298"/>
      <w:bookmarkEnd w:id="302"/>
      <w:r w:rsidR="0086154B" w:rsidRPr="0086154B">
        <w:t xml:space="preserve"> </w:t>
      </w:r>
    </w:p>
    <w:p w14:paraId="11DA9A87" w14:textId="730E65B0" w:rsidR="00BB3984" w:rsidRPr="00875CBD" w:rsidRDefault="00875CBD" w:rsidP="00B52569">
      <w:r>
        <w:t>In 2017/18, WorkCover WA continued to offer advice and guidance to workers and employers across the State with regards to noise induced hearing loss related tests and claims.</w:t>
      </w:r>
    </w:p>
    <w:tbl>
      <w:tblPr>
        <w:tblW w:w="8931" w:type="dxa"/>
        <w:tblInd w:w="113"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22: Involvement in noise induced hearing loss in 2017/18"/>
        <w:tblDescription w:val="This table provides information about noise induced hearing loss activity in 2017/18, including number of workers identified with potential hearing loss claims, number of full audiological assessments arranged, number of ear nose and throat assessments arranged, number of successful work related hearing loss claims, number of claims with 10 per cent permanent hearing loss and number of claims with an additional five per cent permanent hearing loss. "/>
      </w:tblPr>
      <w:tblGrid>
        <w:gridCol w:w="6237"/>
        <w:gridCol w:w="2694"/>
      </w:tblGrid>
      <w:tr w:rsidR="0086154B" w:rsidRPr="0086154B" w14:paraId="2CAF3879" w14:textId="77777777" w:rsidTr="007242B4">
        <w:trPr>
          <w:trHeight w:val="497"/>
          <w:tblHeader/>
        </w:trPr>
        <w:tc>
          <w:tcPr>
            <w:tcW w:w="8931" w:type="dxa"/>
            <w:gridSpan w:val="2"/>
            <w:shd w:val="clear" w:color="auto" w:fill="003F5F"/>
            <w:tcMar>
              <w:top w:w="170" w:type="dxa"/>
              <w:left w:w="113" w:type="dxa"/>
              <w:bottom w:w="170" w:type="dxa"/>
              <w:right w:w="113" w:type="dxa"/>
            </w:tcMar>
            <w:vAlign w:val="center"/>
          </w:tcPr>
          <w:p w14:paraId="45B43056" w14:textId="47B224AA" w:rsidR="0086154B" w:rsidRPr="0086154B" w:rsidRDefault="0086154B" w:rsidP="006C1AA5">
            <w:pPr>
              <w:rPr>
                <w:b/>
                <w:bCs/>
              </w:rPr>
            </w:pPr>
            <w:r w:rsidRPr="0086154B">
              <w:br w:type="page"/>
            </w:r>
            <w:r w:rsidR="00F11DCA" w:rsidRPr="007242B4">
              <w:rPr>
                <w:b/>
                <w:bCs/>
                <w:color w:val="FFFFFF" w:themeColor="background1"/>
              </w:rPr>
              <w:t xml:space="preserve">Table </w:t>
            </w:r>
            <w:r w:rsidR="006C1AA5" w:rsidRPr="007242B4">
              <w:rPr>
                <w:b/>
                <w:bCs/>
                <w:color w:val="FFFFFF" w:themeColor="background1"/>
              </w:rPr>
              <w:t>22</w:t>
            </w:r>
            <w:r w:rsidR="008C58FD" w:rsidRPr="007242B4">
              <w:rPr>
                <w:b/>
                <w:bCs/>
                <w:color w:val="FFFFFF" w:themeColor="background1"/>
              </w:rPr>
              <w:t xml:space="preserve">: </w:t>
            </w:r>
            <w:r w:rsidR="008C58FD" w:rsidRPr="00875CBD">
              <w:rPr>
                <w:b/>
                <w:bCs/>
                <w:color w:val="FFFFFF" w:themeColor="background1"/>
              </w:rPr>
              <w:t xml:space="preserve">Involvement in noise </w:t>
            </w:r>
            <w:r w:rsidRPr="00875CBD">
              <w:rPr>
                <w:b/>
                <w:bCs/>
                <w:color w:val="FFFFFF" w:themeColor="background1"/>
              </w:rPr>
              <w:t>induced hearing loss</w:t>
            </w:r>
            <w:r w:rsidR="00875CBD">
              <w:rPr>
                <w:b/>
                <w:bCs/>
                <w:color w:val="FFFFFF" w:themeColor="background1"/>
              </w:rPr>
              <w:t xml:space="preserve"> in 2017/18</w:t>
            </w:r>
          </w:p>
        </w:tc>
      </w:tr>
      <w:tr w:rsidR="0086154B" w:rsidRPr="0086154B" w14:paraId="2A7023D5" w14:textId="77777777" w:rsidTr="007242B4">
        <w:trPr>
          <w:trHeight w:val="60"/>
        </w:trPr>
        <w:tc>
          <w:tcPr>
            <w:tcW w:w="6237" w:type="dxa"/>
            <w:shd w:val="clear" w:color="auto" w:fill="CEDCE8"/>
            <w:tcMar>
              <w:top w:w="170" w:type="dxa"/>
              <w:left w:w="113" w:type="dxa"/>
              <w:bottom w:w="170" w:type="dxa"/>
              <w:right w:w="113" w:type="dxa"/>
            </w:tcMar>
            <w:vAlign w:val="center"/>
          </w:tcPr>
          <w:p w14:paraId="59163CA4" w14:textId="0CA16F39" w:rsidR="0086154B" w:rsidRPr="0086154B" w:rsidRDefault="00380C02" w:rsidP="0086154B">
            <w:pPr>
              <w:rPr>
                <w:b/>
                <w:bCs/>
              </w:rPr>
            </w:pPr>
            <w:r>
              <w:rPr>
                <w:b/>
                <w:bCs/>
              </w:rPr>
              <w:t>A</w:t>
            </w:r>
            <w:r w:rsidR="0086154B" w:rsidRPr="0086154B">
              <w:rPr>
                <w:b/>
                <w:bCs/>
              </w:rPr>
              <w:t>ctivity/outcome</w:t>
            </w:r>
          </w:p>
        </w:tc>
        <w:tc>
          <w:tcPr>
            <w:tcW w:w="2694" w:type="dxa"/>
            <w:shd w:val="clear" w:color="auto" w:fill="CEDCE8"/>
            <w:tcMar>
              <w:top w:w="170" w:type="dxa"/>
              <w:left w:w="113" w:type="dxa"/>
              <w:bottom w:w="170" w:type="dxa"/>
              <w:right w:w="113" w:type="dxa"/>
            </w:tcMar>
            <w:vAlign w:val="center"/>
          </w:tcPr>
          <w:p w14:paraId="452152BE" w14:textId="77777777" w:rsidR="0086154B" w:rsidRPr="0086154B" w:rsidRDefault="0086154B" w:rsidP="0047436A">
            <w:pPr>
              <w:jc w:val="right"/>
              <w:rPr>
                <w:b/>
                <w:bCs/>
              </w:rPr>
            </w:pPr>
            <w:r w:rsidRPr="0086154B">
              <w:rPr>
                <w:b/>
                <w:bCs/>
              </w:rPr>
              <w:t>Total number</w:t>
            </w:r>
          </w:p>
        </w:tc>
      </w:tr>
      <w:tr w:rsidR="0086154B" w:rsidRPr="0086154B" w14:paraId="19CA96C7" w14:textId="77777777" w:rsidTr="007242B4">
        <w:trPr>
          <w:trHeight w:val="60"/>
        </w:trPr>
        <w:tc>
          <w:tcPr>
            <w:tcW w:w="6237" w:type="dxa"/>
            <w:shd w:val="clear" w:color="auto" w:fill="CEDCE8"/>
            <w:tcMar>
              <w:top w:w="113" w:type="dxa"/>
              <w:left w:w="113" w:type="dxa"/>
              <w:bottom w:w="113" w:type="dxa"/>
              <w:right w:w="113" w:type="dxa"/>
            </w:tcMar>
            <w:vAlign w:val="center"/>
          </w:tcPr>
          <w:p w14:paraId="2B1B6FEE" w14:textId="02C9B43A" w:rsidR="0086154B" w:rsidRPr="0086154B" w:rsidRDefault="0086154B" w:rsidP="0086154B">
            <w:pPr>
              <w:rPr>
                <w:lang w:val="en-GB" w:eastAsia="en-AU"/>
              </w:rPr>
            </w:pPr>
            <w:r w:rsidRPr="0086154B">
              <w:rPr>
                <w:lang w:val="en-GB" w:eastAsia="en-AU"/>
              </w:rPr>
              <w:t>Worker</w:t>
            </w:r>
            <w:r w:rsidR="00380C02">
              <w:rPr>
                <w:lang w:val="en-GB" w:eastAsia="en-AU"/>
              </w:rPr>
              <w:t>s identified with potential noise induced hearing loss</w:t>
            </w:r>
            <w:r w:rsidRPr="0086154B">
              <w:rPr>
                <w:lang w:val="en-GB" w:eastAsia="en-AU"/>
              </w:rPr>
              <w:t xml:space="preserve"> claims</w:t>
            </w:r>
          </w:p>
        </w:tc>
        <w:tc>
          <w:tcPr>
            <w:tcW w:w="2694" w:type="dxa"/>
            <w:tcMar>
              <w:top w:w="113" w:type="dxa"/>
              <w:left w:w="113" w:type="dxa"/>
              <w:bottom w:w="113" w:type="dxa"/>
              <w:right w:w="113" w:type="dxa"/>
            </w:tcMar>
          </w:tcPr>
          <w:p w14:paraId="56A1D739" w14:textId="799FB864" w:rsidR="0086154B" w:rsidRPr="00AE42F6" w:rsidRDefault="00AE42F6" w:rsidP="006D3DC8">
            <w:pPr>
              <w:jc w:val="right"/>
              <w:rPr>
                <w:lang w:val="en-GB" w:eastAsia="en-AU"/>
              </w:rPr>
            </w:pPr>
            <w:r w:rsidRPr="00AE42F6">
              <w:rPr>
                <w:lang w:val="en-GB" w:eastAsia="en-AU"/>
              </w:rPr>
              <w:t>738</w:t>
            </w:r>
          </w:p>
        </w:tc>
      </w:tr>
      <w:tr w:rsidR="0086154B" w:rsidRPr="0086154B" w14:paraId="39943831" w14:textId="77777777" w:rsidTr="007242B4">
        <w:trPr>
          <w:trHeight w:val="696"/>
        </w:trPr>
        <w:tc>
          <w:tcPr>
            <w:tcW w:w="6237" w:type="dxa"/>
            <w:shd w:val="clear" w:color="auto" w:fill="CEDCE8"/>
            <w:tcMar>
              <w:top w:w="113" w:type="dxa"/>
              <w:left w:w="113" w:type="dxa"/>
              <w:bottom w:w="113" w:type="dxa"/>
              <w:right w:w="113" w:type="dxa"/>
            </w:tcMar>
            <w:vAlign w:val="center"/>
          </w:tcPr>
          <w:p w14:paraId="0C070772" w14:textId="77777777" w:rsidR="0086154B" w:rsidRPr="00F32A0C" w:rsidRDefault="0086154B" w:rsidP="0086154B">
            <w:pPr>
              <w:rPr>
                <w:lang w:val="en-GB" w:eastAsia="en-AU"/>
              </w:rPr>
            </w:pPr>
            <w:r w:rsidRPr="00F32A0C">
              <w:rPr>
                <w:lang w:val="en-GB" w:eastAsia="en-AU"/>
              </w:rPr>
              <w:t>Full audiological assessments arranged</w:t>
            </w:r>
          </w:p>
        </w:tc>
        <w:tc>
          <w:tcPr>
            <w:tcW w:w="2694" w:type="dxa"/>
            <w:tcMar>
              <w:top w:w="113" w:type="dxa"/>
              <w:left w:w="113" w:type="dxa"/>
              <w:bottom w:w="113" w:type="dxa"/>
              <w:right w:w="113" w:type="dxa"/>
            </w:tcMar>
          </w:tcPr>
          <w:p w14:paraId="04B547E8" w14:textId="744BD42A" w:rsidR="0086154B" w:rsidRPr="00AE42F6" w:rsidRDefault="00AE42F6" w:rsidP="006D3DC8">
            <w:pPr>
              <w:jc w:val="right"/>
              <w:rPr>
                <w:lang w:val="en-GB" w:eastAsia="en-AU"/>
              </w:rPr>
            </w:pPr>
            <w:r w:rsidRPr="00AE42F6">
              <w:rPr>
                <w:lang w:val="en-GB" w:eastAsia="en-AU"/>
              </w:rPr>
              <w:t>206</w:t>
            </w:r>
          </w:p>
        </w:tc>
      </w:tr>
      <w:tr w:rsidR="0086154B" w:rsidRPr="0086154B" w14:paraId="1717ECCD" w14:textId="77777777" w:rsidTr="007242B4">
        <w:trPr>
          <w:trHeight w:val="60"/>
        </w:trPr>
        <w:tc>
          <w:tcPr>
            <w:tcW w:w="6237" w:type="dxa"/>
            <w:shd w:val="clear" w:color="auto" w:fill="CEDCE8"/>
            <w:tcMar>
              <w:top w:w="113" w:type="dxa"/>
              <w:left w:w="113" w:type="dxa"/>
              <w:bottom w:w="113" w:type="dxa"/>
              <w:right w:w="113" w:type="dxa"/>
            </w:tcMar>
            <w:vAlign w:val="center"/>
          </w:tcPr>
          <w:p w14:paraId="063C9063" w14:textId="77777777" w:rsidR="0086154B" w:rsidRPr="0086154B" w:rsidRDefault="0086154B" w:rsidP="0086154B">
            <w:pPr>
              <w:rPr>
                <w:lang w:val="en-GB" w:eastAsia="en-AU"/>
              </w:rPr>
            </w:pPr>
            <w:r w:rsidRPr="0086154B">
              <w:rPr>
                <w:lang w:val="en-GB" w:eastAsia="en-AU"/>
              </w:rPr>
              <w:t>Otorhinolaryngology (ear, nose and throat) assessments of occupational hearing loss arranged</w:t>
            </w:r>
          </w:p>
        </w:tc>
        <w:tc>
          <w:tcPr>
            <w:tcW w:w="2694" w:type="dxa"/>
            <w:tcMar>
              <w:top w:w="113" w:type="dxa"/>
              <w:left w:w="113" w:type="dxa"/>
              <w:bottom w:w="113" w:type="dxa"/>
              <w:right w:w="113" w:type="dxa"/>
            </w:tcMar>
          </w:tcPr>
          <w:p w14:paraId="5C7BDE9C" w14:textId="335E43DD" w:rsidR="0086154B" w:rsidRPr="00AE42F6" w:rsidRDefault="00AE42F6" w:rsidP="006D3DC8">
            <w:pPr>
              <w:jc w:val="right"/>
              <w:rPr>
                <w:lang w:val="en-GB" w:eastAsia="en-AU"/>
              </w:rPr>
            </w:pPr>
            <w:r w:rsidRPr="00AE42F6">
              <w:rPr>
                <w:lang w:val="en-GB" w:eastAsia="en-AU"/>
              </w:rPr>
              <w:t>140</w:t>
            </w:r>
          </w:p>
        </w:tc>
      </w:tr>
      <w:tr w:rsidR="0086154B" w:rsidRPr="0086154B" w14:paraId="3DE7576A" w14:textId="77777777" w:rsidTr="007242B4">
        <w:trPr>
          <w:trHeight w:val="60"/>
        </w:trPr>
        <w:tc>
          <w:tcPr>
            <w:tcW w:w="6237" w:type="dxa"/>
            <w:shd w:val="clear" w:color="auto" w:fill="CEDCE8"/>
            <w:tcMar>
              <w:top w:w="113" w:type="dxa"/>
              <w:left w:w="113" w:type="dxa"/>
              <w:bottom w:w="113" w:type="dxa"/>
              <w:right w:w="113" w:type="dxa"/>
            </w:tcMar>
            <w:vAlign w:val="center"/>
          </w:tcPr>
          <w:p w14:paraId="0BE43E0E" w14:textId="2624B12F" w:rsidR="0086154B" w:rsidRPr="0086154B" w:rsidRDefault="0086154B" w:rsidP="00380C02">
            <w:pPr>
              <w:rPr>
                <w:lang w:val="en-GB" w:eastAsia="en-AU"/>
              </w:rPr>
            </w:pPr>
            <w:r w:rsidRPr="0086154B">
              <w:rPr>
                <w:lang w:val="en-GB" w:eastAsia="en-AU"/>
              </w:rPr>
              <w:t xml:space="preserve">Successful claims for work-related gradual onset </w:t>
            </w:r>
            <w:r w:rsidR="00380C02">
              <w:rPr>
                <w:lang w:val="en-GB" w:eastAsia="en-AU"/>
              </w:rPr>
              <w:t>noise induced hearing loss</w:t>
            </w:r>
          </w:p>
        </w:tc>
        <w:tc>
          <w:tcPr>
            <w:tcW w:w="2694" w:type="dxa"/>
            <w:tcMar>
              <w:top w:w="113" w:type="dxa"/>
              <w:left w:w="113" w:type="dxa"/>
              <w:bottom w:w="113" w:type="dxa"/>
              <w:right w:w="113" w:type="dxa"/>
            </w:tcMar>
          </w:tcPr>
          <w:p w14:paraId="4E2D60CC" w14:textId="474F5406" w:rsidR="0086154B" w:rsidRPr="00AE42F6" w:rsidRDefault="00AE42F6" w:rsidP="006D3DC8">
            <w:pPr>
              <w:jc w:val="right"/>
              <w:rPr>
                <w:lang w:val="en-GB" w:eastAsia="en-AU"/>
              </w:rPr>
            </w:pPr>
            <w:r w:rsidRPr="00AE42F6">
              <w:rPr>
                <w:lang w:val="en-GB" w:eastAsia="en-AU"/>
              </w:rPr>
              <w:t>100</w:t>
            </w:r>
          </w:p>
        </w:tc>
      </w:tr>
      <w:tr w:rsidR="0086154B" w:rsidRPr="0086154B" w14:paraId="34EC7E85" w14:textId="77777777" w:rsidTr="007242B4">
        <w:trPr>
          <w:trHeight w:val="60"/>
        </w:trPr>
        <w:tc>
          <w:tcPr>
            <w:tcW w:w="6237" w:type="dxa"/>
            <w:shd w:val="clear" w:color="auto" w:fill="CEDCE8"/>
            <w:tcMar>
              <w:top w:w="113" w:type="dxa"/>
              <w:left w:w="113" w:type="dxa"/>
              <w:bottom w:w="113" w:type="dxa"/>
              <w:right w:w="113" w:type="dxa"/>
            </w:tcMar>
            <w:vAlign w:val="center"/>
          </w:tcPr>
          <w:p w14:paraId="6F114729" w14:textId="0A0F2C17" w:rsidR="0086154B" w:rsidRPr="0086154B" w:rsidRDefault="00414670" w:rsidP="0086154B">
            <w:pPr>
              <w:rPr>
                <w:lang w:val="en-GB" w:eastAsia="en-AU"/>
              </w:rPr>
            </w:pPr>
            <w:r>
              <w:rPr>
                <w:lang w:val="en-GB" w:eastAsia="en-AU"/>
              </w:rPr>
              <w:t>First election claims (10 per</w:t>
            </w:r>
            <w:r w:rsidR="0086154B" w:rsidRPr="0086154B">
              <w:rPr>
                <w:lang w:val="en-GB" w:eastAsia="en-AU"/>
              </w:rPr>
              <w:t>cent permanent hearing loss)</w:t>
            </w:r>
          </w:p>
        </w:tc>
        <w:tc>
          <w:tcPr>
            <w:tcW w:w="2694" w:type="dxa"/>
            <w:tcMar>
              <w:top w:w="113" w:type="dxa"/>
              <w:left w:w="113" w:type="dxa"/>
              <w:bottom w:w="113" w:type="dxa"/>
              <w:right w:w="113" w:type="dxa"/>
            </w:tcMar>
          </w:tcPr>
          <w:p w14:paraId="04E3DEF1" w14:textId="3AD8277F" w:rsidR="0086154B" w:rsidRPr="00AE42F6" w:rsidRDefault="00AE42F6" w:rsidP="006D3DC8">
            <w:pPr>
              <w:jc w:val="right"/>
              <w:rPr>
                <w:lang w:val="en-GB" w:eastAsia="en-AU"/>
              </w:rPr>
            </w:pPr>
            <w:r w:rsidRPr="00AE42F6">
              <w:rPr>
                <w:lang w:val="en-GB" w:eastAsia="en-AU"/>
              </w:rPr>
              <w:t>92</w:t>
            </w:r>
          </w:p>
        </w:tc>
      </w:tr>
      <w:tr w:rsidR="0086154B" w:rsidRPr="0086154B" w14:paraId="545D5B16" w14:textId="77777777" w:rsidTr="007242B4">
        <w:trPr>
          <w:trHeight w:val="60"/>
        </w:trPr>
        <w:tc>
          <w:tcPr>
            <w:tcW w:w="6237" w:type="dxa"/>
            <w:shd w:val="clear" w:color="auto" w:fill="CEDCE8"/>
            <w:tcMar>
              <w:top w:w="113" w:type="dxa"/>
              <w:left w:w="113" w:type="dxa"/>
              <w:bottom w:w="113" w:type="dxa"/>
              <w:right w:w="113" w:type="dxa"/>
            </w:tcMar>
            <w:vAlign w:val="center"/>
          </w:tcPr>
          <w:p w14:paraId="6FBE8C48" w14:textId="44A86622" w:rsidR="0086154B" w:rsidRPr="0086154B" w:rsidRDefault="0086154B" w:rsidP="0086154B">
            <w:pPr>
              <w:rPr>
                <w:lang w:val="en-GB" w:eastAsia="en-AU"/>
              </w:rPr>
            </w:pPr>
            <w:r w:rsidRPr="0086154B">
              <w:rPr>
                <w:lang w:val="en-GB" w:eastAsia="en-AU"/>
              </w:rPr>
              <w:t>Subseque</w:t>
            </w:r>
            <w:r w:rsidR="00292C9D">
              <w:rPr>
                <w:lang w:val="en-GB" w:eastAsia="en-AU"/>
              </w:rPr>
              <w:t>nt election claims (additional five</w:t>
            </w:r>
            <w:r w:rsidR="00414670">
              <w:rPr>
                <w:lang w:val="en-GB" w:eastAsia="en-AU"/>
              </w:rPr>
              <w:t xml:space="preserve"> per</w:t>
            </w:r>
            <w:r w:rsidRPr="0086154B">
              <w:rPr>
                <w:lang w:val="en-GB" w:eastAsia="en-AU"/>
              </w:rPr>
              <w:t>cent permanent hearing loss)</w:t>
            </w:r>
          </w:p>
        </w:tc>
        <w:tc>
          <w:tcPr>
            <w:tcW w:w="2694" w:type="dxa"/>
            <w:tcMar>
              <w:top w:w="113" w:type="dxa"/>
              <w:left w:w="113" w:type="dxa"/>
              <w:bottom w:w="113" w:type="dxa"/>
              <w:right w:w="113" w:type="dxa"/>
            </w:tcMar>
          </w:tcPr>
          <w:p w14:paraId="7C18896F" w14:textId="1420FC95" w:rsidR="0086154B" w:rsidRPr="00AE42F6" w:rsidRDefault="00AE42F6" w:rsidP="006D3DC8">
            <w:pPr>
              <w:jc w:val="right"/>
              <w:rPr>
                <w:lang w:val="en-GB" w:eastAsia="en-AU"/>
              </w:rPr>
            </w:pPr>
            <w:r w:rsidRPr="00AE42F6">
              <w:rPr>
                <w:lang w:val="en-GB" w:eastAsia="en-AU"/>
              </w:rPr>
              <w:t>8</w:t>
            </w:r>
          </w:p>
        </w:tc>
      </w:tr>
    </w:tbl>
    <w:p w14:paraId="373A4902" w14:textId="3F4C2B1D" w:rsidR="0095389B" w:rsidRPr="00F361B6" w:rsidRDefault="00BC34ED" w:rsidP="00F361B6">
      <w:pPr>
        <w:pStyle w:val="Heading1nonumber"/>
        <w:rPr>
          <w:lang w:val="en-US"/>
        </w:rPr>
      </w:pPr>
      <w:bookmarkStart w:id="303" w:name="_Toc426617476"/>
      <w:bookmarkStart w:id="304" w:name="_Toc450900693"/>
      <w:bookmarkStart w:id="305" w:name="_Toc525121990"/>
      <w:r w:rsidRPr="00BC34ED">
        <w:rPr>
          <w:lang w:val="en-US"/>
        </w:rPr>
        <w:t xml:space="preserve">Regulating </w:t>
      </w:r>
      <w:r w:rsidR="00854400">
        <w:rPr>
          <w:lang w:val="en-US"/>
        </w:rPr>
        <w:t>s</w:t>
      </w:r>
      <w:r w:rsidRPr="00BC34ED">
        <w:rPr>
          <w:lang w:val="en-US"/>
        </w:rPr>
        <w:t xml:space="preserve">ervice </w:t>
      </w:r>
      <w:r w:rsidR="00854400">
        <w:rPr>
          <w:lang w:val="en-US"/>
        </w:rPr>
        <w:t>p</w:t>
      </w:r>
      <w:r w:rsidRPr="00BC34ED">
        <w:rPr>
          <w:lang w:val="en-US"/>
        </w:rPr>
        <w:t>roviders</w:t>
      </w:r>
      <w:bookmarkEnd w:id="284"/>
      <w:bookmarkEnd w:id="303"/>
      <w:bookmarkEnd w:id="304"/>
      <w:bookmarkEnd w:id="305"/>
    </w:p>
    <w:tbl>
      <w:tblPr>
        <w:tblW w:w="9162" w:type="dxa"/>
        <w:tblInd w:w="-10" w:type="dxa"/>
        <w:tblBorders>
          <w:top w:val="single" w:sz="8" w:space="0" w:color="9FBCD0"/>
          <w:left w:val="single" w:sz="8" w:space="0" w:color="9FBCD0"/>
          <w:bottom w:val="single" w:sz="8" w:space="0" w:color="9FBCD0"/>
          <w:right w:val="single" w:sz="8" w:space="0" w:color="9FBCD0"/>
          <w:insideH w:val="single" w:sz="8" w:space="0" w:color="9FBCD0"/>
          <w:insideV w:val="single" w:sz="8" w:space="0" w:color="9FBCD0"/>
        </w:tblBorders>
        <w:tblLayout w:type="fixed"/>
        <w:tblCellMar>
          <w:left w:w="0" w:type="dxa"/>
          <w:right w:w="0" w:type="dxa"/>
        </w:tblCellMar>
        <w:tblLook w:val="0000" w:firstRow="0" w:lastRow="0" w:firstColumn="0" w:lastColumn="0" w:noHBand="0" w:noVBand="0"/>
      </w:tblPr>
      <w:tblGrid>
        <w:gridCol w:w="2307"/>
        <w:gridCol w:w="2745"/>
        <w:gridCol w:w="4110"/>
      </w:tblGrid>
      <w:tr w:rsidR="00794A0D" w:rsidRPr="00630BE0" w14:paraId="23247DB3" w14:textId="77777777" w:rsidTr="007242B4">
        <w:trPr>
          <w:trHeight w:val="60"/>
        </w:trPr>
        <w:tc>
          <w:tcPr>
            <w:tcW w:w="2307" w:type="dxa"/>
            <w:vMerge w:val="restart"/>
            <w:shd w:val="clear" w:color="auto" w:fill="003F5F"/>
            <w:tcMar>
              <w:top w:w="113" w:type="dxa"/>
              <w:left w:w="80" w:type="dxa"/>
              <w:bottom w:w="113" w:type="dxa"/>
              <w:right w:w="80" w:type="dxa"/>
            </w:tcMar>
          </w:tcPr>
          <w:p w14:paraId="67F12177" w14:textId="77777777" w:rsidR="00794A0D" w:rsidRPr="00630BE0" w:rsidRDefault="00794A0D" w:rsidP="00C55EBB">
            <w:pPr>
              <w:rPr>
                <w:rStyle w:val="Strong"/>
              </w:rPr>
            </w:pPr>
            <w:r w:rsidRPr="005339C0">
              <w:rPr>
                <w:rStyle w:val="Strong"/>
                <w:color w:val="FFFFFF" w:themeColor="background1"/>
              </w:rPr>
              <w:t>This scheme service contributes to, and is aligned with:</w:t>
            </w:r>
          </w:p>
        </w:tc>
        <w:tc>
          <w:tcPr>
            <w:tcW w:w="2745" w:type="dxa"/>
            <w:shd w:val="clear" w:color="auto" w:fill="003F5F"/>
            <w:tcMar>
              <w:top w:w="113" w:type="dxa"/>
              <w:left w:w="80" w:type="dxa"/>
              <w:bottom w:w="113" w:type="dxa"/>
              <w:right w:w="80" w:type="dxa"/>
            </w:tcMar>
          </w:tcPr>
          <w:p w14:paraId="289DCDDD" w14:textId="60DCCD3D" w:rsidR="00794A0D" w:rsidRPr="005339C0" w:rsidRDefault="0083513E" w:rsidP="00C55EBB">
            <w:pPr>
              <w:rPr>
                <w:rStyle w:val="Strong"/>
                <w:color w:val="FFFFFF" w:themeColor="background1"/>
              </w:rPr>
            </w:pPr>
            <w:r>
              <w:rPr>
                <w:rStyle w:val="Strong"/>
                <w:color w:val="FFFFFF" w:themeColor="background1"/>
              </w:rPr>
              <w:t>Government Goals</w:t>
            </w:r>
          </w:p>
        </w:tc>
        <w:tc>
          <w:tcPr>
            <w:tcW w:w="4110" w:type="dxa"/>
            <w:shd w:val="clear" w:color="auto" w:fill="003F5F"/>
            <w:tcMar>
              <w:top w:w="113" w:type="dxa"/>
              <w:left w:w="80" w:type="dxa"/>
              <w:bottom w:w="113" w:type="dxa"/>
              <w:right w:w="80" w:type="dxa"/>
            </w:tcMar>
          </w:tcPr>
          <w:p w14:paraId="48EF65E2" w14:textId="11BA8DC8" w:rsidR="00794A0D" w:rsidRPr="005339C0" w:rsidRDefault="00616E8C" w:rsidP="00C55EBB">
            <w:pPr>
              <w:rPr>
                <w:rStyle w:val="Strong"/>
                <w:color w:val="FFFFFF" w:themeColor="background1"/>
              </w:rPr>
            </w:pPr>
            <w:r w:rsidRPr="005339C0">
              <w:rPr>
                <w:rStyle w:val="Strong"/>
                <w:color w:val="FFFFFF" w:themeColor="background1"/>
              </w:rPr>
              <w:t>WorkCover WA</w:t>
            </w:r>
            <w:r w:rsidR="00FB45E7" w:rsidRPr="005339C0">
              <w:rPr>
                <w:rStyle w:val="Strong"/>
                <w:color w:val="FFFFFF" w:themeColor="background1"/>
              </w:rPr>
              <w:t xml:space="preserve"> strategic g</w:t>
            </w:r>
            <w:r w:rsidR="00277825" w:rsidRPr="005339C0">
              <w:rPr>
                <w:rStyle w:val="Strong"/>
                <w:color w:val="FFFFFF" w:themeColor="background1"/>
              </w:rPr>
              <w:t>oal</w:t>
            </w:r>
            <w:r w:rsidR="0083513E">
              <w:rPr>
                <w:rStyle w:val="Strong"/>
                <w:color w:val="FFFFFF" w:themeColor="background1"/>
              </w:rPr>
              <w:t>s</w:t>
            </w:r>
          </w:p>
        </w:tc>
      </w:tr>
      <w:tr w:rsidR="00794A0D" w:rsidRPr="005D768A" w14:paraId="7E967D33" w14:textId="77777777" w:rsidTr="007242B4">
        <w:trPr>
          <w:trHeight w:val="825"/>
        </w:trPr>
        <w:tc>
          <w:tcPr>
            <w:tcW w:w="2307" w:type="dxa"/>
            <w:vMerge/>
            <w:shd w:val="clear" w:color="auto" w:fill="003F5F"/>
          </w:tcPr>
          <w:p w14:paraId="49F6F366" w14:textId="77777777" w:rsidR="00794A0D" w:rsidRPr="005D768A" w:rsidRDefault="00794A0D" w:rsidP="00C55EBB">
            <w:pPr>
              <w:rPr>
                <w:lang w:eastAsia="en-AU"/>
              </w:rPr>
            </w:pPr>
          </w:p>
        </w:tc>
        <w:tc>
          <w:tcPr>
            <w:tcW w:w="2745" w:type="dxa"/>
            <w:tcMar>
              <w:top w:w="113" w:type="dxa"/>
              <w:left w:w="80" w:type="dxa"/>
              <w:bottom w:w="113" w:type="dxa"/>
              <w:right w:w="80" w:type="dxa"/>
            </w:tcMar>
          </w:tcPr>
          <w:p w14:paraId="21E472D0" w14:textId="72C00A63" w:rsidR="00794A0D" w:rsidRPr="007242B4" w:rsidRDefault="00F361B6" w:rsidP="00B0390D">
            <w:pPr>
              <w:rPr>
                <w:rStyle w:val="Strong"/>
                <w:b w:val="0"/>
              </w:rPr>
            </w:pPr>
            <w:r w:rsidRPr="007242B4">
              <w:rPr>
                <w:rStyle w:val="Strong"/>
                <w:b w:val="0"/>
              </w:rPr>
              <w:t>Sustainable f</w:t>
            </w:r>
            <w:r w:rsidR="0095389B" w:rsidRPr="007242B4">
              <w:rPr>
                <w:rStyle w:val="Strong"/>
                <w:b w:val="0"/>
              </w:rPr>
              <w:t>inances</w:t>
            </w:r>
          </w:p>
          <w:p w14:paraId="54155879" w14:textId="6B5A6429" w:rsidR="00B0390D" w:rsidRPr="009F31AB" w:rsidRDefault="00F361B6" w:rsidP="00B0390D">
            <w:pPr>
              <w:rPr>
                <w:rStyle w:val="Strong"/>
                <w:b w:val="0"/>
              </w:rPr>
            </w:pPr>
            <w:r w:rsidRPr="007242B4">
              <w:rPr>
                <w:rStyle w:val="Strong"/>
                <w:b w:val="0"/>
              </w:rPr>
              <w:t>Strong c</w:t>
            </w:r>
            <w:r w:rsidR="0095389B" w:rsidRPr="007242B4">
              <w:rPr>
                <w:rStyle w:val="Strong"/>
                <w:b w:val="0"/>
              </w:rPr>
              <w:t>ommunities</w:t>
            </w:r>
          </w:p>
        </w:tc>
        <w:tc>
          <w:tcPr>
            <w:tcW w:w="4110" w:type="dxa"/>
            <w:tcMar>
              <w:top w:w="113" w:type="dxa"/>
              <w:left w:w="80" w:type="dxa"/>
              <w:bottom w:w="113" w:type="dxa"/>
              <w:right w:w="80" w:type="dxa"/>
            </w:tcMar>
          </w:tcPr>
          <w:p w14:paraId="76D4A5C0" w14:textId="6856CE52" w:rsidR="00794A0D" w:rsidRPr="009F31AB" w:rsidRDefault="008B1C76" w:rsidP="00C55EBB">
            <w:pPr>
              <w:rPr>
                <w:rStyle w:val="Strong"/>
                <w:b w:val="0"/>
              </w:rPr>
            </w:pPr>
            <w:r w:rsidRPr="009F31AB">
              <w:rPr>
                <w:rStyle w:val="Strong"/>
                <w:b w:val="0"/>
              </w:rPr>
              <w:t xml:space="preserve">1 – Strategic </w:t>
            </w:r>
            <w:r w:rsidR="00FB45E7" w:rsidRPr="009F31AB">
              <w:rPr>
                <w:rStyle w:val="Strong"/>
                <w:b w:val="0"/>
              </w:rPr>
              <w:t>s</w:t>
            </w:r>
            <w:r w:rsidR="00B87BB4" w:rsidRPr="009F31AB">
              <w:rPr>
                <w:rStyle w:val="Strong"/>
                <w:b w:val="0"/>
              </w:rPr>
              <w:t xml:space="preserve">cheme </w:t>
            </w:r>
            <w:r w:rsidR="00FB45E7" w:rsidRPr="009F31AB">
              <w:rPr>
                <w:rStyle w:val="Strong"/>
                <w:b w:val="0"/>
              </w:rPr>
              <w:t>m</w:t>
            </w:r>
            <w:r w:rsidRPr="009F31AB">
              <w:rPr>
                <w:rStyle w:val="Strong"/>
                <w:b w:val="0"/>
              </w:rPr>
              <w:t>anagement</w:t>
            </w:r>
          </w:p>
          <w:p w14:paraId="51EFFBAA" w14:textId="53452EED" w:rsidR="008B1C76" w:rsidRPr="009F31AB" w:rsidRDefault="008B1C76" w:rsidP="00C55EBB">
            <w:pPr>
              <w:rPr>
                <w:rStyle w:val="Strong"/>
                <w:b w:val="0"/>
              </w:rPr>
            </w:pPr>
            <w:r w:rsidRPr="009F31AB">
              <w:rPr>
                <w:rStyle w:val="Strong"/>
                <w:b w:val="0"/>
              </w:rPr>
              <w:t xml:space="preserve">2 </w:t>
            </w:r>
            <w:r w:rsidR="005E00AC" w:rsidRPr="009F31AB">
              <w:rPr>
                <w:rStyle w:val="Strong"/>
                <w:b w:val="0"/>
              </w:rPr>
              <w:t>–</w:t>
            </w:r>
            <w:r w:rsidRPr="009F31AB">
              <w:rPr>
                <w:rStyle w:val="Strong"/>
                <w:b w:val="0"/>
              </w:rPr>
              <w:t xml:space="preserve"> Leadership</w:t>
            </w:r>
          </w:p>
        </w:tc>
      </w:tr>
    </w:tbl>
    <w:p w14:paraId="478178F9" w14:textId="07DF3C0D" w:rsidR="00F8218F" w:rsidRPr="00F0229B" w:rsidRDefault="001E64B1" w:rsidP="004120D9">
      <w:pPr>
        <w:rPr>
          <w:szCs w:val="22"/>
          <w:lang w:val="en-US"/>
        </w:rPr>
      </w:pPr>
      <w:r>
        <w:rPr>
          <w:b/>
        </w:rPr>
        <w:br/>
      </w:r>
      <w:r w:rsidR="00F8218F">
        <w:rPr>
          <w:lang w:val="en-US"/>
        </w:rPr>
        <w:t xml:space="preserve">WorkCover WA approves and monitors service providers to ensure compliance with </w:t>
      </w:r>
      <w:r w:rsidR="00F8218F" w:rsidRPr="00255DE6">
        <w:rPr>
          <w:lang w:val="en-US"/>
        </w:rPr>
        <w:t xml:space="preserve">the Act </w:t>
      </w:r>
      <w:r w:rsidR="00F8218F" w:rsidRPr="00255DE6">
        <w:rPr>
          <w:szCs w:val="22"/>
          <w:lang w:val="en-US"/>
        </w:rPr>
        <w:t xml:space="preserve">and </w:t>
      </w:r>
      <w:r w:rsidR="00F8218F" w:rsidRPr="00F0229B">
        <w:rPr>
          <w:szCs w:val="22"/>
          <w:lang w:val="en-US"/>
        </w:rPr>
        <w:t xml:space="preserve">an appropriate standard of service </w:t>
      </w:r>
      <w:r w:rsidR="0031362D">
        <w:rPr>
          <w:szCs w:val="22"/>
          <w:lang w:val="en-US"/>
        </w:rPr>
        <w:t>delivery</w:t>
      </w:r>
      <w:r w:rsidR="00F8218F" w:rsidRPr="00F0229B">
        <w:rPr>
          <w:szCs w:val="22"/>
          <w:lang w:val="en-US"/>
        </w:rPr>
        <w:t>. WorkCover WA approves and monitors the following service providers:</w:t>
      </w:r>
    </w:p>
    <w:p w14:paraId="4D0AB45C" w14:textId="77777777" w:rsidR="00F8218F" w:rsidRPr="00F8218F" w:rsidRDefault="00F8218F" w:rsidP="00F8218F">
      <w:pPr>
        <w:pStyle w:val="BulletListLevel1"/>
      </w:pPr>
      <w:r w:rsidRPr="00F8218F">
        <w:t>insurers and self-insurers</w:t>
      </w:r>
    </w:p>
    <w:p w14:paraId="2EB60756" w14:textId="77777777" w:rsidR="00F8218F" w:rsidRPr="00F8218F" w:rsidRDefault="00F8218F" w:rsidP="00F8218F">
      <w:pPr>
        <w:pStyle w:val="BulletListLevel1"/>
      </w:pPr>
      <w:r w:rsidRPr="00F8218F">
        <w:t>registered agents</w:t>
      </w:r>
    </w:p>
    <w:p w14:paraId="184446E3" w14:textId="3D2F8C86" w:rsidR="00F8218F" w:rsidRPr="00F8218F" w:rsidRDefault="00F8218F" w:rsidP="00F8218F">
      <w:pPr>
        <w:pStyle w:val="BulletListLevel1"/>
      </w:pPr>
      <w:r w:rsidRPr="00F8218F">
        <w:t xml:space="preserve">workplace rehabilitation providers </w:t>
      </w:r>
    </w:p>
    <w:p w14:paraId="0E602160" w14:textId="32D8F5B3" w:rsidR="00F8218F" w:rsidRPr="00F8218F" w:rsidRDefault="0031362D" w:rsidP="00F8218F">
      <w:pPr>
        <w:pStyle w:val="BulletListLevel1"/>
      </w:pPr>
      <w:r>
        <w:t xml:space="preserve">approved </w:t>
      </w:r>
      <w:r w:rsidR="00F8218F" w:rsidRPr="00F8218F">
        <w:t xml:space="preserve">medical specialists </w:t>
      </w:r>
    </w:p>
    <w:p w14:paraId="18ED081D" w14:textId="7016B944" w:rsidR="00F8218F" w:rsidRDefault="00F8218F" w:rsidP="00F8218F">
      <w:pPr>
        <w:pStyle w:val="BulletListLevel1"/>
      </w:pPr>
      <w:r w:rsidRPr="00F8218F">
        <w:t xml:space="preserve">audiometric officers, audiologists and audiometrists. </w:t>
      </w:r>
    </w:p>
    <w:p w14:paraId="4EB9529C" w14:textId="77777777" w:rsidR="001E64B1" w:rsidRPr="00255EBE" w:rsidRDefault="001E64B1" w:rsidP="001E64B1">
      <w:pPr>
        <w:rPr>
          <w:lang w:val="en-US"/>
        </w:rPr>
      </w:pPr>
      <w:r w:rsidRPr="001E64B1">
        <w:rPr>
          <w:lang w:val="en-US"/>
        </w:rPr>
        <w:t>Regulation of service providers in 2017/18 included:</w:t>
      </w:r>
    </w:p>
    <w:p w14:paraId="36A2F959" w14:textId="77777777" w:rsidR="001E64B1" w:rsidRPr="001E64B1" w:rsidRDefault="001E64B1" w:rsidP="001E64B1">
      <w:pPr>
        <w:pStyle w:val="BulletListLevel1"/>
      </w:pPr>
      <w:r w:rsidRPr="001E64B1">
        <w:t>annual review of the performance of approved insurers and self-insurers to measure compliance and identify areas for service improvement</w:t>
      </w:r>
    </w:p>
    <w:p w14:paraId="25449A88" w14:textId="386C8132" w:rsidR="001E64B1" w:rsidRPr="001E64B1" w:rsidRDefault="001E64B1" w:rsidP="001E64B1">
      <w:pPr>
        <w:pStyle w:val="BulletListLevel1"/>
      </w:pPr>
      <w:r w:rsidRPr="001E64B1">
        <w:t>audits of workplace rehabilitation providers, insurers and self-insurers</w:t>
      </w:r>
    </w:p>
    <w:p w14:paraId="53E92D05" w14:textId="77777777" w:rsidR="001E64B1" w:rsidRDefault="001E64B1" w:rsidP="001E64B1">
      <w:pPr>
        <w:pStyle w:val="BulletListLevel1"/>
      </w:pPr>
      <w:r w:rsidRPr="001E64B1">
        <w:t>approval, renewal and reinstatement of workplace rehabilitation providers and registered agents</w:t>
      </w:r>
    </w:p>
    <w:p w14:paraId="45A65BC3" w14:textId="1A1B2BA6" w:rsidR="00F03C23" w:rsidRDefault="00F03C23" w:rsidP="001E64B1">
      <w:pPr>
        <w:pStyle w:val="BulletListLevel1"/>
      </w:pPr>
      <w:r>
        <w:t xml:space="preserve">review of service delivery proposals </w:t>
      </w:r>
    </w:p>
    <w:p w14:paraId="68B774A2" w14:textId="0558E0A4" w:rsidR="007D52D1" w:rsidRPr="001E64B1" w:rsidRDefault="007D52D1" w:rsidP="001E64B1">
      <w:pPr>
        <w:pStyle w:val="BulletListLevel1"/>
      </w:pPr>
      <w:r>
        <w:t>approval of a self-insurer</w:t>
      </w:r>
    </w:p>
    <w:p w14:paraId="3370FBF3" w14:textId="77777777" w:rsidR="001E64B1" w:rsidRPr="001E64B1" w:rsidRDefault="001E64B1" w:rsidP="001E64B1">
      <w:pPr>
        <w:pStyle w:val="BulletListLevel1"/>
      </w:pPr>
      <w:r w:rsidRPr="001E64B1">
        <w:t>revocation of a self-insurer</w:t>
      </w:r>
    </w:p>
    <w:p w14:paraId="107E58AB" w14:textId="77777777" w:rsidR="001E64B1" w:rsidRPr="001E64B1" w:rsidRDefault="001E64B1" w:rsidP="001E64B1">
      <w:pPr>
        <w:pStyle w:val="BulletListLevel1"/>
      </w:pPr>
      <w:r w:rsidRPr="001E64B1">
        <w:t>investigation of complaints</w:t>
      </w:r>
    </w:p>
    <w:p w14:paraId="5A1C6539" w14:textId="77777777" w:rsidR="001E64B1" w:rsidRPr="001E64B1" w:rsidRDefault="001E64B1" w:rsidP="001E64B1">
      <w:pPr>
        <w:pStyle w:val="BulletListLevel1"/>
      </w:pPr>
      <w:r w:rsidRPr="001E64B1">
        <w:t>regular meetings with service providers and representative bodies</w:t>
      </w:r>
    </w:p>
    <w:p w14:paraId="646BB150" w14:textId="6DB77BB6" w:rsidR="00F8218F" w:rsidRPr="00F8218F" w:rsidRDefault="001E64B1" w:rsidP="00F8218F">
      <w:pPr>
        <w:pStyle w:val="BulletListLevel1"/>
      </w:pPr>
      <w:r w:rsidRPr="001E64B1">
        <w:t>delivery of regulatory education to influence best practice service provision.</w:t>
      </w:r>
    </w:p>
    <w:tbl>
      <w:tblPr>
        <w:tblW w:w="8056"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23: Approved and monitored service providers"/>
        <w:tblDescription w:val="This table outlines the number of approved and monitored insurers, self-insurers, registered agents, workplace rehabilitation providers, audiometric officers, audiologists, audiometrists and approved medical specialists. "/>
      </w:tblPr>
      <w:tblGrid>
        <w:gridCol w:w="3237"/>
        <w:gridCol w:w="1417"/>
        <w:gridCol w:w="1560"/>
        <w:gridCol w:w="1842"/>
      </w:tblGrid>
      <w:tr w:rsidR="004F6320" w:rsidRPr="00282C3F" w14:paraId="1EE8E290" w14:textId="77777777" w:rsidTr="00E92C14">
        <w:trPr>
          <w:trHeight w:val="60"/>
          <w:tblHeader/>
        </w:trPr>
        <w:tc>
          <w:tcPr>
            <w:tcW w:w="8056" w:type="dxa"/>
            <w:gridSpan w:val="4"/>
            <w:shd w:val="clear" w:color="auto" w:fill="003F5F"/>
            <w:tcMar>
              <w:top w:w="113" w:type="dxa"/>
              <w:left w:w="113" w:type="dxa"/>
              <w:bottom w:w="113" w:type="dxa"/>
              <w:right w:w="113" w:type="dxa"/>
            </w:tcMar>
            <w:vAlign w:val="center"/>
          </w:tcPr>
          <w:p w14:paraId="0CF7F118" w14:textId="7384AB6B" w:rsidR="004F6320" w:rsidRPr="004F6320" w:rsidRDefault="00471DDA" w:rsidP="006C1AA5">
            <w:pPr>
              <w:rPr>
                <w:rStyle w:val="Strong"/>
                <w:color w:val="FFFFFF" w:themeColor="background1"/>
              </w:rPr>
            </w:pPr>
            <w:r w:rsidRPr="00255DE6">
              <w:rPr>
                <w:rStyle w:val="Strong"/>
                <w:color w:val="FFFFFF" w:themeColor="background1"/>
              </w:rPr>
              <w:t>T</w:t>
            </w:r>
            <w:r w:rsidR="00F11DCA" w:rsidRPr="00255DE6">
              <w:rPr>
                <w:rStyle w:val="Strong"/>
                <w:color w:val="FFFFFF" w:themeColor="background1"/>
              </w:rPr>
              <w:t xml:space="preserve">able </w:t>
            </w:r>
            <w:r w:rsidR="006C1AA5" w:rsidRPr="00255DE6">
              <w:rPr>
                <w:rStyle w:val="Strong"/>
                <w:color w:val="FFFFFF" w:themeColor="background1"/>
              </w:rPr>
              <w:t>23</w:t>
            </w:r>
            <w:r w:rsidR="004F6320" w:rsidRPr="00255DE6">
              <w:rPr>
                <w:rStyle w:val="Strong"/>
                <w:color w:val="FFFFFF" w:themeColor="background1"/>
              </w:rPr>
              <w:t xml:space="preserve">: </w:t>
            </w:r>
            <w:r w:rsidR="004344C7" w:rsidRPr="00F8218F">
              <w:rPr>
                <w:rStyle w:val="Strong"/>
                <w:color w:val="FFFFFF" w:themeColor="background1"/>
              </w:rPr>
              <w:t>Approved and monitored service providers</w:t>
            </w:r>
          </w:p>
        </w:tc>
      </w:tr>
      <w:tr w:rsidR="008D78E4" w:rsidRPr="00282C3F" w14:paraId="26586B9A" w14:textId="77777777" w:rsidTr="00E92C14">
        <w:trPr>
          <w:trHeight w:val="1065"/>
        </w:trPr>
        <w:tc>
          <w:tcPr>
            <w:tcW w:w="3237" w:type="dxa"/>
            <w:shd w:val="clear" w:color="auto" w:fill="CEDCE8"/>
            <w:tcMar>
              <w:top w:w="113" w:type="dxa"/>
              <w:left w:w="113" w:type="dxa"/>
              <w:bottom w:w="113" w:type="dxa"/>
              <w:right w:w="113" w:type="dxa"/>
            </w:tcMar>
            <w:vAlign w:val="center"/>
          </w:tcPr>
          <w:p w14:paraId="674874AB" w14:textId="1ADB634C" w:rsidR="008D78E4" w:rsidRPr="0021538F" w:rsidRDefault="00137E36" w:rsidP="00137E36">
            <w:pPr>
              <w:rPr>
                <w:rStyle w:val="Strong"/>
              </w:rPr>
            </w:pPr>
            <w:r>
              <w:rPr>
                <w:rStyle w:val="Strong"/>
              </w:rPr>
              <w:t>Type of s</w:t>
            </w:r>
            <w:r w:rsidR="008D78E4" w:rsidRPr="0021538F">
              <w:rPr>
                <w:rStyle w:val="Strong"/>
              </w:rPr>
              <w:t>ervice provider</w:t>
            </w:r>
          </w:p>
        </w:tc>
        <w:tc>
          <w:tcPr>
            <w:tcW w:w="1417" w:type="dxa"/>
            <w:shd w:val="clear" w:color="auto" w:fill="CEDCE8"/>
            <w:tcMar>
              <w:top w:w="113" w:type="dxa"/>
              <w:left w:w="113" w:type="dxa"/>
              <w:bottom w:w="113" w:type="dxa"/>
              <w:right w:w="113" w:type="dxa"/>
            </w:tcMar>
            <w:vAlign w:val="center"/>
          </w:tcPr>
          <w:p w14:paraId="61B0B376" w14:textId="0E2A83AB" w:rsidR="008D78E4" w:rsidRPr="0021538F" w:rsidRDefault="003A425F" w:rsidP="003A425F">
            <w:pPr>
              <w:jc w:val="right"/>
              <w:rPr>
                <w:rStyle w:val="Strong"/>
              </w:rPr>
            </w:pPr>
            <w:r>
              <w:rPr>
                <w:rStyle w:val="Strong"/>
              </w:rPr>
              <w:t xml:space="preserve">Total </w:t>
            </w:r>
            <w:r w:rsidR="00BC1D3C">
              <w:rPr>
                <w:rStyle w:val="Strong"/>
              </w:rPr>
              <w:t>Approv</w:t>
            </w:r>
            <w:r w:rsidR="004344C7">
              <w:rPr>
                <w:rStyle w:val="Strong"/>
              </w:rPr>
              <w:t xml:space="preserve">ed </w:t>
            </w:r>
            <w:r>
              <w:rPr>
                <w:rStyle w:val="Strong"/>
              </w:rPr>
              <w:t>(</w:t>
            </w:r>
            <w:r w:rsidR="00F11DCA">
              <w:rPr>
                <w:rStyle w:val="Strong"/>
              </w:rPr>
              <w:t>2016/17</w:t>
            </w:r>
            <w:r>
              <w:rPr>
                <w:rStyle w:val="Strong"/>
              </w:rPr>
              <w:t>)</w:t>
            </w:r>
          </w:p>
        </w:tc>
        <w:tc>
          <w:tcPr>
            <w:tcW w:w="1560" w:type="dxa"/>
            <w:shd w:val="clear" w:color="auto" w:fill="CEDCE8"/>
            <w:tcMar>
              <w:top w:w="113" w:type="dxa"/>
              <w:left w:w="113" w:type="dxa"/>
              <w:bottom w:w="113" w:type="dxa"/>
              <w:right w:w="113" w:type="dxa"/>
            </w:tcMar>
            <w:vAlign w:val="center"/>
          </w:tcPr>
          <w:p w14:paraId="52E1B2EC" w14:textId="58AB058A" w:rsidR="008D78E4" w:rsidRPr="0021538F" w:rsidRDefault="003A425F" w:rsidP="003A425F">
            <w:pPr>
              <w:jc w:val="right"/>
              <w:rPr>
                <w:rStyle w:val="Strong"/>
              </w:rPr>
            </w:pPr>
            <w:r>
              <w:rPr>
                <w:rStyle w:val="Strong"/>
              </w:rPr>
              <w:t xml:space="preserve">Total </w:t>
            </w:r>
            <w:r w:rsidR="008D78E4">
              <w:rPr>
                <w:rStyle w:val="Strong"/>
              </w:rPr>
              <w:t>Approv</w:t>
            </w:r>
            <w:r w:rsidR="004344C7">
              <w:rPr>
                <w:rStyle w:val="Strong"/>
              </w:rPr>
              <w:t>ed</w:t>
            </w:r>
            <w:r w:rsidR="00F11DCA">
              <w:rPr>
                <w:rStyle w:val="Strong"/>
              </w:rPr>
              <w:t xml:space="preserve"> </w:t>
            </w:r>
            <w:r>
              <w:rPr>
                <w:rStyle w:val="Strong"/>
              </w:rPr>
              <w:t>(</w:t>
            </w:r>
            <w:r w:rsidR="00F11DCA">
              <w:rPr>
                <w:rStyle w:val="Strong"/>
              </w:rPr>
              <w:t>2017/18</w:t>
            </w:r>
            <w:r>
              <w:rPr>
                <w:rStyle w:val="Strong"/>
              </w:rPr>
              <w:t>)</w:t>
            </w:r>
          </w:p>
        </w:tc>
        <w:tc>
          <w:tcPr>
            <w:tcW w:w="1842" w:type="dxa"/>
            <w:shd w:val="clear" w:color="auto" w:fill="EE7D31"/>
            <w:vAlign w:val="center"/>
          </w:tcPr>
          <w:p w14:paraId="3799E7A5" w14:textId="2B13E110" w:rsidR="008D78E4" w:rsidRPr="0021538F" w:rsidRDefault="005F3457" w:rsidP="00BB3984">
            <w:pPr>
              <w:pStyle w:val="BulletListLevel1"/>
              <w:numPr>
                <w:ilvl w:val="0"/>
                <w:numId w:val="0"/>
              </w:numPr>
              <w:ind w:right="118"/>
              <w:jc w:val="right"/>
              <w:rPr>
                <w:rStyle w:val="Strong"/>
              </w:rPr>
            </w:pPr>
            <w:r w:rsidRPr="0000700F">
              <w:rPr>
                <w:rStyle w:val="Strong"/>
                <w:color w:val="FFFFFF" w:themeColor="background1"/>
              </w:rPr>
              <w:t xml:space="preserve">Monitored as </w:t>
            </w:r>
            <w:r w:rsidR="00BB3984" w:rsidRPr="0000700F">
              <w:rPr>
                <w:rStyle w:val="Strong"/>
                <w:color w:val="FFFFFF" w:themeColor="background1"/>
              </w:rPr>
              <w:br/>
            </w:r>
            <w:r w:rsidRPr="0000700F">
              <w:rPr>
                <w:rStyle w:val="Strong"/>
                <w:color w:val="FFFFFF" w:themeColor="background1"/>
              </w:rPr>
              <w:t>at 30/6/</w:t>
            </w:r>
            <w:r w:rsidR="00F11DCA" w:rsidRPr="0000700F">
              <w:rPr>
                <w:rStyle w:val="Strong"/>
                <w:color w:val="FFFFFF" w:themeColor="background1"/>
              </w:rPr>
              <w:t>2018</w:t>
            </w:r>
            <w:r w:rsidR="00036F4B" w:rsidRPr="0000700F">
              <w:rPr>
                <w:rStyle w:val="Strong"/>
                <w:color w:val="FFFFFF" w:themeColor="background1"/>
              </w:rPr>
              <w:t xml:space="preserve"> *</w:t>
            </w:r>
          </w:p>
        </w:tc>
      </w:tr>
      <w:tr w:rsidR="008D78E4" w:rsidRPr="007D36AA" w14:paraId="68114C1C" w14:textId="77777777" w:rsidTr="00E92C14">
        <w:trPr>
          <w:trHeight w:val="60"/>
        </w:trPr>
        <w:tc>
          <w:tcPr>
            <w:tcW w:w="3237" w:type="dxa"/>
            <w:shd w:val="clear" w:color="auto" w:fill="CEDCE8"/>
            <w:tcMar>
              <w:top w:w="113" w:type="dxa"/>
              <w:left w:w="113" w:type="dxa"/>
              <w:bottom w:w="113" w:type="dxa"/>
              <w:right w:w="113" w:type="dxa"/>
            </w:tcMar>
          </w:tcPr>
          <w:p w14:paraId="2924B170" w14:textId="40F2F7C5" w:rsidR="008D78E4" w:rsidRPr="007D36AA" w:rsidRDefault="00285965" w:rsidP="00654155">
            <w:pPr>
              <w:rPr>
                <w:color w:val="000000"/>
                <w:lang w:val="en-GB" w:eastAsia="en-AU"/>
              </w:rPr>
            </w:pPr>
            <w:r>
              <w:rPr>
                <w:color w:val="000000"/>
                <w:lang w:val="en-GB" w:eastAsia="en-AU"/>
              </w:rPr>
              <w:t>I</w:t>
            </w:r>
            <w:r w:rsidR="008D78E4" w:rsidRPr="007D36AA">
              <w:rPr>
                <w:color w:val="000000"/>
                <w:lang w:val="en-GB" w:eastAsia="en-AU"/>
              </w:rPr>
              <w:t>nsurers</w:t>
            </w:r>
          </w:p>
        </w:tc>
        <w:tc>
          <w:tcPr>
            <w:tcW w:w="1417" w:type="dxa"/>
            <w:tcMar>
              <w:top w:w="113" w:type="dxa"/>
              <w:left w:w="113" w:type="dxa"/>
              <w:bottom w:w="113" w:type="dxa"/>
              <w:right w:w="113" w:type="dxa"/>
            </w:tcMar>
          </w:tcPr>
          <w:p w14:paraId="7FB7DBE4" w14:textId="413CF444" w:rsidR="008D78E4" w:rsidRPr="00A65377" w:rsidRDefault="001E64B1" w:rsidP="00AE42F6">
            <w:pPr>
              <w:jc w:val="right"/>
              <w:rPr>
                <w:lang w:val="en-GB" w:eastAsia="en-AU"/>
              </w:rPr>
            </w:pPr>
            <w:r w:rsidRPr="00A65377">
              <w:rPr>
                <w:lang w:val="en-GB" w:eastAsia="en-AU"/>
              </w:rPr>
              <w:t>7</w:t>
            </w:r>
            <w:r w:rsidR="00A65377" w:rsidRPr="00A65377">
              <w:rPr>
                <w:lang w:val="en-GB" w:eastAsia="en-AU"/>
              </w:rPr>
              <w:t>#</w:t>
            </w:r>
          </w:p>
        </w:tc>
        <w:tc>
          <w:tcPr>
            <w:tcW w:w="1560" w:type="dxa"/>
            <w:tcMar>
              <w:top w:w="113" w:type="dxa"/>
              <w:left w:w="113" w:type="dxa"/>
              <w:bottom w:w="113" w:type="dxa"/>
              <w:right w:w="113" w:type="dxa"/>
            </w:tcMar>
          </w:tcPr>
          <w:p w14:paraId="4B7BC199" w14:textId="389A0488" w:rsidR="008D78E4" w:rsidRPr="00A65377" w:rsidRDefault="00AE42F6" w:rsidP="00BB3984">
            <w:pPr>
              <w:jc w:val="right"/>
              <w:rPr>
                <w:lang w:val="en-GB" w:eastAsia="en-AU"/>
              </w:rPr>
            </w:pPr>
            <w:r w:rsidRPr="00A65377">
              <w:rPr>
                <w:lang w:val="en-GB" w:eastAsia="en-AU"/>
              </w:rPr>
              <w:t>0</w:t>
            </w:r>
          </w:p>
        </w:tc>
        <w:tc>
          <w:tcPr>
            <w:tcW w:w="1842" w:type="dxa"/>
            <w:shd w:val="clear" w:color="auto" w:fill="F8CAAA"/>
          </w:tcPr>
          <w:p w14:paraId="65BEE984" w14:textId="5CE4AD05" w:rsidR="008D78E4" w:rsidRPr="00A65377" w:rsidRDefault="00AE42F6" w:rsidP="00BB3984">
            <w:pPr>
              <w:ind w:right="118"/>
              <w:jc w:val="right"/>
              <w:rPr>
                <w:lang w:val="en-GB" w:eastAsia="en-AU"/>
              </w:rPr>
            </w:pPr>
            <w:r w:rsidRPr="00A65377">
              <w:rPr>
                <w:lang w:val="en-GB" w:eastAsia="en-AU"/>
              </w:rPr>
              <w:t>8</w:t>
            </w:r>
          </w:p>
        </w:tc>
      </w:tr>
      <w:tr w:rsidR="005A7B6A" w:rsidRPr="007D36AA" w14:paraId="22AE214C" w14:textId="77777777" w:rsidTr="00E92C14">
        <w:trPr>
          <w:trHeight w:val="60"/>
        </w:trPr>
        <w:tc>
          <w:tcPr>
            <w:tcW w:w="3237" w:type="dxa"/>
            <w:shd w:val="clear" w:color="auto" w:fill="CEDCE8"/>
            <w:tcMar>
              <w:top w:w="113" w:type="dxa"/>
              <w:left w:w="113" w:type="dxa"/>
              <w:bottom w:w="113" w:type="dxa"/>
              <w:right w:w="113" w:type="dxa"/>
            </w:tcMar>
          </w:tcPr>
          <w:p w14:paraId="7AA1C23C" w14:textId="26D9419B" w:rsidR="005A7B6A" w:rsidRPr="007D36AA" w:rsidRDefault="00285965" w:rsidP="00654155">
            <w:pPr>
              <w:rPr>
                <w:color w:val="000000"/>
                <w:lang w:val="en-GB" w:eastAsia="en-AU"/>
              </w:rPr>
            </w:pPr>
            <w:r>
              <w:rPr>
                <w:color w:val="000000"/>
                <w:lang w:val="en-GB" w:eastAsia="en-AU"/>
              </w:rPr>
              <w:t>S</w:t>
            </w:r>
            <w:r w:rsidR="005A7B6A" w:rsidRPr="007D36AA">
              <w:rPr>
                <w:color w:val="000000"/>
                <w:lang w:val="en-GB" w:eastAsia="en-AU"/>
              </w:rPr>
              <w:t>elf-insurers</w:t>
            </w:r>
          </w:p>
        </w:tc>
        <w:tc>
          <w:tcPr>
            <w:tcW w:w="1417" w:type="dxa"/>
            <w:tcMar>
              <w:top w:w="113" w:type="dxa"/>
              <w:left w:w="113" w:type="dxa"/>
              <w:bottom w:w="113" w:type="dxa"/>
              <w:right w:w="113" w:type="dxa"/>
            </w:tcMar>
          </w:tcPr>
          <w:p w14:paraId="2AA55F80" w14:textId="4D502354" w:rsidR="005A7B6A" w:rsidRPr="00AE42F6" w:rsidRDefault="00AE42F6" w:rsidP="006D3DC8">
            <w:pPr>
              <w:jc w:val="right"/>
              <w:rPr>
                <w:lang w:val="en-GB" w:eastAsia="en-AU"/>
              </w:rPr>
            </w:pPr>
            <w:r w:rsidRPr="00AE42F6">
              <w:rPr>
                <w:lang w:val="en-GB" w:eastAsia="en-AU"/>
              </w:rPr>
              <w:t>0</w:t>
            </w:r>
          </w:p>
        </w:tc>
        <w:tc>
          <w:tcPr>
            <w:tcW w:w="1560" w:type="dxa"/>
            <w:tcMar>
              <w:top w:w="113" w:type="dxa"/>
              <w:left w:w="113" w:type="dxa"/>
              <w:bottom w:w="113" w:type="dxa"/>
              <w:right w:w="113" w:type="dxa"/>
            </w:tcMar>
          </w:tcPr>
          <w:p w14:paraId="254D73F7" w14:textId="3467437B" w:rsidR="005A7B6A" w:rsidRPr="00AE42F6" w:rsidRDefault="00AE42F6" w:rsidP="00BB3984">
            <w:pPr>
              <w:jc w:val="right"/>
              <w:rPr>
                <w:lang w:val="en-GB" w:eastAsia="en-AU"/>
              </w:rPr>
            </w:pPr>
            <w:r w:rsidRPr="00AE42F6">
              <w:t>1</w:t>
            </w:r>
          </w:p>
        </w:tc>
        <w:tc>
          <w:tcPr>
            <w:tcW w:w="1842" w:type="dxa"/>
            <w:shd w:val="clear" w:color="auto" w:fill="F8CAAA"/>
          </w:tcPr>
          <w:p w14:paraId="276682A1" w14:textId="33D9A75E" w:rsidR="005A7B6A" w:rsidRPr="00AE42F6" w:rsidRDefault="00AE42F6" w:rsidP="00BB3984">
            <w:pPr>
              <w:ind w:right="118"/>
              <w:jc w:val="right"/>
              <w:rPr>
                <w:lang w:val="en-GB" w:eastAsia="en-AU"/>
              </w:rPr>
            </w:pPr>
            <w:r w:rsidRPr="00AE42F6">
              <w:t>24</w:t>
            </w:r>
          </w:p>
        </w:tc>
      </w:tr>
      <w:tr w:rsidR="005A7B6A" w:rsidRPr="007D36AA" w14:paraId="76B77446" w14:textId="77777777" w:rsidTr="00E92C14">
        <w:trPr>
          <w:trHeight w:val="1020"/>
        </w:trPr>
        <w:tc>
          <w:tcPr>
            <w:tcW w:w="3237" w:type="dxa"/>
            <w:shd w:val="clear" w:color="auto" w:fill="CEDCE8"/>
            <w:tcMar>
              <w:top w:w="113" w:type="dxa"/>
              <w:left w:w="113" w:type="dxa"/>
              <w:bottom w:w="113" w:type="dxa"/>
              <w:right w:w="113" w:type="dxa"/>
            </w:tcMar>
          </w:tcPr>
          <w:p w14:paraId="0D402D0A" w14:textId="77777777" w:rsidR="005A7B6A" w:rsidRPr="007D36AA" w:rsidRDefault="005A7B6A" w:rsidP="005A7B6A">
            <w:pPr>
              <w:rPr>
                <w:color w:val="000000"/>
                <w:lang w:val="en-GB" w:eastAsia="en-AU"/>
              </w:rPr>
            </w:pPr>
            <w:r w:rsidRPr="007D36AA">
              <w:rPr>
                <w:color w:val="000000"/>
                <w:lang w:val="en-GB" w:eastAsia="en-AU"/>
              </w:rPr>
              <w:t xml:space="preserve">Registered agents </w:t>
            </w:r>
          </w:p>
        </w:tc>
        <w:tc>
          <w:tcPr>
            <w:tcW w:w="1417" w:type="dxa"/>
            <w:tcMar>
              <w:top w:w="113" w:type="dxa"/>
              <w:left w:w="113" w:type="dxa"/>
              <w:bottom w:w="113" w:type="dxa"/>
              <w:right w:w="113" w:type="dxa"/>
            </w:tcMar>
          </w:tcPr>
          <w:p w14:paraId="720C9699" w14:textId="05ECA033" w:rsidR="005A7B6A" w:rsidRPr="00AE42F6" w:rsidRDefault="00AE42F6" w:rsidP="006D3DC8">
            <w:pPr>
              <w:jc w:val="right"/>
              <w:rPr>
                <w:lang w:val="en-GB" w:eastAsia="en-AU"/>
              </w:rPr>
            </w:pPr>
            <w:r w:rsidRPr="00AE42F6">
              <w:rPr>
                <w:lang w:val="en-GB" w:eastAsia="en-AU"/>
              </w:rPr>
              <w:t>221</w:t>
            </w:r>
          </w:p>
        </w:tc>
        <w:tc>
          <w:tcPr>
            <w:tcW w:w="1560" w:type="dxa"/>
            <w:tcMar>
              <w:top w:w="113" w:type="dxa"/>
              <w:left w:w="113" w:type="dxa"/>
              <w:bottom w:w="113" w:type="dxa"/>
              <w:right w:w="113" w:type="dxa"/>
            </w:tcMar>
          </w:tcPr>
          <w:p w14:paraId="67FA4DBC" w14:textId="16AF27F0" w:rsidR="005A7B6A" w:rsidRPr="00AE42F6" w:rsidRDefault="00AE42F6" w:rsidP="00BB3984">
            <w:pPr>
              <w:jc w:val="right"/>
              <w:rPr>
                <w:lang w:val="en-GB" w:eastAsia="en-AU"/>
              </w:rPr>
            </w:pPr>
            <w:r w:rsidRPr="00AE42F6">
              <w:t>243</w:t>
            </w:r>
          </w:p>
        </w:tc>
        <w:tc>
          <w:tcPr>
            <w:tcW w:w="1842" w:type="dxa"/>
            <w:shd w:val="clear" w:color="auto" w:fill="F8CAAA"/>
          </w:tcPr>
          <w:p w14:paraId="088523B4" w14:textId="387E7EB7" w:rsidR="005A7B6A" w:rsidRPr="00AE42F6" w:rsidRDefault="00AE42F6" w:rsidP="00BB3984">
            <w:pPr>
              <w:ind w:right="118"/>
              <w:jc w:val="right"/>
              <w:rPr>
                <w:lang w:val="en-GB" w:eastAsia="en-AU"/>
              </w:rPr>
            </w:pPr>
            <w:r w:rsidRPr="00AE42F6">
              <w:t>225</w:t>
            </w:r>
          </w:p>
        </w:tc>
      </w:tr>
      <w:tr w:rsidR="005A7B6A" w:rsidRPr="007D36AA" w14:paraId="126C6823" w14:textId="77777777" w:rsidTr="00E92C14">
        <w:trPr>
          <w:trHeight w:val="1020"/>
        </w:trPr>
        <w:tc>
          <w:tcPr>
            <w:tcW w:w="3237" w:type="dxa"/>
            <w:shd w:val="clear" w:color="auto" w:fill="CEDCE8"/>
            <w:tcMar>
              <w:top w:w="113" w:type="dxa"/>
              <w:left w:w="113" w:type="dxa"/>
              <w:bottom w:w="113" w:type="dxa"/>
              <w:right w:w="113" w:type="dxa"/>
            </w:tcMar>
          </w:tcPr>
          <w:p w14:paraId="76F490FF" w14:textId="0BE57A9C" w:rsidR="005A7B6A" w:rsidRPr="007D36AA" w:rsidRDefault="00285965" w:rsidP="00CB32D1">
            <w:pPr>
              <w:rPr>
                <w:color w:val="000000"/>
                <w:lang w:val="en-GB" w:eastAsia="en-AU"/>
              </w:rPr>
            </w:pPr>
            <w:r>
              <w:rPr>
                <w:color w:val="000000"/>
                <w:lang w:val="en-GB" w:eastAsia="en-AU"/>
              </w:rPr>
              <w:t>W</w:t>
            </w:r>
            <w:r w:rsidR="00654155">
              <w:rPr>
                <w:color w:val="000000"/>
                <w:lang w:val="en-GB" w:eastAsia="en-AU"/>
              </w:rPr>
              <w:t xml:space="preserve">orkplace </w:t>
            </w:r>
            <w:r w:rsidR="00137E36">
              <w:rPr>
                <w:color w:val="000000"/>
                <w:lang w:val="en-GB" w:eastAsia="en-AU"/>
              </w:rPr>
              <w:t>r</w:t>
            </w:r>
            <w:r w:rsidR="00654155">
              <w:rPr>
                <w:color w:val="000000"/>
                <w:lang w:val="en-GB" w:eastAsia="en-AU"/>
              </w:rPr>
              <w:t xml:space="preserve">ehabilitation </w:t>
            </w:r>
            <w:r w:rsidR="00137E36">
              <w:rPr>
                <w:color w:val="000000"/>
                <w:lang w:val="en-GB" w:eastAsia="en-AU"/>
              </w:rPr>
              <w:t>p</w:t>
            </w:r>
            <w:r w:rsidR="00654155">
              <w:rPr>
                <w:color w:val="000000"/>
                <w:lang w:val="en-GB" w:eastAsia="en-AU"/>
              </w:rPr>
              <w:t>rovider</w:t>
            </w:r>
            <w:r w:rsidR="00CB32D1">
              <w:rPr>
                <w:color w:val="000000"/>
                <w:lang w:val="en-GB" w:eastAsia="en-AU"/>
              </w:rPr>
              <w:t>s</w:t>
            </w:r>
          </w:p>
        </w:tc>
        <w:tc>
          <w:tcPr>
            <w:tcW w:w="1417" w:type="dxa"/>
            <w:tcMar>
              <w:top w:w="113" w:type="dxa"/>
              <w:left w:w="113" w:type="dxa"/>
              <w:bottom w:w="113" w:type="dxa"/>
              <w:right w:w="113" w:type="dxa"/>
            </w:tcMar>
          </w:tcPr>
          <w:p w14:paraId="1F6B7250" w14:textId="30679AA4" w:rsidR="005A7B6A" w:rsidRPr="00AE42F6" w:rsidRDefault="00AE42F6" w:rsidP="006D3DC8">
            <w:pPr>
              <w:jc w:val="right"/>
              <w:rPr>
                <w:lang w:val="en-GB" w:eastAsia="en-AU"/>
              </w:rPr>
            </w:pPr>
            <w:r w:rsidRPr="00AE42F6">
              <w:rPr>
                <w:lang w:val="en-GB" w:eastAsia="en-AU"/>
              </w:rPr>
              <w:t>3</w:t>
            </w:r>
          </w:p>
        </w:tc>
        <w:tc>
          <w:tcPr>
            <w:tcW w:w="1560" w:type="dxa"/>
            <w:tcMar>
              <w:top w:w="113" w:type="dxa"/>
              <w:left w:w="113" w:type="dxa"/>
              <w:bottom w:w="113" w:type="dxa"/>
              <w:right w:w="113" w:type="dxa"/>
            </w:tcMar>
          </w:tcPr>
          <w:p w14:paraId="780D1B49" w14:textId="655E520C" w:rsidR="005A7B6A" w:rsidRPr="00AE42F6" w:rsidRDefault="00AE42F6" w:rsidP="00BB3984">
            <w:pPr>
              <w:jc w:val="right"/>
              <w:rPr>
                <w:lang w:val="en-GB" w:eastAsia="en-AU"/>
              </w:rPr>
            </w:pPr>
            <w:r w:rsidRPr="00AE42F6">
              <w:t>4</w:t>
            </w:r>
          </w:p>
        </w:tc>
        <w:tc>
          <w:tcPr>
            <w:tcW w:w="1842" w:type="dxa"/>
            <w:shd w:val="clear" w:color="auto" w:fill="F8CAAA"/>
          </w:tcPr>
          <w:p w14:paraId="29DCB083" w14:textId="51B4B264" w:rsidR="005A7B6A" w:rsidRPr="00AE42F6" w:rsidRDefault="00AE42F6" w:rsidP="00BB3984">
            <w:pPr>
              <w:ind w:right="118"/>
              <w:jc w:val="right"/>
              <w:rPr>
                <w:lang w:val="en-GB" w:eastAsia="en-AU"/>
              </w:rPr>
            </w:pPr>
            <w:r w:rsidRPr="00AE42F6">
              <w:t>46</w:t>
            </w:r>
          </w:p>
        </w:tc>
      </w:tr>
      <w:tr w:rsidR="008C1DD8" w:rsidRPr="00A93DA1" w14:paraId="689FE538" w14:textId="77777777" w:rsidTr="00E92C14">
        <w:trPr>
          <w:trHeight w:val="714"/>
        </w:trPr>
        <w:tc>
          <w:tcPr>
            <w:tcW w:w="3237" w:type="dxa"/>
            <w:shd w:val="clear" w:color="auto" w:fill="CEDCE8"/>
            <w:tcMar>
              <w:top w:w="113" w:type="dxa"/>
              <w:left w:w="113" w:type="dxa"/>
              <w:bottom w:w="113" w:type="dxa"/>
              <w:right w:w="113" w:type="dxa"/>
            </w:tcMar>
          </w:tcPr>
          <w:p w14:paraId="2B7FCDF3" w14:textId="77777777" w:rsidR="008C1DD8" w:rsidRPr="00A93DA1" w:rsidRDefault="008C1DD8" w:rsidP="007D1495">
            <w:pPr>
              <w:rPr>
                <w:lang w:val="en-GB" w:eastAsia="en-AU"/>
              </w:rPr>
            </w:pPr>
            <w:r w:rsidRPr="00A93DA1">
              <w:rPr>
                <w:lang w:val="en-GB" w:eastAsia="en-AU"/>
              </w:rPr>
              <w:t xml:space="preserve">Audiometric officers, </w:t>
            </w:r>
            <w:r>
              <w:rPr>
                <w:lang w:val="en-GB" w:eastAsia="en-AU"/>
              </w:rPr>
              <w:t>audiologists and a</w:t>
            </w:r>
            <w:r w:rsidRPr="00A93DA1">
              <w:rPr>
                <w:lang w:val="en-GB" w:eastAsia="en-AU"/>
              </w:rPr>
              <w:t>udiometrists</w:t>
            </w:r>
          </w:p>
        </w:tc>
        <w:tc>
          <w:tcPr>
            <w:tcW w:w="1417" w:type="dxa"/>
            <w:tcMar>
              <w:top w:w="113" w:type="dxa"/>
              <w:left w:w="113" w:type="dxa"/>
              <w:bottom w:w="113" w:type="dxa"/>
              <w:right w:w="113" w:type="dxa"/>
            </w:tcMar>
          </w:tcPr>
          <w:p w14:paraId="610CA86F" w14:textId="5A1A67CF" w:rsidR="008C1DD8" w:rsidRPr="00AE42F6" w:rsidRDefault="00AE42F6" w:rsidP="006D3DC8">
            <w:pPr>
              <w:jc w:val="right"/>
              <w:rPr>
                <w:lang w:val="en-GB" w:eastAsia="en-AU"/>
              </w:rPr>
            </w:pPr>
            <w:r w:rsidRPr="00AE42F6">
              <w:rPr>
                <w:lang w:val="en-GB" w:eastAsia="en-AU"/>
              </w:rPr>
              <w:t>58</w:t>
            </w:r>
          </w:p>
        </w:tc>
        <w:tc>
          <w:tcPr>
            <w:tcW w:w="1560" w:type="dxa"/>
            <w:tcMar>
              <w:top w:w="113" w:type="dxa"/>
              <w:left w:w="113" w:type="dxa"/>
              <w:bottom w:w="113" w:type="dxa"/>
              <w:right w:w="113" w:type="dxa"/>
            </w:tcMar>
          </w:tcPr>
          <w:p w14:paraId="3DA69D44" w14:textId="0EE3568B" w:rsidR="008C1DD8" w:rsidRPr="00AE42F6" w:rsidRDefault="00AE42F6" w:rsidP="00BB3984">
            <w:pPr>
              <w:jc w:val="right"/>
              <w:rPr>
                <w:lang w:val="en-GB" w:eastAsia="en-AU"/>
              </w:rPr>
            </w:pPr>
            <w:r w:rsidRPr="00AE42F6">
              <w:t>48</w:t>
            </w:r>
          </w:p>
        </w:tc>
        <w:tc>
          <w:tcPr>
            <w:tcW w:w="1842" w:type="dxa"/>
            <w:shd w:val="clear" w:color="auto" w:fill="F8CAAA"/>
          </w:tcPr>
          <w:p w14:paraId="3BEC059B" w14:textId="4AD21264" w:rsidR="008C1DD8" w:rsidRPr="00AE42F6" w:rsidRDefault="00AE42F6" w:rsidP="00BB3984">
            <w:pPr>
              <w:ind w:right="118"/>
              <w:jc w:val="right"/>
              <w:rPr>
                <w:lang w:val="en-GB" w:eastAsia="en-AU"/>
              </w:rPr>
            </w:pPr>
            <w:r w:rsidRPr="00AE42F6">
              <w:t>433</w:t>
            </w:r>
          </w:p>
        </w:tc>
      </w:tr>
      <w:tr w:rsidR="005A7B6A" w:rsidRPr="007D36AA" w14:paraId="0BD0B1F6" w14:textId="77777777" w:rsidTr="00E92C14">
        <w:trPr>
          <w:trHeight w:val="714"/>
        </w:trPr>
        <w:tc>
          <w:tcPr>
            <w:tcW w:w="3237" w:type="dxa"/>
            <w:shd w:val="clear" w:color="auto" w:fill="CEDCE8"/>
            <w:tcMar>
              <w:top w:w="113" w:type="dxa"/>
              <w:left w:w="113" w:type="dxa"/>
              <w:bottom w:w="113" w:type="dxa"/>
              <w:right w:w="113" w:type="dxa"/>
            </w:tcMar>
          </w:tcPr>
          <w:p w14:paraId="63E3B252" w14:textId="2B4D98F1" w:rsidR="005A7B6A" w:rsidRPr="007D36AA" w:rsidRDefault="00CB32D1" w:rsidP="005A7B6A">
            <w:pPr>
              <w:rPr>
                <w:color w:val="000000"/>
                <w:lang w:val="en-GB" w:eastAsia="en-AU"/>
              </w:rPr>
            </w:pPr>
            <w:r>
              <w:rPr>
                <w:color w:val="000000"/>
                <w:lang w:val="en-GB" w:eastAsia="en-AU"/>
              </w:rPr>
              <w:t>A</w:t>
            </w:r>
            <w:r w:rsidR="00654155">
              <w:rPr>
                <w:color w:val="000000"/>
                <w:lang w:val="en-GB" w:eastAsia="en-AU"/>
              </w:rPr>
              <w:t xml:space="preserve">pproved </w:t>
            </w:r>
            <w:r w:rsidR="00137E36">
              <w:rPr>
                <w:color w:val="000000"/>
                <w:lang w:val="en-GB" w:eastAsia="en-AU"/>
              </w:rPr>
              <w:t>m</w:t>
            </w:r>
            <w:r w:rsidR="00654155">
              <w:rPr>
                <w:color w:val="000000"/>
                <w:lang w:val="en-GB" w:eastAsia="en-AU"/>
              </w:rPr>
              <w:t xml:space="preserve">edical </w:t>
            </w:r>
            <w:r w:rsidR="00137E36">
              <w:rPr>
                <w:color w:val="000000"/>
                <w:lang w:val="en-GB" w:eastAsia="en-AU"/>
              </w:rPr>
              <w:t>s</w:t>
            </w:r>
            <w:r w:rsidR="00654155">
              <w:rPr>
                <w:color w:val="000000"/>
                <w:lang w:val="en-GB" w:eastAsia="en-AU"/>
              </w:rPr>
              <w:t>pecialists</w:t>
            </w:r>
          </w:p>
        </w:tc>
        <w:tc>
          <w:tcPr>
            <w:tcW w:w="1417" w:type="dxa"/>
            <w:tcMar>
              <w:top w:w="113" w:type="dxa"/>
              <w:left w:w="113" w:type="dxa"/>
              <w:bottom w:w="113" w:type="dxa"/>
              <w:right w:w="113" w:type="dxa"/>
            </w:tcMar>
          </w:tcPr>
          <w:p w14:paraId="313CE90E" w14:textId="5B19D8B0" w:rsidR="005A7B6A" w:rsidRPr="00AE42F6" w:rsidRDefault="00AE42F6" w:rsidP="006D3DC8">
            <w:pPr>
              <w:jc w:val="right"/>
              <w:rPr>
                <w:lang w:val="en-GB" w:eastAsia="en-AU"/>
              </w:rPr>
            </w:pPr>
            <w:r w:rsidRPr="00AE42F6">
              <w:rPr>
                <w:lang w:val="en-GB" w:eastAsia="en-AU"/>
              </w:rPr>
              <w:t>7</w:t>
            </w:r>
          </w:p>
        </w:tc>
        <w:tc>
          <w:tcPr>
            <w:tcW w:w="1560" w:type="dxa"/>
            <w:tcMar>
              <w:top w:w="113" w:type="dxa"/>
              <w:left w:w="113" w:type="dxa"/>
              <w:bottom w:w="113" w:type="dxa"/>
              <w:right w:w="113" w:type="dxa"/>
            </w:tcMar>
          </w:tcPr>
          <w:p w14:paraId="08C57BD5" w14:textId="0FAB6512" w:rsidR="005A7B6A" w:rsidRPr="00AE42F6" w:rsidRDefault="00AE42F6" w:rsidP="00BB3984">
            <w:pPr>
              <w:jc w:val="right"/>
              <w:rPr>
                <w:lang w:val="en-GB" w:eastAsia="en-AU"/>
              </w:rPr>
            </w:pPr>
            <w:r w:rsidRPr="00AE42F6">
              <w:t>9</w:t>
            </w:r>
          </w:p>
        </w:tc>
        <w:tc>
          <w:tcPr>
            <w:tcW w:w="1842" w:type="dxa"/>
            <w:shd w:val="clear" w:color="auto" w:fill="F8CAAA"/>
          </w:tcPr>
          <w:p w14:paraId="1B2C4145" w14:textId="5B53E91C" w:rsidR="005A7B6A" w:rsidRPr="00AE42F6" w:rsidRDefault="00AE42F6" w:rsidP="00BB3984">
            <w:pPr>
              <w:ind w:right="118"/>
              <w:jc w:val="right"/>
              <w:rPr>
                <w:lang w:val="en-GB" w:eastAsia="en-AU"/>
              </w:rPr>
            </w:pPr>
            <w:r w:rsidRPr="00AE42F6">
              <w:t>267</w:t>
            </w:r>
          </w:p>
        </w:tc>
      </w:tr>
      <w:tr w:rsidR="005A7B6A" w:rsidRPr="00282C3F" w14:paraId="63BD3767" w14:textId="77777777" w:rsidTr="00E92C14">
        <w:trPr>
          <w:trHeight w:val="32"/>
        </w:trPr>
        <w:tc>
          <w:tcPr>
            <w:tcW w:w="3237" w:type="dxa"/>
            <w:shd w:val="clear" w:color="auto" w:fill="003F5F"/>
            <w:tcMar>
              <w:top w:w="113" w:type="dxa"/>
              <w:left w:w="113" w:type="dxa"/>
              <w:bottom w:w="113" w:type="dxa"/>
              <w:right w:w="113" w:type="dxa"/>
            </w:tcMar>
            <w:vAlign w:val="center"/>
          </w:tcPr>
          <w:p w14:paraId="7ED56A07" w14:textId="2370FD79" w:rsidR="005A7B6A" w:rsidRPr="00A93DA1" w:rsidRDefault="00D13B9A" w:rsidP="00D13B9A">
            <w:pPr>
              <w:rPr>
                <w:rStyle w:val="Strong"/>
                <w:color w:val="FFFFFF" w:themeColor="background1"/>
              </w:rPr>
            </w:pPr>
            <w:r w:rsidRPr="00A93DA1">
              <w:rPr>
                <w:rStyle w:val="Strong"/>
                <w:color w:val="FFFFFF" w:themeColor="background1"/>
              </w:rPr>
              <w:t>Totals</w:t>
            </w:r>
          </w:p>
        </w:tc>
        <w:tc>
          <w:tcPr>
            <w:tcW w:w="1417" w:type="dxa"/>
            <w:shd w:val="clear" w:color="auto" w:fill="003F5F"/>
            <w:tcMar>
              <w:top w:w="113" w:type="dxa"/>
              <w:left w:w="113" w:type="dxa"/>
              <w:bottom w:w="113" w:type="dxa"/>
              <w:right w:w="113" w:type="dxa"/>
            </w:tcMar>
          </w:tcPr>
          <w:p w14:paraId="5C5188E6" w14:textId="0AE5BA8D" w:rsidR="005A7B6A" w:rsidRPr="00AE42F6" w:rsidRDefault="00AE42F6" w:rsidP="006D3DC8">
            <w:pPr>
              <w:jc w:val="right"/>
              <w:rPr>
                <w:rStyle w:val="Strong"/>
                <w:color w:val="FFFFFF" w:themeColor="background1"/>
              </w:rPr>
            </w:pPr>
            <w:r w:rsidRPr="00AE42F6">
              <w:rPr>
                <w:b/>
                <w:color w:val="FFFFFF" w:themeColor="background1"/>
                <w:lang w:val="en-GB" w:eastAsia="en-AU"/>
              </w:rPr>
              <w:t>296</w:t>
            </w:r>
          </w:p>
        </w:tc>
        <w:tc>
          <w:tcPr>
            <w:tcW w:w="1560" w:type="dxa"/>
            <w:shd w:val="clear" w:color="auto" w:fill="003F5F"/>
            <w:tcMar>
              <w:top w:w="113" w:type="dxa"/>
              <w:left w:w="113" w:type="dxa"/>
              <w:bottom w:w="113" w:type="dxa"/>
              <w:right w:w="113" w:type="dxa"/>
            </w:tcMar>
          </w:tcPr>
          <w:p w14:paraId="3EFDD139" w14:textId="401EC3D2" w:rsidR="005A7B6A" w:rsidRPr="00AE42F6" w:rsidRDefault="00AE42F6" w:rsidP="00BB3984">
            <w:pPr>
              <w:jc w:val="right"/>
              <w:rPr>
                <w:rStyle w:val="Strong"/>
                <w:b w:val="0"/>
                <w:color w:val="FFFFFF" w:themeColor="background1"/>
              </w:rPr>
            </w:pPr>
            <w:r w:rsidRPr="00AE42F6">
              <w:rPr>
                <w:b/>
                <w:color w:val="FFFFFF" w:themeColor="background1"/>
              </w:rPr>
              <w:t>305</w:t>
            </w:r>
          </w:p>
        </w:tc>
        <w:tc>
          <w:tcPr>
            <w:tcW w:w="1842" w:type="dxa"/>
            <w:shd w:val="clear" w:color="auto" w:fill="EE7D31"/>
          </w:tcPr>
          <w:p w14:paraId="2A50403D" w14:textId="5FC002D7" w:rsidR="005A7B6A" w:rsidRPr="00AE42F6" w:rsidRDefault="00AE42F6" w:rsidP="00BB3984">
            <w:pPr>
              <w:ind w:right="118"/>
              <w:jc w:val="right"/>
              <w:rPr>
                <w:rStyle w:val="Strong"/>
                <w:b w:val="0"/>
                <w:color w:val="FFFFFF" w:themeColor="background1"/>
              </w:rPr>
            </w:pPr>
            <w:r w:rsidRPr="00AE42F6">
              <w:rPr>
                <w:b/>
                <w:color w:val="FFFFFF" w:themeColor="background1"/>
              </w:rPr>
              <w:t>1,003</w:t>
            </w:r>
          </w:p>
        </w:tc>
      </w:tr>
    </w:tbl>
    <w:p w14:paraId="3B07888C" w14:textId="77777777" w:rsidR="001E64B1" w:rsidRDefault="001E64B1" w:rsidP="004D72B8">
      <w:pPr>
        <w:keepLines w:val="0"/>
        <w:spacing w:after="0" w:line="240" w:lineRule="auto"/>
        <w:rPr>
          <w:i/>
          <w:lang w:val="en-US"/>
        </w:rPr>
      </w:pPr>
    </w:p>
    <w:p w14:paraId="60091ECC" w14:textId="03F74324" w:rsidR="001E64B1" w:rsidRPr="00A65377" w:rsidRDefault="00A50018" w:rsidP="001E64B1">
      <w:pPr>
        <w:pStyle w:val="BulletListLevel1"/>
        <w:numPr>
          <w:ilvl w:val="0"/>
          <w:numId w:val="0"/>
        </w:numPr>
        <w:rPr>
          <w:i/>
          <w:sz w:val="22"/>
          <w:szCs w:val="22"/>
          <w:lang w:val="en-US"/>
        </w:rPr>
      </w:pPr>
      <w:r>
        <w:rPr>
          <w:i/>
          <w:sz w:val="22"/>
          <w:szCs w:val="22"/>
          <w:lang w:val="en-US"/>
        </w:rPr>
        <w:t>*</w:t>
      </w:r>
      <w:r w:rsidR="001E64B1" w:rsidRPr="00A65377">
        <w:rPr>
          <w:i/>
          <w:sz w:val="22"/>
          <w:szCs w:val="22"/>
          <w:lang w:val="en-US"/>
        </w:rPr>
        <w:t>Reflects the total number of approved service providers in the scheme as at 30 June 2018.</w:t>
      </w:r>
    </w:p>
    <w:p w14:paraId="1C42A84A" w14:textId="0307DAD7" w:rsidR="00FD147F" w:rsidRPr="001E64B1" w:rsidRDefault="001E64B1" w:rsidP="001E64B1">
      <w:pPr>
        <w:pStyle w:val="BulletListLevel1"/>
        <w:numPr>
          <w:ilvl w:val="0"/>
          <w:numId w:val="0"/>
        </w:numPr>
        <w:rPr>
          <w:i/>
          <w:sz w:val="22"/>
          <w:szCs w:val="22"/>
          <w:lang w:val="en-US"/>
        </w:rPr>
      </w:pPr>
      <w:r w:rsidRPr="00A65377">
        <w:rPr>
          <w:i/>
          <w:sz w:val="22"/>
          <w:szCs w:val="22"/>
          <w:lang w:val="en-US"/>
        </w:rPr>
        <w:t>#Seven insurers were renewed in November 2016 as a consequence of the expiry of their current period of approval. The approval of one insurer had not yet expired.</w:t>
      </w:r>
      <w:r w:rsidR="005B6DC0">
        <w:rPr>
          <w:i/>
          <w:sz w:val="22"/>
          <w:szCs w:val="22"/>
          <w:lang w:val="en-US"/>
        </w:rPr>
        <w:br/>
      </w:r>
    </w:p>
    <w:tbl>
      <w:tblPr>
        <w:tblW w:w="9046" w:type="dxa"/>
        <w:tblInd w:w="-3"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A0" w:firstRow="1" w:lastRow="0" w:firstColumn="1" w:lastColumn="0" w:noHBand="0" w:noVBand="0"/>
        <w:tblCaption w:val="Table 25: Complaints against service providers"/>
        <w:tblDescription w:val="This table outlines the number of complaints against insurers, self-insurers, registered agents, workplace rehabilitation providers, audiometric officers, audiologists, audiometrists and approved medical specialists for the past four financial years. "/>
      </w:tblPr>
      <w:tblGrid>
        <w:gridCol w:w="3377"/>
        <w:gridCol w:w="1417"/>
        <w:gridCol w:w="1418"/>
        <w:gridCol w:w="1417"/>
        <w:gridCol w:w="1417"/>
      </w:tblGrid>
      <w:tr w:rsidR="00D022B7" w:rsidRPr="004F3526" w14:paraId="27D5A98B" w14:textId="77777777" w:rsidTr="00E92C14">
        <w:trPr>
          <w:trHeight w:val="60"/>
          <w:tblHeader/>
        </w:trPr>
        <w:tc>
          <w:tcPr>
            <w:tcW w:w="7629" w:type="dxa"/>
            <w:gridSpan w:val="4"/>
            <w:shd w:val="clear" w:color="auto" w:fill="003F5F"/>
            <w:tcMar>
              <w:top w:w="113" w:type="dxa"/>
              <w:left w:w="113" w:type="dxa"/>
              <w:bottom w:w="113" w:type="dxa"/>
              <w:right w:w="113" w:type="dxa"/>
            </w:tcMar>
            <w:vAlign w:val="center"/>
          </w:tcPr>
          <w:p w14:paraId="5C35C521" w14:textId="20474CBE" w:rsidR="00D022B7" w:rsidRPr="00DC5FF9" w:rsidRDefault="00732409" w:rsidP="006C1AA5">
            <w:pPr>
              <w:rPr>
                <w:rStyle w:val="Strong"/>
                <w:color w:val="FFFFFF" w:themeColor="background1"/>
              </w:rPr>
            </w:pPr>
            <w:r w:rsidRPr="00E92C14">
              <w:rPr>
                <w:rStyle w:val="Strong"/>
                <w:color w:val="FFFFFF" w:themeColor="background1"/>
              </w:rPr>
              <w:t xml:space="preserve">Table </w:t>
            </w:r>
            <w:r w:rsidR="006C1AA5" w:rsidRPr="00E92C14">
              <w:rPr>
                <w:rStyle w:val="Strong"/>
                <w:color w:val="FFFFFF" w:themeColor="background1"/>
              </w:rPr>
              <w:t>24</w:t>
            </w:r>
            <w:r w:rsidR="00D022B7" w:rsidRPr="00E92C14">
              <w:rPr>
                <w:rStyle w:val="Strong"/>
                <w:color w:val="FFFFFF" w:themeColor="background1"/>
              </w:rPr>
              <w:t xml:space="preserve">: Complaints </w:t>
            </w:r>
            <w:r w:rsidR="00D022B7" w:rsidRPr="008E2C59">
              <w:rPr>
                <w:rStyle w:val="Strong"/>
                <w:color w:val="FFFFFF" w:themeColor="background2"/>
              </w:rPr>
              <w:t xml:space="preserve">against service providers </w:t>
            </w:r>
          </w:p>
        </w:tc>
        <w:tc>
          <w:tcPr>
            <w:tcW w:w="1417" w:type="dxa"/>
            <w:shd w:val="clear" w:color="auto" w:fill="003F5F"/>
          </w:tcPr>
          <w:p w14:paraId="15D858DC" w14:textId="77777777" w:rsidR="00D022B7" w:rsidRPr="00EE4ECC" w:rsidRDefault="00D022B7" w:rsidP="00BA6657">
            <w:pPr>
              <w:rPr>
                <w:rStyle w:val="Strong"/>
                <w:color w:val="FFFFFF" w:themeColor="background1"/>
              </w:rPr>
            </w:pPr>
          </w:p>
        </w:tc>
      </w:tr>
      <w:tr w:rsidR="007F385E" w:rsidRPr="004F3526" w14:paraId="3D1669DF" w14:textId="77777777" w:rsidTr="00E92C14">
        <w:trPr>
          <w:trHeight w:val="60"/>
        </w:trPr>
        <w:tc>
          <w:tcPr>
            <w:tcW w:w="3377" w:type="dxa"/>
            <w:shd w:val="clear" w:color="auto" w:fill="CEDCE8"/>
            <w:tcMar>
              <w:top w:w="113" w:type="dxa"/>
              <w:left w:w="113" w:type="dxa"/>
              <w:bottom w:w="113" w:type="dxa"/>
              <w:right w:w="113" w:type="dxa"/>
            </w:tcMar>
            <w:vAlign w:val="center"/>
          </w:tcPr>
          <w:p w14:paraId="4AD6071F" w14:textId="77777777" w:rsidR="007F385E" w:rsidRPr="005905BC" w:rsidRDefault="007F385E" w:rsidP="007F385E">
            <w:pPr>
              <w:rPr>
                <w:rStyle w:val="Strong"/>
              </w:rPr>
            </w:pPr>
            <w:r w:rsidRPr="005905BC">
              <w:rPr>
                <w:rStyle w:val="Strong"/>
              </w:rPr>
              <w:t>Type of service provider</w:t>
            </w:r>
          </w:p>
        </w:tc>
        <w:tc>
          <w:tcPr>
            <w:tcW w:w="1417" w:type="dxa"/>
            <w:shd w:val="clear" w:color="auto" w:fill="CEDCE8"/>
            <w:tcMar>
              <w:top w:w="113" w:type="dxa"/>
              <w:left w:w="113" w:type="dxa"/>
              <w:bottom w:w="113" w:type="dxa"/>
              <w:right w:w="113" w:type="dxa"/>
            </w:tcMar>
            <w:vAlign w:val="center"/>
          </w:tcPr>
          <w:p w14:paraId="0FDC10FF" w14:textId="263D5E3A" w:rsidR="007F385E" w:rsidRPr="005905BC" w:rsidRDefault="00732409" w:rsidP="006D3DC8">
            <w:pPr>
              <w:jc w:val="right"/>
              <w:rPr>
                <w:rStyle w:val="Strong"/>
              </w:rPr>
            </w:pPr>
            <w:r>
              <w:rPr>
                <w:rStyle w:val="Strong"/>
              </w:rPr>
              <w:t>2014/15</w:t>
            </w:r>
          </w:p>
        </w:tc>
        <w:tc>
          <w:tcPr>
            <w:tcW w:w="1418" w:type="dxa"/>
            <w:shd w:val="clear" w:color="auto" w:fill="CEDCE8"/>
            <w:tcMar>
              <w:top w:w="113" w:type="dxa"/>
              <w:left w:w="113" w:type="dxa"/>
              <w:bottom w:w="113" w:type="dxa"/>
              <w:right w:w="113" w:type="dxa"/>
            </w:tcMar>
            <w:vAlign w:val="center"/>
          </w:tcPr>
          <w:p w14:paraId="0884CD39" w14:textId="6E152310" w:rsidR="007F385E" w:rsidRPr="005905BC" w:rsidRDefault="00732409" w:rsidP="006D3DC8">
            <w:pPr>
              <w:jc w:val="right"/>
              <w:rPr>
                <w:rStyle w:val="Strong"/>
              </w:rPr>
            </w:pPr>
            <w:r>
              <w:rPr>
                <w:rStyle w:val="Strong"/>
              </w:rPr>
              <w:t>2015/16</w:t>
            </w:r>
          </w:p>
        </w:tc>
        <w:tc>
          <w:tcPr>
            <w:tcW w:w="1417" w:type="dxa"/>
            <w:shd w:val="clear" w:color="auto" w:fill="CEDCE8"/>
            <w:tcMar>
              <w:top w:w="113" w:type="dxa"/>
              <w:left w:w="113" w:type="dxa"/>
              <w:bottom w:w="113" w:type="dxa"/>
              <w:right w:w="113" w:type="dxa"/>
            </w:tcMar>
            <w:vAlign w:val="center"/>
          </w:tcPr>
          <w:p w14:paraId="69C1BB3A" w14:textId="6FE2C168" w:rsidR="007F385E" w:rsidRPr="005905BC" w:rsidRDefault="00732409" w:rsidP="006D3DC8">
            <w:pPr>
              <w:jc w:val="right"/>
              <w:rPr>
                <w:rStyle w:val="Strong"/>
              </w:rPr>
            </w:pPr>
            <w:r>
              <w:rPr>
                <w:rStyle w:val="Strong"/>
              </w:rPr>
              <w:t>2016/17</w:t>
            </w:r>
          </w:p>
        </w:tc>
        <w:tc>
          <w:tcPr>
            <w:tcW w:w="1417" w:type="dxa"/>
            <w:shd w:val="clear" w:color="auto" w:fill="CEDCE8"/>
            <w:vAlign w:val="center"/>
          </w:tcPr>
          <w:p w14:paraId="483890C3" w14:textId="09DED757" w:rsidR="007F385E" w:rsidRPr="005905BC" w:rsidRDefault="00732409" w:rsidP="006D3DC8">
            <w:pPr>
              <w:ind w:right="115"/>
              <w:jc w:val="right"/>
              <w:rPr>
                <w:rStyle w:val="Strong"/>
              </w:rPr>
            </w:pPr>
            <w:r>
              <w:rPr>
                <w:rStyle w:val="Strong"/>
              </w:rPr>
              <w:t>2017/18</w:t>
            </w:r>
          </w:p>
        </w:tc>
      </w:tr>
      <w:tr w:rsidR="007F385E" w:rsidRPr="004F3526" w14:paraId="675E1A37" w14:textId="77777777" w:rsidTr="00E92C14">
        <w:trPr>
          <w:trHeight w:val="60"/>
        </w:trPr>
        <w:tc>
          <w:tcPr>
            <w:tcW w:w="3377" w:type="dxa"/>
            <w:shd w:val="clear" w:color="auto" w:fill="CEDCE8"/>
            <w:tcMar>
              <w:top w:w="113" w:type="dxa"/>
              <w:left w:w="113" w:type="dxa"/>
              <w:bottom w:w="113" w:type="dxa"/>
              <w:right w:w="113" w:type="dxa"/>
            </w:tcMar>
          </w:tcPr>
          <w:p w14:paraId="1FE87278" w14:textId="126A8C2E" w:rsidR="007F385E" w:rsidRPr="004F3526" w:rsidRDefault="00285965" w:rsidP="007F385E">
            <w:pPr>
              <w:rPr>
                <w:color w:val="000000"/>
                <w:lang w:val="en-GB" w:eastAsia="en-AU"/>
              </w:rPr>
            </w:pPr>
            <w:r>
              <w:rPr>
                <w:color w:val="000000"/>
                <w:lang w:val="en-GB" w:eastAsia="en-AU"/>
              </w:rPr>
              <w:t>I</w:t>
            </w:r>
            <w:r w:rsidR="007F385E" w:rsidRPr="004F3526">
              <w:rPr>
                <w:color w:val="000000"/>
                <w:lang w:val="en-GB" w:eastAsia="en-AU"/>
              </w:rPr>
              <w:t>nsurers</w:t>
            </w:r>
          </w:p>
        </w:tc>
        <w:tc>
          <w:tcPr>
            <w:tcW w:w="1417" w:type="dxa"/>
            <w:tcMar>
              <w:top w:w="113" w:type="dxa"/>
              <w:left w:w="113" w:type="dxa"/>
              <w:bottom w:w="113" w:type="dxa"/>
              <w:right w:w="113" w:type="dxa"/>
            </w:tcMar>
          </w:tcPr>
          <w:p w14:paraId="337C32FF" w14:textId="3D1F1658" w:rsidR="007F385E" w:rsidRPr="00F8218F" w:rsidRDefault="00F8218F" w:rsidP="006D3DC8">
            <w:pPr>
              <w:jc w:val="right"/>
              <w:rPr>
                <w:lang w:val="en-GB" w:eastAsia="en-AU"/>
              </w:rPr>
            </w:pPr>
            <w:r w:rsidRPr="00F8218F">
              <w:rPr>
                <w:rFonts w:cs="Arial"/>
                <w:lang w:val="en-GB" w:eastAsia="en-AU"/>
              </w:rPr>
              <w:t>11</w:t>
            </w:r>
          </w:p>
        </w:tc>
        <w:tc>
          <w:tcPr>
            <w:tcW w:w="1418" w:type="dxa"/>
            <w:tcMar>
              <w:top w:w="113" w:type="dxa"/>
              <w:left w:w="113" w:type="dxa"/>
              <w:bottom w:w="113" w:type="dxa"/>
              <w:right w:w="113" w:type="dxa"/>
            </w:tcMar>
          </w:tcPr>
          <w:p w14:paraId="3EBD2C77" w14:textId="2CB16C76" w:rsidR="007F385E" w:rsidRPr="00F8218F" w:rsidRDefault="00F8218F" w:rsidP="006D3DC8">
            <w:pPr>
              <w:jc w:val="right"/>
              <w:rPr>
                <w:lang w:val="en-GB" w:eastAsia="en-AU"/>
              </w:rPr>
            </w:pPr>
            <w:r w:rsidRPr="00F8218F">
              <w:rPr>
                <w:lang w:val="en-GB" w:eastAsia="en-AU"/>
              </w:rPr>
              <w:t>7</w:t>
            </w:r>
          </w:p>
        </w:tc>
        <w:tc>
          <w:tcPr>
            <w:tcW w:w="1417" w:type="dxa"/>
            <w:tcMar>
              <w:top w:w="113" w:type="dxa"/>
              <w:left w:w="113" w:type="dxa"/>
              <w:bottom w:w="113" w:type="dxa"/>
              <w:right w:w="113" w:type="dxa"/>
            </w:tcMar>
          </w:tcPr>
          <w:p w14:paraId="7A5FA42C" w14:textId="22430A6A" w:rsidR="007F385E" w:rsidRPr="00F8218F" w:rsidRDefault="00F8218F"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4</w:t>
            </w:r>
          </w:p>
        </w:tc>
        <w:tc>
          <w:tcPr>
            <w:tcW w:w="1417" w:type="dxa"/>
          </w:tcPr>
          <w:p w14:paraId="422A2F1C" w14:textId="21D0E99F" w:rsidR="007F385E" w:rsidRPr="00A65377" w:rsidRDefault="00A65377"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A65377">
              <w:rPr>
                <w:rFonts w:cs="Arial"/>
                <w:lang w:val="en-GB" w:eastAsia="en-AU"/>
              </w:rPr>
              <w:t>5</w:t>
            </w:r>
          </w:p>
        </w:tc>
      </w:tr>
      <w:tr w:rsidR="00552456" w:rsidRPr="004F3526" w14:paraId="789575A6" w14:textId="77777777" w:rsidTr="00E92C14">
        <w:trPr>
          <w:trHeight w:val="60"/>
        </w:trPr>
        <w:tc>
          <w:tcPr>
            <w:tcW w:w="3377" w:type="dxa"/>
            <w:shd w:val="clear" w:color="auto" w:fill="CEDCE8"/>
            <w:tcMar>
              <w:top w:w="113" w:type="dxa"/>
              <w:left w:w="113" w:type="dxa"/>
              <w:bottom w:w="113" w:type="dxa"/>
              <w:right w:w="113" w:type="dxa"/>
            </w:tcMar>
          </w:tcPr>
          <w:p w14:paraId="2020900A" w14:textId="2AEA6C08" w:rsidR="00552456" w:rsidRPr="004F3526" w:rsidRDefault="00285965" w:rsidP="00552456">
            <w:pPr>
              <w:rPr>
                <w:color w:val="000000"/>
                <w:lang w:val="en-GB" w:eastAsia="en-AU"/>
              </w:rPr>
            </w:pPr>
            <w:r>
              <w:rPr>
                <w:color w:val="000000"/>
                <w:lang w:val="en-GB" w:eastAsia="en-AU"/>
              </w:rPr>
              <w:t>S</w:t>
            </w:r>
            <w:r w:rsidR="00552456" w:rsidRPr="004F3526">
              <w:rPr>
                <w:color w:val="000000"/>
                <w:lang w:val="en-GB" w:eastAsia="en-AU"/>
              </w:rPr>
              <w:t>elf-insurers</w:t>
            </w:r>
          </w:p>
        </w:tc>
        <w:tc>
          <w:tcPr>
            <w:tcW w:w="1417" w:type="dxa"/>
            <w:tcMar>
              <w:top w:w="113" w:type="dxa"/>
              <w:left w:w="113" w:type="dxa"/>
              <w:bottom w:w="113" w:type="dxa"/>
              <w:right w:w="113" w:type="dxa"/>
            </w:tcMar>
          </w:tcPr>
          <w:p w14:paraId="1C42A43B" w14:textId="11CDE126" w:rsidR="00552456" w:rsidRPr="00F8218F" w:rsidRDefault="00F8218F" w:rsidP="006D3DC8">
            <w:pPr>
              <w:jc w:val="right"/>
              <w:rPr>
                <w:lang w:val="en-GB" w:eastAsia="en-AU"/>
              </w:rPr>
            </w:pPr>
            <w:r w:rsidRPr="00F8218F">
              <w:rPr>
                <w:rFonts w:cs="Arial"/>
                <w:lang w:val="en-GB" w:eastAsia="en-AU"/>
              </w:rPr>
              <w:t>0</w:t>
            </w:r>
          </w:p>
        </w:tc>
        <w:tc>
          <w:tcPr>
            <w:tcW w:w="1418" w:type="dxa"/>
            <w:tcMar>
              <w:top w:w="113" w:type="dxa"/>
              <w:left w:w="113" w:type="dxa"/>
              <w:bottom w:w="113" w:type="dxa"/>
              <w:right w:w="113" w:type="dxa"/>
            </w:tcMar>
          </w:tcPr>
          <w:p w14:paraId="43A321AF" w14:textId="03E048D6" w:rsidR="00552456" w:rsidRPr="00F8218F" w:rsidRDefault="00F8218F" w:rsidP="006D3DC8">
            <w:pPr>
              <w:jc w:val="right"/>
              <w:rPr>
                <w:lang w:val="en-GB" w:eastAsia="en-AU"/>
              </w:rPr>
            </w:pPr>
            <w:r w:rsidRPr="00F8218F">
              <w:rPr>
                <w:lang w:val="en-GB" w:eastAsia="en-AU"/>
              </w:rPr>
              <w:t>2</w:t>
            </w:r>
          </w:p>
        </w:tc>
        <w:tc>
          <w:tcPr>
            <w:tcW w:w="1417" w:type="dxa"/>
            <w:tcMar>
              <w:top w:w="113" w:type="dxa"/>
              <w:left w:w="113" w:type="dxa"/>
              <w:bottom w:w="113" w:type="dxa"/>
              <w:right w:w="113" w:type="dxa"/>
            </w:tcMar>
          </w:tcPr>
          <w:p w14:paraId="644FFD88" w14:textId="09E41C4C" w:rsidR="00552456" w:rsidRPr="00F8218F" w:rsidRDefault="00F8218F"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0</w:t>
            </w:r>
          </w:p>
        </w:tc>
        <w:tc>
          <w:tcPr>
            <w:tcW w:w="1417" w:type="dxa"/>
          </w:tcPr>
          <w:p w14:paraId="6BBE24C4" w14:textId="045CA73B" w:rsidR="00552456" w:rsidRPr="00A65377" w:rsidRDefault="00A65377"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A65377">
              <w:rPr>
                <w:rFonts w:cs="Arial"/>
                <w:lang w:val="en-GB" w:eastAsia="en-AU"/>
              </w:rPr>
              <w:t>1</w:t>
            </w:r>
          </w:p>
        </w:tc>
      </w:tr>
      <w:tr w:rsidR="00552456" w:rsidRPr="004F3526" w14:paraId="70AD6C4F" w14:textId="77777777" w:rsidTr="00E92C14">
        <w:trPr>
          <w:trHeight w:val="60"/>
        </w:trPr>
        <w:tc>
          <w:tcPr>
            <w:tcW w:w="3377" w:type="dxa"/>
            <w:shd w:val="clear" w:color="auto" w:fill="CEDCE8"/>
            <w:tcMar>
              <w:top w:w="113" w:type="dxa"/>
              <w:left w:w="113" w:type="dxa"/>
              <w:bottom w:w="113" w:type="dxa"/>
              <w:right w:w="113" w:type="dxa"/>
            </w:tcMar>
          </w:tcPr>
          <w:p w14:paraId="18CF6AA7" w14:textId="77777777" w:rsidR="00552456" w:rsidRPr="004F3526" w:rsidRDefault="00552456" w:rsidP="00552456">
            <w:pPr>
              <w:rPr>
                <w:color w:val="000000"/>
                <w:lang w:val="en-GB" w:eastAsia="en-AU"/>
              </w:rPr>
            </w:pPr>
            <w:r w:rsidRPr="004F3526">
              <w:rPr>
                <w:color w:val="000000"/>
                <w:lang w:val="en-GB" w:eastAsia="en-AU"/>
              </w:rPr>
              <w:t>Registered agents</w:t>
            </w:r>
          </w:p>
        </w:tc>
        <w:tc>
          <w:tcPr>
            <w:tcW w:w="1417" w:type="dxa"/>
            <w:tcMar>
              <w:top w:w="113" w:type="dxa"/>
              <w:left w:w="113" w:type="dxa"/>
              <w:bottom w:w="113" w:type="dxa"/>
              <w:right w:w="113" w:type="dxa"/>
            </w:tcMar>
          </w:tcPr>
          <w:p w14:paraId="683B3A32" w14:textId="16C42E60" w:rsidR="00552456" w:rsidRPr="00F8218F" w:rsidRDefault="00F8218F" w:rsidP="006D3DC8">
            <w:pPr>
              <w:jc w:val="right"/>
              <w:rPr>
                <w:lang w:val="en-GB" w:eastAsia="en-AU"/>
              </w:rPr>
            </w:pPr>
            <w:r w:rsidRPr="00F8218F">
              <w:rPr>
                <w:rFonts w:cs="Arial"/>
                <w:lang w:val="en-GB" w:eastAsia="en-AU"/>
              </w:rPr>
              <w:t>7</w:t>
            </w:r>
          </w:p>
        </w:tc>
        <w:tc>
          <w:tcPr>
            <w:tcW w:w="1418" w:type="dxa"/>
            <w:tcMar>
              <w:top w:w="113" w:type="dxa"/>
              <w:left w:w="113" w:type="dxa"/>
              <w:bottom w:w="113" w:type="dxa"/>
              <w:right w:w="113" w:type="dxa"/>
            </w:tcMar>
          </w:tcPr>
          <w:p w14:paraId="43346C7A" w14:textId="04B5B1F5" w:rsidR="00552456" w:rsidRPr="00F8218F" w:rsidRDefault="00F8218F" w:rsidP="006D3DC8">
            <w:pPr>
              <w:jc w:val="right"/>
              <w:rPr>
                <w:lang w:val="en-GB" w:eastAsia="en-AU"/>
              </w:rPr>
            </w:pPr>
            <w:r w:rsidRPr="00F8218F">
              <w:rPr>
                <w:lang w:val="en-GB" w:eastAsia="en-AU"/>
              </w:rPr>
              <w:t>2</w:t>
            </w:r>
          </w:p>
        </w:tc>
        <w:tc>
          <w:tcPr>
            <w:tcW w:w="1417" w:type="dxa"/>
            <w:tcMar>
              <w:top w:w="113" w:type="dxa"/>
              <w:left w:w="113" w:type="dxa"/>
              <w:bottom w:w="113" w:type="dxa"/>
              <w:right w:w="113" w:type="dxa"/>
            </w:tcMar>
          </w:tcPr>
          <w:p w14:paraId="4D3255C4" w14:textId="36B0C088" w:rsidR="00552456" w:rsidRPr="00F8218F" w:rsidRDefault="00F8218F"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2</w:t>
            </w:r>
          </w:p>
        </w:tc>
        <w:tc>
          <w:tcPr>
            <w:tcW w:w="1417" w:type="dxa"/>
          </w:tcPr>
          <w:p w14:paraId="1F112B0E" w14:textId="1291716C" w:rsidR="00552456" w:rsidRPr="00A65377" w:rsidRDefault="00A65377" w:rsidP="006D3DC8">
            <w:pPr>
              <w:keepLines w:val="0"/>
              <w:suppressAutoHyphens/>
              <w:autoSpaceDE w:val="0"/>
              <w:autoSpaceDN w:val="0"/>
              <w:adjustRightInd w:val="0"/>
              <w:spacing w:after="0" w:line="288" w:lineRule="auto"/>
              <w:ind w:right="115"/>
              <w:jc w:val="right"/>
              <w:textAlignment w:val="center"/>
              <w:rPr>
                <w:rFonts w:cs="Arial"/>
                <w:lang w:val="en-GB" w:eastAsia="en-AU"/>
              </w:rPr>
            </w:pPr>
            <w:r w:rsidRPr="00A65377">
              <w:rPr>
                <w:rFonts w:cs="Arial"/>
                <w:lang w:val="en-GB" w:eastAsia="en-AU"/>
              </w:rPr>
              <w:t>2</w:t>
            </w:r>
          </w:p>
        </w:tc>
      </w:tr>
      <w:tr w:rsidR="00137E36" w:rsidRPr="004F3526" w14:paraId="04C70ADB" w14:textId="77777777" w:rsidTr="00E92C14">
        <w:trPr>
          <w:trHeight w:val="60"/>
        </w:trPr>
        <w:tc>
          <w:tcPr>
            <w:tcW w:w="3377" w:type="dxa"/>
            <w:shd w:val="clear" w:color="auto" w:fill="CEDCE8"/>
            <w:tcMar>
              <w:top w:w="113" w:type="dxa"/>
              <w:left w:w="113" w:type="dxa"/>
              <w:bottom w:w="113" w:type="dxa"/>
              <w:right w:w="113" w:type="dxa"/>
            </w:tcMar>
          </w:tcPr>
          <w:p w14:paraId="482103B1" w14:textId="6F4DBA97" w:rsidR="00137E36" w:rsidRPr="004F3526" w:rsidRDefault="00285965" w:rsidP="00137E36">
            <w:pPr>
              <w:rPr>
                <w:color w:val="000000"/>
                <w:lang w:val="en-GB" w:eastAsia="en-AU"/>
              </w:rPr>
            </w:pPr>
            <w:r>
              <w:rPr>
                <w:color w:val="000000"/>
                <w:lang w:val="en-GB" w:eastAsia="en-AU"/>
              </w:rPr>
              <w:t>W</w:t>
            </w:r>
            <w:r w:rsidR="00137E36">
              <w:rPr>
                <w:color w:val="000000"/>
                <w:lang w:val="en-GB" w:eastAsia="en-AU"/>
              </w:rPr>
              <w:t>orkplace rehabilitation providers</w:t>
            </w:r>
          </w:p>
        </w:tc>
        <w:tc>
          <w:tcPr>
            <w:tcW w:w="1417" w:type="dxa"/>
            <w:tcMar>
              <w:top w:w="113" w:type="dxa"/>
              <w:left w:w="113" w:type="dxa"/>
              <w:bottom w:w="113" w:type="dxa"/>
              <w:right w:w="113" w:type="dxa"/>
            </w:tcMar>
          </w:tcPr>
          <w:p w14:paraId="359773D8" w14:textId="0F5560E5" w:rsidR="00137E36" w:rsidRPr="00F8218F" w:rsidRDefault="00F8218F" w:rsidP="006D3DC8">
            <w:pPr>
              <w:jc w:val="right"/>
              <w:rPr>
                <w:lang w:val="en-GB" w:eastAsia="en-AU"/>
              </w:rPr>
            </w:pPr>
            <w:r w:rsidRPr="00F8218F">
              <w:rPr>
                <w:rFonts w:cs="Arial"/>
                <w:lang w:val="en-GB" w:eastAsia="en-AU"/>
              </w:rPr>
              <w:t>2</w:t>
            </w:r>
          </w:p>
        </w:tc>
        <w:tc>
          <w:tcPr>
            <w:tcW w:w="1418" w:type="dxa"/>
            <w:tcMar>
              <w:top w:w="113" w:type="dxa"/>
              <w:left w:w="113" w:type="dxa"/>
              <w:bottom w:w="113" w:type="dxa"/>
              <w:right w:w="113" w:type="dxa"/>
            </w:tcMar>
          </w:tcPr>
          <w:p w14:paraId="0E43F772" w14:textId="297BB19F" w:rsidR="00137E36" w:rsidRPr="00F8218F" w:rsidRDefault="00F8218F" w:rsidP="006D3DC8">
            <w:pPr>
              <w:jc w:val="right"/>
              <w:rPr>
                <w:lang w:val="en-GB" w:eastAsia="en-AU"/>
              </w:rPr>
            </w:pPr>
            <w:r w:rsidRPr="00F8218F">
              <w:rPr>
                <w:lang w:val="en-GB" w:eastAsia="en-AU"/>
              </w:rPr>
              <w:t>7</w:t>
            </w:r>
          </w:p>
        </w:tc>
        <w:tc>
          <w:tcPr>
            <w:tcW w:w="1417" w:type="dxa"/>
            <w:tcMar>
              <w:top w:w="113" w:type="dxa"/>
              <w:left w:w="113" w:type="dxa"/>
              <w:bottom w:w="113" w:type="dxa"/>
              <w:right w:w="113" w:type="dxa"/>
            </w:tcMar>
          </w:tcPr>
          <w:p w14:paraId="607878F3" w14:textId="57832A92" w:rsidR="00137E36" w:rsidRPr="00F8218F" w:rsidRDefault="00F8218F"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0</w:t>
            </w:r>
          </w:p>
        </w:tc>
        <w:tc>
          <w:tcPr>
            <w:tcW w:w="1417" w:type="dxa"/>
          </w:tcPr>
          <w:p w14:paraId="08C4E663" w14:textId="66334ACC" w:rsidR="00137E36" w:rsidRPr="00A65377" w:rsidRDefault="00A65377" w:rsidP="006D3DC8">
            <w:pPr>
              <w:keepLines w:val="0"/>
              <w:suppressAutoHyphens/>
              <w:autoSpaceDE w:val="0"/>
              <w:autoSpaceDN w:val="0"/>
              <w:adjustRightInd w:val="0"/>
              <w:spacing w:after="0" w:line="288" w:lineRule="auto"/>
              <w:ind w:right="115"/>
              <w:jc w:val="right"/>
              <w:textAlignment w:val="center"/>
              <w:rPr>
                <w:lang w:val="en-GB" w:eastAsia="en-AU"/>
              </w:rPr>
            </w:pPr>
            <w:r w:rsidRPr="00A65377">
              <w:rPr>
                <w:rFonts w:cs="Arial"/>
                <w:lang w:val="en-GB" w:eastAsia="en-AU"/>
              </w:rPr>
              <w:t>0</w:t>
            </w:r>
          </w:p>
        </w:tc>
      </w:tr>
      <w:tr w:rsidR="00FE09C9" w:rsidRPr="00A93DA1" w14:paraId="7C49592D" w14:textId="77777777" w:rsidTr="00E92C14">
        <w:trPr>
          <w:trHeight w:val="912"/>
        </w:trPr>
        <w:tc>
          <w:tcPr>
            <w:tcW w:w="3377" w:type="dxa"/>
            <w:shd w:val="clear" w:color="auto" w:fill="CEDCE8"/>
            <w:tcMar>
              <w:top w:w="113" w:type="dxa"/>
              <w:left w:w="113" w:type="dxa"/>
              <w:bottom w:w="113" w:type="dxa"/>
              <w:right w:w="113" w:type="dxa"/>
            </w:tcMar>
          </w:tcPr>
          <w:p w14:paraId="2872AD78" w14:textId="77777777" w:rsidR="00FE09C9" w:rsidRPr="00A93DA1" w:rsidRDefault="00FE09C9" w:rsidP="007D1495">
            <w:pPr>
              <w:rPr>
                <w:lang w:val="en-GB" w:eastAsia="en-AU"/>
              </w:rPr>
            </w:pPr>
            <w:r w:rsidRPr="00A93DA1">
              <w:rPr>
                <w:lang w:val="en-GB" w:eastAsia="en-AU"/>
              </w:rPr>
              <w:t>Audiometric officers,  audiologists and audiometrists</w:t>
            </w:r>
          </w:p>
        </w:tc>
        <w:tc>
          <w:tcPr>
            <w:tcW w:w="1417" w:type="dxa"/>
            <w:tcMar>
              <w:top w:w="113" w:type="dxa"/>
              <w:left w:w="113" w:type="dxa"/>
              <w:bottom w:w="113" w:type="dxa"/>
              <w:right w:w="113" w:type="dxa"/>
            </w:tcMar>
          </w:tcPr>
          <w:p w14:paraId="52758DEA" w14:textId="023200B9" w:rsidR="00FE09C9" w:rsidRPr="00F8218F" w:rsidRDefault="00F8218F" w:rsidP="006D3DC8">
            <w:pPr>
              <w:jc w:val="right"/>
              <w:rPr>
                <w:lang w:val="en-GB" w:eastAsia="en-AU"/>
              </w:rPr>
            </w:pPr>
            <w:r w:rsidRPr="00F8218F">
              <w:rPr>
                <w:rFonts w:cs="Arial"/>
                <w:lang w:val="en-GB" w:eastAsia="en-AU"/>
              </w:rPr>
              <w:t>0</w:t>
            </w:r>
          </w:p>
        </w:tc>
        <w:tc>
          <w:tcPr>
            <w:tcW w:w="1418" w:type="dxa"/>
            <w:tcMar>
              <w:top w:w="113" w:type="dxa"/>
              <w:left w:w="113" w:type="dxa"/>
              <w:bottom w:w="113" w:type="dxa"/>
              <w:right w:w="113" w:type="dxa"/>
            </w:tcMar>
          </w:tcPr>
          <w:p w14:paraId="02D22221" w14:textId="1AFB1471" w:rsidR="00FE09C9" w:rsidRPr="00F8218F" w:rsidRDefault="00F8218F" w:rsidP="006D3DC8">
            <w:pPr>
              <w:jc w:val="right"/>
              <w:rPr>
                <w:lang w:val="en-GB" w:eastAsia="en-AU"/>
              </w:rPr>
            </w:pPr>
            <w:r w:rsidRPr="00F8218F">
              <w:rPr>
                <w:lang w:val="en-GB" w:eastAsia="en-AU"/>
              </w:rPr>
              <w:t>0</w:t>
            </w:r>
          </w:p>
        </w:tc>
        <w:tc>
          <w:tcPr>
            <w:tcW w:w="1417" w:type="dxa"/>
            <w:tcMar>
              <w:top w:w="113" w:type="dxa"/>
              <w:left w:w="113" w:type="dxa"/>
              <w:bottom w:w="113" w:type="dxa"/>
              <w:right w:w="113" w:type="dxa"/>
            </w:tcMar>
          </w:tcPr>
          <w:p w14:paraId="5273F07A" w14:textId="56F996A2" w:rsidR="00FE09C9" w:rsidRPr="00F8218F" w:rsidRDefault="00F8218F"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0</w:t>
            </w:r>
          </w:p>
        </w:tc>
        <w:tc>
          <w:tcPr>
            <w:tcW w:w="1417" w:type="dxa"/>
          </w:tcPr>
          <w:p w14:paraId="44DD63C5" w14:textId="413E43BB" w:rsidR="00FE09C9" w:rsidRPr="00A65377" w:rsidRDefault="00A65377" w:rsidP="006D3DC8">
            <w:pPr>
              <w:keepLines w:val="0"/>
              <w:suppressAutoHyphens/>
              <w:autoSpaceDE w:val="0"/>
              <w:autoSpaceDN w:val="0"/>
              <w:adjustRightInd w:val="0"/>
              <w:spacing w:after="0" w:line="288" w:lineRule="auto"/>
              <w:ind w:right="115"/>
              <w:jc w:val="right"/>
              <w:textAlignment w:val="center"/>
              <w:rPr>
                <w:lang w:val="en-GB" w:eastAsia="en-AU"/>
              </w:rPr>
            </w:pPr>
            <w:r w:rsidRPr="00A65377">
              <w:rPr>
                <w:rFonts w:cs="Arial"/>
                <w:lang w:val="en-GB" w:eastAsia="en-AU"/>
              </w:rPr>
              <w:t>0</w:t>
            </w:r>
          </w:p>
        </w:tc>
      </w:tr>
      <w:tr w:rsidR="00137E36" w:rsidRPr="004F3526" w14:paraId="5A69E834" w14:textId="77777777" w:rsidTr="00E92C14">
        <w:trPr>
          <w:trHeight w:val="60"/>
        </w:trPr>
        <w:tc>
          <w:tcPr>
            <w:tcW w:w="3377" w:type="dxa"/>
            <w:shd w:val="clear" w:color="auto" w:fill="CEDCE8"/>
            <w:tcMar>
              <w:top w:w="113" w:type="dxa"/>
              <w:left w:w="113" w:type="dxa"/>
              <w:bottom w:w="113" w:type="dxa"/>
              <w:right w:w="113" w:type="dxa"/>
            </w:tcMar>
          </w:tcPr>
          <w:p w14:paraId="62F83173" w14:textId="745CA245" w:rsidR="00137E36" w:rsidRPr="004F3526" w:rsidRDefault="00137E36" w:rsidP="00137E36">
            <w:pPr>
              <w:rPr>
                <w:color w:val="000000"/>
                <w:lang w:val="en-GB" w:eastAsia="en-AU"/>
              </w:rPr>
            </w:pPr>
            <w:r>
              <w:rPr>
                <w:color w:val="000000"/>
                <w:lang w:val="en-GB" w:eastAsia="en-AU"/>
              </w:rPr>
              <w:t>Approved medical specialists</w:t>
            </w:r>
          </w:p>
        </w:tc>
        <w:tc>
          <w:tcPr>
            <w:tcW w:w="1417" w:type="dxa"/>
            <w:tcMar>
              <w:top w:w="113" w:type="dxa"/>
              <w:left w:w="113" w:type="dxa"/>
              <w:bottom w:w="113" w:type="dxa"/>
              <w:right w:w="113" w:type="dxa"/>
            </w:tcMar>
          </w:tcPr>
          <w:p w14:paraId="668DE3F7" w14:textId="5135FD6A" w:rsidR="00137E36" w:rsidRPr="00F8218F" w:rsidRDefault="008E2C59" w:rsidP="006D3DC8">
            <w:pPr>
              <w:jc w:val="right"/>
              <w:rPr>
                <w:lang w:val="en-GB" w:eastAsia="en-AU"/>
              </w:rPr>
            </w:pPr>
            <w:r w:rsidRPr="00F8218F">
              <w:rPr>
                <w:rFonts w:cs="Arial"/>
                <w:lang w:val="en-GB" w:eastAsia="en-AU"/>
              </w:rPr>
              <w:t>2</w:t>
            </w:r>
          </w:p>
        </w:tc>
        <w:tc>
          <w:tcPr>
            <w:tcW w:w="1418" w:type="dxa"/>
            <w:tcMar>
              <w:top w:w="113" w:type="dxa"/>
              <w:left w:w="113" w:type="dxa"/>
              <w:bottom w:w="113" w:type="dxa"/>
              <w:right w:w="113" w:type="dxa"/>
            </w:tcMar>
          </w:tcPr>
          <w:p w14:paraId="6C6F56BD" w14:textId="1B5430DC" w:rsidR="00137E36" w:rsidRPr="00F8218F" w:rsidRDefault="008E2C59" w:rsidP="006D3DC8">
            <w:pPr>
              <w:jc w:val="right"/>
              <w:rPr>
                <w:lang w:val="en-GB" w:eastAsia="en-AU"/>
              </w:rPr>
            </w:pPr>
            <w:r w:rsidRPr="00F8218F">
              <w:rPr>
                <w:lang w:val="en-GB" w:eastAsia="en-AU"/>
              </w:rPr>
              <w:t>0</w:t>
            </w:r>
          </w:p>
        </w:tc>
        <w:tc>
          <w:tcPr>
            <w:tcW w:w="1417" w:type="dxa"/>
            <w:tcMar>
              <w:top w:w="113" w:type="dxa"/>
              <w:left w:w="113" w:type="dxa"/>
              <w:bottom w:w="113" w:type="dxa"/>
              <w:right w:w="113" w:type="dxa"/>
            </w:tcMar>
          </w:tcPr>
          <w:p w14:paraId="065F92F7" w14:textId="2FE3BB1D" w:rsidR="00137E36" w:rsidRPr="00F8218F" w:rsidRDefault="008E2C59" w:rsidP="006D3DC8">
            <w:pPr>
              <w:keepLines w:val="0"/>
              <w:suppressAutoHyphens/>
              <w:autoSpaceDE w:val="0"/>
              <w:autoSpaceDN w:val="0"/>
              <w:adjustRightInd w:val="0"/>
              <w:spacing w:after="0" w:line="288" w:lineRule="auto"/>
              <w:jc w:val="right"/>
              <w:textAlignment w:val="center"/>
              <w:rPr>
                <w:rFonts w:cs="Arial"/>
                <w:lang w:val="en-GB" w:eastAsia="en-AU"/>
              </w:rPr>
            </w:pPr>
            <w:r w:rsidRPr="00F8218F">
              <w:rPr>
                <w:rFonts w:cs="Arial"/>
                <w:lang w:val="en-GB" w:eastAsia="en-AU"/>
              </w:rPr>
              <w:t>2</w:t>
            </w:r>
          </w:p>
        </w:tc>
        <w:tc>
          <w:tcPr>
            <w:tcW w:w="1417" w:type="dxa"/>
          </w:tcPr>
          <w:p w14:paraId="1B95BC6A" w14:textId="3A7104D7" w:rsidR="00137E36" w:rsidRPr="00A65377" w:rsidRDefault="00A65377" w:rsidP="006D3DC8">
            <w:pPr>
              <w:keepLines w:val="0"/>
              <w:suppressAutoHyphens/>
              <w:autoSpaceDE w:val="0"/>
              <w:autoSpaceDN w:val="0"/>
              <w:adjustRightInd w:val="0"/>
              <w:spacing w:after="0" w:line="288" w:lineRule="auto"/>
              <w:ind w:right="115"/>
              <w:jc w:val="right"/>
              <w:textAlignment w:val="center"/>
              <w:rPr>
                <w:lang w:val="en-GB" w:eastAsia="en-AU"/>
              </w:rPr>
            </w:pPr>
            <w:r w:rsidRPr="00A65377">
              <w:rPr>
                <w:lang w:val="en-GB" w:eastAsia="en-AU"/>
              </w:rPr>
              <w:t>0</w:t>
            </w:r>
          </w:p>
        </w:tc>
      </w:tr>
      <w:tr w:rsidR="00552456" w:rsidRPr="004F3526" w14:paraId="2283D904" w14:textId="77777777" w:rsidTr="00E92C14">
        <w:trPr>
          <w:trHeight w:val="60"/>
        </w:trPr>
        <w:tc>
          <w:tcPr>
            <w:tcW w:w="3377" w:type="dxa"/>
            <w:shd w:val="clear" w:color="auto" w:fill="003F5F"/>
            <w:tcMar>
              <w:top w:w="113" w:type="dxa"/>
              <w:left w:w="113" w:type="dxa"/>
              <w:bottom w:w="113" w:type="dxa"/>
              <w:right w:w="113" w:type="dxa"/>
            </w:tcMar>
          </w:tcPr>
          <w:p w14:paraId="7DFE5F79" w14:textId="77777777" w:rsidR="00552456" w:rsidRPr="00A93DA1" w:rsidRDefault="00552456" w:rsidP="00552456">
            <w:pPr>
              <w:rPr>
                <w:rStyle w:val="Strong"/>
                <w:color w:val="FFFFFF" w:themeColor="background1"/>
              </w:rPr>
            </w:pPr>
            <w:r w:rsidRPr="00A93DA1">
              <w:rPr>
                <w:rStyle w:val="Strong"/>
                <w:color w:val="FFFFFF" w:themeColor="background1"/>
              </w:rPr>
              <w:t>Total complaints</w:t>
            </w:r>
          </w:p>
        </w:tc>
        <w:tc>
          <w:tcPr>
            <w:tcW w:w="1417" w:type="dxa"/>
            <w:shd w:val="clear" w:color="auto" w:fill="003F5F"/>
            <w:tcMar>
              <w:top w:w="113" w:type="dxa"/>
              <w:left w:w="113" w:type="dxa"/>
              <w:bottom w:w="113" w:type="dxa"/>
              <w:right w:w="113" w:type="dxa"/>
            </w:tcMar>
          </w:tcPr>
          <w:p w14:paraId="22A1A589" w14:textId="1AB68BDD" w:rsidR="00552456" w:rsidRPr="00F8218F" w:rsidRDefault="00F8218F" w:rsidP="006D3DC8">
            <w:pPr>
              <w:jc w:val="right"/>
              <w:rPr>
                <w:rStyle w:val="Strong"/>
                <w:color w:val="FFFFFF" w:themeColor="background1"/>
              </w:rPr>
            </w:pPr>
            <w:r w:rsidRPr="00F8218F">
              <w:rPr>
                <w:rStyle w:val="Strong"/>
                <w:color w:val="FFFFFF" w:themeColor="background1"/>
              </w:rPr>
              <w:t>22</w:t>
            </w:r>
          </w:p>
        </w:tc>
        <w:tc>
          <w:tcPr>
            <w:tcW w:w="1418" w:type="dxa"/>
            <w:shd w:val="clear" w:color="auto" w:fill="003F5F"/>
            <w:tcMar>
              <w:top w:w="113" w:type="dxa"/>
              <w:left w:w="113" w:type="dxa"/>
              <w:bottom w:w="113" w:type="dxa"/>
              <w:right w:w="113" w:type="dxa"/>
            </w:tcMar>
          </w:tcPr>
          <w:p w14:paraId="2E5846EC" w14:textId="0A7008D0" w:rsidR="00552456" w:rsidRPr="00F8218F" w:rsidRDefault="00F8218F" w:rsidP="006D3DC8">
            <w:pPr>
              <w:jc w:val="right"/>
              <w:rPr>
                <w:rStyle w:val="Strong"/>
                <w:color w:val="FFFFFF" w:themeColor="background1"/>
              </w:rPr>
            </w:pPr>
            <w:r w:rsidRPr="00F8218F">
              <w:rPr>
                <w:rStyle w:val="Strong"/>
                <w:color w:val="FFFFFF" w:themeColor="background1"/>
              </w:rPr>
              <w:t>18</w:t>
            </w:r>
          </w:p>
        </w:tc>
        <w:tc>
          <w:tcPr>
            <w:tcW w:w="1417" w:type="dxa"/>
            <w:shd w:val="clear" w:color="auto" w:fill="003F5F"/>
            <w:tcMar>
              <w:top w:w="113" w:type="dxa"/>
              <w:left w:w="113" w:type="dxa"/>
              <w:bottom w:w="113" w:type="dxa"/>
              <w:right w:w="113" w:type="dxa"/>
            </w:tcMar>
          </w:tcPr>
          <w:p w14:paraId="0BA59086" w14:textId="5AE893F8" w:rsidR="00552456" w:rsidRPr="00A65377" w:rsidRDefault="00F8218F" w:rsidP="006D3DC8">
            <w:pPr>
              <w:jc w:val="right"/>
              <w:rPr>
                <w:rStyle w:val="Strong"/>
              </w:rPr>
            </w:pPr>
            <w:r w:rsidRPr="00F8218F">
              <w:rPr>
                <w:rFonts w:cs="Arial"/>
                <w:b/>
                <w:color w:val="FFFFFF" w:themeColor="background1"/>
                <w:lang w:val="en-GB" w:eastAsia="en-AU"/>
              </w:rPr>
              <w:t>8</w:t>
            </w:r>
          </w:p>
        </w:tc>
        <w:tc>
          <w:tcPr>
            <w:tcW w:w="1417" w:type="dxa"/>
            <w:shd w:val="clear" w:color="auto" w:fill="003F5F"/>
          </w:tcPr>
          <w:p w14:paraId="69A60E6A" w14:textId="7A3F2127" w:rsidR="00552456" w:rsidRPr="00A65377" w:rsidRDefault="00A65377" w:rsidP="006D3DC8">
            <w:pPr>
              <w:ind w:right="115"/>
              <w:jc w:val="right"/>
              <w:rPr>
                <w:rStyle w:val="Strong"/>
                <w:b w:val="0"/>
                <w:color w:val="FF0000"/>
              </w:rPr>
            </w:pPr>
            <w:r w:rsidRPr="00A65377">
              <w:rPr>
                <w:rFonts w:cs="Arial"/>
                <w:b/>
                <w:color w:val="FFFFFF" w:themeColor="background1"/>
                <w:lang w:val="en-GB" w:eastAsia="en-AU"/>
              </w:rPr>
              <w:t>8</w:t>
            </w:r>
          </w:p>
        </w:tc>
      </w:tr>
    </w:tbl>
    <w:p w14:paraId="0FC87D32" w14:textId="77777777" w:rsidR="0038492A" w:rsidRDefault="0038492A" w:rsidP="0038492A">
      <w:pPr>
        <w:keepLines w:val="0"/>
        <w:spacing w:after="0" w:line="240" w:lineRule="auto"/>
        <w:rPr>
          <w:lang w:val="en-US"/>
        </w:rPr>
      </w:pPr>
      <w:bookmarkStart w:id="306" w:name="_Toc399316949"/>
      <w:bookmarkStart w:id="307" w:name="_Toc426617478"/>
      <w:bookmarkStart w:id="308" w:name="_Toc450900695"/>
    </w:p>
    <w:p w14:paraId="738E37DA" w14:textId="77777777" w:rsidR="005B3FFD" w:rsidRDefault="005B3FFD" w:rsidP="005B3FFD">
      <w:pPr>
        <w:pStyle w:val="Heading2nonumber"/>
      </w:pPr>
      <w:bookmarkStart w:id="309" w:name="_Toc525121991"/>
      <w:r>
        <w:t>WorkCover WA Online Services</w:t>
      </w:r>
      <w:bookmarkEnd w:id="309"/>
    </w:p>
    <w:p w14:paraId="320197DD" w14:textId="77777777" w:rsidR="005B3FFD" w:rsidRDefault="005B3FFD" w:rsidP="005B3FFD">
      <w:r>
        <w:t xml:space="preserve">WorkCover WA’s Online Services project continued throughout 2017/18 with a focus on streamlining and digitising a number of insurer, noise induced hearing loss (NIHL) and workplace rehabilitation processes. </w:t>
      </w:r>
    </w:p>
    <w:p w14:paraId="022BC1E5" w14:textId="561DE35C" w:rsidR="005B3FFD" w:rsidRDefault="005B3FFD" w:rsidP="005B3FFD">
      <w:r>
        <w:t xml:space="preserve">Processes included in the </w:t>
      </w:r>
      <w:r w:rsidR="005A14D1">
        <w:t xml:space="preserve">2017/18 </w:t>
      </w:r>
      <w:r>
        <w:t xml:space="preserve">project were those used daily by insurers, </w:t>
      </w:r>
      <w:r w:rsidR="005A14D1">
        <w:br/>
      </w:r>
      <w:r>
        <w:t>self-insurers, audiometric officers, audiometrists, audiologists and wor</w:t>
      </w:r>
      <w:r w:rsidR="005A14D1">
        <w:t>kplace rehabilitation providers</w:t>
      </w:r>
      <w:r>
        <w:t xml:space="preserve">. </w:t>
      </w:r>
      <w:r w:rsidR="00501257">
        <w:t xml:space="preserve">The new online services were </w:t>
      </w:r>
      <w:r w:rsidR="00951D2F">
        <w:t>scheduled</w:t>
      </w:r>
      <w:r>
        <w:t xml:space="preserve"> to be finalised and released in the first week of 2018/19. </w:t>
      </w:r>
    </w:p>
    <w:p w14:paraId="45823A06" w14:textId="13DFE7B3" w:rsidR="005E0B3D" w:rsidRPr="0038492A" w:rsidRDefault="005E0B3D" w:rsidP="0038492A">
      <w:pPr>
        <w:pStyle w:val="Heading2nonumber"/>
        <w:rPr>
          <w:lang w:val="en-US"/>
        </w:rPr>
      </w:pPr>
      <w:bookmarkStart w:id="310" w:name="_Toc525121992"/>
      <w:r w:rsidRPr="00A74E13">
        <w:rPr>
          <w:lang w:val="en-US"/>
        </w:rPr>
        <w:t xml:space="preserve">Insurers and </w:t>
      </w:r>
      <w:r w:rsidR="00BA28C3" w:rsidRPr="00A74E13">
        <w:rPr>
          <w:lang w:val="en-US"/>
        </w:rPr>
        <w:t>s</w:t>
      </w:r>
      <w:r w:rsidRPr="00A74E13">
        <w:rPr>
          <w:lang w:val="en-US"/>
        </w:rPr>
        <w:t>elf-insurers</w:t>
      </w:r>
      <w:bookmarkEnd w:id="306"/>
      <w:bookmarkEnd w:id="307"/>
      <w:bookmarkEnd w:id="308"/>
      <w:bookmarkEnd w:id="310"/>
      <w:r w:rsidRPr="00A74E13">
        <w:rPr>
          <w:lang w:val="en-US"/>
        </w:rPr>
        <w:t xml:space="preserve"> </w:t>
      </w:r>
    </w:p>
    <w:p w14:paraId="3461465A" w14:textId="3942CC3E" w:rsidR="0096288F" w:rsidRDefault="0096288F" w:rsidP="00FD147F">
      <w:bookmarkStart w:id="311" w:name="_Toc426617480"/>
      <w:bookmarkStart w:id="312" w:name="_Toc450900697"/>
      <w:r w:rsidRPr="00E266DB">
        <w:t>WorkCover WA monitors approved insurers and self-insurers to ensure compliance with performance indicators and statutory requirements.</w:t>
      </w:r>
      <w:r w:rsidR="002C24D3">
        <w:t xml:space="preserve"> Improvements were made by WorkCover WA in 2017/18, with policy cancellations and 75% leave loading requests now being lodged through WorkCover WA Online. More information about WorkCover WA Online for insurers and self-insurers is on </w:t>
      </w:r>
      <w:r w:rsidR="002C24D3" w:rsidRPr="00E47B67">
        <w:t xml:space="preserve">page </w:t>
      </w:r>
      <w:r w:rsidR="00E47B67" w:rsidRPr="00E47B67">
        <w:t>81</w:t>
      </w:r>
      <w:r w:rsidR="002C24D3">
        <w:t xml:space="preserve">. </w:t>
      </w:r>
    </w:p>
    <w:p w14:paraId="3D21F97A" w14:textId="48C264D2" w:rsidR="00C423B3" w:rsidRDefault="00C423B3" w:rsidP="00C423B3">
      <w:pPr>
        <w:pStyle w:val="Heading3nonumber"/>
      </w:pPr>
      <w:bookmarkStart w:id="313" w:name="_Toc525121993"/>
      <w:r>
        <w:t>WorkCover WA approved insurers</w:t>
      </w:r>
      <w:bookmarkEnd w:id="313"/>
    </w:p>
    <w:p w14:paraId="3CF97320" w14:textId="54824FD1" w:rsidR="00C423B3" w:rsidRPr="00C423B3" w:rsidRDefault="00C423B3" w:rsidP="00026A6F">
      <w:pPr>
        <w:pStyle w:val="ListParagraph"/>
        <w:numPr>
          <w:ilvl w:val="0"/>
          <w:numId w:val="39"/>
        </w:numPr>
        <w:rPr>
          <w:bCs w:val="0"/>
        </w:rPr>
      </w:pPr>
      <w:r w:rsidRPr="00C423B3">
        <w:rPr>
          <w:bCs w:val="0"/>
        </w:rPr>
        <w:t xml:space="preserve">Allianz Australia Insurance </w:t>
      </w:r>
    </w:p>
    <w:p w14:paraId="37F531BF" w14:textId="508D38D4" w:rsidR="00C423B3" w:rsidRPr="00C423B3" w:rsidRDefault="00C423B3" w:rsidP="00026A6F">
      <w:pPr>
        <w:pStyle w:val="ListParagraph"/>
        <w:numPr>
          <w:ilvl w:val="0"/>
          <w:numId w:val="39"/>
        </w:numPr>
        <w:rPr>
          <w:bCs w:val="0"/>
        </w:rPr>
      </w:pPr>
      <w:r w:rsidRPr="00C423B3">
        <w:rPr>
          <w:bCs w:val="0"/>
        </w:rPr>
        <w:t>Catholic Church Insurances</w:t>
      </w:r>
    </w:p>
    <w:p w14:paraId="6F9EEF83" w14:textId="77777777" w:rsidR="005A14D1" w:rsidRDefault="005A14D1" w:rsidP="00026A6F">
      <w:pPr>
        <w:pStyle w:val="ListParagraph"/>
        <w:numPr>
          <w:ilvl w:val="0"/>
          <w:numId w:val="39"/>
        </w:numPr>
        <w:rPr>
          <w:bCs w:val="0"/>
        </w:rPr>
      </w:pPr>
      <w:r>
        <w:rPr>
          <w:bCs w:val="0"/>
        </w:rPr>
        <w:t xml:space="preserve">CGU Workers’ Compensation (Insurance Australia Group) </w:t>
      </w:r>
    </w:p>
    <w:p w14:paraId="41435E80" w14:textId="166BCDAE" w:rsidR="00C423B3" w:rsidRDefault="00C423B3" w:rsidP="00026A6F">
      <w:pPr>
        <w:pStyle w:val="ListParagraph"/>
        <w:numPr>
          <w:ilvl w:val="0"/>
          <w:numId w:val="39"/>
        </w:numPr>
        <w:rPr>
          <w:bCs w:val="0"/>
        </w:rPr>
      </w:pPr>
      <w:r w:rsidRPr="00C423B3">
        <w:rPr>
          <w:bCs w:val="0"/>
        </w:rPr>
        <w:t xml:space="preserve">GIO </w:t>
      </w:r>
      <w:r w:rsidR="005A14D1">
        <w:rPr>
          <w:bCs w:val="0"/>
        </w:rPr>
        <w:t>Insurance (AAI Limited)</w:t>
      </w:r>
    </w:p>
    <w:p w14:paraId="3CBCA7DF" w14:textId="76F564DB" w:rsidR="00C423B3" w:rsidRDefault="00C423B3" w:rsidP="00026A6F">
      <w:pPr>
        <w:pStyle w:val="ListParagraph"/>
        <w:numPr>
          <w:ilvl w:val="0"/>
          <w:numId w:val="39"/>
        </w:numPr>
        <w:rPr>
          <w:bCs w:val="0"/>
        </w:rPr>
      </w:pPr>
      <w:r>
        <w:rPr>
          <w:bCs w:val="0"/>
        </w:rPr>
        <w:t xml:space="preserve">Guild Insurance </w:t>
      </w:r>
    </w:p>
    <w:p w14:paraId="4604AD68" w14:textId="3217700F" w:rsidR="00C423B3" w:rsidRDefault="00C423B3" w:rsidP="00026A6F">
      <w:pPr>
        <w:pStyle w:val="ListParagraph"/>
        <w:numPr>
          <w:ilvl w:val="0"/>
          <w:numId w:val="39"/>
        </w:numPr>
        <w:rPr>
          <w:bCs w:val="0"/>
        </w:rPr>
      </w:pPr>
      <w:r>
        <w:rPr>
          <w:bCs w:val="0"/>
        </w:rPr>
        <w:t xml:space="preserve">QBE Insurance </w:t>
      </w:r>
    </w:p>
    <w:p w14:paraId="42C1697D" w14:textId="77777777" w:rsidR="005A14D1" w:rsidRDefault="005A14D1" w:rsidP="00026A6F">
      <w:pPr>
        <w:pStyle w:val="ListParagraph"/>
        <w:numPr>
          <w:ilvl w:val="0"/>
          <w:numId w:val="39"/>
        </w:numPr>
        <w:rPr>
          <w:bCs w:val="0"/>
        </w:rPr>
      </w:pPr>
      <w:r>
        <w:rPr>
          <w:bCs w:val="0"/>
        </w:rPr>
        <w:t xml:space="preserve">WFI Insurance (Insurance Australia Group) </w:t>
      </w:r>
    </w:p>
    <w:p w14:paraId="2D690CA9" w14:textId="5DF99DB8" w:rsidR="00C423B3" w:rsidRDefault="00C423B3" w:rsidP="00026A6F">
      <w:pPr>
        <w:pStyle w:val="ListParagraph"/>
        <w:numPr>
          <w:ilvl w:val="0"/>
          <w:numId w:val="39"/>
        </w:numPr>
        <w:rPr>
          <w:bCs w:val="0"/>
        </w:rPr>
      </w:pPr>
      <w:r>
        <w:rPr>
          <w:bCs w:val="0"/>
        </w:rPr>
        <w:t>Zurich Australian Insurance</w:t>
      </w:r>
    </w:p>
    <w:p w14:paraId="4832BFEC" w14:textId="027E40FE" w:rsidR="00C423B3" w:rsidRPr="00C423B3" w:rsidRDefault="00C423B3" w:rsidP="00026A6F">
      <w:pPr>
        <w:pStyle w:val="ListParagraph"/>
        <w:numPr>
          <w:ilvl w:val="0"/>
          <w:numId w:val="39"/>
        </w:numPr>
        <w:rPr>
          <w:bCs w:val="0"/>
        </w:rPr>
      </w:pPr>
      <w:r>
        <w:rPr>
          <w:bCs w:val="0"/>
        </w:rPr>
        <w:t>Insurance Commission of WA*</w:t>
      </w:r>
      <w:r>
        <w:rPr>
          <w:bCs w:val="0"/>
        </w:rPr>
        <w:br/>
        <w:t>*</w:t>
      </w:r>
      <w:r>
        <w:rPr>
          <w:bCs w:val="0"/>
          <w:i/>
          <w:sz w:val="20"/>
        </w:rPr>
        <w:t xml:space="preserve">insurance covering WA State Government workers </w:t>
      </w:r>
      <w:r>
        <w:rPr>
          <w:bCs w:val="0"/>
          <w:i/>
          <w:sz w:val="20"/>
        </w:rPr>
        <w:br/>
      </w:r>
    </w:p>
    <w:p w14:paraId="3027D0B3" w14:textId="19ECBB14" w:rsidR="00C423B3" w:rsidRDefault="00C423B3" w:rsidP="00C423B3">
      <w:pPr>
        <w:pStyle w:val="Heading3nonumber"/>
      </w:pPr>
      <w:bookmarkStart w:id="314" w:name="_Toc525121994"/>
      <w:r>
        <w:t>WorkCover WA approved self-insurers</w:t>
      </w:r>
      <w:bookmarkEnd w:id="314"/>
    </w:p>
    <w:p w14:paraId="4577A473" w14:textId="50CFC21F" w:rsidR="00C423B3" w:rsidRDefault="00C51993" w:rsidP="00026A6F">
      <w:pPr>
        <w:pStyle w:val="ListParagraph"/>
        <w:numPr>
          <w:ilvl w:val="0"/>
          <w:numId w:val="41"/>
        </w:numPr>
      </w:pPr>
      <w:r>
        <w:t>Alcoa World Alumin</w:t>
      </w:r>
      <w:r w:rsidR="00C423B3">
        <w:t>a</w:t>
      </w:r>
    </w:p>
    <w:p w14:paraId="5F6C9D66" w14:textId="64DF2992" w:rsidR="00501257" w:rsidRDefault="00501257" w:rsidP="00026A6F">
      <w:pPr>
        <w:pStyle w:val="ListParagraph"/>
        <w:numPr>
          <w:ilvl w:val="0"/>
          <w:numId w:val="41"/>
        </w:numPr>
      </w:pPr>
      <w:r>
        <w:t>Arrium Ltd (revoked 9 October 2017)</w:t>
      </w:r>
    </w:p>
    <w:p w14:paraId="07180113" w14:textId="0732687C" w:rsidR="00C423B3" w:rsidRDefault="00C423B3" w:rsidP="00026A6F">
      <w:pPr>
        <w:pStyle w:val="ListParagraph"/>
        <w:numPr>
          <w:ilvl w:val="0"/>
          <w:numId w:val="41"/>
        </w:numPr>
      </w:pPr>
      <w:r>
        <w:t xml:space="preserve">ANZ Bank </w:t>
      </w:r>
    </w:p>
    <w:p w14:paraId="40E408CD" w14:textId="0CFD33B6" w:rsidR="00C423B3" w:rsidRDefault="00C423B3" w:rsidP="00026A6F">
      <w:pPr>
        <w:pStyle w:val="ListParagraph"/>
        <w:numPr>
          <w:ilvl w:val="0"/>
          <w:numId w:val="41"/>
        </w:numPr>
      </w:pPr>
      <w:r>
        <w:t xml:space="preserve">BHP Billiton </w:t>
      </w:r>
    </w:p>
    <w:p w14:paraId="33DEFF84" w14:textId="18382031" w:rsidR="00C423B3" w:rsidRDefault="00C423B3" w:rsidP="00026A6F">
      <w:pPr>
        <w:pStyle w:val="ListParagraph"/>
        <w:numPr>
          <w:ilvl w:val="0"/>
          <w:numId w:val="41"/>
        </w:numPr>
      </w:pPr>
      <w:r>
        <w:t>Bluescope Steel</w:t>
      </w:r>
    </w:p>
    <w:p w14:paraId="68B58EE7" w14:textId="4167554C" w:rsidR="00C423B3" w:rsidRDefault="00C423B3" w:rsidP="00026A6F">
      <w:pPr>
        <w:pStyle w:val="ListParagraph"/>
        <w:numPr>
          <w:ilvl w:val="0"/>
          <w:numId w:val="41"/>
        </w:numPr>
      </w:pPr>
      <w:r>
        <w:t>BP Australia</w:t>
      </w:r>
    </w:p>
    <w:p w14:paraId="3C37BD56" w14:textId="1B6F8CDB" w:rsidR="00C423B3" w:rsidRDefault="00C423B3" w:rsidP="00026A6F">
      <w:pPr>
        <w:pStyle w:val="ListParagraph"/>
        <w:numPr>
          <w:ilvl w:val="0"/>
          <w:numId w:val="41"/>
        </w:numPr>
      </w:pPr>
      <w:r>
        <w:t>Brambles</w:t>
      </w:r>
    </w:p>
    <w:p w14:paraId="34402245" w14:textId="1834A631" w:rsidR="00C423B3" w:rsidRDefault="00C423B3" w:rsidP="00026A6F">
      <w:pPr>
        <w:pStyle w:val="ListParagraph"/>
        <w:numPr>
          <w:ilvl w:val="0"/>
          <w:numId w:val="41"/>
        </w:numPr>
      </w:pPr>
      <w:r>
        <w:t>Bristile</w:t>
      </w:r>
    </w:p>
    <w:p w14:paraId="217B7498" w14:textId="249DEDB3" w:rsidR="00C423B3" w:rsidRDefault="00C423B3" w:rsidP="00026A6F">
      <w:pPr>
        <w:pStyle w:val="ListParagraph"/>
        <w:numPr>
          <w:ilvl w:val="0"/>
          <w:numId w:val="41"/>
        </w:numPr>
      </w:pPr>
      <w:r>
        <w:t>Cockburn Cement</w:t>
      </w:r>
    </w:p>
    <w:p w14:paraId="36D85767" w14:textId="05379CEC" w:rsidR="00C423B3" w:rsidRDefault="00C423B3" w:rsidP="00026A6F">
      <w:pPr>
        <w:pStyle w:val="ListParagraph"/>
        <w:numPr>
          <w:ilvl w:val="0"/>
          <w:numId w:val="41"/>
        </w:numPr>
      </w:pPr>
      <w:r>
        <w:t>Competitive Foods Australia</w:t>
      </w:r>
    </w:p>
    <w:p w14:paraId="59B4B95A" w14:textId="287C3713" w:rsidR="00C423B3" w:rsidRDefault="00C423B3" w:rsidP="00026A6F">
      <w:pPr>
        <w:pStyle w:val="ListParagraph"/>
        <w:numPr>
          <w:ilvl w:val="0"/>
          <w:numId w:val="41"/>
        </w:numPr>
      </w:pPr>
      <w:r>
        <w:t>CSR</w:t>
      </w:r>
    </w:p>
    <w:p w14:paraId="418BBA70" w14:textId="390B6122" w:rsidR="00C423B3" w:rsidRDefault="00C423B3" w:rsidP="00026A6F">
      <w:pPr>
        <w:pStyle w:val="ListParagraph"/>
        <w:numPr>
          <w:ilvl w:val="0"/>
          <w:numId w:val="41"/>
        </w:numPr>
      </w:pPr>
      <w:r>
        <w:t>Holcim (Australia) Holdings</w:t>
      </w:r>
    </w:p>
    <w:p w14:paraId="27FD36C5" w14:textId="5ECD8F90" w:rsidR="00C423B3" w:rsidRDefault="00C423B3" w:rsidP="00026A6F">
      <w:pPr>
        <w:pStyle w:val="ListParagraph"/>
        <w:numPr>
          <w:ilvl w:val="0"/>
          <w:numId w:val="41"/>
        </w:numPr>
      </w:pPr>
      <w:r>
        <w:t xml:space="preserve">Inghams Enterprises </w:t>
      </w:r>
    </w:p>
    <w:p w14:paraId="382AD8D7" w14:textId="783C8BAE" w:rsidR="00C423B3" w:rsidRDefault="00C423B3" w:rsidP="00026A6F">
      <w:pPr>
        <w:pStyle w:val="ListParagraph"/>
        <w:numPr>
          <w:ilvl w:val="0"/>
          <w:numId w:val="41"/>
        </w:numPr>
      </w:pPr>
      <w:r>
        <w:t>ISS Facility Services Australia</w:t>
      </w:r>
    </w:p>
    <w:p w14:paraId="0F0970E4" w14:textId="11016405" w:rsidR="00C423B3" w:rsidRDefault="00C423B3" w:rsidP="00026A6F">
      <w:pPr>
        <w:pStyle w:val="ListParagraph"/>
        <w:numPr>
          <w:ilvl w:val="0"/>
          <w:numId w:val="41"/>
        </w:numPr>
      </w:pPr>
      <w:r>
        <w:t>Metcash</w:t>
      </w:r>
    </w:p>
    <w:p w14:paraId="45C77C89" w14:textId="6E0ED65A" w:rsidR="00C423B3" w:rsidRDefault="00C423B3" w:rsidP="00026A6F">
      <w:pPr>
        <w:pStyle w:val="ListParagraph"/>
        <w:numPr>
          <w:ilvl w:val="0"/>
          <w:numId w:val="41"/>
        </w:numPr>
      </w:pPr>
      <w:r>
        <w:t>Myer</w:t>
      </w:r>
    </w:p>
    <w:p w14:paraId="4A4225C4" w14:textId="07648194" w:rsidR="00C423B3" w:rsidRDefault="00C423B3" w:rsidP="00026A6F">
      <w:pPr>
        <w:pStyle w:val="ListParagraph"/>
        <w:numPr>
          <w:ilvl w:val="0"/>
          <w:numId w:val="41"/>
        </w:numPr>
      </w:pPr>
      <w:r>
        <w:t xml:space="preserve">Onesteel </w:t>
      </w:r>
      <w:r w:rsidR="00501257">
        <w:t>(approved 3 January 2018)</w:t>
      </w:r>
    </w:p>
    <w:p w14:paraId="20BF7595" w14:textId="6071E9EA" w:rsidR="00C423B3" w:rsidRDefault="00C423B3" w:rsidP="00026A6F">
      <w:pPr>
        <w:pStyle w:val="ListParagraph"/>
        <w:numPr>
          <w:ilvl w:val="0"/>
          <w:numId w:val="41"/>
        </w:numPr>
      </w:pPr>
      <w:r>
        <w:t>Primary Health Care</w:t>
      </w:r>
    </w:p>
    <w:p w14:paraId="05D1E604" w14:textId="426FE1E0" w:rsidR="00C423B3" w:rsidRDefault="00C423B3" w:rsidP="00026A6F">
      <w:pPr>
        <w:pStyle w:val="ListParagraph"/>
        <w:numPr>
          <w:ilvl w:val="0"/>
          <w:numId w:val="41"/>
        </w:numPr>
      </w:pPr>
      <w:r>
        <w:t>South32</w:t>
      </w:r>
    </w:p>
    <w:p w14:paraId="0D279445" w14:textId="7EC60ECC" w:rsidR="00C423B3" w:rsidRDefault="00C423B3" w:rsidP="00026A6F">
      <w:pPr>
        <w:pStyle w:val="ListParagraph"/>
        <w:numPr>
          <w:ilvl w:val="0"/>
          <w:numId w:val="41"/>
        </w:numPr>
      </w:pPr>
      <w:r>
        <w:t>St John of God Health Care</w:t>
      </w:r>
    </w:p>
    <w:p w14:paraId="59391ACD" w14:textId="42A16786" w:rsidR="00C423B3" w:rsidRDefault="00C423B3" w:rsidP="00026A6F">
      <w:pPr>
        <w:pStyle w:val="ListParagraph"/>
        <w:numPr>
          <w:ilvl w:val="0"/>
          <w:numId w:val="41"/>
        </w:numPr>
      </w:pPr>
      <w:r>
        <w:t>Wesfarmers</w:t>
      </w:r>
    </w:p>
    <w:p w14:paraId="0F32B0A2" w14:textId="7A3C9F73" w:rsidR="00C423B3" w:rsidRDefault="00C423B3" w:rsidP="00026A6F">
      <w:pPr>
        <w:pStyle w:val="ListParagraph"/>
        <w:numPr>
          <w:ilvl w:val="0"/>
          <w:numId w:val="41"/>
        </w:numPr>
      </w:pPr>
      <w:r>
        <w:t>Western Australian Local Government Association</w:t>
      </w:r>
    </w:p>
    <w:p w14:paraId="1F1B6D4B" w14:textId="4AD5386B" w:rsidR="00C423B3" w:rsidRDefault="00C423B3" w:rsidP="00026A6F">
      <w:pPr>
        <w:pStyle w:val="ListParagraph"/>
        <w:numPr>
          <w:ilvl w:val="0"/>
          <w:numId w:val="41"/>
        </w:numPr>
      </w:pPr>
      <w:r>
        <w:t>Westpac Banking Corporation</w:t>
      </w:r>
    </w:p>
    <w:p w14:paraId="02BDEA61" w14:textId="34FE3DBF" w:rsidR="00C423B3" w:rsidRDefault="00C423B3" w:rsidP="00026A6F">
      <w:pPr>
        <w:pStyle w:val="ListParagraph"/>
        <w:numPr>
          <w:ilvl w:val="0"/>
          <w:numId w:val="41"/>
        </w:numPr>
      </w:pPr>
      <w:r>
        <w:t>Woodside Energy</w:t>
      </w:r>
    </w:p>
    <w:p w14:paraId="18939471" w14:textId="0BA9403A" w:rsidR="00C423B3" w:rsidRPr="00C423B3" w:rsidRDefault="00C423B3" w:rsidP="00026A6F">
      <w:pPr>
        <w:pStyle w:val="ListParagraph"/>
        <w:numPr>
          <w:ilvl w:val="0"/>
          <w:numId w:val="41"/>
        </w:numPr>
      </w:pPr>
      <w:r>
        <w:t>Woolworths Group</w:t>
      </w:r>
    </w:p>
    <w:p w14:paraId="752ECDDD" w14:textId="0DC18F10" w:rsidR="00833B4F" w:rsidRDefault="00AA43E8" w:rsidP="00B03BC1">
      <w:pPr>
        <w:pStyle w:val="Heading3nonumber"/>
      </w:pPr>
      <w:bookmarkStart w:id="315" w:name="_Toc525121995"/>
      <w:r>
        <w:t>Annual performance r</w:t>
      </w:r>
      <w:r w:rsidR="00833B4F">
        <w:t>eview</w:t>
      </w:r>
      <w:bookmarkEnd w:id="315"/>
    </w:p>
    <w:p w14:paraId="0F5D1241" w14:textId="2E6677F3" w:rsidR="0096288F" w:rsidRPr="0096288F" w:rsidRDefault="0096288F" w:rsidP="00FD147F">
      <w:r w:rsidRPr="0096288F">
        <w:t>The performance of approved insurers is reviewed annually by WorkCover WA. The Annual Review Report 2016/17 was considered by the Board in November 2017. The report provided an assessment of approved insurer performance under the following categories:</w:t>
      </w:r>
    </w:p>
    <w:p w14:paraId="0091F420" w14:textId="77777777" w:rsidR="0096288F" w:rsidRPr="0096288F" w:rsidRDefault="0096288F" w:rsidP="0096288F">
      <w:pPr>
        <w:pStyle w:val="BulletListLevel1"/>
      </w:pPr>
      <w:r w:rsidRPr="0096288F">
        <w:t>service delivery and claims management</w:t>
      </w:r>
    </w:p>
    <w:p w14:paraId="7A4F1F0D" w14:textId="77777777" w:rsidR="0096288F" w:rsidRPr="0096288F" w:rsidRDefault="0096288F" w:rsidP="0096288F">
      <w:pPr>
        <w:pStyle w:val="BulletListLevel1"/>
      </w:pPr>
      <w:r w:rsidRPr="0096288F">
        <w:t>settlements and disputes</w:t>
      </w:r>
    </w:p>
    <w:p w14:paraId="4867351A" w14:textId="77777777" w:rsidR="0096288F" w:rsidRPr="0096288F" w:rsidRDefault="0096288F" w:rsidP="0096288F">
      <w:pPr>
        <w:pStyle w:val="BulletListLevel1"/>
      </w:pPr>
      <w:r w:rsidRPr="0096288F">
        <w:t>data submission</w:t>
      </w:r>
    </w:p>
    <w:p w14:paraId="3A6D03BB" w14:textId="76D79E05" w:rsidR="0096288F" w:rsidRPr="0096288F" w:rsidRDefault="00D81063" w:rsidP="0096288F">
      <w:pPr>
        <w:pStyle w:val="BulletListLevel1"/>
      </w:pPr>
      <w:r>
        <w:t>a</w:t>
      </w:r>
      <w:r w:rsidR="0096288F" w:rsidRPr="0096288F">
        <w:t xml:space="preserve">udit </w:t>
      </w:r>
      <w:r>
        <w:t>r</w:t>
      </w:r>
      <w:r w:rsidR="0096288F" w:rsidRPr="0096288F">
        <w:t>esults</w:t>
      </w:r>
      <w:r>
        <w:t>.</w:t>
      </w:r>
      <w:r w:rsidR="0096288F" w:rsidRPr="0096288F">
        <w:t xml:space="preserve"> </w:t>
      </w:r>
    </w:p>
    <w:p w14:paraId="0334FC3F" w14:textId="354B2B40" w:rsidR="0096288F" w:rsidRDefault="00C51993" w:rsidP="005C6822">
      <w:r>
        <w:t>While all insurers</w:t>
      </w:r>
      <w:r w:rsidR="0096288F" w:rsidRPr="0096288F">
        <w:t xml:space="preserve"> were considered to meet service expectations</w:t>
      </w:r>
      <w:r>
        <w:t>, some insurers received</w:t>
      </w:r>
      <w:r w:rsidR="0096288F" w:rsidRPr="0096288F">
        <w:t xml:space="preserve"> “improvement letters” seeking commitment to address issues where performance fell below the benchmark</w:t>
      </w:r>
      <w:r>
        <w:t xml:space="preserve"> or the insurer average. </w:t>
      </w:r>
    </w:p>
    <w:p w14:paraId="28F016AD" w14:textId="55402DB3" w:rsidR="00D81063" w:rsidRPr="00D81063" w:rsidRDefault="00D81063" w:rsidP="005C6822">
      <w:pPr>
        <w:rPr>
          <w:rFonts w:eastAsiaTheme="minorHAnsi"/>
          <w:szCs w:val="22"/>
        </w:rPr>
      </w:pPr>
      <w:r w:rsidRPr="00D81063">
        <w:rPr>
          <w:rFonts w:eastAsiaTheme="minorHAnsi"/>
          <w:szCs w:val="22"/>
        </w:rPr>
        <w:t xml:space="preserve">WorkCover WA audits of insurers and self-insurers considered the management and application of internal dispute practices by insurers and self-insurers. Opportunities </w:t>
      </w:r>
      <w:r w:rsidR="005F4A35">
        <w:rPr>
          <w:rFonts w:eastAsiaTheme="minorHAnsi"/>
          <w:szCs w:val="22"/>
        </w:rPr>
        <w:t>for</w:t>
      </w:r>
      <w:r w:rsidRPr="00D81063">
        <w:rPr>
          <w:rFonts w:eastAsiaTheme="minorHAnsi"/>
          <w:szCs w:val="22"/>
        </w:rPr>
        <w:t xml:space="preserve"> improvement </w:t>
      </w:r>
      <w:r w:rsidR="00F03C23">
        <w:rPr>
          <w:rFonts w:eastAsiaTheme="minorHAnsi"/>
          <w:szCs w:val="22"/>
        </w:rPr>
        <w:t>were</w:t>
      </w:r>
      <w:r w:rsidRPr="00D81063">
        <w:rPr>
          <w:rFonts w:eastAsiaTheme="minorHAnsi"/>
          <w:szCs w:val="22"/>
        </w:rPr>
        <w:t xml:space="preserve"> identified and relayed where appropriate. </w:t>
      </w:r>
    </w:p>
    <w:p w14:paraId="5E45703F" w14:textId="0DF09122" w:rsidR="00D81063" w:rsidRDefault="00D81063" w:rsidP="005C6822">
      <w:pPr>
        <w:rPr>
          <w:rFonts w:eastAsiaTheme="minorHAnsi"/>
          <w:szCs w:val="22"/>
        </w:rPr>
      </w:pPr>
      <w:r w:rsidRPr="00D81063">
        <w:rPr>
          <w:rFonts w:eastAsiaTheme="minorHAnsi"/>
          <w:szCs w:val="22"/>
        </w:rPr>
        <w:t xml:space="preserve">WorkCover WA </w:t>
      </w:r>
      <w:r>
        <w:rPr>
          <w:rFonts w:eastAsiaTheme="minorHAnsi"/>
          <w:szCs w:val="22"/>
        </w:rPr>
        <w:t xml:space="preserve">also </w:t>
      </w:r>
      <w:r w:rsidRPr="00D81063">
        <w:rPr>
          <w:rFonts w:eastAsiaTheme="minorHAnsi"/>
          <w:szCs w:val="22"/>
        </w:rPr>
        <w:t xml:space="preserve">wrote to all insurers following the 2016/17 review seeking an improvement in </w:t>
      </w:r>
      <w:r w:rsidR="00B37B1F">
        <w:rPr>
          <w:rFonts w:eastAsiaTheme="minorHAnsi"/>
          <w:szCs w:val="22"/>
        </w:rPr>
        <w:t xml:space="preserve">the timeliness and quality of policy and claims </w:t>
      </w:r>
      <w:r w:rsidRPr="00D81063">
        <w:rPr>
          <w:rFonts w:eastAsiaTheme="minorHAnsi"/>
          <w:szCs w:val="22"/>
        </w:rPr>
        <w:t xml:space="preserve">data </w:t>
      </w:r>
      <w:r w:rsidR="00B37B1F">
        <w:rPr>
          <w:rFonts w:eastAsiaTheme="minorHAnsi"/>
          <w:szCs w:val="22"/>
        </w:rPr>
        <w:t>submitted</w:t>
      </w:r>
      <w:r w:rsidRPr="00D81063">
        <w:rPr>
          <w:rFonts w:eastAsiaTheme="minorHAnsi"/>
          <w:szCs w:val="22"/>
        </w:rPr>
        <w:t xml:space="preserve">. Whilst this remains an area of focus, all insurers demonstrated some improvement </w:t>
      </w:r>
      <w:r w:rsidR="00F03C23">
        <w:rPr>
          <w:rFonts w:eastAsiaTheme="minorHAnsi"/>
          <w:szCs w:val="22"/>
        </w:rPr>
        <w:t>in</w:t>
      </w:r>
      <w:r w:rsidRPr="00D81063">
        <w:rPr>
          <w:rFonts w:eastAsiaTheme="minorHAnsi"/>
          <w:szCs w:val="22"/>
        </w:rPr>
        <w:t xml:space="preserve"> the timeliness of policy data</w:t>
      </w:r>
      <w:r w:rsidR="00B37B1F">
        <w:rPr>
          <w:rFonts w:eastAsiaTheme="minorHAnsi"/>
          <w:szCs w:val="22"/>
        </w:rPr>
        <w:t xml:space="preserve"> submitted</w:t>
      </w:r>
      <w:r w:rsidRPr="00D81063">
        <w:rPr>
          <w:rFonts w:eastAsiaTheme="minorHAnsi"/>
          <w:szCs w:val="22"/>
        </w:rPr>
        <w:t>.</w:t>
      </w:r>
    </w:p>
    <w:p w14:paraId="1DD3BE2D" w14:textId="25554ED5" w:rsidR="00BF3599" w:rsidRDefault="00FB45E7" w:rsidP="005B6DC0">
      <w:pPr>
        <w:pStyle w:val="Heading2nonumber"/>
        <w:jc w:val="left"/>
      </w:pPr>
      <w:bookmarkStart w:id="316" w:name="_Toc525121996"/>
      <w:r>
        <w:t>Complaint</w:t>
      </w:r>
      <w:r w:rsidR="00670BD0">
        <w:t xml:space="preserve"> investigations</w:t>
      </w:r>
      <w:r>
        <w:t xml:space="preserve"> against approved </w:t>
      </w:r>
      <w:bookmarkStart w:id="317" w:name="_Toc399316951"/>
      <w:bookmarkStart w:id="318" w:name="_Toc426617481"/>
      <w:bookmarkStart w:id="319" w:name="_Toc450900698"/>
      <w:bookmarkEnd w:id="311"/>
      <w:bookmarkEnd w:id="312"/>
      <w:r w:rsidR="00454A08">
        <w:t>service providers</w:t>
      </w:r>
      <w:bookmarkEnd w:id="316"/>
    </w:p>
    <w:p w14:paraId="392D990D" w14:textId="0B601BFB" w:rsidR="00454A08" w:rsidRPr="00454A08" w:rsidRDefault="00454A08" w:rsidP="00454A08">
      <w:r>
        <w:t xml:space="preserve">WorkCover WA manages complaints about approved service providers in accordance with the </w:t>
      </w:r>
      <w:r>
        <w:rPr>
          <w:i/>
        </w:rPr>
        <w:t xml:space="preserve">Complaints Against Scheme Participants Policy. </w:t>
      </w:r>
      <w:r>
        <w:t xml:space="preserve">Processes and procedures for making a complaint are available on the WorkCover WA website. </w:t>
      </w:r>
    </w:p>
    <w:p w14:paraId="7D8F49C6" w14:textId="28BF6A12" w:rsidR="00D81063" w:rsidRDefault="00D81063" w:rsidP="00D81063">
      <w:pPr>
        <w:rPr>
          <w:lang w:eastAsia="en-AU"/>
        </w:rPr>
      </w:pPr>
      <w:r w:rsidRPr="00BF3599">
        <w:rPr>
          <w:lang w:eastAsia="en-AU"/>
        </w:rPr>
        <w:t>WorkCo</w:t>
      </w:r>
      <w:r>
        <w:rPr>
          <w:lang w:eastAsia="en-AU"/>
        </w:rPr>
        <w:t xml:space="preserve">ver WA encourages the use of </w:t>
      </w:r>
      <w:r w:rsidR="00454A08">
        <w:rPr>
          <w:lang w:eastAsia="en-AU"/>
        </w:rPr>
        <w:t>service provider</w:t>
      </w:r>
      <w:r w:rsidRPr="00BF3599">
        <w:rPr>
          <w:lang w:eastAsia="en-AU"/>
        </w:rPr>
        <w:t xml:space="preserve"> internal dispute resolution process</w:t>
      </w:r>
      <w:r w:rsidR="00F03C23">
        <w:rPr>
          <w:lang w:eastAsia="en-AU"/>
        </w:rPr>
        <w:t>es</w:t>
      </w:r>
      <w:r w:rsidRPr="00BF3599">
        <w:rPr>
          <w:lang w:eastAsia="en-AU"/>
        </w:rPr>
        <w:t xml:space="preserve"> to resolve complaints and disputes in the first instance.</w:t>
      </w:r>
    </w:p>
    <w:p w14:paraId="20219E6F" w14:textId="66FB81BC" w:rsidR="00454A08" w:rsidRDefault="00454A08" w:rsidP="00454A08">
      <w:pPr>
        <w:pStyle w:val="Heading3nonumber"/>
        <w:rPr>
          <w:lang w:eastAsia="en-AU"/>
        </w:rPr>
      </w:pPr>
      <w:bookmarkStart w:id="320" w:name="_Toc525121997"/>
      <w:r>
        <w:rPr>
          <w:lang w:eastAsia="en-AU"/>
        </w:rPr>
        <w:t>Insurers and self-insurers</w:t>
      </w:r>
      <w:bookmarkEnd w:id="320"/>
    </w:p>
    <w:p w14:paraId="0805F102" w14:textId="085D8309" w:rsidR="00454A08" w:rsidRDefault="00454A08" w:rsidP="00454A08">
      <w:pPr>
        <w:rPr>
          <w:lang w:eastAsia="en-AU"/>
        </w:rPr>
      </w:pPr>
      <w:r>
        <w:rPr>
          <w:lang w:eastAsia="en-AU"/>
        </w:rPr>
        <w:t xml:space="preserve">Insurers and self-insurers provide </w:t>
      </w:r>
      <w:r w:rsidR="00951D2F">
        <w:rPr>
          <w:lang w:eastAsia="en-AU"/>
        </w:rPr>
        <w:t xml:space="preserve">underwriting, </w:t>
      </w:r>
      <w:r>
        <w:rPr>
          <w:lang w:eastAsia="en-AU"/>
        </w:rPr>
        <w:t xml:space="preserve">claims and injury management services to employers and injured workers. </w:t>
      </w:r>
    </w:p>
    <w:p w14:paraId="2820D6F3" w14:textId="16638F5B" w:rsidR="00454A08" w:rsidRDefault="00454A08" w:rsidP="00FC00D3">
      <w:pPr>
        <w:pStyle w:val="Heading3nonumber"/>
      </w:pPr>
      <w:bookmarkStart w:id="321" w:name="_Toc525121998"/>
      <w:r>
        <w:t xml:space="preserve">Complaint investigations against approved insurers and </w:t>
      </w:r>
      <w:r w:rsidR="008816B2">
        <w:br/>
      </w:r>
      <w:r>
        <w:t>self-insurers</w:t>
      </w:r>
      <w:bookmarkEnd w:id="321"/>
    </w:p>
    <w:p w14:paraId="751AC4F5" w14:textId="74B5F5F1" w:rsidR="00D81063" w:rsidRPr="00D81063" w:rsidRDefault="005C6822" w:rsidP="00D81063">
      <w:pPr>
        <w:rPr>
          <w:lang w:eastAsia="en-AU"/>
        </w:rPr>
      </w:pPr>
      <w:r>
        <w:rPr>
          <w:lang w:eastAsia="en-AU"/>
        </w:rPr>
        <w:t>In 2017/18</w:t>
      </w:r>
      <w:r w:rsidR="00D81063" w:rsidRPr="00D81063">
        <w:rPr>
          <w:lang w:eastAsia="en-AU"/>
        </w:rPr>
        <w:t xml:space="preserve"> </w:t>
      </w:r>
      <w:r w:rsidR="00454A08">
        <w:rPr>
          <w:lang w:eastAsia="en-AU"/>
        </w:rPr>
        <w:t>WorkCover WA investigated</w:t>
      </w:r>
      <w:r w:rsidR="00D81063" w:rsidRPr="00D81063">
        <w:rPr>
          <w:lang w:eastAsia="en-AU"/>
        </w:rPr>
        <w:t xml:space="preserve"> </w:t>
      </w:r>
      <w:r w:rsidR="00A65377" w:rsidRPr="00A65377">
        <w:rPr>
          <w:lang w:eastAsia="en-AU"/>
        </w:rPr>
        <w:t>five</w:t>
      </w:r>
      <w:r w:rsidR="00D81063" w:rsidRPr="00A65377">
        <w:rPr>
          <w:lang w:eastAsia="en-AU"/>
        </w:rPr>
        <w:t xml:space="preserve"> </w:t>
      </w:r>
      <w:r w:rsidR="00D81063" w:rsidRPr="00D81063">
        <w:rPr>
          <w:lang w:eastAsia="en-AU"/>
        </w:rPr>
        <w:t xml:space="preserve">complaints against approved insurers, compared with four in the previous year. </w:t>
      </w:r>
      <w:r w:rsidR="00C51993">
        <w:rPr>
          <w:lang w:eastAsia="en-AU"/>
        </w:rPr>
        <w:t xml:space="preserve">One of these </w:t>
      </w:r>
      <w:r w:rsidR="001B35CC">
        <w:rPr>
          <w:lang w:eastAsia="en-AU"/>
        </w:rPr>
        <w:t xml:space="preserve">complaints </w:t>
      </w:r>
      <w:r w:rsidR="00C51993">
        <w:rPr>
          <w:lang w:eastAsia="en-AU"/>
        </w:rPr>
        <w:t>was</w:t>
      </w:r>
      <w:r w:rsidR="001B35CC">
        <w:rPr>
          <w:lang w:eastAsia="en-AU"/>
        </w:rPr>
        <w:t xml:space="preserve"> substantiated. </w:t>
      </w:r>
    </w:p>
    <w:p w14:paraId="77899B61" w14:textId="06DA68CC" w:rsidR="00D81063" w:rsidRPr="0088526B" w:rsidRDefault="00D81063" w:rsidP="00D81063">
      <w:pPr>
        <w:rPr>
          <w:lang w:eastAsia="en-AU"/>
        </w:rPr>
      </w:pPr>
      <w:r w:rsidRPr="00A65377">
        <w:rPr>
          <w:lang w:eastAsia="en-AU"/>
        </w:rPr>
        <w:t xml:space="preserve">One </w:t>
      </w:r>
      <w:r w:rsidR="001B35CC">
        <w:rPr>
          <w:lang w:eastAsia="en-AU"/>
        </w:rPr>
        <w:t xml:space="preserve">unsubstantiated </w:t>
      </w:r>
      <w:r w:rsidRPr="00D81063">
        <w:rPr>
          <w:lang w:eastAsia="en-AU"/>
        </w:rPr>
        <w:t xml:space="preserve">complaint against </w:t>
      </w:r>
      <w:r w:rsidR="00454A08">
        <w:rPr>
          <w:lang w:eastAsia="en-AU"/>
        </w:rPr>
        <w:t xml:space="preserve">a </w:t>
      </w:r>
      <w:r w:rsidRPr="00D81063">
        <w:rPr>
          <w:lang w:eastAsia="en-AU"/>
        </w:rPr>
        <w:t>self-i</w:t>
      </w:r>
      <w:r w:rsidR="00F361B6">
        <w:rPr>
          <w:lang w:eastAsia="en-AU"/>
        </w:rPr>
        <w:t xml:space="preserve">nsurer was </w:t>
      </w:r>
      <w:r w:rsidR="00670BD0">
        <w:rPr>
          <w:lang w:eastAsia="en-AU"/>
        </w:rPr>
        <w:t>investigated</w:t>
      </w:r>
      <w:r w:rsidR="00F361B6">
        <w:rPr>
          <w:lang w:eastAsia="en-AU"/>
        </w:rPr>
        <w:t xml:space="preserve"> in 2017</w:t>
      </w:r>
      <w:r w:rsidR="001B35CC">
        <w:rPr>
          <w:lang w:eastAsia="en-AU"/>
        </w:rPr>
        <w:t>/18</w:t>
      </w:r>
      <w:r w:rsidRPr="00D81063">
        <w:rPr>
          <w:lang w:eastAsia="en-AU"/>
        </w:rPr>
        <w:t>, compared with no complaints in 2016/17.</w:t>
      </w:r>
      <w:r w:rsidRPr="00E42BC7">
        <w:rPr>
          <w:lang w:eastAsia="en-AU"/>
        </w:rPr>
        <w:t xml:space="preserve"> </w:t>
      </w:r>
    </w:p>
    <w:p w14:paraId="6E4EB668" w14:textId="77777777" w:rsidR="00D022B7" w:rsidRDefault="00D022B7" w:rsidP="00FC00D3">
      <w:pPr>
        <w:pStyle w:val="Heading3nonumber"/>
        <w:rPr>
          <w:lang w:val="en-US"/>
        </w:rPr>
      </w:pPr>
      <w:bookmarkStart w:id="322" w:name="_Toc525121999"/>
      <w:r w:rsidRPr="00A74E13">
        <w:rPr>
          <w:lang w:val="en-US"/>
        </w:rPr>
        <w:t>Registered agents</w:t>
      </w:r>
      <w:bookmarkEnd w:id="317"/>
      <w:bookmarkEnd w:id="318"/>
      <w:bookmarkEnd w:id="319"/>
      <w:bookmarkEnd w:id="322"/>
    </w:p>
    <w:p w14:paraId="6C67E25D" w14:textId="77777777" w:rsidR="00C769E7" w:rsidRPr="004412CB" w:rsidRDefault="00C769E7" w:rsidP="00C769E7">
      <w:bookmarkStart w:id="323" w:name="_Toc426617482"/>
      <w:bookmarkStart w:id="324" w:name="_Toc450900699"/>
      <w:r w:rsidRPr="004412CB">
        <w:t xml:space="preserve">WorkCover WA registers agents who may represent parties in proceedings in the </w:t>
      </w:r>
      <w:r w:rsidRPr="00A17B14">
        <w:t xml:space="preserve">Workers’ Compensation Conciliation and Arbitration Services. </w:t>
      </w:r>
    </w:p>
    <w:p w14:paraId="6863F18F" w14:textId="77777777" w:rsidR="00C769E7" w:rsidRPr="004412CB" w:rsidRDefault="00C769E7" w:rsidP="00C769E7">
      <w:r w:rsidRPr="004412CB">
        <w:t xml:space="preserve">Registered agents </w:t>
      </w:r>
      <w:r>
        <w:t xml:space="preserve">are approved and regulated by WorkCover WA and </w:t>
      </w:r>
      <w:r w:rsidRPr="004412CB">
        <w:t xml:space="preserve">are subject to performance monitoring for compliance with the </w:t>
      </w:r>
      <w:r w:rsidRPr="004412CB">
        <w:rPr>
          <w:i/>
        </w:rPr>
        <w:t>Registered Agents Code of Conduct</w:t>
      </w:r>
      <w:r>
        <w:t>, as well as a gazetted scale of costs.</w:t>
      </w:r>
    </w:p>
    <w:p w14:paraId="5D36EAD1" w14:textId="77777777" w:rsidR="00C769E7" w:rsidRDefault="00C769E7" w:rsidP="00C769E7">
      <w:r w:rsidRPr="004412CB">
        <w:t xml:space="preserve">Most registered agents are employees of insurers, self-insurers, law firms or representative organisations and act under the instruction of their employer. </w:t>
      </w:r>
      <w:r>
        <w:t>Some agents are approved to operate as independent registered agents. Independent registered agents are not legal practitioners and cannot provide advice about matters other than the resolution of workers’ compensation disputes.</w:t>
      </w:r>
    </w:p>
    <w:p w14:paraId="3BFDCFE5" w14:textId="76A9CBC1" w:rsidR="00C769E7" w:rsidRPr="004412CB" w:rsidRDefault="00C769E7" w:rsidP="00C769E7">
      <w:r>
        <w:t xml:space="preserve">In 2017/18, there </w:t>
      </w:r>
      <w:r w:rsidRPr="00A65377">
        <w:t xml:space="preserve">were </w:t>
      </w:r>
      <w:r w:rsidR="00A65377" w:rsidRPr="00A65377">
        <w:t>225</w:t>
      </w:r>
      <w:r w:rsidRPr="00A65377">
        <w:t xml:space="preserve"> registered agent approvals, of which </w:t>
      </w:r>
      <w:r w:rsidR="00A65377" w:rsidRPr="00A65377">
        <w:t>four</w:t>
      </w:r>
      <w:r w:rsidRPr="00A65377">
        <w:t xml:space="preserve"> were independent registered agents.</w:t>
      </w:r>
    </w:p>
    <w:p w14:paraId="54C63ED5" w14:textId="1E4ABE6C" w:rsidR="00D022B7" w:rsidRPr="00FD7E68" w:rsidRDefault="00670BD0" w:rsidP="00FC00D3">
      <w:pPr>
        <w:pStyle w:val="Heading3nonumber"/>
      </w:pPr>
      <w:bookmarkStart w:id="325" w:name="_Toc525122000"/>
      <w:r>
        <w:t>Complaint investigations</w:t>
      </w:r>
      <w:r w:rsidR="002609BD">
        <w:t xml:space="preserve"> against registered agent</w:t>
      </w:r>
      <w:r w:rsidR="00D022B7">
        <w:t>s</w:t>
      </w:r>
      <w:bookmarkEnd w:id="323"/>
      <w:bookmarkEnd w:id="324"/>
      <w:bookmarkEnd w:id="325"/>
    </w:p>
    <w:p w14:paraId="29DBDFD3" w14:textId="047F572D" w:rsidR="005B5214" w:rsidRDefault="005B5214" w:rsidP="005B5214">
      <w:pPr>
        <w:rPr>
          <w:lang w:val="en-US"/>
        </w:rPr>
      </w:pPr>
      <w:bookmarkStart w:id="326" w:name="_Toc399316950"/>
      <w:bookmarkStart w:id="327" w:name="_Toc426617483"/>
      <w:bookmarkStart w:id="328" w:name="_Toc450900700"/>
      <w:r>
        <w:rPr>
          <w:lang w:val="en-US"/>
        </w:rPr>
        <w:t xml:space="preserve">There were two complaints against a former independent registered agent </w:t>
      </w:r>
      <w:r w:rsidR="00670BD0">
        <w:rPr>
          <w:lang w:val="en-US"/>
        </w:rPr>
        <w:t>made in</w:t>
      </w:r>
      <w:r>
        <w:rPr>
          <w:lang w:val="en-US"/>
        </w:rPr>
        <w:t xml:space="preserve"> 2017/18</w:t>
      </w:r>
      <w:r w:rsidR="005F4A35">
        <w:rPr>
          <w:lang w:val="en-US"/>
        </w:rPr>
        <w:t>, however</w:t>
      </w:r>
      <w:r w:rsidR="008816B2">
        <w:rPr>
          <w:lang w:val="en-US"/>
        </w:rPr>
        <w:t>,</w:t>
      </w:r>
      <w:r>
        <w:rPr>
          <w:lang w:val="en-US"/>
        </w:rPr>
        <w:t xml:space="preserve"> WorkCover WA was unable to investigate as the agent was not registered when the complaints were made.</w:t>
      </w:r>
    </w:p>
    <w:p w14:paraId="4C8D9A51" w14:textId="4765EEC8" w:rsidR="007F5302" w:rsidRDefault="002A3B08" w:rsidP="00FC00D3">
      <w:pPr>
        <w:pStyle w:val="Heading3nonumber"/>
        <w:rPr>
          <w:lang w:val="en-US"/>
        </w:rPr>
      </w:pPr>
      <w:bookmarkStart w:id="329" w:name="_Toc525122001"/>
      <w:r>
        <w:rPr>
          <w:lang w:val="en-US"/>
        </w:rPr>
        <w:t>Workplace rehabilitation providers</w:t>
      </w:r>
      <w:bookmarkEnd w:id="326"/>
      <w:bookmarkEnd w:id="327"/>
      <w:bookmarkEnd w:id="328"/>
      <w:bookmarkEnd w:id="329"/>
      <w:r>
        <w:rPr>
          <w:lang w:val="en-US"/>
        </w:rPr>
        <w:t xml:space="preserve"> </w:t>
      </w:r>
    </w:p>
    <w:p w14:paraId="171BE204" w14:textId="19FF911E" w:rsidR="00740BEC" w:rsidRPr="00A65377" w:rsidRDefault="000526DB" w:rsidP="000526DB">
      <w:bookmarkStart w:id="330" w:name="_Toc426617485"/>
      <w:bookmarkStart w:id="331" w:name="_Toc450900702"/>
      <w:r>
        <w:t xml:space="preserve">Approved workplace rehabilitation providers assist injured workers to return to work through services including workplace visits, vocational assessment, host employment </w:t>
      </w:r>
      <w:r w:rsidRPr="00A65377">
        <w:t>placements, workplace support and redeployment.</w:t>
      </w:r>
      <w:r w:rsidR="004E053E" w:rsidRPr="00A65377">
        <w:t xml:space="preserve"> </w:t>
      </w:r>
    </w:p>
    <w:p w14:paraId="10B86CE7" w14:textId="3AA89C66" w:rsidR="000526DB" w:rsidRPr="00A65377" w:rsidRDefault="000526DB" w:rsidP="000526DB">
      <w:r w:rsidRPr="00A65377">
        <w:t xml:space="preserve">Workplace rehabilitation provider approvals are valid for three years. In 2017/18, WorkCover WA approved </w:t>
      </w:r>
      <w:r w:rsidR="00A65377" w:rsidRPr="00A65377">
        <w:t>four</w:t>
      </w:r>
      <w:r w:rsidRPr="00A65377">
        <w:t xml:space="preserve"> new workplace rehabilitation providers and audited </w:t>
      </w:r>
      <w:r w:rsidR="00A65377" w:rsidRPr="00A65377">
        <w:t>four</w:t>
      </w:r>
      <w:r w:rsidRPr="00A65377">
        <w:t xml:space="preserve">. At 30 June 2018, there were </w:t>
      </w:r>
      <w:r w:rsidR="00A65377" w:rsidRPr="00A65377">
        <w:t>46</w:t>
      </w:r>
      <w:r w:rsidRPr="00A65377">
        <w:t xml:space="preserve"> workplace rehabilitation providers operating within the scheme.</w:t>
      </w:r>
    </w:p>
    <w:p w14:paraId="2211E08F" w14:textId="6F793253" w:rsidR="006B56C0" w:rsidRPr="00C3455B" w:rsidRDefault="002609BD" w:rsidP="00FC00D3">
      <w:pPr>
        <w:pStyle w:val="Heading3nonumber"/>
      </w:pPr>
      <w:bookmarkStart w:id="332" w:name="_Toc525122002"/>
      <w:r>
        <w:t>Complaint</w:t>
      </w:r>
      <w:r w:rsidR="00670BD0">
        <w:t xml:space="preserve"> investigations</w:t>
      </w:r>
      <w:r>
        <w:t xml:space="preserve"> against w</w:t>
      </w:r>
      <w:r w:rsidR="002F69BD" w:rsidRPr="00A74E13">
        <w:t>orkplace r</w:t>
      </w:r>
      <w:r>
        <w:t>ehabilitation provider</w:t>
      </w:r>
      <w:r w:rsidR="002F69BD" w:rsidRPr="00A74E13">
        <w:t>s</w:t>
      </w:r>
      <w:bookmarkEnd w:id="330"/>
      <w:bookmarkEnd w:id="331"/>
      <w:bookmarkEnd w:id="332"/>
      <w:r w:rsidR="002F69BD" w:rsidRPr="00C3455B">
        <w:t xml:space="preserve"> </w:t>
      </w:r>
    </w:p>
    <w:p w14:paraId="22E0846D" w14:textId="0FF63FFE" w:rsidR="00DA749B" w:rsidRPr="00732409" w:rsidRDefault="00A65377" w:rsidP="002B26F3">
      <w:pPr>
        <w:rPr>
          <w:lang w:val="en-US"/>
        </w:rPr>
      </w:pPr>
      <w:bookmarkStart w:id="333" w:name="_Toc399316952"/>
      <w:r w:rsidRPr="00A65377">
        <w:rPr>
          <w:lang w:val="en-US"/>
        </w:rPr>
        <w:t>No</w:t>
      </w:r>
      <w:r w:rsidR="002B26F3" w:rsidRPr="00A65377">
        <w:rPr>
          <w:lang w:val="en-US"/>
        </w:rPr>
        <w:t xml:space="preserve"> </w:t>
      </w:r>
      <w:r w:rsidR="002B26F3">
        <w:rPr>
          <w:lang w:val="en-US"/>
        </w:rPr>
        <w:t xml:space="preserve">complaints were received </w:t>
      </w:r>
      <w:r w:rsidR="004D0269">
        <w:rPr>
          <w:lang w:val="en-US"/>
        </w:rPr>
        <w:t>about</w:t>
      </w:r>
      <w:r w:rsidR="002B26F3">
        <w:rPr>
          <w:lang w:val="en-US"/>
        </w:rPr>
        <w:t xml:space="preserve"> workplace rehabilitation providers </w:t>
      </w:r>
      <w:r w:rsidR="004D0269">
        <w:rPr>
          <w:lang w:val="en-US"/>
        </w:rPr>
        <w:t xml:space="preserve">for investigation </w:t>
      </w:r>
      <w:r w:rsidR="002B26F3">
        <w:rPr>
          <w:lang w:val="en-US"/>
        </w:rPr>
        <w:t>in 2017/18.</w:t>
      </w:r>
    </w:p>
    <w:p w14:paraId="63FB3015" w14:textId="3278B8B6" w:rsidR="00CD6894" w:rsidRPr="00164D92" w:rsidRDefault="007B31B1" w:rsidP="00FC00D3">
      <w:pPr>
        <w:pStyle w:val="Heading3nonumber"/>
      </w:pPr>
      <w:bookmarkStart w:id="334" w:name="_Toc426617486"/>
      <w:bookmarkStart w:id="335" w:name="_Toc450900703"/>
      <w:bookmarkStart w:id="336" w:name="_Toc525122003"/>
      <w:r>
        <w:t>A</w:t>
      </w:r>
      <w:r w:rsidR="00CD6894" w:rsidRPr="00A74E13">
        <w:t>udiometric officers</w:t>
      </w:r>
      <w:bookmarkEnd w:id="333"/>
      <w:bookmarkEnd w:id="334"/>
      <w:bookmarkEnd w:id="335"/>
      <w:r w:rsidR="00783CC2">
        <w:t>, audiologists</w:t>
      </w:r>
      <w:r w:rsidR="00CD6894" w:rsidRPr="00164D92">
        <w:t xml:space="preserve"> </w:t>
      </w:r>
      <w:r w:rsidR="00CE14E8">
        <w:t>and audiometrists</w:t>
      </w:r>
      <w:bookmarkEnd w:id="336"/>
    </w:p>
    <w:p w14:paraId="2AAA18B6" w14:textId="761A4C6D" w:rsidR="00CB13D7" w:rsidRDefault="00CB13D7" w:rsidP="00CB13D7">
      <w:bookmarkStart w:id="337" w:name="_Toc399316953"/>
      <w:r>
        <w:t xml:space="preserve">Audiometric officers, audiologists and audiometrists </w:t>
      </w:r>
      <w:r w:rsidRPr="003541D7">
        <w:t xml:space="preserve">are approved by WorkCover WA to conduct </w:t>
      </w:r>
      <w:r>
        <w:t>baseline hearing tests and full audiological assessments for the purposes of the scheme</w:t>
      </w:r>
      <w:r w:rsidRPr="003541D7">
        <w:t xml:space="preserve">. </w:t>
      </w:r>
      <w:r w:rsidR="00285E0B">
        <w:t>The</w:t>
      </w:r>
      <w:r w:rsidRPr="003541D7">
        <w:t xml:space="preserve"> regulatory framework ensures high standards are maintained for the processing of hearing tests and audiological testing.</w:t>
      </w:r>
    </w:p>
    <w:p w14:paraId="1BDB7AA6" w14:textId="4FF2C909" w:rsidR="00CB13D7" w:rsidRDefault="00CB13D7" w:rsidP="00CB13D7">
      <w:r>
        <w:t xml:space="preserve">In 2017/18, WorkCover WA approved </w:t>
      </w:r>
      <w:r w:rsidR="00A65377" w:rsidRPr="00A65377">
        <w:t>433</w:t>
      </w:r>
      <w:r w:rsidRPr="00A65377">
        <w:t xml:space="preserve"> </w:t>
      </w:r>
      <w:r>
        <w:t>audiometric officers, audiologists and audiometrists to operate within the scheme.</w:t>
      </w:r>
    </w:p>
    <w:p w14:paraId="229B63A4" w14:textId="7D2B007D" w:rsidR="0054369D" w:rsidRDefault="007B31B1" w:rsidP="00FC00D3">
      <w:pPr>
        <w:pStyle w:val="Heading3nonumber"/>
      </w:pPr>
      <w:bookmarkStart w:id="338" w:name="_Toc525122004"/>
      <w:r>
        <w:t>Complaint</w:t>
      </w:r>
      <w:r w:rsidR="00670BD0">
        <w:t xml:space="preserve"> investigations</w:t>
      </w:r>
      <w:r>
        <w:t xml:space="preserve"> against </w:t>
      </w:r>
      <w:r w:rsidR="009A0B56">
        <w:t xml:space="preserve">approved audiometric officers, </w:t>
      </w:r>
      <w:r w:rsidR="00CE14E8">
        <w:t xml:space="preserve">audiologists and </w:t>
      </w:r>
      <w:r w:rsidR="009A0B56">
        <w:t>audiometrists</w:t>
      </w:r>
      <w:bookmarkEnd w:id="338"/>
      <w:r w:rsidR="009A0B56">
        <w:t xml:space="preserve"> </w:t>
      </w:r>
    </w:p>
    <w:p w14:paraId="12F27A73" w14:textId="60B2EC1F" w:rsidR="00DA749B" w:rsidRPr="00732409" w:rsidRDefault="000526DB" w:rsidP="00CB13D7">
      <w:r>
        <w:t xml:space="preserve">There were </w:t>
      </w:r>
      <w:r w:rsidR="00A65377" w:rsidRPr="00A65377">
        <w:t>no</w:t>
      </w:r>
      <w:r w:rsidRPr="00A65377">
        <w:t xml:space="preserve"> </w:t>
      </w:r>
      <w:r>
        <w:t xml:space="preserve">complaints recorded </w:t>
      </w:r>
      <w:r w:rsidR="004D0269">
        <w:t>about</w:t>
      </w:r>
      <w:r>
        <w:t xml:space="preserve"> approved audiometric officers, audiologists and audiometrists</w:t>
      </w:r>
      <w:r w:rsidR="004D0269">
        <w:t xml:space="preserve"> for investigation</w:t>
      </w:r>
      <w:r>
        <w:t xml:space="preserve"> in 2017/18.</w:t>
      </w:r>
    </w:p>
    <w:p w14:paraId="7B50472B" w14:textId="08BFCB71" w:rsidR="000F595E" w:rsidRDefault="00662BF2" w:rsidP="00FC00D3">
      <w:pPr>
        <w:pStyle w:val="Heading3nonumber"/>
      </w:pPr>
      <w:bookmarkStart w:id="339" w:name="_Toc426617487"/>
      <w:bookmarkStart w:id="340" w:name="_Toc450900704"/>
      <w:bookmarkStart w:id="341" w:name="_Toc525122005"/>
      <w:r w:rsidRPr="00A74E13">
        <w:t xml:space="preserve">Approved </w:t>
      </w:r>
      <w:r w:rsidR="00811767">
        <w:t>m</w:t>
      </w:r>
      <w:r w:rsidRPr="00A74E13">
        <w:t xml:space="preserve">edical </w:t>
      </w:r>
      <w:r w:rsidR="00811767">
        <w:t>s</w:t>
      </w:r>
      <w:r w:rsidR="00CD6894" w:rsidRPr="00A74E13">
        <w:t>pecialists</w:t>
      </w:r>
      <w:bookmarkEnd w:id="337"/>
      <w:bookmarkEnd w:id="339"/>
      <w:bookmarkEnd w:id="340"/>
      <w:bookmarkEnd w:id="341"/>
      <w:r w:rsidR="00CD6894" w:rsidRPr="00A74E13">
        <w:t xml:space="preserve"> </w:t>
      </w:r>
    </w:p>
    <w:p w14:paraId="629E8E51" w14:textId="2594A252" w:rsidR="00AF0F81" w:rsidRDefault="00AF0F81" w:rsidP="00AF0F81">
      <w:bookmarkStart w:id="342" w:name="_Toc426617488"/>
      <w:bookmarkStart w:id="343" w:name="_Toc450900705"/>
      <w:r>
        <w:t xml:space="preserve">Approved medical specialists </w:t>
      </w:r>
      <w:r w:rsidR="004D0269">
        <w:t xml:space="preserve">undertake permanent impairment assessments </w:t>
      </w:r>
      <w:r>
        <w:t xml:space="preserve">in accordance with the </w:t>
      </w:r>
      <w:r w:rsidRPr="00021BF4">
        <w:rPr>
          <w:i/>
        </w:rPr>
        <w:t>WorkCover WA Guidelines for the Evaluation of Permanent Impairment</w:t>
      </w:r>
      <w:r w:rsidRPr="00E92C14">
        <w:t xml:space="preserve"> (WA Guidelines).</w:t>
      </w:r>
    </w:p>
    <w:p w14:paraId="77C6AC10" w14:textId="77777777" w:rsidR="00AF0F81" w:rsidRDefault="00AF0F81" w:rsidP="00AF0F81">
      <w:pPr>
        <w:rPr>
          <w:lang w:val="en-GB"/>
        </w:rPr>
      </w:pPr>
      <w:r w:rsidRPr="00D32A74">
        <w:rPr>
          <w:lang w:val="en-GB"/>
        </w:rPr>
        <w:t>In order to become an approved medical specialist, a medical practitioner must meet specific criteria and complete formal training on the fifth edition of the American Medical Association’s</w:t>
      </w:r>
      <w:r w:rsidRPr="00D32A74">
        <w:rPr>
          <w:iCs/>
          <w:lang w:val="en-GB"/>
        </w:rPr>
        <w:t xml:space="preserve"> </w:t>
      </w:r>
      <w:r w:rsidRPr="00F70F03">
        <w:rPr>
          <w:i/>
          <w:iCs/>
          <w:lang w:val="en-GB"/>
        </w:rPr>
        <w:t>Guides to the Evaluation of Permanent Impairment</w:t>
      </w:r>
      <w:r w:rsidRPr="00D32A74">
        <w:rPr>
          <w:iCs/>
          <w:lang w:val="en-GB"/>
        </w:rPr>
        <w:t xml:space="preserve"> </w:t>
      </w:r>
      <w:r w:rsidRPr="00D32A74">
        <w:rPr>
          <w:lang w:val="en-GB"/>
        </w:rPr>
        <w:t>and the WA Guidelines. WorkCover WA may then designate a medical practitioner as an approved medical specialist qualified to assess an injured worker’s degree of perman</w:t>
      </w:r>
      <w:r>
        <w:rPr>
          <w:lang w:val="en-GB"/>
        </w:rPr>
        <w:t>ent impairment.</w:t>
      </w:r>
    </w:p>
    <w:p w14:paraId="1BC3DE92" w14:textId="2ADC2049" w:rsidR="00AF0F81" w:rsidRPr="00E92C14" w:rsidRDefault="00AF0F81" w:rsidP="00AF0F81">
      <w:pPr>
        <w:rPr>
          <w:lang w:val="en-GB"/>
        </w:rPr>
      </w:pPr>
      <w:r>
        <w:rPr>
          <w:lang w:val="en-GB"/>
        </w:rPr>
        <w:t>In 2017/18, WorkCover WA desig</w:t>
      </w:r>
      <w:r w:rsidRPr="00A65377">
        <w:rPr>
          <w:lang w:val="en-GB"/>
        </w:rPr>
        <w:t xml:space="preserve">nated nine </w:t>
      </w:r>
      <w:r w:rsidR="004D0269">
        <w:rPr>
          <w:lang w:val="en-GB"/>
        </w:rPr>
        <w:t xml:space="preserve">new </w:t>
      </w:r>
      <w:r w:rsidRPr="00A65377">
        <w:rPr>
          <w:lang w:val="en-GB"/>
        </w:rPr>
        <w:t xml:space="preserve">approved medical </w:t>
      </w:r>
      <w:r w:rsidRPr="00E92C14">
        <w:rPr>
          <w:lang w:val="en-GB"/>
        </w:rPr>
        <w:t>specialists and</w:t>
      </w:r>
      <w:r w:rsidR="008E115E" w:rsidRPr="00E92C14">
        <w:rPr>
          <w:lang w:val="en-GB"/>
        </w:rPr>
        <w:t>,</w:t>
      </w:r>
      <w:r w:rsidRPr="00E92C14">
        <w:rPr>
          <w:lang w:val="en-GB"/>
        </w:rPr>
        <w:t xml:space="preserve"> as at 30 June 2018</w:t>
      </w:r>
      <w:r w:rsidR="008E115E" w:rsidRPr="00E92C14">
        <w:rPr>
          <w:lang w:val="en-GB"/>
        </w:rPr>
        <w:t>,</w:t>
      </w:r>
      <w:r w:rsidRPr="00E92C14">
        <w:rPr>
          <w:lang w:val="en-GB"/>
        </w:rPr>
        <w:t xml:space="preserve"> there were 26</w:t>
      </w:r>
      <w:r w:rsidR="00A65377" w:rsidRPr="00E92C14">
        <w:rPr>
          <w:lang w:val="en-GB"/>
        </w:rPr>
        <w:t>7</w:t>
      </w:r>
      <w:r w:rsidRPr="00E92C14">
        <w:rPr>
          <w:lang w:val="en-GB"/>
        </w:rPr>
        <w:t xml:space="preserve"> operating within the WA scheme.</w:t>
      </w:r>
    </w:p>
    <w:p w14:paraId="71A39BCE" w14:textId="792FE79D" w:rsidR="000F595E" w:rsidRPr="00A01C4E" w:rsidRDefault="00156F1F" w:rsidP="00A01C4E">
      <w:pPr>
        <w:pStyle w:val="Heading3nonumber"/>
        <w:rPr>
          <w:rStyle w:val="Emphasis"/>
          <w:rFonts w:cs="Arial"/>
          <w:i w:val="0"/>
          <w:iCs w:val="0"/>
          <w:color w:val="003F33"/>
        </w:rPr>
      </w:pPr>
      <w:bookmarkStart w:id="344" w:name="_Toc525122006"/>
      <w:r w:rsidRPr="00A01C4E">
        <w:rPr>
          <w:rStyle w:val="Emphasis"/>
          <w:rFonts w:cs="Arial"/>
          <w:i w:val="0"/>
          <w:iCs w:val="0"/>
          <w:color w:val="003F33"/>
        </w:rPr>
        <w:t>Complaint</w:t>
      </w:r>
      <w:r w:rsidR="00670BD0" w:rsidRPr="00A01C4E">
        <w:rPr>
          <w:rStyle w:val="Emphasis"/>
          <w:rFonts w:cs="Arial"/>
          <w:i w:val="0"/>
          <w:iCs w:val="0"/>
          <w:color w:val="003F33"/>
        </w:rPr>
        <w:t xml:space="preserve"> investigations</w:t>
      </w:r>
      <w:r w:rsidRPr="00A01C4E">
        <w:rPr>
          <w:rStyle w:val="Emphasis"/>
          <w:rFonts w:cs="Arial"/>
          <w:i w:val="0"/>
          <w:iCs w:val="0"/>
          <w:color w:val="003F33"/>
        </w:rPr>
        <w:t xml:space="preserve"> against </w:t>
      </w:r>
      <w:r w:rsidR="007B31B1" w:rsidRPr="00A01C4E">
        <w:rPr>
          <w:rStyle w:val="Emphasis"/>
          <w:rFonts w:cs="Arial"/>
          <w:i w:val="0"/>
          <w:iCs w:val="0"/>
          <w:color w:val="003F33"/>
        </w:rPr>
        <w:t>a</w:t>
      </w:r>
      <w:r w:rsidR="00811767" w:rsidRPr="00A01C4E">
        <w:rPr>
          <w:rStyle w:val="Emphasis"/>
          <w:rFonts w:cs="Arial"/>
          <w:i w:val="0"/>
          <w:iCs w:val="0"/>
          <w:color w:val="003F33"/>
        </w:rPr>
        <w:t>pproved medical specialists</w:t>
      </w:r>
      <w:bookmarkEnd w:id="344"/>
      <w:r w:rsidR="00811767" w:rsidRPr="00A01C4E">
        <w:rPr>
          <w:rStyle w:val="Emphasis"/>
          <w:rFonts w:cs="Arial"/>
          <w:i w:val="0"/>
          <w:iCs w:val="0"/>
          <w:color w:val="003F33"/>
        </w:rPr>
        <w:t xml:space="preserve"> </w:t>
      </w:r>
      <w:bookmarkEnd w:id="342"/>
      <w:bookmarkEnd w:id="343"/>
    </w:p>
    <w:p w14:paraId="2E4B6336" w14:textId="5702FB12" w:rsidR="00786847" w:rsidRDefault="004D0269" w:rsidP="00786847">
      <w:bookmarkStart w:id="345" w:name="_Toc426617489"/>
      <w:bookmarkStart w:id="346" w:name="_Toc450900706"/>
      <w:r>
        <w:t>There were no complaints about approved medical specialists investigated</w:t>
      </w:r>
      <w:r w:rsidR="00785BFA">
        <w:t xml:space="preserve"> in 2017/18</w:t>
      </w:r>
      <w:r w:rsidR="00786847">
        <w:t xml:space="preserve">. </w:t>
      </w:r>
    </w:p>
    <w:p w14:paraId="4A6A7D7E" w14:textId="1058C630" w:rsidR="00FB06BB" w:rsidRPr="00732409" w:rsidRDefault="00116797" w:rsidP="008E115E">
      <w:pPr>
        <w:pStyle w:val="Heading1nonumber"/>
      </w:pPr>
      <w:bookmarkStart w:id="347" w:name="_Toc525122007"/>
      <w:r w:rsidRPr="00A74E13">
        <w:t>Improving scheme performance</w:t>
      </w:r>
      <w:bookmarkEnd w:id="345"/>
      <w:bookmarkEnd w:id="346"/>
      <w:bookmarkEnd w:id="347"/>
      <w:r>
        <w:t xml:space="preserve"> </w:t>
      </w:r>
    </w:p>
    <w:tbl>
      <w:tblPr>
        <w:tblW w:w="9072" w:type="dxa"/>
        <w:tblInd w:w="80" w:type="dxa"/>
        <w:tblBorders>
          <w:top w:val="single" w:sz="8" w:space="0" w:color="9FBCD0"/>
          <w:left w:val="single" w:sz="8" w:space="0" w:color="9FBCD0"/>
          <w:bottom w:val="single" w:sz="8" w:space="0" w:color="9FBCD0"/>
          <w:right w:val="single" w:sz="8" w:space="0" w:color="9FBCD0"/>
          <w:insideH w:val="single" w:sz="8" w:space="0" w:color="9FBCD0"/>
          <w:insideV w:val="single" w:sz="8" w:space="0" w:color="9FBCD0"/>
        </w:tblBorders>
        <w:tblLayout w:type="fixed"/>
        <w:tblCellMar>
          <w:left w:w="0" w:type="dxa"/>
          <w:right w:w="0" w:type="dxa"/>
        </w:tblCellMar>
        <w:tblLook w:val="0000" w:firstRow="0" w:lastRow="0" w:firstColumn="0" w:lastColumn="0" w:noHBand="0" w:noVBand="0"/>
      </w:tblPr>
      <w:tblGrid>
        <w:gridCol w:w="2217"/>
        <w:gridCol w:w="4214"/>
        <w:gridCol w:w="2641"/>
      </w:tblGrid>
      <w:tr w:rsidR="00794A0D" w:rsidRPr="00630BE0" w14:paraId="65122F19" w14:textId="77777777" w:rsidTr="00E92C14">
        <w:trPr>
          <w:trHeight w:val="60"/>
        </w:trPr>
        <w:tc>
          <w:tcPr>
            <w:tcW w:w="2217" w:type="dxa"/>
            <w:vMerge w:val="restart"/>
            <w:shd w:val="clear" w:color="auto" w:fill="003F5F"/>
            <w:tcMar>
              <w:top w:w="113" w:type="dxa"/>
              <w:left w:w="80" w:type="dxa"/>
              <w:bottom w:w="113" w:type="dxa"/>
              <w:right w:w="80" w:type="dxa"/>
            </w:tcMar>
          </w:tcPr>
          <w:p w14:paraId="1D782445" w14:textId="77777777" w:rsidR="00794A0D" w:rsidRPr="00630BE0" w:rsidRDefault="00794A0D" w:rsidP="00794A0D">
            <w:pPr>
              <w:rPr>
                <w:rStyle w:val="Strong"/>
              </w:rPr>
            </w:pPr>
            <w:r w:rsidRPr="009D027D">
              <w:rPr>
                <w:rStyle w:val="Strong"/>
                <w:color w:val="FFFFFF" w:themeColor="background1"/>
              </w:rPr>
              <w:t>This scheme service contributes to, and is aligned with:</w:t>
            </w:r>
          </w:p>
        </w:tc>
        <w:tc>
          <w:tcPr>
            <w:tcW w:w="4214" w:type="dxa"/>
            <w:shd w:val="clear" w:color="auto" w:fill="003F5F"/>
            <w:tcMar>
              <w:top w:w="113" w:type="dxa"/>
              <w:left w:w="80" w:type="dxa"/>
              <w:bottom w:w="113" w:type="dxa"/>
              <w:right w:w="80" w:type="dxa"/>
            </w:tcMar>
          </w:tcPr>
          <w:p w14:paraId="2514304D" w14:textId="4718E000" w:rsidR="00794A0D" w:rsidRPr="009D027D" w:rsidRDefault="00B373B7" w:rsidP="00794A0D">
            <w:pPr>
              <w:rPr>
                <w:rStyle w:val="Strong"/>
                <w:color w:val="FFFFFF" w:themeColor="background1"/>
              </w:rPr>
            </w:pPr>
            <w:r>
              <w:rPr>
                <w:rStyle w:val="Strong"/>
                <w:color w:val="FFFFFF" w:themeColor="background1"/>
              </w:rPr>
              <w:t>Government Goals</w:t>
            </w:r>
          </w:p>
        </w:tc>
        <w:tc>
          <w:tcPr>
            <w:tcW w:w="2641" w:type="dxa"/>
            <w:shd w:val="clear" w:color="auto" w:fill="003F5F"/>
            <w:tcMar>
              <w:top w:w="113" w:type="dxa"/>
              <w:left w:w="80" w:type="dxa"/>
              <w:bottom w:w="113" w:type="dxa"/>
              <w:right w:w="80" w:type="dxa"/>
            </w:tcMar>
          </w:tcPr>
          <w:p w14:paraId="128DCD85" w14:textId="2056363F" w:rsidR="00794A0D" w:rsidRPr="009D027D" w:rsidRDefault="00616E8C" w:rsidP="00794A0D">
            <w:pPr>
              <w:rPr>
                <w:rStyle w:val="Strong"/>
                <w:color w:val="FFFFFF" w:themeColor="background1"/>
              </w:rPr>
            </w:pPr>
            <w:r w:rsidRPr="009D027D">
              <w:rPr>
                <w:rStyle w:val="Strong"/>
                <w:color w:val="FFFFFF" w:themeColor="background1"/>
              </w:rPr>
              <w:t>WorkCover WA</w:t>
            </w:r>
            <w:r w:rsidR="002609BD" w:rsidRPr="009D027D">
              <w:rPr>
                <w:rStyle w:val="Strong"/>
                <w:color w:val="FFFFFF" w:themeColor="background1"/>
              </w:rPr>
              <w:t xml:space="preserve"> strategic g</w:t>
            </w:r>
            <w:r w:rsidR="00F12C14" w:rsidRPr="009D027D">
              <w:rPr>
                <w:rStyle w:val="Strong"/>
                <w:color w:val="FFFFFF" w:themeColor="background1"/>
              </w:rPr>
              <w:t>oal</w:t>
            </w:r>
            <w:r w:rsidR="00B373B7">
              <w:rPr>
                <w:rStyle w:val="Strong"/>
                <w:color w:val="FFFFFF" w:themeColor="background1"/>
              </w:rPr>
              <w:t>s</w:t>
            </w:r>
          </w:p>
        </w:tc>
      </w:tr>
      <w:tr w:rsidR="00794A0D" w:rsidRPr="005D768A" w14:paraId="3ACAFFEE" w14:textId="77777777" w:rsidTr="00E92C14">
        <w:trPr>
          <w:trHeight w:val="825"/>
        </w:trPr>
        <w:tc>
          <w:tcPr>
            <w:tcW w:w="2217" w:type="dxa"/>
            <w:vMerge/>
            <w:shd w:val="clear" w:color="auto" w:fill="003F5F"/>
          </w:tcPr>
          <w:p w14:paraId="05A5AC60" w14:textId="77777777" w:rsidR="00794A0D" w:rsidRPr="005D768A" w:rsidRDefault="00794A0D" w:rsidP="00794A0D">
            <w:pPr>
              <w:rPr>
                <w:lang w:eastAsia="en-AU"/>
              </w:rPr>
            </w:pPr>
          </w:p>
        </w:tc>
        <w:tc>
          <w:tcPr>
            <w:tcW w:w="4214" w:type="dxa"/>
            <w:tcMar>
              <w:top w:w="113" w:type="dxa"/>
              <w:left w:w="80" w:type="dxa"/>
              <w:bottom w:w="113" w:type="dxa"/>
              <w:right w:w="80" w:type="dxa"/>
            </w:tcMar>
          </w:tcPr>
          <w:p w14:paraId="3FD28DA1" w14:textId="3795B40E" w:rsidR="00141FD8" w:rsidRPr="00E92C14" w:rsidRDefault="008E115E" w:rsidP="0096027A">
            <w:pPr>
              <w:rPr>
                <w:rStyle w:val="Strong"/>
                <w:b w:val="0"/>
              </w:rPr>
            </w:pPr>
            <w:r w:rsidRPr="00E92C14">
              <w:rPr>
                <w:rStyle w:val="Strong"/>
                <w:b w:val="0"/>
              </w:rPr>
              <w:t>Sustainable f</w:t>
            </w:r>
            <w:r w:rsidR="00FB06BB" w:rsidRPr="00E92C14">
              <w:rPr>
                <w:rStyle w:val="Strong"/>
                <w:b w:val="0"/>
              </w:rPr>
              <w:t>inances</w:t>
            </w:r>
          </w:p>
          <w:p w14:paraId="3807D86D" w14:textId="1E90ECEB" w:rsidR="00794A0D" w:rsidRPr="00FB06BB" w:rsidRDefault="008E115E" w:rsidP="00AF5F61">
            <w:pPr>
              <w:rPr>
                <w:bCs/>
              </w:rPr>
            </w:pPr>
            <w:r w:rsidRPr="00E92C14">
              <w:rPr>
                <w:rStyle w:val="Strong"/>
                <w:b w:val="0"/>
              </w:rPr>
              <w:t>Strong c</w:t>
            </w:r>
            <w:r w:rsidR="00FB06BB" w:rsidRPr="00E92C14">
              <w:rPr>
                <w:rStyle w:val="Strong"/>
                <w:b w:val="0"/>
              </w:rPr>
              <w:t>ommunities</w:t>
            </w:r>
          </w:p>
        </w:tc>
        <w:tc>
          <w:tcPr>
            <w:tcW w:w="2641" w:type="dxa"/>
            <w:tcMar>
              <w:top w:w="113" w:type="dxa"/>
              <w:left w:w="80" w:type="dxa"/>
              <w:bottom w:w="113" w:type="dxa"/>
              <w:right w:w="80" w:type="dxa"/>
            </w:tcMar>
          </w:tcPr>
          <w:p w14:paraId="5DF43303" w14:textId="2AECDB1E" w:rsidR="00B23D83" w:rsidRPr="009D027D" w:rsidRDefault="002609BD" w:rsidP="0096027A">
            <w:pPr>
              <w:rPr>
                <w:rStyle w:val="Strong"/>
                <w:b w:val="0"/>
              </w:rPr>
            </w:pPr>
            <w:r w:rsidRPr="009D027D">
              <w:rPr>
                <w:rStyle w:val="Strong"/>
                <w:b w:val="0"/>
              </w:rPr>
              <w:t>1 – Strategic scheme m</w:t>
            </w:r>
            <w:r w:rsidR="00B23D83" w:rsidRPr="009D027D">
              <w:rPr>
                <w:rStyle w:val="Strong"/>
                <w:b w:val="0"/>
              </w:rPr>
              <w:t xml:space="preserve">anagement </w:t>
            </w:r>
          </w:p>
          <w:p w14:paraId="2006AA96" w14:textId="547D8F55" w:rsidR="00794A0D" w:rsidRPr="009D027D" w:rsidRDefault="00B23D83" w:rsidP="0096027A">
            <w:pPr>
              <w:rPr>
                <w:rStyle w:val="Strong"/>
                <w:b w:val="0"/>
              </w:rPr>
            </w:pPr>
            <w:r w:rsidRPr="009D027D">
              <w:rPr>
                <w:rStyle w:val="Strong"/>
                <w:b w:val="0"/>
              </w:rPr>
              <w:t xml:space="preserve">2 </w:t>
            </w:r>
            <w:r w:rsidR="00B87BB4" w:rsidRPr="009D027D">
              <w:rPr>
                <w:rStyle w:val="Strong"/>
                <w:b w:val="0"/>
              </w:rPr>
              <w:t>–</w:t>
            </w:r>
            <w:r w:rsidRPr="009D027D">
              <w:rPr>
                <w:rStyle w:val="Strong"/>
                <w:b w:val="0"/>
              </w:rPr>
              <w:t xml:space="preserve"> Leadership</w:t>
            </w:r>
          </w:p>
        </w:tc>
      </w:tr>
    </w:tbl>
    <w:p w14:paraId="18C91339" w14:textId="77777777" w:rsidR="00794A0D" w:rsidRDefault="00794A0D" w:rsidP="00B9750E">
      <w:pPr>
        <w:rPr>
          <w:lang w:val="en-GB"/>
        </w:rPr>
      </w:pPr>
    </w:p>
    <w:p w14:paraId="0EA4CED1" w14:textId="77777777" w:rsidR="00290F75" w:rsidRPr="003370F3" w:rsidRDefault="00290F75" w:rsidP="00290F75">
      <w:pPr>
        <w:rPr>
          <w:rFonts w:cs="Arial"/>
          <w:color w:val="808080" w:themeColor="background1" w:themeShade="80"/>
          <w:szCs w:val="22"/>
        </w:rPr>
      </w:pPr>
      <w:bookmarkStart w:id="348" w:name="_Toc450900708"/>
      <w:bookmarkStart w:id="349" w:name="_Toc450900709"/>
      <w:r w:rsidRPr="003370F3">
        <w:rPr>
          <w:szCs w:val="22"/>
        </w:rPr>
        <w:t xml:space="preserve">WorkCover WA ensures the stability and fairness of the scheme by ensuring worker entitlements, premium rates and provider fees remain fair and reasonable. </w:t>
      </w:r>
    </w:p>
    <w:p w14:paraId="639ED362" w14:textId="35AD7334" w:rsidR="00290F75" w:rsidRPr="003370F3" w:rsidRDefault="00290F75" w:rsidP="00290F75">
      <w:pPr>
        <w:rPr>
          <w:szCs w:val="22"/>
        </w:rPr>
      </w:pPr>
      <w:r w:rsidRPr="003370F3">
        <w:rPr>
          <w:szCs w:val="22"/>
        </w:rPr>
        <w:t xml:space="preserve">During </w:t>
      </w:r>
      <w:r>
        <w:rPr>
          <w:szCs w:val="22"/>
        </w:rPr>
        <w:t>2017/18</w:t>
      </w:r>
      <w:r w:rsidRPr="003370F3">
        <w:rPr>
          <w:szCs w:val="22"/>
        </w:rPr>
        <w:t>, WorkCover WA made adjustments to:</w:t>
      </w:r>
    </w:p>
    <w:p w14:paraId="5F203DED" w14:textId="77777777" w:rsidR="00290F75" w:rsidRPr="00290F75" w:rsidRDefault="00290F75" w:rsidP="00290F75">
      <w:pPr>
        <w:pStyle w:val="BulletListLevel1"/>
        <w:rPr>
          <w:rFonts w:eastAsiaTheme="minorHAnsi"/>
        </w:rPr>
      </w:pPr>
      <w:r w:rsidRPr="00290F75">
        <w:rPr>
          <w:rFonts w:eastAsiaTheme="minorHAnsi"/>
        </w:rPr>
        <w:t xml:space="preserve">the entitlement limits of injured workers </w:t>
      </w:r>
    </w:p>
    <w:p w14:paraId="72F49971" w14:textId="77777777" w:rsidR="00290F75" w:rsidRPr="00290F75" w:rsidRDefault="00290F75" w:rsidP="00290F75">
      <w:pPr>
        <w:pStyle w:val="BulletListLevel1"/>
        <w:rPr>
          <w:rFonts w:eastAsiaTheme="minorHAnsi"/>
        </w:rPr>
      </w:pPr>
      <w:r w:rsidRPr="00290F75">
        <w:rPr>
          <w:rFonts w:eastAsiaTheme="minorHAnsi"/>
        </w:rPr>
        <w:t>recommended premium rates for workers’ compensation insurance policies</w:t>
      </w:r>
    </w:p>
    <w:p w14:paraId="2CAF76EB" w14:textId="0589C1F0" w:rsidR="00290F75" w:rsidRPr="00290F75" w:rsidRDefault="00290F75" w:rsidP="00290F75">
      <w:pPr>
        <w:pStyle w:val="BulletListLevel1"/>
        <w:rPr>
          <w:rFonts w:eastAsiaTheme="minorHAnsi"/>
        </w:rPr>
      </w:pPr>
      <w:r w:rsidRPr="00290F75">
        <w:rPr>
          <w:rFonts w:eastAsiaTheme="minorHAnsi"/>
        </w:rPr>
        <w:t xml:space="preserve">fees payable to medical and </w:t>
      </w:r>
      <w:r w:rsidR="00285E0B">
        <w:rPr>
          <w:rFonts w:eastAsiaTheme="minorHAnsi"/>
        </w:rPr>
        <w:t xml:space="preserve">allied </w:t>
      </w:r>
      <w:r w:rsidRPr="00290F75">
        <w:rPr>
          <w:rFonts w:eastAsiaTheme="minorHAnsi"/>
        </w:rPr>
        <w:t>health providers operating in the workers’ compensation scheme.</w:t>
      </w:r>
    </w:p>
    <w:p w14:paraId="6271DA61" w14:textId="5414AE36" w:rsidR="00290F75" w:rsidRPr="003370F3" w:rsidRDefault="00290F75" w:rsidP="00290F75">
      <w:pPr>
        <w:rPr>
          <w:rFonts w:eastAsiaTheme="minorHAnsi"/>
        </w:rPr>
      </w:pPr>
      <w:r w:rsidRPr="003370F3">
        <w:rPr>
          <w:rFonts w:eastAsiaTheme="minorHAnsi"/>
        </w:rPr>
        <w:t xml:space="preserve">Other scheme performance initiatives are </w:t>
      </w:r>
      <w:r>
        <w:rPr>
          <w:rFonts w:eastAsiaTheme="minorHAnsi"/>
        </w:rPr>
        <w:t>in this section</w:t>
      </w:r>
      <w:r w:rsidRPr="003370F3">
        <w:rPr>
          <w:rFonts w:eastAsiaTheme="minorHAnsi"/>
        </w:rPr>
        <w:t>.</w:t>
      </w:r>
    </w:p>
    <w:p w14:paraId="4D213663" w14:textId="1769CA09" w:rsidR="00290F75" w:rsidRDefault="00290F75" w:rsidP="005B6DC0">
      <w:pPr>
        <w:pStyle w:val="Heading2nonumber"/>
        <w:jc w:val="left"/>
      </w:pPr>
      <w:bookmarkStart w:id="350" w:name="_Toc525122008"/>
      <w:bookmarkEnd w:id="348"/>
      <w:r>
        <w:t>GP Clinical Guidelines for mental health</w:t>
      </w:r>
      <w:r w:rsidR="00544263">
        <w:t xml:space="preserve"> compensation claims</w:t>
      </w:r>
      <w:bookmarkEnd w:id="350"/>
    </w:p>
    <w:p w14:paraId="4580FA2A" w14:textId="394FA923" w:rsidR="00A35449" w:rsidRDefault="00A35449" w:rsidP="00A35449">
      <w:pPr>
        <w:rPr>
          <w:rFonts w:eastAsiaTheme="minorHAnsi"/>
        </w:rPr>
      </w:pPr>
      <w:r w:rsidRPr="00E525A2">
        <w:rPr>
          <w:rFonts w:eastAsiaTheme="minorHAnsi"/>
          <w:szCs w:val="22"/>
        </w:rPr>
        <w:t xml:space="preserve">The Institute for Safety Compensation and Recovery </w:t>
      </w:r>
      <w:r w:rsidRPr="00E92C14">
        <w:rPr>
          <w:rFonts w:eastAsiaTheme="minorHAnsi"/>
          <w:szCs w:val="22"/>
        </w:rPr>
        <w:t xml:space="preserve">Research (ISCRR), </w:t>
      </w:r>
      <w:r w:rsidRPr="00E525A2">
        <w:rPr>
          <w:rFonts w:eastAsiaTheme="minorHAnsi"/>
          <w:szCs w:val="22"/>
        </w:rPr>
        <w:t>in partnership with the Department of General Practice at Monash University</w:t>
      </w:r>
      <w:r w:rsidR="00285E0B">
        <w:rPr>
          <w:rFonts w:eastAsiaTheme="minorHAnsi"/>
          <w:szCs w:val="22"/>
        </w:rPr>
        <w:t xml:space="preserve"> (Monash)</w:t>
      </w:r>
      <w:r>
        <w:rPr>
          <w:rFonts w:eastAsiaTheme="minorHAnsi"/>
          <w:szCs w:val="22"/>
        </w:rPr>
        <w:t xml:space="preserve">, is undertaking a three-year project to deliver and implement </w:t>
      </w:r>
      <w:r>
        <w:rPr>
          <w:rFonts w:eastAsiaTheme="minorHAnsi"/>
        </w:rPr>
        <w:t>clinical guidelines to assist general practitioners manage patients with mental health compensation claims</w:t>
      </w:r>
    </w:p>
    <w:p w14:paraId="0009FD18" w14:textId="77777777" w:rsidR="00A35449" w:rsidRDefault="00A35449" w:rsidP="00A35449">
      <w:pPr>
        <w:rPr>
          <w:rFonts w:eastAsiaTheme="minorHAnsi"/>
          <w:szCs w:val="22"/>
        </w:rPr>
      </w:pPr>
      <w:r>
        <w:rPr>
          <w:rFonts w:eastAsiaTheme="minorHAnsi"/>
        </w:rPr>
        <w:t xml:space="preserve">WorkCover WA, along with a number of Australian </w:t>
      </w:r>
      <w:r>
        <w:rPr>
          <w:rFonts w:eastAsiaTheme="minorHAnsi"/>
          <w:szCs w:val="22"/>
        </w:rPr>
        <w:t>injury compensation jurisdictions, has offered financial support to the project, reflecting the national relevance and importance of the project.</w:t>
      </w:r>
    </w:p>
    <w:p w14:paraId="28F476DE" w14:textId="07BD1BC3" w:rsidR="00A35449" w:rsidRPr="00A35449" w:rsidRDefault="00A35449" w:rsidP="00A35449">
      <w:pPr>
        <w:rPr>
          <w:rFonts w:eastAsiaTheme="minorHAnsi"/>
          <w:szCs w:val="22"/>
        </w:rPr>
      </w:pPr>
      <w:r>
        <w:rPr>
          <w:rFonts w:eastAsiaTheme="minorHAnsi"/>
          <w:szCs w:val="22"/>
        </w:rPr>
        <w:t xml:space="preserve">Public consultation on draft clinical guidelines concluded in March 2018 and a final draft is likely to be submitted to the </w:t>
      </w:r>
      <w:r w:rsidRPr="00A01119">
        <w:rPr>
          <w:rFonts w:eastAsiaTheme="minorHAnsi"/>
          <w:szCs w:val="22"/>
        </w:rPr>
        <w:t>National Health and Medical Research Council</w:t>
      </w:r>
      <w:r>
        <w:rPr>
          <w:rFonts w:eastAsiaTheme="minorHAnsi"/>
          <w:szCs w:val="22"/>
        </w:rPr>
        <w:t xml:space="preserve"> for consideration in August 2018. The guidelines will then be considered for endorsement and promotion by relevant organisations including WorkCover WA. </w:t>
      </w:r>
    </w:p>
    <w:p w14:paraId="20489EB7" w14:textId="642B1975" w:rsidR="00290F75" w:rsidRDefault="00290F75" w:rsidP="005B6DC0">
      <w:pPr>
        <w:pStyle w:val="Heading2nonumber"/>
        <w:jc w:val="left"/>
      </w:pPr>
      <w:bookmarkStart w:id="351" w:name="_Toc525122009"/>
      <w:r>
        <w:t>A</w:t>
      </w:r>
      <w:r w:rsidR="00AF2FA9">
        <w:t>pproved medical specialists</w:t>
      </w:r>
      <w:r>
        <w:t xml:space="preserve"> – Designation criteria and training review</w:t>
      </w:r>
      <w:bookmarkEnd w:id="351"/>
    </w:p>
    <w:bookmarkEnd w:id="349"/>
    <w:p w14:paraId="2D106E56" w14:textId="77777777" w:rsidR="00A35449" w:rsidRPr="0007542D" w:rsidRDefault="00A35449" w:rsidP="00A35449">
      <w:pPr>
        <w:rPr>
          <w:rFonts w:eastAsiaTheme="minorHAnsi"/>
        </w:rPr>
      </w:pPr>
      <w:r>
        <w:rPr>
          <w:rFonts w:eastAsiaTheme="minorHAnsi"/>
        </w:rPr>
        <w:t xml:space="preserve">In 2016 WorkCover WA implemented the </w:t>
      </w:r>
      <w:r>
        <w:rPr>
          <w:rFonts w:eastAsiaTheme="minorHAnsi"/>
          <w:i/>
        </w:rPr>
        <w:t xml:space="preserve">National Guidelines </w:t>
      </w:r>
      <w:r w:rsidRPr="00994D47">
        <w:rPr>
          <w:rFonts w:eastAsiaTheme="minorHAnsi"/>
          <w:i/>
        </w:rPr>
        <w:t>for the Evaluation of Permanent Impairment</w:t>
      </w:r>
      <w:r w:rsidRPr="0007542D">
        <w:rPr>
          <w:rFonts w:eastAsiaTheme="minorHAnsi"/>
        </w:rPr>
        <w:t xml:space="preserve"> (National Guidelines).</w:t>
      </w:r>
    </w:p>
    <w:p w14:paraId="6A65A73E" w14:textId="77777777" w:rsidR="00A35449" w:rsidRDefault="00A35449" w:rsidP="00A35449">
      <w:pPr>
        <w:rPr>
          <w:rFonts w:eastAsiaTheme="minorHAnsi"/>
        </w:rPr>
      </w:pPr>
      <w:r>
        <w:rPr>
          <w:rFonts w:eastAsiaTheme="minorHAnsi"/>
        </w:rPr>
        <w:t>Following the implementation of the National Guidelines, WorkCover WA has undertaken an internal review of the designation criteria and training requirements to enable national training and recognition of interstate assessors of impairment.</w:t>
      </w:r>
    </w:p>
    <w:p w14:paraId="58CDD2BC" w14:textId="77777777" w:rsidR="00A35449" w:rsidRDefault="00A35449" w:rsidP="00A35449">
      <w:pPr>
        <w:rPr>
          <w:rFonts w:eastAsiaTheme="minorHAnsi"/>
        </w:rPr>
      </w:pPr>
      <w:r>
        <w:rPr>
          <w:rFonts w:eastAsiaTheme="minorHAnsi"/>
        </w:rPr>
        <w:t>The implementation of changes to the designation criteria and training for AMS will be subject to consultation as part of the development of a new workers’ compensation statute.</w:t>
      </w:r>
    </w:p>
    <w:p w14:paraId="77F4B277" w14:textId="5FA14047" w:rsidR="00E54FE6" w:rsidRDefault="00955994" w:rsidP="00AD6683">
      <w:pPr>
        <w:pStyle w:val="Heading2nonumber"/>
      </w:pPr>
      <w:bookmarkStart w:id="352" w:name="_Toc525122010"/>
      <w:bookmarkStart w:id="353" w:name="_Toc450900710"/>
      <w:bookmarkStart w:id="354" w:name="_Toc399316964"/>
      <w:bookmarkStart w:id="355" w:name="_Toc426617492"/>
      <w:r>
        <w:t>Review of Recommended Premium Rate Methodology</w:t>
      </w:r>
      <w:bookmarkEnd w:id="352"/>
    </w:p>
    <w:p w14:paraId="552FFADB" w14:textId="5A27A698" w:rsidR="005F58C8" w:rsidRPr="00145746" w:rsidRDefault="005F58C8" w:rsidP="005F58C8">
      <w:pPr>
        <w:rPr>
          <w:rFonts w:eastAsiaTheme="minorHAnsi"/>
          <w:szCs w:val="22"/>
        </w:rPr>
      </w:pPr>
      <w:r w:rsidRPr="00145746">
        <w:rPr>
          <w:rFonts w:eastAsiaTheme="minorHAnsi"/>
          <w:szCs w:val="22"/>
        </w:rPr>
        <w:t xml:space="preserve">The purpose of this project was to review data development issues associated with transition to </w:t>
      </w:r>
      <w:r w:rsidR="00BA2ED2">
        <w:rPr>
          <w:rFonts w:eastAsiaTheme="minorHAnsi"/>
          <w:szCs w:val="22"/>
        </w:rPr>
        <w:t xml:space="preserve">new industry premium rating classifications based on </w:t>
      </w:r>
      <w:r w:rsidRPr="00145746">
        <w:rPr>
          <w:rFonts w:eastAsiaTheme="minorHAnsi"/>
          <w:szCs w:val="22"/>
        </w:rPr>
        <w:t xml:space="preserve">ANZSIC 2006 and </w:t>
      </w:r>
      <w:r w:rsidR="00BA2ED2">
        <w:rPr>
          <w:rFonts w:eastAsiaTheme="minorHAnsi"/>
          <w:szCs w:val="22"/>
        </w:rPr>
        <w:t xml:space="preserve">to </w:t>
      </w:r>
      <w:r w:rsidRPr="00145746">
        <w:rPr>
          <w:rFonts w:eastAsiaTheme="minorHAnsi"/>
          <w:szCs w:val="22"/>
        </w:rPr>
        <w:t>consider alternative premium rating methodologies for calculating recommended premium rates.</w:t>
      </w:r>
    </w:p>
    <w:p w14:paraId="2CB773BC" w14:textId="7B64F8DC" w:rsidR="005F58C8" w:rsidRDefault="005F58C8" w:rsidP="005F58C8">
      <w:pPr>
        <w:rPr>
          <w:rFonts w:eastAsiaTheme="minorHAnsi"/>
          <w:szCs w:val="22"/>
        </w:rPr>
      </w:pPr>
      <w:r w:rsidRPr="00145746">
        <w:rPr>
          <w:rFonts w:eastAsiaTheme="minorHAnsi"/>
          <w:szCs w:val="22"/>
        </w:rPr>
        <w:t xml:space="preserve">The review of the premium rating methodology </w:t>
      </w:r>
      <w:r w:rsidR="00DF3193">
        <w:rPr>
          <w:rFonts w:eastAsiaTheme="minorHAnsi"/>
          <w:szCs w:val="22"/>
        </w:rPr>
        <w:t>sought</w:t>
      </w:r>
      <w:r w:rsidR="009F3412">
        <w:rPr>
          <w:rFonts w:eastAsiaTheme="minorHAnsi"/>
          <w:szCs w:val="22"/>
        </w:rPr>
        <w:t xml:space="preserve"> to</w:t>
      </w:r>
      <w:r w:rsidRPr="00145746">
        <w:rPr>
          <w:rFonts w:eastAsiaTheme="minorHAnsi"/>
          <w:szCs w:val="22"/>
        </w:rPr>
        <w:t xml:space="preserve"> ensure premium rates remain fair and sustainable.</w:t>
      </w:r>
    </w:p>
    <w:p w14:paraId="7D1AB676" w14:textId="64CA602E" w:rsidR="005F58C8" w:rsidRDefault="005F58C8" w:rsidP="005F58C8">
      <w:pPr>
        <w:rPr>
          <w:rFonts w:eastAsiaTheme="minorHAnsi"/>
          <w:szCs w:val="22"/>
        </w:rPr>
      </w:pPr>
      <w:r>
        <w:rPr>
          <w:rFonts w:eastAsiaTheme="minorHAnsi"/>
          <w:szCs w:val="22"/>
        </w:rPr>
        <w:t xml:space="preserve">The Board approved the </w:t>
      </w:r>
      <w:r w:rsidR="00BA2ED2">
        <w:rPr>
          <w:rFonts w:eastAsiaTheme="minorHAnsi"/>
          <w:szCs w:val="22"/>
        </w:rPr>
        <w:t>transition to new industry premium rate classifications commencing with the</w:t>
      </w:r>
      <w:r>
        <w:rPr>
          <w:rFonts w:eastAsiaTheme="minorHAnsi"/>
          <w:szCs w:val="22"/>
        </w:rPr>
        <w:t xml:space="preserve"> 2018/19 recommended premium rates.</w:t>
      </w:r>
      <w:r w:rsidR="00501257">
        <w:rPr>
          <w:rFonts w:eastAsiaTheme="minorHAnsi"/>
          <w:szCs w:val="22"/>
        </w:rPr>
        <w:t xml:space="preserve"> </w:t>
      </w:r>
      <w:r w:rsidR="00501257" w:rsidRPr="00501257">
        <w:t>A temporary high and low limit to the change in premium rates has been applied to assist in managing the financial impact on employers associated with the transition to the new classifications.</w:t>
      </w:r>
    </w:p>
    <w:p w14:paraId="2151C608" w14:textId="1EB1DFD9" w:rsidR="00AA06F2" w:rsidRDefault="005F58C8" w:rsidP="00AA06F2">
      <w:pPr>
        <w:pStyle w:val="Heading2nonumber"/>
      </w:pPr>
      <w:bookmarkStart w:id="356" w:name="_Toc525122011"/>
      <w:r>
        <w:t>Focus on injury management and return to work</w:t>
      </w:r>
      <w:bookmarkEnd w:id="356"/>
    </w:p>
    <w:p w14:paraId="1B42946D" w14:textId="18E76A92" w:rsidR="00A35449" w:rsidRDefault="00A35449" w:rsidP="00A35449">
      <w:pPr>
        <w:rPr>
          <w:rFonts w:eastAsiaTheme="minorHAnsi"/>
          <w:szCs w:val="22"/>
        </w:rPr>
      </w:pPr>
      <w:bookmarkStart w:id="357" w:name="_Toc450900712"/>
      <w:bookmarkEnd w:id="353"/>
      <w:r w:rsidRPr="007279BB">
        <w:rPr>
          <w:rFonts w:eastAsiaTheme="minorHAnsi"/>
          <w:szCs w:val="22"/>
        </w:rPr>
        <w:t>WorkCover WA was involved with a Safe</w:t>
      </w:r>
      <w:r w:rsidR="00516777">
        <w:rPr>
          <w:rFonts w:eastAsiaTheme="minorHAnsi"/>
          <w:szCs w:val="22"/>
        </w:rPr>
        <w:t xml:space="preserve"> </w:t>
      </w:r>
      <w:r w:rsidRPr="007279BB">
        <w:rPr>
          <w:rFonts w:eastAsiaTheme="minorHAnsi"/>
          <w:szCs w:val="22"/>
        </w:rPr>
        <w:t>Work Australia project to develop a best practice framework for the management of psychological injury claims. The objective of the project was to adapt SuperFriend’s group life insurance psychological claims manag</w:t>
      </w:r>
      <w:r w:rsidRPr="00211374">
        <w:rPr>
          <w:rFonts w:eastAsiaTheme="minorHAnsi"/>
          <w:szCs w:val="22"/>
        </w:rPr>
        <w:t>ement framework for the Australian workers’ compensation sector</w:t>
      </w:r>
      <w:r>
        <w:rPr>
          <w:rFonts w:eastAsiaTheme="minorHAnsi"/>
          <w:szCs w:val="22"/>
        </w:rPr>
        <w:t>.</w:t>
      </w:r>
    </w:p>
    <w:p w14:paraId="6444E473" w14:textId="77777777" w:rsidR="00A35449" w:rsidRDefault="00A35449" w:rsidP="00A35449">
      <w:pPr>
        <w:rPr>
          <w:rFonts w:eastAsiaTheme="minorHAnsi"/>
          <w:szCs w:val="22"/>
        </w:rPr>
      </w:pPr>
      <w:r>
        <w:rPr>
          <w:rFonts w:eastAsiaTheme="minorHAnsi"/>
          <w:szCs w:val="22"/>
        </w:rPr>
        <w:t xml:space="preserve">This project has been finalised with the publication of the </w:t>
      </w:r>
      <w:r w:rsidRPr="00107081">
        <w:rPr>
          <w:rFonts w:eastAsiaTheme="minorHAnsi"/>
          <w:i/>
          <w:szCs w:val="22"/>
        </w:rPr>
        <w:t>Taking Action: A Best Practice Framework for the Management of Psychological Claims in the Australian Workers’ Compensation</w:t>
      </w:r>
      <w:r>
        <w:rPr>
          <w:rFonts w:eastAsiaTheme="minorHAnsi"/>
          <w:szCs w:val="22"/>
        </w:rPr>
        <w:t xml:space="preserve"> </w:t>
      </w:r>
      <w:r w:rsidRPr="00994D47">
        <w:rPr>
          <w:rFonts w:eastAsiaTheme="minorHAnsi"/>
          <w:i/>
          <w:szCs w:val="22"/>
        </w:rPr>
        <w:t>Sector</w:t>
      </w:r>
      <w:r>
        <w:rPr>
          <w:rFonts w:eastAsiaTheme="minorHAnsi"/>
          <w:szCs w:val="22"/>
        </w:rPr>
        <w:t>, which WorkCover WA has promoted with insurers and self-insurers for adoption or integration into claim management practices.</w:t>
      </w:r>
    </w:p>
    <w:p w14:paraId="41FCFB3A" w14:textId="77777777" w:rsidR="00A35449" w:rsidRPr="00BA2ED2" w:rsidRDefault="00A35449" w:rsidP="00A35449">
      <w:pPr>
        <w:rPr>
          <w:rFonts w:eastAsiaTheme="minorHAnsi"/>
          <w:szCs w:val="22"/>
        </w:rPr>
      </w:pPr>
      <w:r>
        <w:rPr>
          <w:rFonts w:eastAsiaTheme="minorHAnsi"/>
          <w:szCs w:val="22"/>
        </w:rPr>
        <w:t xml:space="preserve">In June 2018 Safe Work Australia also released the national guide </w:t>
      </w:r>
      <w:r w:rsidRPr="00107081">
        <w:rPr>
          <w:rFonts w:eastAsiaTheme="minorHAnsi"/>
          <w:i/>
          <w:szCs w:val="22"/>
        </w:rPr>
        <w:t>Work-related psychological health and safety – A systematic approach to meeting your duties</w:t>
      </w:r>
      <w:r>
        <w:rPr>
          <w:rFonts w:eastAsiaTheme="minorHAnsi"/>
          <w:szCs w:val="22"/>
        </w:rPr>
        <w:t xml:space="preserve">. </w:t>
      </w:r>
    </w:p>
    <w:p w14:paraId="0AB5B538" w14:textId="422B6484" w:rsidR="003543E3" w:rsidRPr="003543E3" w:rsidRDefault="007809F4" w:rsidP="00E12A00">
      <w:pPr>
        <w:pStyle w:val="Heading1nonumber"/>
      </w:pPr>
      <w:bookmarkStart w:id="358" w:name="_Toc525122012"/>
      <w:r>
        <w:t xml:space="preserve">Progressing </w:t>
      </w:r>
      <w:r w:rsidR="00854400">
        <w:t>l</w:t>
      </w:r>
      <w:r>
        <w:t xml:space="preserve">egislative </w:t>
      </w:r>
      <w:r w:rsidR="00854400">
        <w:t>r</w:t>
      </w:r>
      <w:r>
        <w:t>eform</w:t>
      </w:r>
      <w:bookmarkEnd w:id="354"/>
      <w:bookmarkEnd w:id="355"/>
      <w:bookmarkEnd w:id="357"/>
      <w:bookmarkEnd w:id="358"/>
    </w:p>
    <w:tbl>
      <w:tblPr>
        <w:tblW w:w="9072" w:type="dxa"/>
        <w:tblInd w:w="80"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Pr>
      <w:tblGrid>
        <w:gridCol w:w="2217"/>
        <w:gridCol w:w="3090"/>
        <w:gridCol w:w="3765"/>
      </w:tblGrid>
      <w:tr w:rsidR="00794A0D" w:rsidRPr="00630BE0" w14:paraId="30738648" w14:textId="77777777" w:rsidTr="00E92C14">
        <w:trPr>
          <w:trHeight w:val="60"/>
        </w:trPr>
        <w:tc>
          <w:tcPr>
            <w:tcW w:w="2217" w:type="dxa"/>
            <w:vMerge w:val="restart"/>
            <w:shd w:val="clear" w:color="auto" w:fill="003F5F"/>
            <w:tcMar>
              <w:top w:w="113" w:type="dxa"/>
              <w:left w:w="80" w:type="dxa"/>
              <w:bottom w:w="113" w:type="dxa"/>
              <w:right w:w="80" w:type="dxa"/>
            </w:tcMar>
          </w:tcPr>
          <w:p w14:paraId="01A5E4C2" w14:textId="77777777" w:rsidR="00E22526" w:rsidRPr="006F2E4C" w:rsidRDefault="00794A0D" w:rsidP="00794A0D">
            <w:pPr>
              <w:rPr>
                <w:rStyle w:val="Strong"/>
                <w:color w:val="FFFFFF" w:themeColor="background2"/>
              </w:rPr>
            </w:pPr>
            <w:r w:rsidRPr="006F2E4C">
              <w:rPr>
                <w:rStyle w:val="Strong"/>
                <w:color w:val="FFFFFF" w:themeColor="background2"/>
              </w:rPr>
              <w:t>This scheme service contributes to, and is aligned with:</w:t>
            </w:r>
          </w:p>
          <w:p w14:paraId="5445A1AB" w14:textId="77777777" w:rsidR="00E22526" w:rsidRDefault="00E22526" w:rsidP="00E22526"/>
          <w:p w14:paraId="0E5809FF" w14:textId="77777777" w:rsidR="00E22526" w:rsidRPr="00E22526" w:rsidRDefault="00E22526" w:rsidP="00E22526"/>
          <w:p w14:paraId="628437A7" w14:textId="77777777" w:rsidR="00794A0D" w:rsidRPr="00E22526" w:rsidRDefault="00794A0D" w:rsidP="00E22526">
            <w:pPr>
              <w:ind w:firstLine="720"/>
            </w:pPr>
          </w:p>
        </w:tc>
        <w:tc>
          <w:tcPr>
            <w:tcW w:w="3090" w:type="dxa"/>
            <w:shd w:val="clear" w:color="auto" w:fill="003F5F"/>
            <w:tcMar>
              <w:top w:w="113" w:type="dxa"/>
              <w:left w:w="80" w:type="dxa"/>
              <w:bottom w:w="113" w:type="dxa"/>
              <w:right w:w="80" w:type="dxa"/>
            </w:tcMar>
          </w:tcPr>
          <w:p w14:paraId="0557EE78" w14:textId="59E99AAC" w:rsidR="00794A0D" w:rsidRPr="006F2E4C" w:rsidRDefault="00826282" w:rsidP="00794A0D">
            <w:pPr>
              <w:rPr>
                <w:rStyle w:val="Strong"/>
                <w:color w:val="FFFFFF" w:themeColor="background2"/>
              </w:rPr>
            </w:pPr>
            <w:r>
              <w:rPr>
                <w:rStyle w:val="Strong"/>
                <w:color w:val="FFFFFF" w:themeColor="background2"/>
              </w:rPr>
              <w:t>Government Goals</w:t>
            </w:r>
          </w:p>
        </w:tc>
        <w:tc>
          <w:tcPr>
            <w:tcW w:w="3765" w:type="dxa"/>
            <w:shd w:val="clear" w:color="auto" w:fill="003F5F"/>
            <w:tcMar>
              <w:top w:w="113" w:type="dxa"/>
              <w:left w:w="80" w:type="dxa"/>
              <w:bottom w:w="113" w:type="dxa"/>
              <w:right w:w="80" w:type="dxa"/>
            </w:tcMar>
          </w:tcPr>
          <w:p w14:paraId="19641B2E" w14:textId="71DF9AB6" w:rsidR="00794A0D" w:rsidRPr="006F2E4C" w:rsidRDefault="00616E8C" w:rsidP="00794A0D">
            <w:pPr>
              <w:rPr>
                <w:rStyle w:val="Strong"/>
                <w:color w:val="FFFFFF" w:themeColor="background2"/>
              </w:rPr>
            </w:pPr>
            <w:r w:rsidRPr="006F2E4C">
              <w:rPr>
                <w:rStyle w:val="Strong"/>
                <w:color w:val="FFFFFF" w:themeColor="background2"/>
              </w:rPr>
              <w:t>WorkCover WA</w:t>
            </w:r>
            <w:r w:rsidR="00513DDF" w:rsidRPr="006F2E4C">
              <w:rPr>
                <w:rStyle w:val="Strong"/>
                <w:color w:val="FFFFFF" w:themeColor="background2"/>
              </w:rPr>
              <w:t xml:space="preserve"> strategic g</w:t>
            </w:r>
            <w:r w:rsidR="00794A0D" w:rsidRPr="006F2E4C">
              <w:rPr>
                <w:rStyle w:val="Strong"/>
                <w:color w:val="FFFFFF" w:themeColor="background2"/>
              </w:rPr>
              <w:t>oal</w:t>
            </w:r>
            <w:r w:rsidR="00826282">
              <w:rPr>
                <w:rStyle w:val="Strong"/>
                <w:color w:val="FFFFFF" w:themeColor="background2"/>
              </w:rPr>
              <w:t>s</w:t>
            </w:r>
          </w:p>
        </w:tc>
      </w:tr>
      <w:tr w:rsidR="00794A0D" w:rsidRPr="005D768A" w14:paraId="0D829C09" w14:textId="77777777" w:rsidTr="00E92C14">
        <w:trPr>
          <w:trHeight w:val="2995"/>
        </w:trPr>
        <w:tc>
          <w:tcPr>
            <w:tcW w:w="2217" w:type="dxa"/>
            <w:vMerge/>
            <w:shd w:val="clear" w:color="auto" w:fill="003F5F"/>
          </w:tcPr>
          <w:p w14:paraId="5AF35870" w14:textId="77777777" w:rsidR="00794A0D" w:rsidRPr="005D768A" w:rsidRDefault="00794A0D" w:rsidP="00794A0D">
            <w:pPr>
              <w:rPr>
                <w:lang w:eastAsia="en-AU"/>
              </w:rPr>
            </w:pPr>
          </w:p>
        </w:tc>
        <w:tc>
          <w:tcPr>
            <w:tcW w:w="3090" w:type="dxa"/>
            <w:tcMar>
              <w:top w:w="113" w:type="dxa"/>
              <w:left w:w="80" w:type="dxa"/>
              <w:bottom w:w="113" w:type="dxa"/>
              <w:right w:w="80" w:type="dxa"/>
            </w:tcMar>
          </w:tcPr>
          <w:p w14:paraId="4494AA30" w14:textId="16959898" w:rsidR="00C86431" w:rsidRPr="00E92C14" w:rsidRDefault="003543E3" w:rsidP="00C86431">
            <w:pPr>
              <w:rPr>
                <w:rStyle w:val="Strong"/>
                <w:b w:val="0"/>
              </w:rPr>
            </w:pPr>
            <w:r w:rsidRPr="00E92C14">
              <w:rPr>
                <w:rStyle w:val="Strong"/>
                <w:b w:val="0"/>
              </w:rPr>
              <w:t>Sustainable finances</w:t>
            </w:r>
          </w:p>
          <w:p w14:paraId="1651C3B0" w14:textId="1E6DDEF6" w:rsidR="00C86431" w:rsidRPr="00E92C14" w:rsidRDefault="003543E3" w:rsidP="00C86431">
            <w:pPr>
              <w:rPr>
                <w:rStyle w:val="Strong"/>
                <w:b w:val="0"/>
              </w:rPr>
            </w:pPr>
            <w:r w:rsidRPr="00E92C14">
              <w:rPr>
                <w:rStyle w:val="Strong"/>
                <w:b w:val="0"/>
              </w:rPr>
              <w:t>Strong communities</w:t>
            </w:r>
          </w:p>
          <w:p w14:paraId="59CCFF04" w14:textId="780F4DB1" w:rsidR="00794A0D" w:rsidRPr="006F2E4C" w:rsidRDefault="00794A0D" w:rsidP="00C86431"/>
        </w:tc>
        <w:tc>
          <w:tcPr>
            <w:tcW w:w="3765" w:type="dxa"/>
            <w:tcMar>
              <w:top w:w="113" w:type="dxa"/>
              <w:left w:w="80" w:type="dxa"/>
              <w:bottom w:w="113" w:type="dxa"/>
              <w:right w:w="80" w:type="dxa"/>
            </w:tcMar>
          </w:tcPr>
          <w:p w14:paraId="4A8C7B3C" w14:textId="0A68EF2D" w:rsidR="00794E46" w:rsidRPr="006F2E4C" w:rsidRDefault="00C86431" w:rsidP="0096027A">
            <w:pPr>
              <w:rPr>
                <w:rStyle w:val="Strong"/>
                <w:b w:val="0"/>
              </w:rPr>
            </w:pPr>
            <w:r w:rsidRPr="006F2E4C">
              <w:rPr>
                <w:rStyle w:val="Strong"/>
                <w:b w:val="0"/>
              </w:rPr>
              <w:t xml:space="preserve">1 – Strategic </w:t>
            </w:r>
            <w:r w:rsidR="00513DDF" w:rsidRPr="006F2E4C">
              <w:rPr>
                <w:rStyle w:val="Strong"/>
                <w:b w:val="0"/>
              </w:rPr>
              <w:t>s</w:t>
            </w:r>
            <w:r w:rsidRPr="006F2E4C">
              <w:rPr>
                <w:rStyle w:val="Strong"/>
                <w:b w:val="0"/>
              </w:rPr>
              <w:t xml:space="preserve">cheme </w:t>
            </w:r>
            <w:r w:rsidR="00513DDF" w:rsidRPr="006F2E4C">
              <w:rPr>
                <w:rStyle w:val="Strong"/>
                <w:b w:val="0"/>
              </w:rPr>
              <w:t>m</w:t>
            </w:r>
            <w:r w:rsidRPr="006F2E4C">
              <w:rPr>
                <w:rStyle w:val="Strong"/>
                <w:b w:val="0"/>
              </w:rPr>
              <w:t>anagement</w:t>
            </w:r>
          </w:p>
          <w:p w14:paraId="138DFC71" w14:textId="491A3C50" w:rsidR="009C0728" w:rsidRPr="006F2E4C" w:rsidRDefault="009C0728" w:rsidP="0096027A">
            <w:pPr>
              <w:rPr>
                <w:rStyle w:val="Strong"/>
                <w:b w:val="0"/>
              </w:rPr>
            </w:pPr>
            <w:r w:rsidRPr="006F2E4C">
              <w:rPr>
                <w:rStyle w:val="Strong"/>
                <w:b w:val="0"/>
              </w:rPr>
              <w:t>2 – Leadership</w:t>
            </w:r>
          </w:p>
          <w:p w14:paraId="2860329E" w14:textId="788968F5" w:rsidR="00794E46" w:rsidRPr="006F2E4C" w:rsidRDefault="00794E46" w:rsidP="00794E46">
            <w:pPr>
              <w:rPr>
                <w:bCs/>
              </w:rPr>
            </w:pPr>
          </w:p>
        </w:tc>
      </w:tr>
    </w:tbl>
    <w:p w14:paraId="79BBB174" w14:textId="77777777" w:rsidR="004A7F08" w:rsidRDefault="004A7F08" w:rsidP="00FD5CF9">
      <w:pPr>
        <w:rPr>
          <w:rFonts w:cs="Arial"/>
          <w:iCs/>
        </w:rPr>
      </w:pPr>
    </w:p>
    <w:p w14:paraId="7108EBEA" w14:textId="020F5121" w:rsidR="00A238DD" w:rsidRPr="00A64808" w:rsidRDefault="00C87F2D" w:rsidP="00A238DD">
      <w:pPr>
        <w:pStyle w:val="Heading2nonumber"/>
      </w:pPr>
      <w:bookmarkStart w:id="359" w:name="_Toc525122013"/>
      <w:bookmarkStart w:id="360" w:name="_Toc399316969"/>
      <w:bookmarkStart w:id="361" w:name="_Toc426617495"/>
      <w:r>
        <w:t>Entitlements for dependants of deceased workers</w:t>
      </w:r>
      <w:bookmarkEnd w:id="359"/>
    </w:p>
    <w:p w14:paraId="4A4B967C" w14:textId="77777777" w:rsidR="00C87F2D" w:rsidRPr="005D38C4" w:rsidRDefault="00C87F2D" w:rsidP="00C87F2D">
      <w:pPr>
        <w:tabs>
          <w:tab w:val="center" w:pos="4513"/>
        </w:tabs>
        <w:rPr>
          <w:rFonts w:eastAsiaTheme="minorHAnsi"/>
          <w:szCs w:val="22"/>
        </w:rPr>
      </w:pPr>
      <w:bookmarkStart w:id="362" w:name="_Toc450900715"/>
      <w:r>
        <w:rPr>
          <w:rFonts w:eastAsiaTheme="minorHAnsi"/>
          <w:szCs w:val="22"/>
        </w:rPr>
        <w:t>Previously,</w:t>
      </w:r>
      <w:r w:rsidRPr="005D38C4">
        <w:rPr>
          <w:rFonts w:eastAsiaTheme="minorHAnsi"/>
          <w:szCs w:val="22"/>
        </w:rPr>
        <w:t xml:space="preserve"> legislation relating to entitlements for dependants of deceased workers </w:t>
      </w:r>
      <w:r>
        <w:rPr>
          <w:rFonts w:eastAsiaTheme="minorHAnsi"/>
          <w:szCs w:val="22"/>
        </w:rPr>
        <w:t>was</w:t>
      </w:r>
      <w:r w:rsidRPr="005D38C4">
        <w:rPr>
          <w:rFonts w:eastAsiaTheme="minorHAnsi"/>
          <w:szCs w:val="22"/>
        </w:rPr>
        <w:t xml:space="preserve"> complex and difficult to navigate, particularly in the context of having lost a family member to a workplace accident.</w:t>
      </w:r>
    </w:p>
    <w:p w14:paraId="50D8EE4F" w14:textId="5B1F4B65" w:rsidR="00C87F2D" w:rsidRDefault="00C87F2D" w:rsidP="00C87F2D">
      <w:pPr>
        <w:rPr>
          <w:szCs w:val="22"/>
        </w:rPr>
      </w:pPr>
      <w:r w:rsidRPr="00FB4A72">
        <w:rPr>
          <w:szCs w:val="22"/>
        </w:rPr>
        <w:t xml:space="preserve">In </w:t>
      </w:r>
      <w:r>
        <w:rPr>
          <w:szCs w:val="22"/>
        </w:rPr>
        <w:t>late</w:t>
      </w:r>
      <w:r w:rsidRPr="00FB4A72">
        <w:rPr>
          <w:szCs w:val="22"/>
        </w:rPr>
        <w:t xml:space="preserve"> 2017, the Minister for Commerce and Industrial Relations </w:t>
      </w:r>
      <w:r>
        <w:rPr>
          <w:szCs w:val="22"/>
        </w:rPr>
        <w:t>introduced a Bill into Parliament</w:t>
      </w:r>
      <w:r w:rsidRPr="00FB4A72">
        <w:rPr>
          <w:szCs w:val="22"/>
        </w:rPr>
        <w:t xml:space="preserve"> </w:t>
      </w:r>
      <w:r>
        <w:rPr>
          <w:szCs w:val="22"/>
        </w:rPr>
        <w:t xml:space="preserve">to </w:t>
      </w:r>
      <w:r w:rsidRPr="00FB4A72">
        <w:rPr>
          <w:szCs w:val="22"/>
        </w:rPr>
        <w:t xml:space="preserve">significantly increase the level of compensation and support for dependants of workers </w:t>
      </w:r>
      <w:r w:rsidR="00F1472F">
        <w:rPr>
          <w:szCs w:val="22"/>
        </w:rPr>
        <w:t>killed at work</w:t>
      </w:r>
      <w:r w:rsidRPr="00FB4A72">
        <w:rPr>
          <w:szCs w:val="22"/>
        </w:rPr>
        <w:t xml:space="preserve">. </w:t>
      </w:r>
    </w:p>
    <w:p w14:paraId="36F7205D" w14:textId="4CBF06DD" w:rsidR="002B3B46" w:rsidRDefault="00C87F2D" w:rsidP="00C87F2D">
      <w:pPr>
        <w:rPr>
          <w:szCs w:val="22"/>
        </w:rPr>
      </w:pPr>
      <w:r>
        <w:rPr>
          <w:szCs w:val="22"/>
        </w:rPr>
        <w:t xml:space="preserve">The </w:t>
      </w:r>
      <w:r w:rsidRPr="00655CF1">
        <w:rPr>
          <w:i/>
          <w:szCs w:val="22"/>
        </w:rPr>
        <w:t xml:space="preserve">Workers’ Compensation and Injury Management Amendment </w:t>
      </w:r>
      <w:r>
        <w:rPr>
          <w:i/>
          <w:szCs w:val="22"/>
        </w:rPr>
        <w:t>Act</w:t>
      </w:r>
      <w:r w:rsidR="00A35449">
        <w:rPr>
          <w:i/>
          <w:szCs w:val="22"/>
        </w:rPr>
        <w:t xml:space="preserve"> 2018</w:t>
      </w:r>
      <w:r>
        <w:rPr>
          <w:szCs w:val="22"/>
        </w:rPr>
        <w:t xml:space="preserve"> was passed by both houses of Parliament and commenced operation </w:t>
      </w:r>
      <w:r w:rsidRPr="00A35449">
        <w:rPr>
          <w:szCs w:val="22"/>
        </w:rPr>
        <w:t xml:space="preserve">on </w:t>
      </w:r>
      <w:r w:rsidR="00A35449" w:rsidRPr="00A35449">
        <w:rPr>
          <w:szCs w:val="22"/>
        </w:rPr>
        <w:t>1 July 2018</w:t>
      </w:r>
      <w:r w:rsidR="002B3B46" w:rsidRPr="00A35449">
        <w:rPr>
          <w:szCs w:val="22"/>
        </w:rPr>
        <w:t>.</w:t>
      </w:r>
    </w:p>
    <w:p w14:paraId="52A0FE07" w14:textId="77777777" w:rsidR="00C87F2D" w:rsidRPr="00FB4A72" w:rsidRDefault="00C87F2D" w:rsidP="00C87F2D">
      <w:pPr>
        <w:rPr>
          <w:szCs w:val="22"/>
        </w:rPr>
      </w:pPr>
      <w:r>
        <w:rPr>
          <w:szCs w:val="22"/>
        </w:rPr>
        <w:t>The new provisions provide for</w:t>
      </w:r>
      <w:r w:rsidRPr="00FB4A72">
        <w:rPr>
          <w:szCs w:val="22"/>
        </w:rPr>
        <w:t>:</w:t>
      </w:r>
    </w:p>
    <w:p w14:paraId="053E27E4" w14:textId="617B2750" w:rsidR="00C87F2D" w:rsidRPr="00C87F2D" w:rsidRDefault="00C87F2D" w:rsidP="00C87F2D">
      <w:pPr>
        <w:pStyle w:val="BulletListLevel1"/>
      </w:pPr>
      <w:r w:rsidRPr="00C87F2D">
        <w:t xml:space="preserve">an increase in the lump sum compensation </w:t>
      </w:r>
      <w:r w:rsidR="00785BFA">
        <w:t xml:space="preserve">payable to dependants </w:t>
      </w:r>
      <w:r w:rsidRPr="00C87F2D">
        <w:t>to over half a million dollars</w:t>
      </w:r>
    </w:p>
    <w:p w14:paraId="3C8D0509" w14:textId="4CA01A41" w:rsidR="00C87F2D" w:rsidRPr="00C87F2D" w:rsidRDefault="00C87F2D" w:rsidP="00C87F2D">
      <w:pPr>
        <w:pStyle w:val="BulletListLevel1"/>
      </w:pPr>
      <w:r w:rsidRPr="00C87F2D">
        <w:t xml:space="preserve">more than doubling the weekly allowance for each dependent child </w:t>
      </w:r>
    </w:p>
    <w:p w14:paraId="0906EE62" w14:textId="77777777" w:rsidR="00C87F2D" w:rsidRPr="00C87F2D" w:rsidRDefault="00C87F2D" w:rsidP="00C87F2D">
      <w:pPr>
        <w:pStyle w:val="BulletListLevel1"/>
      </w:pPr>
      <w:r w:rsidRPr="00C87F2D">
        <w:t>de facto partners having access to compensation on a similar footing to married spouses</w:t>
      </w:r>
    </w:p>
    <w:p w14:paraId="69F3DD59" w14:textId="77777777" w:rsidR="00C87F2D" w:rsidRDefault="00C87F2D" w:rsidP="00C87F2D">
      <w:pPr>
        <w:pStyle w:val="BulletListLevel1"/>
      </w:pPr>
      <w:r w:rsidRPr="00C87F2D">
        <w:t>an expedited claims process.</w:t>
      </w:r>
    </w:p>
    <w:p w14:paraId="2F2C5D8A" w14:textId="243837F4" w:rsidR="00124106" w:rsidRPr="00CB699B" w:rsidRDefault="00DF3193" w:rsidP="00A11EDB">
      <w:r>
        <w:t>These amendments are</w:t>
      </w:r>
      <w:r w:rsidR="006F0EE8">
        <w:t xml:space="preserve"> part of a larger legislative review that</w:t>
      </w:r>
      <w:r w:rsidR="006F0EE8" w:rsidRPr="005B6DC0">
        <w:t xml:space="preserve"> will develop a new workers’ compensation statute. For more information see the ‘Legislative Review’ section on </w:t>
      </w:r>
      <w:r w:rsidR="006F0EE8" w:rsidRPr="00E47B67">
        <w:t xml:space="preserve">page </w:t>
      </w:r>
      <w:r w:rsidR="00E47B67" w:rsidRPr="00E47B67">
        <w:t>31</w:t>
      </w:r>
      <w:r w:rsidR="006F0EE8" w:rsidRPr="00E47B67">
        <w:t>.</w:t>
      </w:r>
    </w:p>
    <w:p w14:paraId="00BAED62" w14:textId="380B93A8" w:rsidR="007809F4" w:rsidRDefault="007809F4" w:rsidP="00FD5CF9">
      <w:pPr>
        <w:pStyle w:val="Heading1nonumber"/>
      </w:pPr>
      <w:bookmarkStart w:id="363" w:name="_Toc525122014"/>
      <w:r>
        <w:t>Service 2: Scheme Services</w:t>
      </w:r>
      <w:bookmarkEnd w:id="360"/>
      <w:bookmarkEnd w:id="361"/>
      <w:bookmarkEnd w:id="362"/>
      <w:bookmarkEnd w:id="363"/>
    </w:p>
    <w:p w14:paraId="22F21CCE" w14:textId="77777777" w:rsidR="00251CF7" w:rsidRDefault="003779B6" w:rsidP="001248E0">
      <w:pPr>
        <w:rPr>
          <w:rStyle w:val="Emphasis"/>
        </w:rPr>
      </w:pPr>
      <w:r w:rsidRPr="003779B6">
        <w:rPr>
          <w:rStyle w:val="Emphasis"/>
        </w:rPr>
        <w:t>Provision of effective and equitable dispute resolution and other services to scheme participants</w:t>
      </w:r>
      <w:r w:rsidR="00251CF7">
        <w:rPr>
          <w:rStyle w:val="Emphasis"/>
        </w:rPr>
        <w:t>.</w:t>
      </w:r>
    </w:p>
    <w:p w14:paraId="1114EDCC" w14:textId="4FD5B13A" w:rsidR="00FA554F" w:rsidRPr="00893E9C" w:rsidRDefault="00991436" w:rsidP="00E703B1">
      <w:pPr>
        <w:pStyle w:val="Heading1nonumber"/>
      </w:pPr>
      <w:bookmarkStart w:id="364" w:name="_Toc399316970"/>
      <w:bookmarkStart w:id="365" w:name="_Toc426617496"/>
      <w:bookmarkStart w:id="366" w:name="_Toc450900716"/>
      <w:bookmarkStart w:id="367" w:name="_Toc525122015"/>
      <w:r w:rsidRPr="00745265">
        <w:t>Resolving disputes</w:t>
      </w:r>
      <w:bookmarkEnd w:id="364"/>
      <w:bookmarkEnd w:id="365"/>
      <w:bookmarkEnd w:id="366"/>
      <w:bookmarkEnd w:id="367"/>
    </w:p>
    <w:tbl>
      <w:tblPr>
        <w:tblW w:w="9072" w:type="dxa"/>
        <w:tblInd w:w="80"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Pr>
      <w:tblGrid>
        <w:gridCol w:w="2217"/>
        <w:gridCol w:w="3232"/>
        <w:gridCol w:w="3623"/>
      </w:tblGrid>
      <w:tr w:rsidR="00794A0D" w:rsidRPr="00630BE0" w14:paraId="00A4D759" w14:textId="77777777" w:rsidTr="00E92C14">
        <w:trPr>
          <w:trHeight w:val="592"/>
        </w:trPr>
        <w:tc>
          <w:tcPr>
            <w:tcW w:w="2217" w:type="dxa"/>
            <w:vMerge w:val="restart"/>
            <w:shd w:val="clear" w:color="auto" w:fill="003F5F"/>
            <w:tcMar>
              <w:top w:w="113" w:type="dxa"/>
              <w:left w:w="80" w:type="dxa"/>
              <w:bottom w:w="113" w:type="dxa"/>
              <w:right w:w="80" w:type="dxa"/>
            </w:tcMar>
          </w:tcPr>
          <w:p w14:paraId="74AE69D7" w14:textId="77777777" w:rsidR="00794A0D" w:rsidRPr="00630BE0" w:rsidRDefault="00794A0D" w:rsidP="00794A0D">
            <w:pPr>
              <w:rPr>
                <w:rStyle w:val="Strong"/>
              </w:rPr>
            </w:pPr>
            <w:r w:rsidRPr="00F1498D">
              <w:rPr>
                <w:rStyle w:val="Strong"/>
                <w:color w:val="FFFFFF" w:themeColor="background1"/>
              </w:rPr>
              <w:t>This scheme service contributes to, and is aligned with:</w:t>
            </w:r>
          </w:p>
        </w:tc>
        <w:tc>
          <w:tcPr>
            <w:tcW w:w="3232" w:type="dxa"/>
            <w:shd w:val="clear" w:color="auto" w:fill="003F5F"/>
            <w:tcMar>
              <w:top w:w="113" w:type="dxa"/>
              <w:left w:w="80" w:type="dxa"/>
              <w:bottom w:w="113" w:type="dxa"/>
              <w:right w:w="80" w:type="dxa"/>
            </w:tcMar>
          </w:tcPr>
          <w:p w14:paraId="621F45B4" w14:textId="5124323E" w:rsidR="00794A0D" w:rsidRPr="00F1498D" w:rsidRDefault="006D3930" w:rsidP="00794A0D">
            <w:pPr>
              <w:rPr>
                <w:rStyle w:val="Strong"/>
                <w:color w:val="FFFFFF" w:themeColor="background1"/>
              </w:rPr>
            </w:pPr>
            <w:r>
              <w:rPr>
                <w:rStyle w:val="Strong"/>
                <w:color w:val="FFFFFF" w:themeColor="background1"/>
              </w:rPr>
              <w:t>Government Goals</w:t>
            </w:r>
          </w:p>
        </w:tc>
        <w:tc>
          <w:tcPr>
            <w:tcW w:w="3623" w:type="dxa"/>
            <w:shd w:val="clear" w:color="auto" w:fill="003F5F"/>
            <w:tcMar>
              <w:top w:w="113" w:type="dxa"/>
              <w:left w:w="80" w:type="dxa"/>
              <w:bottom w:w="113" w:type="dxa"/>
              <w:right w:w="80" w:type="dxa"/>
            </w:tcMar>
          </w:tcPr>
          <w:p w14:paraId="64C1FA1B" w14:textId="74A85B3F" w:rsidR="00794A0D" w:rsidRPr="00F1498D" w:rsidRDefault="00616E8C" w:rsidP="00794A0D">
            <w:pPr>
              <w:rPr>
                <w:rStyle w:val="Strong"/>
                <w:color w:val="FFFFFF" w:themeColor="background1"/>
              </w:rPr>
            </w:pPr>
            <w:r w:rsidRPr="00F1498D">
              <w:rPr>
                <w:rStyle w:val="Strong"/>
                <w:color w:val="FFFFFF" w:themeColor="background1"/>
              </w:rPr>
              <w:t>WorkCover WA</w:t>
            </w:r>
            <w:r w:rsidR="00513DDF" w:rsidRPr="00F1498D">
              <w:rPr>
                <w:rStyle w:val="Strong"/>
                <w:color w:val="FFFFFF" w:themeColor="background1"/>
              </w:rPr>
              <w:t xml:space="preserve"> strategic g</w:t>
            </w:r>
            <w:r w:rsidR="005A1D99" w:rsidRPr="00F1498D">
              <w:rPr>
                <w:rStyle w:val="Strong"/>
                <w:color w:val="FFFFFF" w:themeColor="background1"/>
              </w:rPr>
              <w:t>oal</w:t>
            </w:r>
            <w:r w:rsidR="006D3930">
              <w:rPr>
                <w:rStyle w:val="Strong"/>
                <w:color w:val="FFFFFF" w:themeColor="background1"/>
              </w:rPr>
              <w:t>s</w:t>
            </w:r>
          </w:p>
        </w:tc>
      </w:tr>
      <w:tr w:rsidR="00794A0D" w:rsidRPr="005D768A" w14:paraId="6E99B861" w14:textId="77777777" w:rsidTr="00E92C14">
        <w:trPr>
          <w:trHeight w:val="878"/>
        </w:trPr>
        <w:tc>
          <w:tcPr>
            <w:tcW w:w="2217" w:type="dxa"/>
            <w:vMerge/>
            <w:shd w:val="clear" w:color="auto" w:fill="003F5F"/>
          </w:tcPr>
          <w:p w14:paraId="4EE61645" w14:textId="77777777" w:rsidR="00794A0D" w:rsidRPr="005D768A" w:rsidRDefault="00794A0D" w:rsidP="00794A0D">
            <w:pPr>
              <w:rPr>
                <w:lang w:eastAsia="en-AU"/>
              </w:rPr>
            </w:pPr>
          </w:p>
        </w:tc>
        <w:tc>
          <w:tcPr>
            <w:tcW w:w="3232" w:type="dxa"/>
            <w:tcMar>
              <w:top w:w="113" w:type="dxa"/>
              <w:left w:w="80" w:type="dxa"/>
              <w:bottom w:w="113" w:type="dxa"/>
              <w:right w:w="80" w:type="dxa"/>
            </w:tcMar>
          </w:tcPr>
          <w:p w14:paraId="6BF143F6" w14:textId="241C6C87" w:rsidR="00CA56C9" w:rsidRPr="00E92C14" w:rsidRDefault="00FA554F" w:rsidP="0096027A">
            <w:pPr>
              <w:rPr>
                <w:rStyle w:val="Strong"/>
                <w:b w:val="0"/>
              </w:rPr>
            </w:pPr>
            <w:r w:rsidRPr="00E92C14">
              <w:rPr>
                <w:rStyle w:val="Strong"/>
                <w:b w:val="0"/>
              </w:rPr>
              <w:t xml:space="preserve">Sustainable </w:t>
            </w:r>
            <w:r w:rsidR="00E703B1" w:rsidRPr="00E92C14">
              <w:rPr>
                <w:rStyle w:val="Strong"/>
                <w:b w:val="0"/>
              </w:rPr>
              <w:t>f</w:t>
            </w:r>
            <w:r w:rsidRPr="00E92C14">
              <w:rPr>
                <w:rStyle w:val="Strong"/>
                <w:b w:val="0"/>
              </w:rPr>
              <w:t>inances</w:t>
            </w:r>
          </w:p>
          <w:p w14:paraId="21C91314" w14:textId="46F319E6" w:rsidR="00794A0D" w:rsidRPr="00F1498D" w:rsidRDefault="00FA554F" w:rsidP="00E703B1">
            <w:pPr>
              <w:rPr>
                <w:rStyle w:val="Strong"/>
                <w:b w:val="0"/>
              </w:rPr>
            </w:pPr>
            <w:r w:rsidRPr="00E92C14">
              <w:rPr>
                <w:rStyle w:val="Strong"/>
                <w:b w:val="0"/>
              </w:rPr>
              <w:t xml:space="preserve">Strong </w:t>
            </w:r>
            <w:r w:rsidR="00E703B1" w:rsidRPr="00E92C14">
              <w:rPr>
                <w:rStyle w:val="Strong"/>
                <w:b w:val="0"/>
              </w:rPr>
              <w:t>c</w:t>
            </w:r>
            <w:r w:rsidRPr="00E92C14">
              <w:rPr>
                <w:rStyle w:val="Strong"/>
                <w:b w:val="0"/>
              </w:rPr>
              <w:t>ommunities</w:t>
            </w:r>
          </w:p>
        </w:tc>
        <w:tc>
          <w:tcPr>
            <w:tcW w:w="3623" w:type="dxa"/>
            <w:tcMar>
              <w:top w:w="113" w:type="dxa"/>
              <w:left w:w="80" w:type="dxa"/>
              <w:bottom w:w="113" w:type="dxa"/>
              <w:right w:w="80" w:type="dxa"/>
            </w:tcMar>
          </w:tcPr>
          <w:p w14:paraId="68C04154" w14:textId="3102F77C" w:rsidR="00794A0D" w:rsidRPr="00F1498D" w:rsidRDefault="00513DDF" w:rsidP="00424997">
            <w:pPr>
              <w:rPr>
                <w:rStyle w:val="Strong"/>
                <w:b w:val="0"/>
              </w:rPr>
            </w:pPr>
            <w:r w:rsidRPr="00F1498D">
              <w:rPr>
                <w:rStyle w:val="Strong"/>
                <w:b w:val="0"/>
              </w:rPr>
              <w:t>1 – Strategic scheme m</w:t>
            </w:r>
            <w:r w:rsidR="00424997" w:rsidRPr="00F1498D">
              <w:rPr>
                <w:rStyle w:val="Strong"/>
                <w:b w:val="0"/>
              </w:rPr>
              <w:t xml:space="preserve">anagement </w:t>
            </w:r>
          </w:p>
          <w:p w14:paraId="329732BF" w14:textId="77777777" w:rsidR="00895E1A" w:rsidRPr="00F1498D" w:rsidRDefault="00895E1A" w:rsidP="00895E1A">
            <w:pPr>
              <w:rPr>
                <w:rStyle w:val="Strong"/>
                <w:b w:val="0"/>
              </w:rPr>
            </w:pPr>
            <w:r w:rsidRPr="00F1498D">
              <w:rPr>
                <w:rStyle w:val="Strong"/>
                <w:b w:val="0"/>
              </w:rPr>
              <w:t>2 – Leadership</w:t>
            </w:r>
          </w:p>
          <w:p w14:paraId="39EDB085" w14:textId="361C70A2" w:rsidR="00895E1A" w:rsidRPr="00F1498D" w:rsidRDefault="00895E1A" w:rsidP="00424997">
            <w:pPr>
              <w:rPr>
                <w:rStyle w:val="Strong"/>
                <w:b w:val="0"/>
              </w:rPr>
            </w:pPr>
          </w:p>
        </w:tc>
      </w:tr>
    </w:tbl>
    <w:p w14:paraId="1A4347D1" w14:textId="77777777" w:rsidR="00DD3C49" w:rsidRDefault="00DD3C49" w:rsidP="00F75995">
      <w:pPr>
        <w:rPr>
          <w:rFonts w:eastAsiaTheme="majorEastAsia"/>
        </w:rPr>
      </w:pPr>
    </w:p>
    <w:p w14:paraId="20C30274" w14:textId="3A2614DD" w:rsidR="00EC011F" w:rsidRPr="001908FD" w:rsidRDefault="00EC011F" w:rsidP="00EC011F">
      <w:pPr>
        <w:rPr>
          <w:szCs w:val="22"/>
        </w:rPr>
      </w:pPr>
      <w:bookmarkStart w:id="368" w:name="_Toc426617497"/>
      <w:bookmarkStart w:id="369" w:name="_Toc450900717"/>
      <w:r w:rsidRPr="001908FD">
        <w:rPr>
          <w:szCs w:val="22"/>
        </w:rPr>
        <w:t xml:space="preserve">WorkCover WA’s Conciliation and Arbitration Services provide a fair and cost effective system to resolve disputes </w:t>
      </w:r>
      <w:r w:rsidR="005F4A35">
        <w:rPr>
          <w:szCs w:val="22"/>
        </w:rPr>
        <w:t>in a timely, accessible, approachable and professional manner. It also aims to:</w:t>
      </w:r>
    </w:p>
    <w:p w14:paraId="67DCF993" w14:textId="61FB34A1" w:rsidR="00EC011F" w:rsidRPr="00EE61F4" w:rsidRDefault="00EC011F" w:rsidP="00EC011F">
      <w:pPr>
        <w:pStyle w:val="BulletListLevel1"/>
        <w:rPr>
          <w:rFonts w:eastAsiaTheme="minorHAnsi"/>
        </w:rPr>
      </w:pPr>
      <w:r w:rsidRPr="00EE61F4">
        <w:rPr>
          <w:rFonts w:eastAsiaTheme="minorHAnsi"/>
        </w:rPr>
        <w:t>minimise costs to parties to disputes</w:t>
      </w:r>
    </w:p>
    <w:p w14:paraId="235F72F1" w14:textId="7D1EF63A" w:rsidR="00EC011F" w:rsidRPr="00EE61F4" w:rsidRDefault="00EC011F" w:rsidP="00EC011F">
      <w:pPr>
        <w:pStyle w:val="BulletListLevel1"/>
        <w:rPr>
          <w:rFonts w:eastAsiaTheme="minorHAnsi"/>
        </w:rPr>
      </w:pPr>
      <w:r w:rsidRPr="00EE61F4">
        <w:rPr>
          <w:rFonts w:eastAsiaTheme="minorHAnsi"/>
        </w:rPr>
        <w:t>in the case of conciliation, lead to final and appropriate agreements between parties in relation to disputes</w:t>
      </w:r>
      <w:r w:rsidRPr="00EE61F4">
        <w:rPr>
          <w:rFonts w:eastAsiaTheme="minorHAnsi"/>
        </w:rPr>
        <w:tab/>
      </w:r>
    </w:p>
    <w:p w14:paraId="1FC948AA" w14:textId="27D904EF" w:rsidR="00EC011F" w:rsidRPr="00EE61F4" w:rsidRDefault="00EC011F" w:rsidP="00EC011F">
      <w:pPr>
        <w:pStyle w:val="BulletListLevel1"/>
        <w:rPr>
          <w:rFonts w:eastAsiaTheme="minorHAnsi"/>
        </w:rPr>
      </w:pPr>
      <w:r w:rsidRPr="00EE61F4">
        <w:rPr>
          <w:rFonts w:eastAsiaTheme="minorHAnsi"/>
        </w:rPr>
        <w:t>in the case of arbitration, enable disputes not resolved by conciliation to be determined with as little formality and technicality as practicable.</w:t>
      </w:r>
    </w:p>
    <w:p w14:paraId="07F575AE" w14:textId="2B285E50" w:rsidR="00EC011F" w:rsidRDefault="00EC011F" w:rsidP="00EC011F">
      <w:r w:rsidRPr="001908FD">
        <w:t xml:space="preserve">In addition to facilitating the resolution of disputes by conciliation, the </w:t>
      </w:r>
      <w:r w:rsidR="002314C4">
        <w:t xml:space="preserve">Workers’ Compensation </w:t>
      </w:r>
      <w:r w:rsidRPr="001908FD">
        <w:t>Conciliation Service</w:t>
      </w:r>
      <w:r w:rsidR="002314C4">
        <w:t xml:space="preserve"> (Conciliation Service)</w:t>
      </w:r>
      <w:r w:rsidRPr="001908FD">
        <w:t xml:space="preserve"> is responsible for recording workers’ compensation claims finalised through settlement (i.e. registration of Memoranda of Agreement and common law settlement deeds) and the processing of documents submitted in relation to common law </w:t>
      </w:r>
      <w:r w:rsidR="004D0269">
        <w:t>elections</w:t>
      </w:r>
      <w:r w:rsidRPr="001908FD">
        <w:t>.</w:t>
      </w:r>
    </w:p>
    <w:p w14:paraId="6EB05878" w14:textId="70878219" w:rsidR="00EC011F" w:rsidRPr="001908FD" w:rsidRDefault="00FF5A75" w:rsidP="00EC011F">
      <w:pPr>
        <w:rPr>
          <w:rFonts w:eastAsiaTheme="minorHAnsi"/>
          <w:b/>
          <w:color w:val="FF0000"/>
          <w:szCs w:val="22"/>
        </w:rPr>
      </w:pPr>
      <w:r>
        <w:rPr>
          <w:szCs w:val="22"/>
        </w:rPr>
        <w:t>3,859</w:t>
      </w:r>
      <w:r w:rsidR="00EC011F">
        <w:rPr>
          <w:szCs w:val="22"/>
        </w:rPr>
        <w:t xml:space="preserve"> Memoranda of Agreement </w:t>
      </w:r>
      <w:r w:rsidR="002314C4">
        <w:rPr>
          <w:szCs w:val="22"/>
        </w:rPr>
        <w:t xml:space="preserve">were registered </w:t>
      </w:r>
      <w:r w:rsidR="00EC011F">
        <w:rPr>
          <w:szCs w:val="22"/>
        </w:rPr>
        <w:t>in 2017/18.</w:t>
      </w:r>
    </w:p>
    <w:p w14:paraId="7E3EDFA3" w14:textId="047DF697" w:rsidR="00EC011F" w:rsidRDefault="00EC011F" w:rsidP="00EC011F">
      <w:pPr>
        <w:rPr>
          <w:rFonts w:eastAsiaTheme="minorHAnsi"/>
        </w:rPr>
      </w:pPr>
      <w:r>
        <w:rPr>
          <w:rFonts w:eastAsiaTheme="minorHAnsi"/>
        </w:rPr>
        <w:t xml:space="preserve">Initiatives </w:t>
      </w:r>
      <w:r w:rsidR="002314C4">
        <w:rPr>
          <w:rFonts w:eastAsiaTheme="minorHAnsi"/>
        </w:rPr>
        <w:t xml:space="preserve">implemented in the </w:t>
      </w:r>
      <w:r>
        <w:rPr>
          <w:rFonts w:eastAsiaTheme="minorHAnsi"/>
        </w:rPr>
        <w:t>Conciliation and Arbitration Service</w:t>
      </w:r>
      <w:r w:rsidR="002314C4">
        <w:rPr>
          <w:rFonts w:eastAsiaTheme="minorHAnsi"/>
        </w:rPr>
        <w:t>s</w:t>
      </w:r>
      <w:r>
        <w:rPr>
          <w:rFonts w:eastAsiaTheme="minorHAnsi"/>
        </w:rPr>
        <w:t xml:space="preserve"> to improve service delivery in 2017/18 included:</w:t>
      </w:r>
    </w:p>
    <w:p w14:paraId="4D166DB8" w14:textId="44215EB5" w:rsidR="00EC011F" w:rsidRDefault="00EC011F" w:rsidP="00EC011F">
      <w:pPr>
        <w:pStyle w:val="BulletListLevel1"/>
        <w:rPr>
          <w:rFonts w:eastAsiaTheme="minorHAnsi"/>
        </w:rPr>
      </w:pPr>
      <w:r>
        <w:rPr>
          <w:rFonts w:eastAsiaTheme="minorHAnsi"/>
        </w:rPr>
        <w:t>issuing three Practice No</w:t>
      </w:r>
      <w:r w:rsidR="002314C4">
        <w:rPr>
          <w:rFonts w:eastAsiaTheme="minorHAnsi"/>
        </w:rPr>
        <w:t xml:space="preserve">tes </w:t>
      </w:r>
      <w:r w:rsidR="00DF3193">
        <w:rPr>
          <w:rFonts w:eastAsiaTheme="minorHAnsi"/>
        </w:rPr>
        <w:t>by</w:t>
      </w:r>
      <w:r w:rsidR="002314C4">
        <w:rPr>
          <w:rFonts w:eastAsiaTheme="minorHAnsi"/>
        </w:rPr>
        <w:t xml:space="preserve"> the Registrar to promote a more streamlined </w:t>
      </w:r>
      <w:r w:rsidR="000A4749">
        <w:rPr>
          <w:rFonts w:eastAsiaTheme="minorHAnsi"/>
        </w:rPr>
        <w:t xml:space="preserve">Arbitration </w:t>
      </w:r>
      <w:r w:rsidR="002314C4">
        <w:rPr>
          <w:rFonts w:eastAsiaTheme="minorHAnsi"/>
        </w:rPr>
        <w:t>process and provide direction to practitioners</w:t>
      </w:r>
    </w:p>
    <w:p w14:paraId="75FB344D" w14:textId="3D2B6FAB" w:rsidR="000A4749" w:rsidRPr="00EB7409" w:rsidRDefault="000A4749" w:rsidP="00EC011F">
      <w:pPr>
        <w:pStyle w:val="BulletListLevel1"/>
        <w:rPr>
          <w:rFonts w:eastAsiaTheme="minorHAnsi"/>
        </w:rPr>
      </w:pPr>
      <w:r>
        <w:rPr>
          <w:rFonts w:eastAsiaTheme="minorHAnsi"/>
        </w:rPr>
        <w:t xml:space="preserve">implementing the voluntary pre-arbitration conference program after a successful pilot. The program </w:t>
      </w:r>
      <w:r w:rsidR="00DF3193">
        <w:rPr>
          <w:rFonts w:eastAsiaTheme="minorHAnsi"/>
        </w:rPr>
        <w:t>facilitates parties meeting</w:t>
      </w:r>
      <w:r>
        <w:rPr>
          <w:rFonts w:eastAsiaTheme="minorHAnsi"/>
        </w:rPr>
        <w:t xml:space="preserve"> ahead of a scheduled arbitration hearing and, where appropriate, enables the early resolution of disputes prior to Arbitration. This provides significant savings and the ability to allocate </w:t>
      </w:r>
      <w:r w:rsidR="00EB7409">
        <w:rPr>
          <w:rFonts w:eastAsiaTheme="minorHAnsi"/>
        </w:rPr>
        <w:t xml:space="preserve">hearing dates to other matters enabling </w:t>
      </w:r>
      <w:r w:rsidR="00EB7409" w:rsidRPr="00EB7409">
        <w:t>earlier access to arbitration for all</w:t>
      </w:r>
    </w:p>
    <w:p w14:paraId="0502DDF0" w14:textId="6A0D299D" w:rsidR="000A4749" w:rsidRDefault="000A4749" w:rsidP="00EC011F">
      <w:pPr>
        <w:pStyle w:val="BulletListLevel1"/>
        <w:rPr>
          <w:rFonts w:eastAsiaTheme="minorHAnsi"/>
        </w:rPr>
      </w:pPr>
      <w:r>
        <w:rPr>
          <w:rFonts w:eastAsiaTheme="minorHAnsi"/>
        </w:rPr>
        <w:t xml:space="preserve">appointing new arbitrators and increasing the pool of sessional arbitrators to maintain appropriate resource levels and service delivery </w:t>
      </w:r>
      <w:r w:rsidR="00723DF0">
        <w:rPr>
          <w:rFonts w:eastAsiaTheme="minorHAnsi"/>
        </w:rPr>
        <w:t>timeframes</w:t>
      </w:r>
      <w:r>
        <w:rPr>
          <w:rFonts w:eastAsiaTheme="minorHAnsi"/>
        </w:rPr>
        <w:t xml:space="preserve">. </w:t>
      </w:r>
    </w:p>
    <w:p w14:paraId="34198117" w14:textId="02DB0428" w:rsidR="00991436" w:rsidRDefault="00EF5585" w:rsidP="00AA39A1">
      <w:pPr>
        <w:pStyle w:val="Heading2nonumber"/>
      </w:pPr>
      <w:bookmarkStart w:id="370" w:name="_Toc525122016"/>
      <w:r w:rsidRPr="000B59AF">
        <w:t>Dispute resolution performance</w:t>
      </w:r>
      <w:bookmarkEnd w:id="368"/>
      <w:bookmarkEnd w:id="369"/>
      <w:bookmarkEnd w:id="370"/>
    </w:p>
    <w:p w14:paraId="6A8B6376" w14:textId="68FAB0D4" w:rsidR="00C904C1" w:rsidRDefault="00C904C1" w:rsidP="002719E5">
      <w:r w:rsidRPr="00273696">
        <w:t>The objective of the Conciliation Service is to provide a timely and effective service to assist parties to resolve their dispute by agreement. The focus of the Arbitration Service is resolving disputes</w:t>
      </w:r>
      <w:r w:rsidR="002314C4">
        <w:t xml:space="preserve"> </w:t>
      </w:r>
      <w:r w:rsidR="00723DF0">
        <w:t xml:space="preserve">which were unable to be resolved by </w:t>
      </w:r>
      <w:r w:rsidR="007C42F1">
        <w:t>conciliation</w:t>
      </w:r>
      <w:r w:rsidR="00723DF0">
        <w:t xml:space="preserve"> according to their substantial merits. </w:t>
      </w:r>
    </w:p>
    <w:p w14:paraId="00739298" w14:textId="372E65E1" w:rsidR="00C904C1" w:rsidRPr="000350FF" w:rsidRDefault="00C904C1" w:rsidP="00C904C1">
      <w:r w:rsidRPr="00273696">
        <w:t xml:space="preserve">The following tables illustrate WorkCover WA’s achievement of these objectives, including numbers of applications accepted and cases completed. In </w:t>
      </w:r>
      <w:r w:rsidRPr="005F4A35">
        <w:t xml:space="preserve">Table </w:t>
      </w:r>
      <w:r w:rsidR="005F4A35" w:rsidRPr="005F4A35">
        <w:t>25</w:t>
      </w:r>
      <w:r w:rsidRPr="005F4A35">
        <w:t xml:space="preserve">, </w:t>
      </w:r>
      <w:r w:rsidRPr="00273696">
        <w:t>KPI effectiveness indicator 1.2 relates to Conciliation Services and 1.3 to Conciliation and Arbitration Services combined.</w:t>
      </w:r>
      <w:r>
        <w:t xml:space="preserve"> </w:t>
      </w:r>
    </w:p>
    <w:tbl>
      <w:tblPr>
        <w:tblStyle w:val="TableGrid"/>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25: 2017/18 CAS applications and cases"/>
        <w:tblDescription w:val="This table illustrates the number of conciliation applications accepted and cases completed, and the number of arbitration applications accepted and cases completed for the 2017/18 financial year. "/>
      </w:tblPr>
      <w:tblGrid>
        <w:gridCol w:w="4638"/>
        <w:gridCol w:w="3300"/>
      </w:tblGrid>
      <w:tr w:rsidR="005378AA" w:rsidRPr="00EF3D60" w14:paraId="04560F26" w14:textId="77777777" w:rsidTr="00E92C14">
        <w:trPr>
          <w:tblHeader/>
        </w:trPr>
        <w:tc>
          <w:tcPr>
            <w:tcW w:w="7938" w:type="dxa"/>
            <w:gridSpan w:val="2"/>
            <w:shd w:val="clear" w:color="auto" w:fill="003F5F"/>
          </w:tcPr>
          <w:p w14:paraId="55ED1BF3" w14:textId="430E7D55" w:rsidR="005378AA" w:rsidRPr="007434F3" w:rsidRDefault="005378AA" w:rsidP="005F4A35">
            <w:pPr>
              <w:rPr>
                <w:rStyle w:val="Strong"/>
                <w:color w:val="FFFFFF" w:themeColor="background1"/>
              </w:rPr>
            </w:pPr>
            <w:r w:rsidRPr="00E92C14">
              <w:rPr>
                <w:rStyle w:val="Strong"/>
                <w:color w:val="FFFFFF" w:themeColor="background1"/>
              </w:rPr>
              <w:t xml:space="preserve">Table </w:t>
            </w:r>
            <w:r w:rsidR="005F4A35" w:rsidRPr="00E92C14">
              <w:rPr>
                <w:rStyle w:val="Strong"/>
                <w:color w:val="FFFFFF" w:themeColor="background1"/>
              </w:rPr>
              <w:t>25</w:t>
            </w:r>
            <w:r w:rsidR="00DD4840" w:rsidRPr="00E92C14">
              <w:rPr>
                <w:rStyle w:val="Strong"/>
                <w:color w:val="FFFFFF" w:themeColor="background1"/>
              </w:rPr>
              <w:t>:</w:t>
            </w:r>
            <w:r w:rsidR="00896CC7" w:rsidRPr="00E92C14">
              <w:rPr>
                <w:rStyle w:val="Strong"/>
                <w:color w:val="FFFFFF" w:themeColor="background1"/>
              </w:rPr>
              <w:t xml:space="preserve"> </w:t>
            </w:r>
            <w:r w:rsidR="00896CC7" w:rsidRPr="00B273C8">
              <w:rPr>
                <w:rStyle w:val="Strong"/>
                <w:color w:val="FFFFFF" w:themeColor="background1"/>
              </w:rPr>
              <w:t>201</w:t>
            </w:r>
            <w:r w:rsidR="00881058" w:rsidRPr="00B273C8">
              <w:rPr>
                <w:rStyle w:val="Strong"/>
                <w:color w:val="FFFFFF" w:themeColor="background1"/>
              </w:rPr>
              <w:t>7</w:t>
            </w:r>
            <w:r w:rsidR="00896CC7" w:rsidRPr="00B273C8">
              <w:rPr>
                <w:rStyle w:val="Strong"/>
                <w:color w:val="FFFFFF" w:themeColor="background1"/>
              </w:rPr>
              <w:t>/1</w:t>
            </w:r>
            <w:r w:rsidR="00881058" w:rsidRPr="00B273C8">
              <w:rPr>
                <w:rStyle w:val="Strong"/>
                <w:color w:val="FFFFFF" w:themeColor="background1"/>
              </w:rPr>
              <w:t>8</w:t>
            </w:r>
            <w:r w:rsidRPr="00B273C8">
              <w:rPr>
                <w:rStyle w:val="Strong"/>
                <w:b w:val="0"/>
                <w:color w:val="FFFFFF" w:themeColor="background1"/>
              </w:rPr>
              <w:t xml:space="preserve"> </w:t>
            </w:r>
            <w:r w:rsidR="00A17B14" w:rsidRPr="00B273C8">
              <w:rPr>
                <w:b/>
                <w:color w:val="FFFFFF" w:themeColor="background1"/>
              </w:rPr>
              <w:t>Conciliation and Arbitration Services</w:t>
            </w:r>
            <w:r w:rsidRPr="00B273C8">
              <w:rPr>
                <w:rStyle w:val="Strong"/>
                <w:b w:val="0"/>
                <w:color w:val="FFFFFF" w:themeColor="background1"/>
              </w:rPr>
              <w:t xml:space="preserve"> </w:t>
            </w:r>
            <w:r w:rsidRPr="00B273C8">
              <w:rPr>
                <w:rStyle w:val="Strong"/>
                <w:color w:val="FFFFFF" w:themeColor="background1"/>
              </w:rPr>
              <w:t>applications and cases</w:t>
            </w:r>
            <w:r w:rsidR="005F149A" w:rsidRPr="00B273C8">
              <w:rPr>
                <w:rStyle w:val="Strong"/>
                <w:color w:val="FFFFFF" w:themeColor="background1"/>
              </w:rPr>
              <w:t>*</w:t>
            </w:r>
          </w:p>
        </w:tc>
      </w:tr>
      <w:tr w:rsidR="00C235A2" w:rsidRPr="00EF3D60" w14:paraId="25B87071" w14:textId="77777777" w:rsidTr="00E92C14">
        <w:tc>
          <w:tcPr>
            <w:tcW w:w="4638" w:type="dxa"/>
            <w:shd w:val="clear" w:color="auto" w:fill="CEDCE8"/>
            <w:vAlign w:val="center"/>
          </w:tcPr>
          <w:p w14:paraId="748FDE6C" w14:textId="77777777" w:rsidR="00C235A2" w:rsidRPr="007434F3" w:rsidRDefault="00C235A2" w:rsidP="00C235A2">
            <w:r w:rsidRPr="007434F3">
              <w:t>Conciliation applications accepted</w:t>
            </w:r>
          </w:p>
        </w:tc>
        <w:tc>
          <w:tcPr>
            <w:tcW w:w="3300" w:type="dxa"/>
            <w:shd w:val="clear" w:color="auto" w:fill="auto"/>
          </w:tcPr>
          <w:p w14:paraId="4E54C939" w14:textId="06A74967" w:rsidR="00C235A2" w:rsidRPr="00723DF0" w:rsidRDefault="00723DF0" w:rsidP="007B02C7">
            <w:pPr>
              <w:jc w:val="right"/>
            </w:pPr>
            <w:r w:rsidRPr="00723DF0">
              <w:t>2,050</w:t>
            </w:r>
          </w:p>
        </w:tc>
      </w:tr>
      <w:tr w:rsidR="00C235A2" w:rsidRPr="00EF3D60" w14:paraId="630D7DFD" w14:textId="77777777" w:rsidTr="00E92C14">
        <w:tc>
          <w:tcPr>
            <w:tcW w:w="4638" w:type="dxa"/>
            <w:shd w:val="clear" w:color="auto" w:fill="CEDCE8"/>
            <w:vAlign w:val="center"/>
          </w:tcPr>
          <w:p w14:paraId="2FBE65A2" w14:textId="77777777" w:rsidR="00C235A2" w:rsidRPr="007434F3" w:rsidRDefault="00C235A2" w:rsidP="00C235A2">
            <w:r w:rsidRPr="007434F3">
              <w:t>Conciliation cases completed</w:t>
            </w:r>
          </w:p>
        </w:tc>
        <w:tc>
          <w:tcPr>
            <w:tcW w:w="3300" w:type="dxa"/>
            <w:shd w:val="clear" w:color="auto" w:fill="auto"/>
          </w:tcPr>
          <w:p w14:paraId="364DD5BD" w14:textId="74DFE0F5" w:rsidR="00C235A2" w:rsidRPr="00723DF0" w:rsidRDefault="00723DF0" w:rsidP="007B02C7">
            <w:pPr>
              <w:jc w:val="right"/>
            </w:pPr>
            <w:r w:rsidRPr="00723DF0">
              <w:t>2,035</w:t>
            </w:r>
          </w:p>
        </w:tc>
      </w:tr>
      <w:tr w:rsidR="00C235A2" w:rsidRPr="00EF3D60" w14:paraId="51C82520" w14:textId="77777777" w:rsidTr="00E92C14">
        <w:tc>
          <w:tcPr>
            <w:tcW w:w="4638" w:type="dxa"/>
            <w:shd w:val="clear" w:color="auto" w:fill="CEDCE8"/>
            <w:vAlign w:val="center"/>
          </w:tcPr>
          <w:p w14:paraId="17A733F2" w14:textId="77777777" w:rsidR="00C235A2" w:rsidRPr="007434F3" w:rsidRDefault="00C235A2" w:rsidP="00C235A2">
            <w:r w:rsidRPr="007434F3">
              <w:t>Arbitration applications accepted</w:t>
            </w:r>
          </w:p>
        </w:tc>
        <w:tc>
          <w:tcPr>
            <w:tcW w:w="3300" w:type="dxa"/>
            <w:shd w:val="clear" w:color="auto" w:fill="auto"/>
          </w:tcPr>
          <w:p w14:paraId="04808703" w14:textId="3C495DB1" w:rsidR="00C235A2" w:rsidRPr="00723DF0" w:rsidRDefault="00723DF0" w:rsidP="007B02C7">
            <w:pPr>
              <w:jc w:val="right"/>
            </w:pPr>
            <w:r w:rsidRPr="00723DF0">
              <w:t>586</w:t>
            </w:r>
          </w:p>
        </w:tc>
      </w:tr>
      <w:tr w:rsidR="00C235A2" w:rsidRPr="00EF3D60" w14:paraId="58D679C6" w14:textId="77777777" w:rsidTr="00E92C14">
        <w:trPr>
          <w:trHeight w:val="483"/>
        </w:trPr>
        <w:tc>
          <w:tcPr>
            <w:tcW w:w="4638" w:type="dxa"/>
            <w:shd w:val="clear" w:color="auto" w:fill="CEDCE8"/>
            <w:vAlign w:val="center"/>
          </w:tcPr>
          <w:p w14:paraId="06452ED2" w14:textId="77777777" w:rsidR="00C235A2" w:rsidRPr="007434F3" w:rsidRDefault="00C235A2" w:rsidP="00C235A2">
            <w:r w:rsidRPr="007434F3">
              <w:t xml:space="preserve">Arbitration cases completed </w:t>
            </w:r>
          </w:p>
        </w:tc>
        <w:tc>
          <w:tcPr>
            <w:tcW w:w="3300" w:type="dxa"/>
            <w:shd w:val="clear" w:color="auto" w:fill="auto"/>
          </w:tcPr>
          <w:p w14:paraId="2721DAE0" w14:textId="659C2ED5" w:rsidR="00C235A2" w:rsidRPr="00723DF0" w:rsidRDefault="00723DF0" w:rsidP="007B02C7">
            <w:pPr>
              <w:jc w:val="right"/>
            </w:pPr>
            <w:r w:rsidRPr="00723DF0">
              <w:t>578</w:t>
            </w:r>
          </w:p>
        </w:tc>
      </w:tr>
    </w:tbl>
    <w:p w14:paraId="2756F1C7" w14:textId="428C2D07" w:rsidR="00092A70" w:rsidRDefault="00092A70">
      <w:pPr>
        <w:keepLines w:val="0"/>
        <w:spacing w:after="0" w:line="240" w:lineRule="auto"/>
      </w:pPr>
    </w:p>
    <w:p w14:paraId="782FA495" w14:textId="375A36FA" w:rsidR="005F149A" w:rsidRDefault="0096786F" w:rsidP="00A734D0">
      <w:pPr>
        <w:keepLines w:val="0"/>
        <w:spacing w:after="0" w:line="240" w:lineRule="auto"/>
      </w:pPr>
      <w:r w:rsidRPr="00C53D14">
        <w:t>*</w:t>
      </w:r>
      <w:r w:rsidR="00E006E0" w:rsidRPr="00C53D14">
        <w:t xml:space="preserve">The figures for </w:t>
      </w:r>
      <w:r w:rsidR="00826521" w:rsidRPr="00C53D14">
        <w:t>c</w:t>
      </w:r>
      <w:r w:rsidR="005F149A" w:rsidRPr="00C53D14">
        <w:t xml:space="preserve">onciliation and arbitration cases </w:t>
      </w:r>
      <w:r w:rsidR="00E006E0" w:rsidRPr="00C53D14">
        <w:t>‘</w:t>
      </w:r>
      <w:r w:rsidR="005F149A" w:rsidRPr="00C53D14">
        <w:t>completed</w:t>
      </w:r>
      <w:r w:rsidR="00826521" w:rsidRPr="00C53D14">
        <w:t>’</w:t>
      </w:r>
      <w:r w:rsidR="005F149A" w:rsidRPr="00C53D14">
        <w:t xml:space="preserve"> include</w:t>
      </w:r>
      <w:r w:rsidR="00826521" w:rsidRPr="00C53D14">
        <w:t xml:space="preserve"> some applications which were accepted for lodgement in previous financial years.</w:t>
      </w:r>
    </w:p>
    <w:p w14:paraId="6B0FD3ED" w14:textId="77777777" w:rsidR="00881058" w:rsidRDefault="00881058" w:rsidP="00A734D0">
      <w:pPr>
        <w:keepLines w:val="0"/>
        <w:spacing w:after="0" w:line="240" w:lineRule="auto"/>
      </w:pPr>
    </w:p>
    <w:tbl>
      <w:tblPr>
        <w:tblStyle w:val="TableGrid"/>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26: 2017/18 KPI effectiveness indicators related to CAS"/>
        <w:tblDescription w:val="This table outlines the KPI effectiveness indicators related to CAS. "/>
      </w:tblPr>
      <w:tblGrid>
        <w:gridCol w:w="3012"/>
        <w:gridCol w:w="3014"/>
        <w:gridCol w:w="2763"/>
      </w:tblGrid>
      <w:tr w:rsidR="005378AA" w:rsidRPr="00EF3D60" w14:paraId="2BFDDC11" w14:textId="77777777" w:rsidTr="00E92C14">
        <w:trPr>
          <w:tblHeader/>
        </w:trPr>
        <w:tc>
          <w:tcPr>
            <w:tcW w:w="8789" w:type="dxa"/>
            <w:gridSpan w:val="3"/>
            <w:shd w:val="clear" w:color="auto" w:fill="003F5F"/>
          </w:tcPr>
          <w:p w14:paraId="4D8615C4" w14:textId="4BB5365C" w:rsidR="005378AA" w:rsidRPr="005378AA" w:rsidRDefault="005378AA" w:rsidP="005F4A35">
            <w:pPr>
              <w:rPr>
                <w:rStyle w:val="Strong"/>
                <w:color w:val="FFFFFF" w:themeColor="background1"/>
              </w:rPr>
            </w:pPr>
            <w:r w:rsidRPr="00E92C14">
              <w:rPr>
                <w:rStyle w:val="Strong"/>
                <w:color w:val="FFFFFF" w:themeColor="background1"/>
              </w:rPr>
              <w:t xml:space="preserve">Table </w:t>
            </w:r>
            <w:r w:rsidR="005F4A35" w:rsidRPr="00E92C14">
              <w:rPr>
                <w:rStyle w:val="Strong"/>
                <w:color w:val="FFFFFF" w:themeColor="background1"/>
              </w:rPr>
              <w:t>26</w:t>
            </w:r>
            <w:r w:rsidR="00DD4840" w:rsidRPr="00E92C14">
              <w:rPr>
                <w:rStyle w:val="Strong"/>
                <w:color w:val="FFFFFF" w:themeColor="background1"/>
              </w:rPr>
              <w:t>:</w:t>
            </w:r>
            <w:r w:rsidRPr="00E92C14">
              <w:rPr>
                <w:rStyle w:val="Strong"/>
                <w:color w:val="FFFFFF" w:themeColor="background1"/>
              </w:rPr>
              <w:t xml:space="preserve"> 201</w:t>
            </w:r>
            <w:r w:rsidR="00881058" w:rsidRPr="00E92C14">
              <w:rPr>
                <w:rStyle w:val="Strong"/>
                <w:color w:val="FFFFFF" w:themeColor="background1"/>
              </w:rPr>
              <w:t>7</w:t>
            </w:r>
            <w:r w:rsidRPr="00B273C8">
              <w:rPr>
                <w:rStyle w:val="Strong"/>
                <w:color w:val="FFFFFF" w:themeColor="background1"/>
              </w:rPr>
              <w:t>/1</w:t>
            </w:r>
            <w:r w:rsidR="00881058" w:rsidRPr="00B273C8">
              <w:rPr>
                <w:rStyle w:val="Strong"/>
                <w:color w:val="FFFFFF" w:themeColor="background1"/>
              </w:rPr>
              <w:t>8</w:t>
            </w:r>
            <w:r w:rsidR="000F53F5" w:rsidRPr="00B273C8">
              <w:rPr>
                <w:rStyle w:val="Strong"/>
                <w:color w:val="FFFFFF" w:themeColor="background1"/>
              </w:rPr>
              <w:t xml:space="preserve"> </w:t>
            </w:r>
            <w:r w:rsidRPr="00B273C8">
              <w:rPr>
                <w:rStyle w:val="Strong"/>
                <w:color w:val="FFFFFF" w:themeColor="background1"/>
              </w:rPr>
              <w:t xml:space="preserve">KPI effectiveness indicators related to </w:t>
            </w:r>
            <w:r w:rsidR="009A54B9" w:rsidRPr="00B273C8">
              <w:rPr>
                <w:rStyle w:val="Strong"/>
                <w:color w:val="FFFFFF" w:themeColor="background1"/>
              </w:rPr>
              <w:t xml:space="preserve">the </w:t>
            </w:r>
            <w:r w:rsidR="006F7628" w:rsidRPr="00B273C8">
              <w:rPr>
                <w:b/>
                <w:color w:val="FFFFFF" w:themeColor="background1"/>
              </w:rPr>
              <w:t>Conci</w:t>
            </w:r>
            <w:r w:rsidR="009A54B9" w:rsidRPr="00B273C8">
              <w:rPr>
                <w:b/>
                <w:color w:val="FFFFFF" w:themeColor="background1"/>
              </w:rPr>
              <w:t>liation and Arbitration Service</w:t>
            </w:r>
          </w:p>
        </w:tc>
      </w:tr>
      <w:tr w:rsidR="005378AA" w:rsidRPr="00EF3D60" w14:paraId="2F2475A4" w14:textId="77777777" w:rsidTr="00E92C14">
        <w:tc>
          <w:tcPr>
            <w:tcW w:w="3012" w:type="dxa"/>
            <w:shd w:val="clear" w:color="auto" w:fill="CEDCE8"/>
            <w:vAlign w:val="center"/>
          </w:tcPr>
          <w:p w14:paraId="44F0462D" w14:textId="77777777" w:rsidR="005378AA" w:rsidRPr="005378AA" w:rsidRDefault="005378AA" w:rsidP="005378AA">
            <w:pPr>
              <w:rPr>
                <w:rStyle w:val="Strong"/>
              </w:rPr>
            </w:pPr>
            <w:r w:rsidRPr="005378AA">
              <w:rPr>
                <w:rStyle w:val="Strong"/>
              </w:rPr>
              <w:t>Description</w:t>
            </w:r>
          </w:p>
        </w:tc>
        <w:tc>
          <w:tcPr>
            <w:tcW w:w="3014" w:type="dxa"/>
            <w:shd w:val="clear" w:color="auto" w:fill="CEDCE8"/>
            <w:vAlign w:val="center"/>
          </w:tcPr>
          <w:p w14:paraId="50C1098F" w14:textId="61AAD61B" w:rsidR="005378AA" w:rsidRPr="005378AA" w:rsidRDefault="00896CC7" w:rsidP="00DF3193">
            <w:pPr>
              <w:rPr>
                <w:rStyle w:val="Strong"/>
              </w:rPr>
            </w:pPr>
            <w:r>
              <w:rPr>
                <w:rStyle w:val="Strong"/>
              </w:rPr>
              <w:t>201</w:t>
            </w:r>
            <w:r w:rsidR="00AA39A1">
              <w:rPr>
                <w:rStyle w:val="Strong"/>
              </w:rPr>
              <w:t>7</w:t>
            </w:r>
            <w:r w:rsidR="00DF3193">
              <w:rPr>
                <w:rStyle w:val="Strong"/>
              </w:rPr>
              <w:t>/18</w:t>
            </w:r>
            <w:r w:rsidR="005378AA" w:rsidRPr="005378AA">
              <w:rPr>
                <w:rStyle w:val="Strong"/>
              </w:rPr>
              <w:t xml:space="preserve"> Target/Result</w:t>
            </w:r>
          </w:p>
        </w:tc>
        <w:tc>
          <w:tcPr>
            <w:tcW w:w="2763" w:type="dxa"/>
            <w:shd w:val="clear" w:color="auto" w:fill="CEDCE8"/>
            <w:vAlign w:val="center"/>
          </w:tcPr>
          <w:p w14:paraId="18988B4B" w14:textId="77777777" w:rsidR="005378AA" w:rsidRPr="005378AA" w:rsidRDefault="005378AA" w:rsidP="005378AA">
            <w:pPr>
              <w:rPr>
                <w:rStyle w:val="Strong"/>
              </w:rPr>
            </w:pPr>
            <w:r w:rsidRPr="005378AA">
              <w:rPr>
                <w:rStyle w:val="Strong"/>
              </w:rPr>
              <w:t>Reference</w:t>
            </w:r>
          </w:p>
        </w:tc>
      </w:tr>
      <w:tr w:rsidR="00034A7F" w:rsidRPr="00EF3D60" w14:paraId="046FE509" w14:textId="77777777" w:rsidTr="00E92C14">
        <w:trPr>
          <w:trHeight w:val="286"/>
        </w:trPr>
        <w:tc>
          <w:tcPr>
            <w:tcW w:w="3012" w:type="dxa"/>
            <w:shd w:val="clear" w:color="auto" w:fill="CEDCE8"/>
            <w:vAlign w:val="center"/>
          </w:tcPr>
          <w:p w14:paraId="24C1F3AA" w14:textId="15663E6A" w:rsidR="00034A7F" w:rsidRPr="001106B3" w:rsidRDefault="00034A7F" w:rsidP="00034A7F">
            <w:r w:rsidRPr="001106B3">
              <w:t xml:space="preserve">1.2 Proportion of </w:t>
            </w:r>
            <w:r>
              <w:t>conciliations completed within eight</w:t>
            </w:r>
            <w:r w:rsidRPr="001106B3">
              <w:t xml:space="preserve"> weeks</w:t>
            </w:r>
          </w:p>
        </w:tc>
        <w:tc>
          <w:tcPr>
            <w:tcW w:w="3014" w:type="dxa"/>
          </w:tcPr>
          <w:p w14:paraId="68D47948" w14:textId="77777777" w:rsidR="00034A7F" w:rsidRPr="00034A7F" w:rsidRDefault="00034A7F" w:rsidP="00034A7F">
            <w:r w:rsidRPr="00034A7F">
              <w:t>97.0% - Target</w:t>
            </w:r>
          </w:p>
          <w:p w14:paraId="7F33B23A" w14:textId="3A3DB446" w:rsidR="00034A7F" w:rsidRPr="00034A7F" w:rsidRDefault="00034A7F" w:rsidP="00034A7F">
            <w:r w:rsidRPr="00034A7F">
              <w:t>96.7% - Result</w:t>
            </w:r>
          </w:p>
        </w:tc>
        <w:tc>
          <w:tcPr>
            <w:tcW w:w="2763" w:type="dxa"/>
          </w:tcPr>
          <w:p w14:paraId="7D4969E1" w14:textId="78E7D1EC" w:rsidR="00034A7F" w:rsidRPr="00B273C8" w:rsidRDefault="00034A7F" w:rsidP="00E47B67">
            <w:pPr>
              <w:rPr>
                <w:color w:val="FF0000"/>
                <w:highlight w:val="lightGray"/>
              </w:rPr>
            </w:pPr>
            <w:r w:rsidRPr="00E47B67">
              <w:t xml:space="preserve">p. </w:t>
            </w:r>
            <w:r w:rsidR="00E47B67" w:rsidRPr="00E47B67">
              <w:t>152</w:t>
            </w:r>
          </w:p>
        </w:tc>
      </w:tr>
      <w:tr w:rsidR="00034A7F" w:rsidRPr="00EF3D60" w14:paraId="0DC26D42" w14:textId="77777777" w:rsidTr="00E92C14">
        <w:tc>
          <w:tcPr>
            <w:tcW w:w="3012" w:type="dxa"/>
            <w:shd w:val="clear" w:color="auto" w:fill="CEDCE8"/>
            <w:vAlign w:val="center"/>
          </w:tcPr>
          <w:p w14:paraId="53B24D54" w14:textId="3D85E6CE" w:rsidR="00034A7F" w:rsidRPr="001106B3" w:rsidRDefault="00034A7F" w:rsidP="00034A7F">
            <w:r w:rsidRPr="007A2408">
              <w:t>1.3 Proporti</w:t>
            </w:r>
            <w:r>
              <w:t>on of disputes resolved within six</w:t>
            </w:r>
            <w:r w:rsidRPr="007A2408">
              <w:t xml:space="preserve"> months</w:t>
            </w:r>
          </w:p>
        </w:tc>
        <w:tc>
          <w:tcPr>
            <w:tcW w:w="3014" w:type="dxa"/>
          </w:tcPr>
          <w:p w14:paraId="7AF7F895" w14:textId="77777777" w:rsidR="00034A7F" w:rsidRPr="00034A7F" w:rsidRDefault="00034A7F" w:rsidP="00034A7F">
            <w:r w:rsidRPr="00034A7F">
              <w:t xml:space="preserve">90.0% - Target </w:t>
            </w:r>
          </w:p>
          <w:p w14:paraId="0A14141A" w14:textId="160876D3" w:rsidR="00034A7F" w:rsidRPr="00034A7F" w:rsidRDefault="00034A7F" w:rsidP="00034A7F">
            <w:r w:rsidRPr="00034A7F">
              <w:t xml:space="preserve">84.1% - Result </w:t>
            </w:r>
          </w:p>
        </w:tc>
        <w:tc>
          <w:tcPr>
            <w:tcW w:w="2763" w:type="dxa"/>
          </w:tcPr>
          <w:p w14:paraId="3F53D295" w14:textId="07132FD8" w:rsidR="00034A7F" w:rsidRPr="00B273C8" w:rsidRDefault="00034A7F" w:rsidP="00E47B67">
            <w:pPr>
              <w:rPr>
                <w:color w:val="FF0000"/>
                <w:highlight w:val="lightGray"/>
              </w:rPr>
            </w:pPr>
            <w:r w:rsidRPr="00E47B67">
              <w:t xml:space="preserve">p. </w:t>
            </w:r>
            <w:r w:rsidR="00E47B67" w:rsidRPr="00E47B67">
              <w:t>155</w:t>
            </w:r>
          </w:p>
        </w:tc>
      </w:tr>
    </w:tbl>
    <w:p w14:paraId="0573E84B" w14:textId="77777777" w:rsidR="00D96837" w:rsidRDefault="00330CFE" w:rsidP="00D96837">
      <w:pPr>
        <w:pStyle w:val="Heading2nonumber"/>
      </w:pPr>
      <w:bookmarkStart w:id="371" w:name="_Toc450900718"/>
      <w:bookmarkStart w:id="372" w:name="_Toc525122017"/>
      <w:bookmarkStart w:id="373" w:name="_Toc426617498"/>
      <w:r w:rsidRPr="00A74E13">
        <w:t>Dispute Services Users Group</w:t>
      </w:r>
      <w:bookmarkStart w:id="374" w:name="_Toc450900719"/>
      <w:bookmarkEnd w:id="371"/>
      <w:bookmarkEnd w:id="372"/>
    </w:p>
    <w:p w14:paraId="6EF9D6E6" w14:textId="7740109A" w:rsidR="00CB0623" w:rsidRDefault="00814832" w:rsidP="00814832">
      <w:pPr>
        <w:rPr>
          <w:szCs w:val="22"/>
        </w:rPr>
      </w:pPr>
      <w:r w:rsidRPr="00AE28F4">
        <w:t>T</w:t>
      </w:r>
      <w:r w:rsidRPr="00D96837">
        <w:t>he Dispute Services Users G</w:t>
      </w:r>
      <w:r w:rsidRPr="00AE28F4">
        <w:t>roup was established as a means of engaging and consultin</w:t>
      </w:r>
      <w:r>
        <w:t>g with key stakeholders involved</w:t>
      </w:r>
      <w:r w:rsidRPr="00AE28F4">
        <w:t xml:space="preserve"> with </w:t>
      </w:r>
      <w:r w:rsidRPr="00A17B14">
        <w:t>Conciliation and Arbitration Services</w:t>
      </w:r>
      <w:r>
        <w:t>,</w:t>
      </w:r>
      <w:r w:rsidRPr="00AE28F4">
        <w:t xml:space="preserve"> including legal practitioners and registered agents. It provides an effective forum for the two-way exchange of information regarding the operations of </w:t>
      </w:r>
      <w:r>
        <w:t xml:space="preserve">the </w:t>
      </w:r>
      <w:r w:rsidRPr="00A17B14">
        <w:t>Conci</w:t>
      </w:r>
      <w:r>
        <w:t>liation and Arbitration Service</w:t>
      </w:r>
      <w:r w:rsidR="00021BF4">
        <w:t>s</w:t>
      </w:r>
      <w:r>
        <w:t>,</w:t>
      </w:r>
      <w:r w:rsidRPr="00AE28F4">
        <w:t xml:space="preserve"> and </w:t>
      </w:r>
      <w:r w:rsidRPr="00874593">
        <w:rPr>
          <w:szCs w:val="22"/>
        </w:rPr>
        <w:t>workers’ compensation dispute resolution matters in general.</w:t>
      </w:r>
      <w:r w:rsidR="00CB0623">
        <w:rPr>
          <w:szCs w:val="22"/>
        </w:rPr>
        <w:t xml:space="preserve"> </w:t>
      </w:r>
      <w:r>
        <w:rPr>
          <w:szCs w:val="22"/>
        </w:rPr>
        <w:t xml:space="preserve">The Dispute Services Users Group meets biannually. </w:t>
      </w:r>
    </w:p>
    <w:p w14:paraId="4153D042" w14:textId="098A144D" w:rsidR="00CB0623" w:rsidRPr="00CB0623" w:rsidRDefault="00CB0623" w:rsidP="00CB0623">
      <w:pPr>
        <w:rPr>
          <w:rFonts w:cs="Arial"/>
          <w:szCs w:val="20"/>
        </w:rPr>
      </w:pPr>
      <w:r w:rsidRPr="00CB0623">
        <w:rPr>
          <w:rFonts w:cs="Arial"/>
          <w:szCs w:val="20"/>
        </w:rPr>
        <w:t xml:space="preserve">In 2017/18, the group was consulted on the proposed amendments to the Act relating to compensation for dependents of workers </w:t>
      </w:r>
      <w:r w:rsidR="00F1472F">
        <w:rPr>
          <w:rFonts w:cs="Arial"/>
          <w:szCs w:val="20"/>
        </w:rPr>
        <w:t>killed at work</w:t>
      </w:r>
      <w:r w:rsidRPr="00CB0623">
        <w:rPr>
          <w:rFonts w:cs="Arial"/>
          <w:szCs w:val="20"/>
        </w:rPr>
        <w:t xml:space="preserve">. The group discussed the proposed referral of </w:t>
      </w:r>
      <w:r w:rsidR="00516777">
        <w:rPr>
          <w:rFonts w:cs="Arial"/>
          <w:szCs w:val="20"/>
        </w:rPr>
        <w:t>dependency claims</w:t>
      </w:r>
      <w:r w:rsidRPr="00CB0623">
        <w:rPr>
          <w:rFonts w:cs="Arial"/>
          <w:szCs w:val="20"/>
        </w:rPr>
        <w:t xml:space="preserve"> directly to the Arbitration Service to expedite the payment of compensation</w:t>
      </w:r>
      <w:r>
        <w:rPr>
          <w:rFonts w:cs="Arial"/>
          <w:szCs w:val="20"/>
        </w:rPr>
        <w:t>,</w:t>
      </w:r>
      <w:r w:rsidRPr="00CB0623">
        <w:rPr>
          <w:rFonts w:cs="Arial"/>
          <w:szCs w:val="20"/>
        </w:rPr>
        <w:t xml:space="preserve"> and provided feedback on the proposed administrative instruments supporting the determination process.</w:t>
      </w:r>
    </w:p>
    <w:p w14:paraId="7290CB77" w14:textId="77777777" w:rsidR="00863B0E" w:rsidRDefault="00863B0E" w:rsidP="00863B0E">
      <w:pPr>
        <w:pStyle w:val="Heading2nonumber"/>
        <w:rPr>
          <w:rFonts w:eastAsiaTheme="minorHAnsi"/>
        </w:rPr>
      </w:pPr>
      <w:bookmarkStart w:id="375" w:name="_Toc525122018"/>
      <w:r>
        <w:rPr>
          <w:rFonts w:eastAsiaTheme="minorHAnsi"/>
        </w:rPr>
        <w:t>Business Process Redesign</w:t>
      </w:r>
      <w:bookmarkEnd w:id="375"/>
    </w:p>
    <w:p w14:paraId="1B56AABD" w14:textId="57C076C2" w:rsidR="00A73030" w:rsidRDefault="00A73030" w:rsidP="00863B0E">
      <w:pPr>
        <w:rPr>
          <w:rFonts w:eastAsiaTheme="minorHAnsi" w:cs="Arial"/>
          <w:szCs w:val="22"/>
        </w:rPr>
      </w:pPr>
      <w:r>
        <w:rPr>
          <w:rFonts w:eastAsiaTheme="minorHAnsi" w:cs="Arial"/>
          <w:szCs w:val="22"/>
        </w:rPr>
        <w:t xml:space="preserve">As part of WorkCover WA’s </w:t>
      </w:r>
      <w:r>
        <w:rPr>
          <w:rFonts w:eastAsiaTheme="minorHAnsi" w:cs="Arial"/>
          <w:i/>
          <w:szCs w:val="22"/>
        </w:rPr>
        <w:t xml:space="preserve">IT Strategic Plan, </w:t>
      </w:r>
      <w:r>
        <w:rPr>
          <w:rFonts w:eastAsiaTheme="minorHAnsi" w:cs="Arial"/>
          <w:szCs w:val="22"/>
        </w:rPr>
        <w:t>the Conciliation and Arbitration Service</w:t>
      </w:r>
      <w:r w:rsidR="0052399F">
        <w:rPr>
          <w:rFonts w:eastAsiaTheme="minorHAnsi" w:cs="Arial"/>
          <w:szCs w:val="22"/>
        </w:rPr>
        <w:t>s</w:t>
      </w:r>
      <w:r>
        <w:rPr>
          <w:rFonts w:eastAsiaTheme="minorHAnsi" w:cs="Arial"/>
          <w:szCs w:val="22"/>
        </w:rPr>
        <w:t xml:space="preserve"> </w:t>
      </w:r>
      <w:r w:rsidR="0052399F">
        <w:rPr>
          <w:rFonts w:eastAsiaTheme="minorHAnsi" w:cs="Arial"/>
          <w:szCs w:val="22"/>
        </w:rPr>
        <w:t>have</w:t>
      </w:r>
      <w:r>
        <w:rPr>
          <w:rFonts w:eastAsiaTheme="minorHAnsi" w:cs="Arial"/>
          <w:szCs w:val="22"/>
        </w:rPr>
        <w:t xml:space="preserve"> </w:t>
      </w:r>
      <w:r w:rsidR="004D0269">
        <w:rPr>
          <w:rFonts w:eastAsiaTheme="minorHAnsi" w:cs="Arial"/>
          <w:szCs w:val="22"/>
        </w:rPr>
        <w:t>commenced work to progress</w:t>
      </w:r>
      <w:r>
        <w:rPr>
          <w:rFonts w:eastAsiaTheme="minorHAnsi" w:cs="Arial"/>
          <w:szCs w:val="22"/>
        </w:rPr>
        <w:t xml:space="preserve"> current services to an online environment by 2020.</w:t>
      </w:r>
    </w:p>
    <w:p w14:paraId="43291F77" w14:textId="3569918B" w:rsidR="00A73030" w:rsidRDefault="00A73030" w:rsidP="00863B0E">
      <w:pPr>
        <w:rPr>
          <w:rFonts w:eastAsiaTheme="minorHAnsi" w:cs="Arial"/>
          <w:szCs w:val="22"/>
        </w:rPr>
      </w:pPr>
      <w:r>
        <w:rPr>
          <w:rFonts w:eastAsiaTheme="minorHAnsi" w:cs="Arial"/>
          <w:szCs w:val="22"/>
        </w:rPr>
        <w:t xml:space="preserve">In 2017/18, </w:t>
      </w:r>
      <w:r w:rsidR="00464057">
        <w:rPr>
          <w:rFonts w:eastAsiaTheme="minorHAnsi" w:cs="Arial"/>
          <w:szCs w:val="22"/>
        </w:rPr>
        <w:t>the</w:t>
      </w:r>
      <w:r>
        <w:rPr>
          <w:rFonts w:eastAsiaTheme="minorHAnsi" w:cs="Arial"/>
          <w:szCs w:val="22"/>
        </w:rPr>
        <w:t xml:space="preserve"> Conci</w:t>
      </w:r>
      <w:r w:rsidR="00464057">
        <w:rPr>
          <w:rFonts w:eastAsiaTheme="minorHAnsi" w:cs="Arial"/>
          <w:szCs w:val="22"/>
        </w:rPr>
        <w:t>liation and Arbitration Service</w:t>
      </w:r>
      <w:r w:rsidR="0052399F">
        <w:rPr>
          <w:rFonts w:eastAsiaTheme="minorHAnsi" w:cs="Arial"/>
          <w:szCs w:val="22"/>
        </w:rPr>
        <w:t xml:space="preserve">s </w:t>
      </w:r>
      <w:r w:rsidR="00785BFA">
        <w:rPr>
          <w:rFonts w:eastAsiaTheme="minorHAnsi" w:cs="Arial"/>
          <w:szCs w:val="22"/>
        </w:rPr>
        <w:t>completed a</w:t>
      </w:r>
      <w:r w:rsidR="00464057">
        <w:rPr>
          <w:rFonts w:eastAsiaTheme="minorHAnsi" w:cs="Arial"/>
          <w:szCs w:val="22"/>
        </w:rPr>
        <w:t xml:space="preserve"> Business Process R</w:t>
      </w:r>
      <w:r>
        <w:rPr>
          <w:rFonts w:eastAsiaTheme="minorHAnsi" w:cs="Arial"/>
          <w:szCs w:val="22"/>
        </w:rPr>
        <w:t xml:space="preserve">edesign project to ensure existing processes are fit for purpose and </w:t>
      </w:r>
      <w:r w:rsidR="00464057">
        <w:rPr>
          <w:rFonts w:eastAsiaTheme="minorHAnsi" w:cs="Arial"/>
          <w:szCs w:val="22"/>
        </w:rPr>
        <w:t>effective</w:t>
      </w:r>
      <w:r>
        <w:rPr>
          <w:rFonts w:eastAsiaTheme="minorHAnsi" w:cs="Arial"/>
          <w:szCs w:val="22"/>
        </w:rPr>
        <w:t xml:space="preserve"> prior to </w:t>
      </w:r>
      <w:r w:rsidR="00464057">
        <w:rPr>
          <w:rFonts w:eastAsiaTheme="minorHAnsi" w:cs="Arial"/>
          <w:szCs w:val="22"/>
        </w:rPr>
        <w:t>a transition online.</w:t>
      </w:r>
    </w:p>
    <w:p w14:paraId="0C7D2A99" w14:textId="544584ED" w:rsidR="00330CFE" w:rsidRDefault="00814832" w:rsidP="00D96837">
      <w:pPr>
        <w:pStyle w:val="Heading2nonumber"/>
      </w:pPr>
      <w:bookmarkStart w:id="376" w:name="_Toc525122019"/>
      <w:r>
        <w:t>P</w:t>
      </w:r>
      <w:r w:rsidR="00D34119">
        <w:t>re-a</w:t>
      </w:r>
      <w:r w:rsidR="002923D0">
        <w:t>rbitration c</w:t>
      </w:r>
      <w:r w:rsidR="00330CFE" w:rsidRPr="00B744BF">
        <w:t>onference</w:t>
      </w:r>
      <w:bookmarkEnd w:id="374"/>
      <w:bookmarkEnd w:id="376"/>
    </w:p>
    <w:p w14:paraId="35A66D17" w14:textId="77777777" w:rsidR="00814832" w:rsidRDefault="00814832" w:rsidP="00814832">
      <w:bookmarkStart w:id="377" w:name="_Toc450900720"/>
      <w:r w:rsidRPr="00512833">
        <w:t xml:space="preserve">A pilot program of pre-arbitration conferences commenced in 2016 in response to frequent discontinuance or settlement of arbitration matters just prior to a scheduled arbitration hearing. </w:t>
      </w:r>
    </w:p>
    <w:p w14:paraId="57665163" w14:textId="296DF106" w:rsidR="00814832" w:rsidRDefault="00814832" w:rsidP="00814832">
      <w:r w:rsidRPr="00512833">
        <w:t xml:space="preserve">As part of a pre-arbitration conference, parties agree to participate, on a voluntary basis, in a meeting held </w:t>
      </w:r>
      <w:r w:rsidR="00723DF0">
        <w:t xml:space="preserve">approximately </w:t>
      </w:r>
      <w:r w:rsidRPr="00512833">
        <w:t xml:space="preserve">one month prior to the scheduled arbitration hearing. This is intended to narrow the issues in dispute prior to the arbitration date, and to minimise the resource impact </w:t>
      </w:r>
      <w:r>
        <w:t>related to the</w:t>
      </w:r>
      <w:r w:rsidRPr="00512833">
        <w:t xml:space="preserve"> late discontinuance of matters.</w:t>
      </w:r>
      <w:r>
        <w:t xml:space="preserve"> </w:t>
      </w:r>
    </w:p>
    <w:p w14:paraId="6C4BEB9F" w14:textId="6F413B84" w:rsidR="00814832" w:rsidRDefault="00B106FA" w:rsidP="00814832">
      <w:r>
        <w:t>The p</w:t>
      </w:r>
      <w:r w:rsidR="0052399F">
        <w:t>re</w:t>
      </w:r>
      <w:r w:rsidR="00814832">
        <w:t>-arbitration conference</w:t>
      </w:r>
      <w:r w:rsidR="0052399F">
        <w:t>s</w:t>
      </w:r>
      <w:r w:rsidR="00814832">
        <w:t xml:space="preserve"> have led to a more efficient use of Arbitration </w:t>
      </w:r>
      <w:r w:rsidR="00814832" w:rsidRPr="00723DF0">
        <w:t>Service resources and as a result the program will continue in the future.</w:t>
      </w:r>
      <w:r w:rsidR="0052399F" w:rsidRPr="00723DF0">
        <w:t xml:space="preserve"> In 2017/18 </w:t>
      </w:r>
      <w:r w:rsidR="00723DF0" w:rsidRPr="00723DF0">
        <w:t>125 pre-arbitration con</w:t>
      </w:r>
      <w:r w:rsidR="00597612">
        <w:t>ferences were held, with 85 per</w:t>
      </w:r>
      <w:r w:rsidR="00723DF0" w:rsidRPr="00723DF0">
        <w:t xml:space="preserve">cent of these disputes resolving without the need for </w:t>
      </w:r>
      <w:r w:rsidR="00785BFA">
        <w:t>formal arbitration</w:t>
      </w:r>
      <w:r w:rsidR="00723DF0" w:rsidRPr="00723DF0">
        <w:t xml:space="preserve">. </w:t>
      </w:r>
    </w:p>
    <w:p w14:paraId="05DE9114" w14:textId="45B27B64" w:rsidR="00BB6DB4" w:rsidRDefault="00BB6DB4" w:rsidP="0042566C">
      <w:pPr>
        <w:pStyle w:val="Heading2nonumber"/>
        <w:rPr>
          <w:rFonts w:eastAsia="Calibri"/>
        </w:rPr>
      </w:pPr>
      <w:bookmarkStart w:id="378" w:name="_Toc525122020"/>
      <w:r w:rsidRPr="009515B1">
        <w:rPr>
          <w:rFonts w:eastAsia="Calibri"/>
        </w:rPr>
        <w:t>Conciliation Officer Development Program</w:t>
      </w:r>
      <w:bookmarkEnd w:id="377"/>
      <w:bookmarkEnd w:id="378"/>
    </w:p>
    <w:p w14:paraId="135C9F1B" w14:textId="76228B66" w:rsidR="00B3539A" w:rsidRPr="0060664B" w:rsidRDefault="00B3539A" w:rsidP="00B3539A">
      <w:bookmarkStart w:id="379" w:name="_Toc450900721"/>
      <w:bookmarkStart w:id="380" w:name="_Toc426617501"/>
      <w:bookmarkStart w:id="381" w:name="_Toc450900723"/>
      <w:bookmarkEnd w:id="373"/>
      <w:r w:rsidRPr="0060664B">
        <w:t xml:space="preserve">The Conciliation Officer Development Program </w:t>
      </w:r>
      <w:r>
        <w:t xml:space="preserve">(the Program) </w:t>
      </w:r>
      <w:r w:rsidRPr="0060664B">
        <w:t xml:space="preserve">was first established in April 2014 to develop a pool of suitably skilled WorkCover WA staff to undertake the role of </w:t>
      </w:r>
      <w:r w:rsidR="00451D48">
        <w:t xml:space="preserve">a </w:t>
      </w:r>
      <w:r w:rsidR="007C42F1">
        <w:t>c</w:t>
      </w:r>
      <w:r w:rsidRPr="0060664B">
        <w:t xml:space="preserve">onciliation </w:t>
      </w:r>
      <w:r w:rsidR="007C42F1">
        <w:t>o</w:t>
      </w:r>
      <w:r w:rsidRPr="0060664B">
        <w:t>fficer. This is a graduated program which builds skills and knowle</w:t>
      </w:r>
      <w:r>
        <w:t>dge over a 13 week period</w:t>
      </w:r>
      <w:r w:rsidRPr="0060664B">
        <w:t xml:space="preserve"> in a support</w:t>
      </w:r>
      <w:r w:rsidR="007C42F1">
        <w:t>ed</w:t>
      </w:r>
      <w:r w:rsidRPr="0060664B">
        <w:t xml:space="preserve"> environment. </w:t>
      </w:r>
    </w:p>
    <w:p w14:paraId="71EBFCBB" w14:textId="60746BB9" w:rsidR="00582E87" w:rsidRDefault="00582E87" w:rsidP="00B3539A">
      <w:r>
        <w:t xml:space="preserve">In 2017/18, </w:t>
      </w:r>
      <w:r w:rsidR="0046062D">
        <w:t xml:space="preserve">one </w:t>
      </w:r>
      <w:r>
        <w:t xml:space="preserve">WorkCover WA staff member successfully completed the Program. </w:t>
      </w:r>
    </w:p>
    <w:p w14:paraId="76CDB5DA" w14:textId="5D9FB70D" w:rsidR="00582E87" w:rsidRDefault="00582E87" w:rsidP="00582E87">
      <w:r>
        <w:t xml:space="preserve">The Program has helped </w:t>
      </w:r>
      <w:r w:rsidR="0046062D">
        <w:t xml:space="preserve">the </w:t>
      </w:r>
      <w:r>
        <w:t>Conciliation Service maintain appropriate staffing levels and service deliver</w:t>
      </w:r>
      <w:r w:rsidR="0046062D">
        <w:t>y</w:t>
      </w:r>
      <w:r>
        <w:t>, and as a result will continue into the foreseeable future.</w:t>
      </w:r>
    </w:p>
    <w:p w14:paraId="15B400A6" w14:textId="1FB1F4EF" w:rsidR="00675778" w:rsidRPr="00D336D3" w:rsidRDefault="007D6CBB" w:rsidP="00251CF7">
      <w:pPr>
        <w:pStyle w:val="Heading2nonumber"/>
        <w:jc w:val="left"/>
      </w:pPr>
      <w:bookmarkStart w:id="382" w:name="_Toc525122021"/>
      <w:bookmarkStart w:id="383" w:name="_Toc450900724"/>
      <w:bookmarkEnd w:id="379"/>
      <w:bookmarkEnd w:id="380"/>
      <w:bookmarkEnd w:id="381"/>
      <w:r>
        <w:t>Arbitrator and Conciliation Officer Professional Development</w:t>
      </w:r>
      <w:bookmarkEnd w:id="382"/>
      <w:r w:rsidR="009B3DD1" w:rsidRPr="00A74E13">
        <w:rPr>
          <w:rFonts w:eastAsiaTheme="minorHAnsi"/>
        </w:rPr>
        <w:t xml:space="preserve"> </w:t>
      </w:r>
      <w:bookmarkEnd w:id="383"/>
    </w:p>
    <w:p w14:paraId="38CBA7F2" w14:textId="25D8DAF8" w:rsidR="00863B0E" w:rsidRDefault="00863B0E" w:rsidP="0046062D">
      <w:pPr>
        <w:rPr>
          <w:rFonts w:eastAsia="Calibri"/>
        </w:rPr>
      </w:pPr>
      <w:bookmarkStart w:id="384" w:name="_Toc399316977"/>
      <w:bookmarkStart w:id="385" w:name="_Toc426617502"/>
      <w:bookmarkStart w:id="386" w:name="_Toc450900725"/>
      <w:r>
        <w:rPr>
          <w:rFonts w:eastAsia="Calibri"/>
        </w:rPr>
        <w:t>WorkCover WA continually invests in the professional develop</w:t>
      </w:r>
      <w:r w:rsidR="00F078C8">
        <w:rPr>
          <w:rFonts w:eastAsia="Calibri"/>
        </w:rPr>
        <w:t>ment</w:t>
      </w:r>
      <w:r>
        <w:rPr>
          <w:rFonts w:eastAsia="Calibri"/>
        </w:rPr>
        <w:t xml:space="preserve"> of </w:t>
      </w:r>
      <w:r w:rsidR="007C42F1">
        <w:rPr>
          <w:rFonts w:eastAsia="Calibri"/>
        </w:rPr>
        <w:t>c</w:t>
      </w:r>
      <w:r>
        <w:rPr>
          <w:rFonts w:eastAsia="Calibri"/>
        </w:rPr>
        <w:t xml:space="preserve">onciliation </w:t>
      </w:r>
      <w:r w:rsidR="007C42F1">
        <w:rPr>
          <w:rFonts w:eastAsia="Calibri"/>
        </w:rPr>
        <w:t>o</w:t>
      </w:r>
      <w:r>
        <w:rPr>
          <w:rFonts w:eastAsia="Calibri"/>
        </w:rPr>
        <w:t xml:space="preserve">fficers and </w:t>
      </w:r>
      <w:r w:rsidR="007C42F1">
        <w:rPr>
          <w:rFonts w:eastAsia="Calibri"/>
        </w:rPr>
        <w:t>a</w:t>
      </w:r>
      <w:r>
        <w:rPr>
          <w:rFonts w:eastAsia="Calibri"/>
        </w:rPr>
        <w:t>rbitrators through a combination of in-house and external training opportunities.</w:t>
      </w:r>
    </w:p>
    <w:p w14:paraId="2026FB37" w14:textId="5430BCF5" w:rsidR="0046062D" w:rsidRDefault="00863B0E" w:rsidP="0046062D">
      <w:pPr>
        <w:rPr>
          <w:rFonts w:eastAsia="Calibri"/>
        </w:rPr>
      </w:pPr>
      <w:r>
        <w:rPr>
          <w:rFonts w:eastAsia="Calibri"/>
        </w:rPr>
        <w:t>In 2017/18, in-house professional development opportunities were provided, including a renewed course on making costs decision</w:t>
      </w:r>
      <w:r w:rsidR="00DF3193">
        <w:rPr>
          <w:rFonts w:eastAsia="Calibri"/>
        </w:rPr>
        <w:t>s</w:t>
      </w:r>
      <w:r>
        <w:rPr>
          <w:rFonts w:eastAsia="Calibri"/>
        </w:rPr>
        <w:t xml:space="preserve"> in workers’ compensation disputes, and training on developments in workers’ compensation </w:t>
      </w:r>
      <w:r w:rsidR="004D0269">
        <w:rPr>
          <w:rFonts w:eastAsia="Calibri"/>
        </w:rPr>
        <w:t xml:space="preserve">case </w:t>
      </w:r>
      <w:r>
        <w:rPr>
          <w:rFonts w:eastAsia="Calibri"/>
        </w:rPr>
        <w:t xml:space="preserve">law </w:t>
      </w:r>
      <w:r w:rsidRPr="00DB40BF">
        <w:rPr>
          <w:rFonts w:eastAsia="Calibri"/>
        </w:rPr>
        <w:t>in WA.</w:t>
      </w:r>
    </w:p>
    <w:p w14:paraId="2211A766" w14:textId="6FBB6A08" w:rsidR="00863B0E" w:rsidRPr="00863B0E" w:rsidRDefault="00863B0E" w:rsidP="0046062D">
      <w:pPr>
        <w:rPr>
          <w:rFonts w:eastAsia="Calibri"/>
          <w:i/>
        </w:rPr>
      </w:pPr>
      <w:r>
        <w:rPr>
          <w:rFonts w:eastAsia="Calibri"/>
        </w:rPr>
        <w:t xml:space="preserve">External training opportunities were also provided to </w:t>
      </w:r>
      <w:r w:rsidR="007C42F1">
        <w:rPr>
          <w:rFonts w:eastAsia="Calibri"/>
        </w:rPr>
        <w:t>a</w:t>
      </w:r>
      <w:r>
        <w:rPr>
          <w:rFonts w:eastAsia="Calibri"/>
        </w:rPr>
        <w:t xml:space="preserve">rbitrators to enable them to meet their professional development obligations under the </w:t>
      </w:r>
      <w:r w:rsidR="00464057">
        <w:rPr>
          <w:rFonts w:eastAsia="Calibri"/>
          <w:i/>
        </w:rPr>
        <w:t>Legal Profession Act 2008.</w:t>
      </w:r>
    </w:p>
    <w:p w14:paraId="79364C78" w14:textId="5C6C4A53" w:rsidR="0000700F" w:rsidRPr="005B6DC0" w:rsidRDefault="00B30468" w:rsidP="005B6DC0">
      <w:pPr>
        <w:rPr>
          <w:rFonts w:eastAsiaTheme="minorHAnsi"/>
        </w:rPr>
      </w:pPr>
      <w:r>
        <w:rPr>
          <w:rFonts w:eastAsiaTheme="minorHAnsi"/>
        </w:rPr>
        <w:t xml:space="preserve">The Registrar of the Arbitration Service maintains a library of all relevant appeal decisions and circulates decisions to </w:t>
      </w:r>
      <w:r w:rsidR="007C42F1">
        <w:rPr>
          <w:rFonts w:eastAsiaTheme="minorHAnsi"/>
        </w:rPr>
        <w:t>c</w:t>
      </w:r>
      <w:r>
        <w:rPr>
          <w:rFonts w:eastAsiaTheme="minorHAnsi"/>
        </w:rPr>
        <w:t xml:space="preserve">onciliation </w:t>
      </w:r>
      <w:r w:rsidR="007C42F1">
        <w:rPr>
          <w:rFonts w:eastAsiaTheme="minorHAnsi"/>
        </w:rPr>
        <w:t>o</w:t>
      </w:r>
      <w:r>
        <w:rPr>
          <w:rFonts w:eastAsiaTheme="minorHAnsi"/>
        </w:rPr>
        <w:t xml:space="preserve">fficers and </w:t>
      </w:r>
      <w:r w:rsidR="007C42F1">
        <w:rPr>
          <w:rFonts w:eastAsiaTheme="minorHAnsi"/>
        </w:rPr>
        <w:t>a</w:t>
      </w:r>
      <w:r>
        <w:rPr>
          <w:rFonts w:eastAsiaTheme="minorHAnsi"/>
        </w:rPr>
        <w:t xml:space="preserve">rbitrators to ensure their knowledge of the workers’ compensation law is current. Monitoring these decisions also assists WorkCover </w:t>
      </w:r>
      <w:r w:rsidR="00384BAF">
        <w:rPr>
          <w:rFonts w:eastAsiaTheme="minorHAnsi"/>
        </w:rPr>
        <w:t>WA’s awareness of</w:t>
      </w:r>
      <w:r>
        <w:rPr>
          <w:rFonts w:eastAsiaTheme="minorHAnsi"/>
        </w:rPr>
        <w:t xml:space="preserve"> developing trends in workers’ compensation case law in Western Australia. </w:t>
      </w:r>
    </w:p>
    <w:p w14:paraId="4690788A" w14:textId="1C973F1C" w:rsidR="00FB4AE5" w:rsidRPr="00881058" w:rsidRDefault="001E785F" w:rsidP="00881058">
      <w:pPr>
        <w:pStyle w:val="Heading1nonumber"/>
        <w:rPr>
          <w:rFonts w:eastAsiaTheme="minorHAnsi"/>
        </w:rPr>
      </w:pPr>
      <w:bookmarkStart w:id="387" w:name="_Toc525122022"/>
      <w:r>
        <w:t>Education and information</w:t>
      </w:r>
      <w:bookmarkEnd w:id="384"/>
      <w:bookmarkEnd w:id="385"/>
      <w:bookmarkEnd w:id="386"/>
      <w:bookmarkEnd w:id="387"/>
    </w:p>
    <w:tbl>
      <w:tblPr>
        <w:tblW w:w="9162" w:type="dxa"/>
        <w:tblInd w:w="-10" w:type="dxa"/>
        <w:tblBorders>
          <w:top w:val="single" w:sz="8" w:space="0" w:color="9FBCD0"/>
          <w:left w:val="single" w:sz="8" w:space="0" w:color="9FBCD0"/>
          <w:bottom w:val="single" w:sz="8" w:space="0" w:color="9FBCD0"/>
          <w:right w:val="single" w:sz="8" w:space="0" w:color="9FBCD0"/>
          <w:insideH w:val="single" w:sz="8" w:space="0" w:color="9FBCD0"/>
          <w:insideV w:val="single" w:sz="8" w:space="0" w:color="9FBCD0"/>
        </w:tblBorders>
        <w:tblLayout w:type="fixed"/>
        <w:tblCellMar>
          <w:left w:w="0" w:type="dxa"/>
          <w:right w:w="0" w:type="dxa"/>
        </w:tblCellMar>
        <w:tblLook w:val="0000" w:firstRow="0" w:lastRow="0" w:firstColumn="0" w:lastColumn="0" w:noHBand="0" w:noVBand="0"/>
      </w:tblPr>
      <w:tblGrid>
        <w:gridCol w:w="2552"/>
        <w:gridCol w:w="2693"/>
        <w:gridCol w:w="3917"/>
      </w:tblGrid>
      <w:tr w:rsidR="00794A0D" w:rsidRPr="00630BE0" w14:paraId="0AF962B6" w14:textId="77777777" w:rsidTr="00DB40BF">
        <w:trPr>
          <w:trHeight w:val="60"/>
        </w:trPr>
        <w:tc>
          <w:tcPr>
            <w:tcW w:w="2552" w:type="dxa"/>
            <w:vMerge w:val="restart"/>
            <w:shd w:val="clear" w:color="auto" w:fill="003F5F"/>
            <w:tcMar>
              <w:top w:w="113" w:type="dxa"/>
              <w:left w:w="80" w:type="dxa"/>
              <w:bottom w:w="113" w:type="dxa"/>
              <w:right w:w="80" w:type="dxa"/>
            </w:tcMar>
          </w:tcPr>
          <w:p w14:paraId="2F6D316E" w14:textId="77777777" w:rsidR="00794A0D" w:rsidRPr="00630BE0" w:rsidRDefault="00794A0D" w:rsidP="00794A0D">
            <w:pPr>
              <w:rPr>
                <w:rStyle w:val="Strong"/>
              </w:rPr>
            </w:pPr>
            <w:r w:rsidRPr="00FF241E">
              <w:rPr>
                <w:rStyle w:val="Strong"/>
                <w:color w:val="FFFFFF" w:themeColor="background1"/>
              </w:rPr>
              <w:t>This scheme service contributes to, and is aligned with:</w:t>
            </w:r>
          </w:p>
        </w:tc>
        <w:tc>
          <w:tcPr>
            <w:tcW w:w="2693" w:type="dxa"/>
            <w:shd w:val="clear" w:color="auto" w:fill="003F5F"/>
            <w:tcMar>
              <w:top w:w="113" w:type="dxa"/>
              <w:left w:w="80" w:type="dxa"/>
              <w:bottom w:w="113" w:type="dxa"/>
              <w:right w:w="80" w:type="dxa"/>
            </w:tcMar>
          </w:tcPr>
          <w:p w14:paraId="0B0E2700" w14:textId="5D2E70D4" w:rsidR="00794A0D" w:rsidRPr="00FF241E" w:rsidRDefault="00CB2EF7" w:rsidP="00794A0D">
            <w:pPr>
              <w:rPr>
                <w:rStyle w:val="Strong"/>
                <w:color w:val="FFFFFF" w:themeColor="background1"/>
              </w:rPr>
            </w:pPr>
            <w:r>
              <w:rPr>
                <w:rStyle w:val="Strong"/>
                <w:color w:val="FFFFFF" w:themeColor="background1"/>
              </w:rPr>
              <w:t>Government Goals</w:t>
            </w:r>
          </w:p>
        </w:tc>
        <w:tc>
          <w:tcPr>
            <w:tcW w:w="3917" w:type="dxa"/>
            <w:shd w:val="clear" w:color="auto" w:fill="003F5F"/>
            <w:tcMar>
              <w:top w:w="113" w:type="dxa"/>
              <w:left w:w="80" w:type="dxa"/>
              <w:bottom w:w="113" w:type="dxa"/>
              <w:right w:w="80" w:type="dxa"/>
            </w:tcMar>
          </w:tcPr>
          <w:p w14:paraId="38FADCE7" w14:textId="59AB63D5" w:rsidR="00794A0D" w:rsidRPr="00FF241E" w:rsidRDefault="00616E8C" w:rsidP="00794A0D">
            <w:pPr>
              <w:rPr>
                <w:rStyle w:val="Strong"/>
                <w:color w:val="FFFFFF" w:themeColor="background1"/>
              </w:rPr>
            </w:pPr>
            <w:r w:rsidRPr="00FF241E">
              <w:rPr>
                <w:rStyle w:val="Strong"/>
                <w:color w:val="FFFFFF" w:themeColor="background1"/>
              </w:rPr>
              <w:t>WorkCover WA</w:t>
            </w:r>
            <w:r w:rsidR="00626462" w:rsidRPr="00FF241E">
              <w:rPr>
                <w:rStyle w:val="Strong"/>
                <w:color w:val="FFFFFF" w:themeColor="background1"/>
              </w:rPr>
              <w:t xml:space="preserve"> strategic g</w:t>
            </w:r>
            <w:r w:rsidR="00CC657B" w:rsidRPr="00FF241E">
              <w:rPr>
                <w:rStyle w:val="Strong"/>
                <w:color w:val="FFFFFF" w:themeColor="background1"/>
              </w:rPr>
              <w:t>oal</w:t>
            </w:r>
            <w:r w:rsidR="00CB2EF7">
              <w:rPr>
                <w:rStyle w:val="Strong"/>
                <w:color w:val="FFFFFF" w:themeColor="background1"/>
              </w:rPr>
              <w:t>s</w:t>
            </w:r>
          </w:p>
        </w:tc>
      </w:tr>
      <w:tr w:rsidR="00794A0D" w:rsidRPr="005D768A" w14:paraId="45C41EEA" w14:textId="77777777" w:rsidTr="00DB40BF">
        <w:trPr>
          <w:trHeight w:val="825"/>
        </w:trPr>
        <w:tc>
          <w:tcPr>
            <w:tcW w:w="2552" w:type="dxa"/>
            <w:vMerge/>
            <w:shd w:val="clear" w:color="auto" w:fill="003F5F"/>
          </w:tcPr>
          <w:p w14:paraId="1C4C9CF6" w14:textId="77777777" w:rsidR="00794A0D" w:rsidRPr="005D768A" w:rsidRDefault="00794A0D" w:rsidP="00794A0D">
            <w:pPr>
              <w:rPr>
                <w:lang w:eastAsia="en-AU"/>
              </w:rPr>
            </w:pPr>
          </w:p>
        </w:tc>
        <w:tc>
          <w:tcPr>
            <w:tcW w:w="2693" w:type="dxa"/>
            <w:tcMar>
              <w:top w:w="113" w:type="dxa"/>
              <w:left w:w="80" w:type="dxa"/>
              <w:bottom w:w="113" w:type="dxa"/>
              <w:right w:w="80" w:type="dxa"/>
            </w:tcMar>
          </w:tcPr>
          <w:p w14:paraId="422E4FBA" w14:textId="58B3246E" w:rsidR="00F4051D" w:rsidRPr="00DB40BF" w:rsidRDefault="009B4C42" w:rsidP="00BA7F7A">
            <w:pPr>
              <w:rPr>
                <w:rStyle w:val="Strong"/>
                <w:b w:val="0"/>
              </w:rPr>
            </w:pPr>
            <w:r w:rsidRPr="00DB40BF">
              <w:rPr>
                <w:rStyle w:val="Strong"/>
                <w:b w:val="0"/>
              </w:rPr>
              <w:t>Sustainable finances</w:t>
            </w:r>
          </w:p>
          <w:p w14:paraId="05B55B8E" w14:textId="7CBFF99F" w:rsidR="00794A0D" w:rsidRPr="009B4C42" w:rsidRDefault="009B4C42" w:rsidP="00BA7F7A">
            <w:pPr>
              <w:rPr>
                <w:rStyle w:val="Strong"/>
                <w:b w:val="0"/>
                <w:color w:val="FFFFFF" w:themeColor="background1"/>
              </w:rPr>
            </w:pPr>
            <w:r w:rsidRPr="00DB40BF">
              <w:rPr>
                <w:rStyle w:val="Strong"/>
                <w:b w:val="0"/>
              </w:rPr>
              <w:t>Better places</w:t>
            </w:r>
          </w:p>
        </w:tc>
        <w:tc>
          <w:tcPr>
            <w:tcW w:w="3917" w:type="dxa"/>
            <w:tcMar>
              <w:top w:w="113" w:type="dxa"/>
              <w:left w:w="80" w:type="dxa"/>
              <w:bottom w:w="113" w:type="dxa"/>
              <w:right w:w="80" w:type="dxa"/>
            </w:tcMar>
          </w:tcPr>
          <w:p w14:paraId="4949F540" w14:textId="497436B9" w:rsidR="00903307" w:rsidRPr="00FF241E" w:rsidRDefault="00626462" w:rsidP="00026A6F">
            <w:pPr>
              <w:pStyle w:val="NumberedlistLevel1"/>
              <w:numPr>
                <w:ilvl w:val="0"/>
                <w:numId w:val="7"/>
              </w:numPr>
              <w:ind w:left="345" w:hanging="345"/>
              <w:rPr>
                <w:rStyle w:val="Strong"/>
                <w:b w:val="0"/>
              </w:rPr>
            </w:pPr>
            <w:r w:rsidRPr="00FF241E">
              <w:rPr>
                <w:rStyle w:val="Strong"/>
                <w:b w:val="0"/>
              </w:rPr>
              <w:t>Strategic scheme m</w:t>
            </w:r>
            <w:r w:rsidR="00903307" w:rsidRPr="00FF241E">
              <w:rPr>
                <w:rStyle w:val="Strong"/>
                <w:b w:val="0"/>
              </w:rPr>
              <w:t>anagement</w:t>
            </w:r>
          </w:p>
          <w:p w14:paraId="198606EB" w14:textId="3A0ECA13" w:rsidR="00794A0D" w:rsidRPr="00FF241E" w:rsidRDefault="00903307" w:rsidP="00026A6F">
            <w:pPr>
              <w:pStyle w:val="NumberedlistLevel1"/>
              <w:numPr>
                <w:ilvl w:val="0"/>
                <w:numId w:val="7"/>
              </w:numPr>
              <w:ind w:left="345" w:hanging="345"/>
              <w:rPr>
                <w:rStyle w:val="Strong"/>
                <w:b w:val="0"/>
              </w:rPr>
            </w:pPr>
            <w:r w:rsidRPr="00FF241E">
              <w:rPr>
                <w:rStyle w:val="Strong"/>
                <w:b w:val="0"/>
              </w:rPr>
              <w:t>Leadership</w:t>
            </w:r>
            <w:r w:rsidR="00F4051D" w:rsidRPr="00FF241E">
              <w:rPr>
                <w:rStyle w:val="Strong"/>
                <w:b w:val="0"/>
              </w:rPr>
              <w:t xml:space="preserve"> </w:t>
            </w:r>
          </w:p>
        </w:tc>
      </w:tr>
    </w:tbl>
    <w:p w14:paraId="0FE2E408" w14:textId="5B3BB8F9" w:rsidR="006051FA" w:rsidRDefault="006051FA" w:rsidP="008F6008"/>
    <w:p w14:paraId="50F82A9B" w14:textId="1227953E" w:rsidR="00816FCE" w:rsidRDefault="00214FDD" w:rsidP="000514DE">
      <w:bookmarkStart w:id="388" w:name="_Toc450900726"/>
      <w:r>
        <w:t xml:space="preserve">WorkCover WA offers education, advice and assistance to workers, employers and other stakeholders via a range of methods and resources. </w:t>
      </w:r>
      <w:r w:rsidR="00F03C23">
        <w:t>Providing education</w:t>
      </w:r>
      <w:r>
        <w:t xml:space="preserve"> and information is a vital WorkCover WA service aimed at establishing and increasing stakeholders’ knowledge of rights and responsibilities in regards to workers’ compensation and injury management.</w:t>
      </w:r>
    </w:p>
    <w:p w14:paraId="2EFC908D" w14:textId="3AC3868E" w:rsidR="00214FDD" w:rsidRPr="00214FDD" w:rsidRDefault="00214FDD" w:rsidP="00816FCE">
      <w:pPr>
        <w:rPr>
          <w:rFonts w:cs="Arial"/>
        </w:rPr>
      </w:pPr>
      <w:r>
        <w:t xml:space="preserve">WorkCover WA </w:t>
      </w:r>
      <w:r w:rsidR="004D0269">
        <w:t>completed</w:t>
      </w:r>
      <w:r>
        <w:t xml:space="preserve"> initiatives in line with the </w:t>
      </w:r>
      <w:r>
        <w:rPr>
          <w:i/>
        </w:rPr>
        <w:t>External Communications Strategy 2016</w:t>
      </w:r>
      <w:r w:rsidR="000514DE">
        <w:rPr>
          <w:i/>
        </w:rPr>
        <w:t>–201</w:t>
      </w:r>
      <w:r>
        <w:rPr>
          <w:i/>
        </w:rPr>
        <w:t xml:space="preserve">8, </w:t>
      </w:r>
      <w:r>
        <w:t>ensuring a systematic approach to all communications and education activities.</w:t>
      </w:r>
    </w:p>
    <w:p w14:paraId="63AB4383" w14:textId="624850B3" w:rsidR="00D00E31" w:rsidRDefault="00DA3E08" w:rsidP="00D00E31">
      <w:pPr>
        <w:pStyle w:val="Heading2nonumber"/>
      </w:pPr>
      <w:bookmarkStart w:id="389" w:name="_Toc525122023"/>
      <w:r>
        <w:t>WorkCover WA educational videos</w:t>
      </w:r>
      <w:bookmarkEnd w:id="389"/>
    </w:p>
    <w:p w14:paraId="63219888" w14:textId="0690E2B2" w:rsidR="00D00E31" w:rsidRDefault="00A941D7" w:rsidP="0056333F">
      <w:r>
        <w:t xml:space="preserve">WorkCover WA has continued to add to </w:t>
      </w:r>
      <w:r w:rsidR="00365F50">
        <w:t>our</w:t>
      </w:r>
      <w:r>
        <w:t xml:space="preserve"> suite of educational videos </w:t>
      </w:r>
      <w:r w:rsidR="00365F50">
        <w:t>that</w:t>
      </w:r>
      <w:r>
        <w:t xml:space="preserve"> provide information and support for a range of workers’ compensation and injury management topics. </w:t>
      </w:r>
    </w:p>
    <w:p w14:paraId="6BF67620" w14:textId="406C40EC" w:rsidR="00A941D7" w:rsidRDefault="00A941D7" w:rsidP="0056333F">
      <w:r>
        <w:t xml:space="preserve">The videos are available under the </w:t>
      </w:r>
      <w:r w:rsidR="007C42F1">
        <w:t>‘</w:t>
      </w:r>
      <w:r>
        <w:t>Educational videos</w:t>
      </w:r>
      <w:r w:rsidR="007C42F1">
        <w:t>’</w:t>
      </w:r>
      <w:r>
        <w:t xml:space="preserve"> section of the </w:t>
      </w:r>
      <w:r w:rsidR="007C42F1">
        <w:br/>
      </w:r>
      <w:r>
        <w:t xml:space="preserve">WorkCover WA website. </w:t>
      </w:r>
      <w:r w:rsidR="00365F50">
        <w:t>New videos</w:t>
      </w:r>
      <w:r w:rsidR="005E4503">
        <w:t xml:space="preserve"> launched in 2017/18 include:</w:t>
      </w:r>
    </w:p>
    <w:p w14:paraId="580DEDD8" w14:textId="78933804" w:rsidR="005E4503" w:rsidRPr="00DC40F3" w:rsidRDefault="005E4503" w:rsidP="005E4503">
      <w:pPr>
        <w:pStyle w:val="BulletListLevel1"/>
        <w:rPr>
          <w:i/>
        </w:rPr>
      </w:pPr>
      <w:r w:rsidRPr="00DC40F3">
        <w:rPr>
          <w:i/>
        </w:rPr>
        <w:t>Workers’ compensation insurance: a guide for employers</w:t>
      </w:r>
    </w:p>
    <w:p w14:paraId="0FB39CCE" w14:textId="2921AF37" w:rsidR="005E4503" w:rsidRPr="00DC40F3" w:rsidRDefault="005E4503" w:rsidP="005E4503">
      <w:pPr>
        <w:pStyle w:val="BulletListLevel1"/>
        <w:rPr>
          <w:i/>
        </w:rPr>
      </w:pPr>
      <w:r w:rsidRPr="00DC40F3">
        <w:rPr>
          <w:i/>
        </w:rPr>
        <w:t>Injured workers: what are my entitlements</w:t>
      </w:r>
    </w:p>
    <w:p w14:paraId="188E60BB" w14:textId="2B31563E" w:rsidR="005E4503" w:rsidRPr="00DC40F3" w:rsidRDefault="005E4503" w:rsidP="005E4503">
      <w:pPr>
        <w:pStyle w:val="BulletListLevel1"/>
        <w:rPr>
          <w:i/>
        </w:rPr>
      </w:pPr>
      <w:r w:rsidRPr="00DC40F3">
        <w:rPr>
          <w:i/>
        </w:rPr>
        <w:t>Dispute resolution: what happens if there is a dispute</w:t>
      </w:r>
    </w:p>
    <w:p w14:paraId="582554C1" w14:textId="731177B8" w:rsidR="005E4503" w:rsidRPr="00DC40F3" w:rsidRDefault="005E4503" w:rsidP="005E4503">
      <w:pPr>
        <w:pStyle w:val="BulletListLevel1"/>
        <w:rPr>
          <w:i/>
        </w:rPr>
      </w:pPr>
      <w:r w:rsidRPr="00DC40F3">
        <w:rPr>
          <w:i/>
        </w:rPr>
        <w:t>Certificates of Capacity: guidance for doctors</w:t>
      </w:r>
    </w:p>
    <w:p w14:paraId="4ED240EC" w14:textId="6B061D44" w:rsidR="005E4503" w:rsidRPr="00DC40F3" w:rsidRDefault="005E4503" w:rsidP="005E4503">
      <w:pPr>
        <w:pStyle w:val="BulletListLevel1"/>
        <w:rPr>
          <w:i/>
        </w:rPr>
      </w:pPr>
      <w:r w:rsidRPr="00DC40F3">
        <w:rPr>
          <w:i/>
        </w:rPr>
        <w:t>Workers’ compensation insurance: a guide for insurance brokers</w:t>
      </w:r>
    </w:p>
    <w:p w14:paraId="778923C7" w14:textId="1979E8A6" w:rsidR="005E4503" w:rsidRDefault="007B74AA" w:rsidP="005E4503">
      <w:pPr>
        <w:pStyle w:val="BulletListLevel1"/>
        <w:numPr>
          <w:ilvl w:val="0"/>
          <w:numId w:val="0"/>
        </w:numPr>
      </w:pPr>
      <w:r>
        <w:t>WorkCover WA also translated the most commonly viewed video, ‘</w:t>
      </w:r>
      <w:r w:rsidRPr="00DC40F3">
        <w:rPr>
          <w:i/>
        </w:rPr>
        <w:t>Making a claim</w:t>
      </w:r>
      <w:r>
        <w:t>,’ in Chinese Mandarin with voiceover and closed captions.</w:t>
      </w:r>
      <w:r w:rsidR="005E4503">
        <w:t xml:space="preserve"> </w:t>
      </w:r>
    </w:p>
    <w:p w14:paraId="029B9DC6" w14:textId="3794C5B1" w:rsidR="005E4503" w:rsidRDefault="005E4503" w:rsidP="005E4503">
      <w:pPr>
        <w:pStyle w:val="BulletListLevel1"/>
        <w:numPr>
          <w:ilvl w:val="0"/>
          <w:numId w:val="0"/>
        </w:numPr>
      </w:pPr>
      <w:r>
        <w:t>Additional videos on a further range of topics</w:t>
      </w:r>
      <w:r w:rsidR="00F93E39">
        <w:t>, including contractors and settlements,</w:t>
      </w:r>
      <w:r>
        <w:t xml:space="preserve"> are scheduled to be released in 2018/19.</w:t>
      </w:r>
      <w:r w:rsidR="007B74AA">
        <w:t xml:space="preserve"> Further consideration will be given to translating additional videos.</w:t>
      </w:r>
    </w:p>
    <w:tbl>
      <w:tblPr>
        <w:tblStyle w:val="TableGrid1"/>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27: Educational videos 2017/18"/>
        <w:tblDescription w:val="This table outlines the number of views for each educational video in 2017/18. "/>
      </w:tblPr>
      <w:tblGrid>
        <w:gridCol w:w="6804"/>
        <w:gridCol w:w="2217"/>
      </w:tblGrid>
      <w:tr w:rsidR="001139EF" w:rsidRPr="00544634" w14:paraId="3A74C9AE" w14:textId="77777777" w:rsidTr="00DB40BF">
        <w:trPr>
          <w:tblHeader/>
        </w:trPr>
        <w:tc>
          <w:tcPr>
            <w:tcW w:w="9021" w:type="dxa"/>
            <w:gridSpan w:val="2"/>
            <w:shd w:val="clear" w:color="auto" w:fill="003F5F"/>
          </w:tcPr>
          <w:p w14:paraId="05F59C2B" w14:textId="766001DA" w:rsidR="001139EF" w:rsidRPr="00544634" w:rsidRDefault="001139EF" w:rsidP="00451D48">
            <w:pPr>
              <w:rPr>
                <w:rStyle w:val="Strong"/>
              </w:rPr>
            </w:pPr>
            <w:r w:rsidRPr="00DB40BF">
              <w:rPr>
                <w:rStyle w:val="Strong"/>
                <w:color w:val="FFFFFF" w:themeColor="background1"/>
              </w:rPr>
              <w:t xml:space="preserve">Table </w:t>
            </w:r>
            <w:r w:rsidR="00451D48" w:rsidRPr="00DB40BF">
              <w:rPr>
                <w:rStyle w:val="Strong"/>
                <w:color w:val="FFFFFF" w:themeColor="background1"/>
              </w:rPr>
              <w:t>27</w:t>
            </w:r>
            <w:r w:rsidRPr="00DB40BF">
              <w:rPr>
                <w:rStyle w:val="Strong"/>
                <w:color w:val="FFFFFF" w:themeColor="background1"/>
              </w:rPr>
              <w:t xml:space="preserve">: </w:t>
            </w:r>
            <w:r w:rsidRPr="001139EF">
              <w:rPr>
                <w:rStyle w:val="Strong"/>
                <w:color w:val="FFFFFF" w:themeColor="background1"/>
              </w:rPr>
              <w:t>Educational videos 2017/18</w:t>
            </w:r>
          </w:p>
        </w:tc>
      </w:tr>
      <w:tr w:rsidR="00F267BC" w:rsidRPr="00544634" w14:paraId="5140C994" w14:textId="77777777" w:rsidTr="00DB40BF">
        <w:tc>
          <w:tcPr>
            <w:tcW w:w="6804" w:type="dxa"/>
            <w:shd w:val="clear" w:color="auto" w:fill="CEDCE8"/>
            <w:vAlign w:val="center"/>
          </w:tcPr>
          <w:p w14:paraId="2D69EA8F" w14:textId="02063046" w:rsidR="00F267BC" w:rsidRPr="00544634" w:rsidRDefault="00F267BC" w:rsidP="001E5F9A">
            <w:pPr>
              <w:rPr>
                <w:rStyle w:val="Strong"/>
              </w:rPr>
            </w:pPr>
            <w:r>
              <w:rPr>
                <w:rStyle w:val="Strong"/>
              </w:rPr>
              <w:t>Video title</w:t>
            </w:r>
          </w:p>
        </w:tc>
        <w:tc>
          <w:tcPr>
            <w:tcW w:w="2217" w:type="dxa"/>
            <w:shd w:val="clear" w:color="auto" w:fill="CEDCE8"/>
            <w:vAlign w:val="center"/>
          </w:tcPr>
          <w:p w14:paraId="53583B54" w14:textId="275FCEE3" w:rsidR="00F267BC" w:rsidRPr="00544634" w:rsidRDefault="00F267BC" w:rsidP="001E5F9A">
            <w:pPr>
              <w:jc w:val="right"/>
              <w:rPr>
                <w:rStyle w:val="Strong"/>
              </w:rPr>
            </w:pPr>
            <w:r>
              <w:rPr>
                <w:rStyle w:val="Strong"/>
              </w:rPr>
              <w:t>Total views</w:t>
            </w:r>
          </w:p>
        </w:tc>
      </w:tr>
      <w:tr w:rsidR="00F267BC" w:rsidRPr="00DB6205" w14:paraId="0EB37F2A" w14:textId="77777777" w:rsidTr="00DB40BF">
        <w:tc>
          <w:tcPr>
            <w:tcW w:w="6804" w:type="dxa"/>
            <w:shd w:val="clear" w:color="auto" w:fill="CEDCE8"/>
            <w:vAlign w:val="center"/>
          </w:tcPr>
          <w:p w14:paraId="3D820569" w14:textId="1C797ABD" w:rsidR="00F267BC" w:rsidRPr="001E0B07" w:rsidRDefault="007F0056" w:rsidP="001E5F9A">
            <w:pPr>
              <w:rPr>
                <w:lang w:val="en-GB" w:eastAsia="en-AU"/>
              </w:rPr>
            </w:pPr>
            <w:r>
              <w:rPr>
                <w:lang w:val="en-GB" w:eastAsia="en-AU"/>
              </w:rPr>
              <w:t>Making a claim</w:t>
            </w:r>
          </w:p>
        </w:tc>
        <w:tc>
          <w:tcPr>
            <w:tcW w:w="2217" w:type="dxa"/>
          </w:tcPr>
          <w:p w14:paraId="40167465" w14:textId="5FC50B76" w:rsidR="00F267BC" w:rsidRPr="00F93E39" w:rsidRDefault="007F0056" w:rsidP="001E5F9A">
            <w:pPr>
              <w:jc w:val="right"/>
              <w:rPr>
                <w:rFonts w:cs="Arial"/>
              </w:rPr>
            </w:pPr>
            <w:r>
              <w:rPr>
                <w:rFonts w:cs="Arial"/>
              </w:rPr>
              <w:t>1,407</w:t>
            </w:r>
          </w:p>
        </w:tc>
      </w:tr>
      <w:tr w:rsidR="00F267BC" w:rsidRPr="00DB6205" w14:paraId="021E3282" w14:textId="77777777" w:rsidTr="00DB40BF">
        <w:tc>
          <w:tcPr>
            <w:tcW w:w="6804" w:type="dxa"/>
            <w:shd w:val="clear" w:color="auto" w:fill="CEDCE8"/>
            <w:vAlign w:val="center"/>
          </w:tcPr>
          <w:p w14:paraId="172232D2" w14:textId="01D2130E" w:rsidR="00F267BC" w:rsidRPr="001E0B07" w:rsidRDefault="007F0056" w:rsidP="001E5F9A">
            <w:pPr>
              <w:rPr>
                <w:rFonts w:cs="Arial"/>
              </w:rPr>
            </w:pPr>
            <w:r>
              <w:rPr>
                <w:rFonts w:cs="Arial"/>
              </w:rPr>
              <w:t>Injured workers: what are my entitlements</w:t>
            </w:r>
          </w:p>
        </w:tc>
        <w:tc>
          <w:tcPr>
            <w:tcW w:w="2217" w:type="dxa"/>
          </w:tcPr>
          <w:p w14:paraId="16045D7C" w14:textId="2D9F1365" w:rsidR="00F267BC" w:rsidRPr="00F93E39" w:rsidRDefault="007F0056" w:rsidP="001E5F9A">
            <w:pPr>
              <w:jc w:val="right"/>
              <w:rPr>
                <w:rFonts w:cs="Arial"/>
              </w:rPr>
            </w:pPr>
            <w:r>
              <w:rPr>
                <w:rFonts w:cs="Arial"/>
              </w:rPr>
              <w:t>1,284</w:t>
            </w:r>
          </w:p>
        </w:tc>
      </w:tr>
      <w:tr w:rsidR="00F267BC" w:rsidRPr="00DB6205" w14:paraId="1F8E7098" w14:textId="77777777" w:rsidTr="00DB40BF">
        <w:tc>
          <w:tcPr>
            <w:tcW w:w="6804" w:type="dxa"/>
            <w:shd w:val="clear" w:color="auto" w:fill="CEDCE8"/>
            <w:vAlign w:val="center"/>
          </w:tcPr>
          <w:p w14:paraId="5B844D50" w14:textId="5A5F84AA" w:rsidR="00F267BC" w:rsidRDefault="007F0056" w:rsidP="001E5F9A">
            <w:pPr>
              <w:rPr>
                <w:rFonts w:cs="Arial"/>
                <w:bCs/>
                <w:szCs w:val="22"/>
              </w:rPr>
            </w:pPr>
            <w:r>
              <w:rPr>
                <w:rFonts w:cs="Arial"/>
                <w:bCs/>
                <w:szCs w:val="22"/>
              </w:rPr>
              <w:t xml:space="preserve">Return to work </w:t>
            </w:r>
          </w:p>
        </w:tc>
        <w:tc>
          <w:tcPr>
            <w:tcW w:w="2217" w:type="dxa"/>
          </w:tcPr>
          <w:p w14:paraId="7D96D6B8" w14:textId="64A0F5FB" w:rsidR="00F267BC" w:rsidRPr="00F93E39" w:rsidRDefault="007F0056" w:rsidP="001E5F9A">
            <w:pPr>
              <w:jc w:val="right"/>
            </w:pPr>
            <w:r>
              <w:t>1,099</w:t>
            </w:r>
          </w:p>
        </w:tc>
      </w:tr>
      <w:tr w:rsidR="00F267BC" w:rsidRPr="00DB6205" w14:paraId="227E9024" w14:textId="77777777" w:rsidTr="00DB40BF">
        <w:tc>
          <w:tcPr>
            <w:tcW w:w="6804" w:type="dxa"/>
            <w:shd w:val="clear" w:color="auto" w:fill="CEDCE8"/>
            <w:vAlign w:val="center"/>
          </w:tcPr>
          <w:p w14:paraId="36824200" w14:textId="296EA897" w:rsidR="00F267BC" w:rsidRDefault="007F0056" w:rsidP="001E5F9A">
            <w:pPr>
              <w:rPr>
                <w:rFonts w:cs="Arial"/>
                <w:bCs/>
                <w:szCs w:val="22"/>
              </w:rPr>
            </w:pPr>
            <w:r>
              <w:rPr>
                <w:rFonts w:cs="Arial"/>
                <w:bCs/>
                <w:szCs w:val="22"/>
              </w:rPr>
              <w:t>Return to work: employer guide</w:t>
            </w:r>
          </w:p>
        </w:tc>
        <w:tc>
          <w:tcPr>
            <w:tcW w:w="2217" w:type="dxa"/>
          </w:tcPr>
          <w:p w14:paraId="3E2AB81E" w14:textId="04CB72E3" w:rsidR="00F267BC" w:rsidRPr="00F93E39" w:rsidRDefault="007F0056" w:rsidP="001E5F9A">
            <w:pPr>
              <w:jc w:val="right"/>
            </w:pPr>
            <w:r>
              <w:t>1,096</w:t>
            </w:r>
          </w:p>
        </w:tc>
      </w:tr>
      <w:tr w:rsidR="00F267BC" w:rsidRPr="00DB6205" w14:paraId="08D88EF8" w14:textId="77777777" w:rsidTr="00DB40BF">
        <w:tc>
          <w:tcPr>
            <w:tcW w:w="6804" w:type="dxa"/>
            <w:shd w:val="clear" w:color="auto" w:fill="CEDCE8"/>
            <w:vAlign w:val="center"/>
          </w:tcPr>
          <w:p w14:paraId="6C6C6BC6" w14:textId="73DC8545" w:rsidR="00F267BC" w:rsidRDefault="007F0056" w:rsidP="001E5F9A">
            <w:pPr>
              <w:rPr>
                <w:rFonts w:cs="Arial"/>
                <w:bCs/>
                <w:szCs w:val="22"/>
              </w:rPr>
            </w:pPr>
            <w:r>
              <w:rPr>
                <w:rFonts w:cs="Arial"/>
                <w:bCs/>
                <w:szCs w:val="22"/>
              </w:rPr>
              <w:t>Case conferences</w:t>
            </w:r>
          </w:p>
        </w:tc>
        <w:tc>
          <w:tcPr>
            <w:tcW w:w="2217" w:type="dxa"/>
          </w:tcPr>
          <w:p w14:paraId="166F7BB3" w14:textId="3C21BDCB" w:rsidR="00F267BC" w:rsidRPr="00F93E39" w:rsidRDefault="007F0056" w:rsidP="001E5F9A">
            <w:pPr>
              <w:jc w:val="right"/>
            </w:pPr>
            <w:r>
              <w:t>1,061</w:t>
            </w:r>
          </w:p>
        </w:tc>
      </w:tr>
      <w:tr w:rsidR="00F267BC" w:rsidRPr="00DB6205" w14:paraId="1C26A166" w14:textId="77777777" w:rsidTr="00DB40BF">
        <w:tc>
          <w:tcPr>
            <w:tcW w:w="6804" w:type="dxa"/>
            <w:shd w:val="clear" w:color="auto" w:fill="CEDCE8"/>
            <w:vAlign w:val="center"/>
          </w:tcPr>
          <w:p w14:paraId="76F16362" w14:textId="5EEC33E9" w:rsidR="00F267BC" w:rsidRDefault="007F0056" w:rsidP="001E5F9A">
            <w:pPr>
              <w:rPr>
                <w:rFonts w:cs="Arial"/>
                <w:bCs/>
                <w:szCs w:val="22"/>
              </w:rPr>
            </w:pPr>
            <w:r>
              <w:rPr>
                <w:rFonts w:cs="Arial"/>
                <w:bCs/>
                <w:szCs w:val="22"/>
              </w:rPr>
              <w:t>Dispute resolution: what happens if there’s a dispute</w:t>
            </w:r>
          </w:p>
        </w:tc>
        <w:tc>
          <w:tcPr>
            <w:tcW w:w="2217" w:type="dxa"/>
          </w:tcPr>
          <w:p w14:paraId="257E95A6" w14:textId="74A975AD" w:rsidR="00F267BC" w:rsidRPr="00F93E39" w:rsidRDefault="007F0056" w:rsidP="001E5F9A">
            <w:pPr>
              <w:jc w:val="right"/>
            </w:pPr>
            <w:r>
              <w:t>706</w:t>
            </w:r>
          </w:p>
        </w:tc>
      </w:tr>
      <w:tr w:rsidR="00F267BC" w:rsidRPr="00DB6205" w14:paraId="04FB54CF" w14:textId="77777777" w:rsidTr="00DB40BF">
        <w:tc>
          <w:tcPr>
            <w:tcW w:w="6804" w:type="dxa"/>
            <w:shd w:val="clear" w:color="auto" w:fill="CEDCE8"/>
            <w:vAlign w:val="center"/>
          </w:tcPr>
          <w:p w14:paraId="110A82F9" w14:textId="5B8F6301" w:rsidR="00F267BC" w:rsidRDefault="007F0056" w:rsidP="001E5F9A">
            <w:pPr>
              <w:rPr>
                <w:rFonts w:cs="Arial"/>
                <w:bCs/>
                <w:szCs w:val="22"/>
              </w:rPr>
            </w:pPr>
            <w:r>
              <w:rPr>
                <w:rFonts w:cs="Arial"/>
                <w:bCs/>
                <w:szCs w:val="22"/>
              </w:rPr>
              <w:t>Workers’ compensation insurance: a guide for employers</w:t>
            </w:r>
          </w:p>
        </w:tc>
        <w:tc>
          <w:tcPr>
            <w:tcW w:w="2217" w:type="dxa"/>
          </w:tcPr>
          <w:p w14:paraId="5B4F57C8" w14:textId="4F0D4147" w:rsidR="00F267BC" w:rsidRPr="00F93E39" w:rsidRDefault="007F0056" w:rsidP="001E5F9A">
            <w:pPr>
              <w:jc w:val="right"/>
            </w:pPr>
            <w:r>
              <w:t>671</w:t>
            </w:r>
          </w:p>
        </w:tc>
      </w:tr>
      <w:tr w:rsidR="00F267BC" w:rsidRPr="00DB6205" w14:paraId="3121C208" w14:textId="77777777" w:rsidTr="00DB40BF">
        <w:tc>
          <w:tcPr>
            <w:tcW w:w="6804" w:type="dxa"/>
            <w:shd w:val="clear" w:color="auto" w:fill="CEDCE8"/>
            <w:vAlign w:val="center"/>
          </w:tcPr>
          <w:p w14:paraId="239C8AAC" w14:textId="385D6F01" w:rsidR="00F267BC" w:rsidRDefault="007F0056" w:rsidP="001E5F9A">
            <w:pPr>
              <w:rPr>
                <w:rFonts w:cs="Arial"/>
                <w:bCs/>
                <w:szCs w:val="22"/>
              </w:rPr>
            </w:pPr>
            <w:r>
              <w:rPr>
                <w:rFonts w:cs="Arial"/>
                <w:bCs/>
                <w:szCs w:val="22"/>
              </w:rPr>
              <w:t>Certificates of Capacity: guidance for doctors</w:t>
            </w:r>
          </w:p>
        </w:tc>
        <w:tc>
          <w:tcPr>
            <w:tcW w:w="2217" w:type="dxa"/>
          </w:tcPr>
          <w:p w14:paraId="4780BEBA" w14:textId="69F84446" w:rsidR="00F267BC" w:rsidRPr="00F93E39" w:rsidRDefault="007F0056" w:rsidP="001E5F9A">
            <w:pPr>
              <w:jc w:val="right"/>
            </w:pPr>
            <w:r>
              <w:t>426</w:t>
            </w:r>
          </w:p>
        </w:tc>
      </w:tr>
      <w:tr w:rsidR="00F267BC" w:rsidRPr="00DB6205" w14:paraId="4A846AF0" w14:textId="77777777" w:rsidTr="00DB40BF">
        <w:tc>
          <w:tcPr>
            <w:tcW w:w="6804" w:type="dxa"/>
            <w:shd w:val="clear" w:color="auto" w:fill="CEDCE8"/>
            <w:vAlign w:val="center"/>
          </w:tcPr>
          <w:p w14:paraId="4C59F7BF" w14:textId="39CD481D" w:rsidR="00F267BC" w:rsidRDefault="007F0056" w:rsidP="001E5F9A">
            <w:pPr>
              <w:rPr>
                <w:rFonts w:cs="Arial"/>
                <w:bCs/>
                <w:szCs w:val="22"/>
              </w:rPr>
            </w:pPr>
            <w:r>
              <w:rPr>
                <w:rFonts w:cs="Arial"/>
                <w:bCs/>
                <w:szCs w:val="22"/>
              </w:rPr>
              <w:t>Workers’ compensation insurance: a guide for brokers</w:t>
            </w:r>
          </w:p>
        </w:tc>
        <w:tc>
          <w:tcPr>
            <w:tcW w:w="2217" w:type="dxa"/>
          </w:tcPr>
          <w:p w14:paraId="32824456" w14:textId="3B38E5CA" w:rsidR="00F267BC" w:rsidRPr="00F93E39" w:rsidRDefault="007F0056" w:rsidP="001E5F9A">
            <w:pPr>
              <w:jc w:val="right"/>
            </w:pPr>
            <w:r>
              <w:t>326</w:t>
            </w:r>
          </w:p>
        </w:tc>
      </w:tr>
      <w:tr w:rsidR="00F267BC" w:rsidRPr="00DB6205" w14:paraId="790439DF" w14:textId="77777777" w:rsidTr="00DB40BF">
        <w:tc>
          <w:tcPr>
            <w:tcW w:w="6804" w:type="dxa"/>
            <w:shd w:val="clear" w:color="auto" w:fill="003F5F"/>
            <w:vAlign w:val="center"/>
          </w:tcPr>
          <w:p w14:paraId="38F13F39" w14:textId="77777777" w:rsidR="00F267BC" w:rsidRPr="00544634" w:rsidRDefault="00F267BC" w:rsidP="001E5F9A">
            <w:pPr>
              <w:rPr>
                <w:rStyle w:val="Strong"/>
                <w:color w:val="FFFFFF" w:themeColor="background1"/>
              </w:rPr>
            </w:pPr>
            <w:r w:rsidRPr="00544634">
              <w:rPr>
                <w:rStyle w:val="Strong"/>
                <w:color w:val="FFFFFF" w:themeColor="background1"/>
              </w:rPr>
              <w:t>Total</w:t>
            </w:r>
          </w:p>
        </w:tc>
        <w:tc>
          <w:tcPr>
            <w:tcW w:w="2217" w:type="dxa"/>
            <w:shd w:val="clear" w:color="auto" w:fill="003F5F"/>
          </w:tcPr>
          <w:p w14:paraId="1A134620" w14:textId="2250A676" w:rsidR="00F267BC" w:rsidRPr="00DB6205" w:rsidRDefault="00F93E39" w:rsidP="001E5F9A">
            <w:pPr>
              <w:jc w:val="right"/>
              <w:rPr>
                <w:rStyle w:val="Strong"/>
                <w:color w:val="FF0000"/>
                <w:highlight w:val="yellow"/>
              </w:rPr>
            </w:pPr>
            <w:r w:rsidRPr="00F93E39">
              <w:rPr>
                <w:rStyle w:val="Strong"/>
                <w:color w:val="FFFFFF" w:themeColor="background1"/>
              </w:rPr>
              <w:t>8,076</w:t>
            </w:r>
          </w:p>
        </w:tc>
      </w:tr>
    </w:tbl>
    <w:p w14:paraId="39A15B12" w14:textId="77777777" w:rsidR="001139EF" w:rsidRPr="00214FDD" w:rsidRDefault="001139EF" w:rsidP="005E4503">
      <w:pPr>
        <w:pStyle w:val="BulletListLevel1"/>
        <w:numPr>
          <w:ilvl w:val="0"/>
          <w:numId w:val="0"/>
        </w:numPr>
      </w:pPr>
    </w:p>
    <w:p w14:paraId="186BA044" w14:textId="77777777" w:rsidR="006051FA" w:rsidRDefault="006051FA" w:rsidP="00180C0F">
      <w:pPr>
        <w:pStyle w:val="Heading2nonumber"/>
      </w:pPr>
      <w:bookmarkStart w:id="390" w:name="_Toc399316978"/>
      <w:bookmarkStart w:id="391" w:name="_Toc426617503"/>
      <w:bookmarkStart w:id="392" w:name="_Toc450900729"/>
      <w:bookmarkStart w:id="393" w:name="_Toc525122024"/>
      <w:bookmarkEnd w:id="388"/>
      <w:r w:rsidRPr="00A37020">
        <w:t>Publications</w:t>
      </w:r>
      <w:bookmarkEnd w:id="390"/>
      <w:bookmarkEnd w:id="391"/>
      <w:bookmarkEnd w:id="392"/>
      <w:bookmarkEnd w:id="393"/>
    </w:p>
    <w:p w14:paraId="6366B28A" w14:textId="30286565" w:rsidR="00B62036" w:rsidRDefault="00DA3E08" w:rsidP="00D62747">
      <w:r>
        <w:t>WorkCover WA publishes a range of educational resources providing workers, employers and service providers with relevant and comprehensive information on workers’ compensation and injury management rights, obligations and entitlements.</w:t>
      </w:r>
    </w:p>
    <w:p w14:paraId="352CFF64" w14:textId="2A339E85" w:rsidR="00086063" w:rsidRDefault="00086063" w:rsidP="00086063">
      <w:r w:rsidRPr="00923699">
        <w:t xml:space="preserve">In 2017/18, the </w:t>
      </w:r>
      <w:r w:rsidRPr="00923699">
        <w:rPr>
          <w:i/>
        </w:rPr>
        <w:t xml:space="preserve">Workers’ Compensation and Injury Management: A Guide for Workers </w:t>
      </w:r>
      <w:r w:rsidRPr="00923699">
        <w:t>(Worker</w:t>
      </w:r>
      <w:r>
        <w:t>s’</w:t>
      </w:r>
      <w:r w:rsidRPr="00923699">
        <w:t xml:space="preserve"> Guide) </w:t>
      </w:r>
      <w:r w:rsidRPr="00CF0FB6">
        <w:t>was</w:t>
      </w:r>
      <w:r>
        <w:t xml:space="preserve"> </w:t>
      </w:r>
      <w:r w:rsidRPr="00CF0FB6">
        <w:t xml:space="preserve">the most requested publication by mail, comprising </w:t>
      </w:r>
      <w:r w:rsidR="00597612">
        <w:t>69 per</w:t>
      </w:r>
      <w:r w:rsidRPr="00923699">
        <w:t xml:space="preserve">cent </w:t>
      </w:r>
      <w:r w:rsidRPr="00CF0FB6">
        <w:t xml:space="preserve">of all publications ordered. The </w:t>
      </w:r>
      <w:r w:rsidRPr="00923699">
        <w:t xml:space="preserve">Workers’ Guide </w:t>
      </w:r>
      <w:r w:rsidRPr="00CF0FB6">
        <w:t>was</w:t>
      </w:r>
      <w:r>
        <w:t xml:space="preserve"> also</w:t>
      </w:r>
      <w:r w:rsidRPr="00CF0FB6">
        <w:t xml:space="preserve"> the most downloaded publication, recording </w:t>
      </w:r>
      <w:r w:rsidRPr="00086063">
        <w:t>3</w:t>
      </w:r>
      <w:r>
        <w:t>3</w:t>
      </w:r>
      <w:r w:rsidRPr="00086063">
        <w:t xml:space="preserve"> </w:t>
      </w:r>
      <w:r w:rsidRPr="00CF0FB6">
        <w:t>percent of all downloads.</w:t>
      </w:r>
    </w:p>
    <w:p w14:paraId="71852A27" w14:textId="3424023C" w:rsidR="001A05DB" w:rsidRDefault="001A05DB" w:rsidP="00086063">
      <w:r>
        <w:t xml:space="preserve">This financial year was the first time </w:t>
      </w:r>
      <w:r w:rsidR="006A7AD5">
        <w:t xml:space="preserve">the number of publications downloaded was higher than the number of publications mailed. </w:t>
      </w:r>
      <w:r w:rsidR="00827FC2">
        <w:t xml:space="preserve">This is due to the increased promotion of </w:t>
      </w:r>
      <w:r w:rsidR="004542AB">
        <w:t xml:space="preserve">online </w:t>
      </w:r>
      <w:r w:rsidR="00827FC2">
        <w:t xml:space="preserve">resources to stakeholders.  </w:t>
      </w:r>
    </w:p>
    <w:p w14:paraId="4B2DD573" w14:textId="0FA62B2D" w:rsidR="00DA3E08" w:rsidRPr="00DA3E08" w:rsidRDefault="00DA3E08" w:rsidP="00D62747">
      <w:r>
        <w:t xml:space="preserve">WorkCover WA publications can be downloaded from the resources section on the WorkCover WA website </w:t>
      </w:r>
      <w:r w:rsidR="00DF7D7E">
        <w:t>at</w:t>
      </w:r>
      <w:r>
        <w:t xml:space="preserve"> </w:t>
      </w:r>
      <w:hyperlink r:id="rId29" w:history="1">
        <w:r w:rsidR="00B7053E" w:rsidRPr="00F07AA8">
          <w:rPr>
            <w:rStyle w:val="Hyperlink"/>
          </w:rPr>
          <w:t>www.workcover.wa.gov.au/resources/forms-publications</w:t>
        </w:r>
      </w:hyperlink>
      <w:r w:rsidR="00B7053E">
        <w:t xml:space="preserve">. </w:t>
      </w:r>
    </w:p>
    <w:tbl>
      <w:tblPr>
        <w:tblStyle w:val="TableGrid1"/>
        <w:tblW w:w="9781" w:type="dxa"/>
        <w:tblInd w:w="-572"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28: Publication distribution"/>
        <w:tblDescription w:val="This table provides the number of WorkCover WA's publications mailed and downloaded for the past financial year. "/>
      </w:tblPr>
      <w:tblGrid>
        <w:gridCol w:w="2694"/>
        <w:gridCol w:w="2126"/>
        <w:gridCol w:w="2268"/>
        <w:gridCol w:w="2693"/>
      </w:tblGrid>
      <w:tr w:rsidR="005D789B" w:rsidRPr="00B05450" w14:paraId="48803352" w14:textId="04E6FC1F" w:rsidTr="00DB40BF">
        <w:trPr>
          <w:tblHeader/>
        </w:trPr>
        <w:tc>
          <w:tcPr>
            <w:tcW w:w="7088" w:type="dxa"/>
            <w:gridSpan w:val="3"/>
            <w:shd w:val="clear" w:color="auto" w:fill="003F5F"/>
          </w:tcPr>
          <w:p w14:paraId="6B5F77B4" w14:textId="633172A6" w:rsidR="005D789B" w:rsidRPr="00544634" w:rsidRDefault="005D789B" w:rsidP="00451D48">
            <w:pPr>
              <w:rPr>
                <w:rStyle w:val="Strong"/>
              </w:rPr>
            </w:pPr>
            <w:r w:rsidRPr="00DB40BF">
              <w:rPr>
                <w:rStyle w:val="Strong"/>
                <w:color w:val="FFFFFF" w:themeColor="background1"/>
              </w:rPr>
              <w:t xml:space="preserve">Table </w:t>
            </w:r>
            <w:r w:rsidR="00451D48" w:rsidRPr="00DB40BF">
              <w:rPr>
                <w:rStyle w:val="Strong"/>
                <w:color w:val="FFFFFF" w:themeColor="background1"/>
              </w:rPr>
              <w:t>28</w:t>
            </w:r>
            <w:r w:rsidRPr="00DB40BF">
              <w:rPr>
                <w:rStyle w:val="Strong"/>
                <w:color w:val="FFFFFF" w:themeColor="background1"/>
              </w:rPr>
              <w:t xml:space="preserve">: </w:t>
            </w:r>
            <w:r w:rsidRPr="006A2DDB">
              <w:rPr>
                <w:rStyle w:val="Strong"/>
                <w:color w:val="FFFFFF" w:themeColor="background1"/>
              </w:rPr>
              <w:t>Publication distribution</w:t>
            </w:r>
          </w:p>
        </w:tc>
        <w:tc>
          <w:tcPr>
            <w:tcW w:w="2693" w:type="dxa"/>
            <w:shd w:val="clear" w:color="auto" w:fill="003F5F"/>
          </w:tcPr>
          <w:p w14:paraId="2C62D468" w14:textId="77777777" w:rsidR="005D789B" w:rsidRPr="00881058" w:rsidRDefault="005D789B" w:rsidP="009E75E3">
            <w:pPr>
              <w:rPr>
                <w:rStyle w:val="Strong"/>
                <w:color w:val="FF0000"/>
              </w:rPr>
            </w:pPr>
          </w:p>
        </w:tc>
      </w:tr>
      <w:tr w:rsidR="005D789B" w:rsidRPr="00B05450" w14:paraId="1B1879AB" w14:textId="667B5486" w:rsidTr="00DB40BF">
        <w:tc>
          <w:tcPr>
            <w:tcW w:w="2694" w:type="dxa"/>
            <w:shd w:val="clear" w:color="auto" w:fill="CEDCE8"/>
            <w:vAlign w:val="center"/>
          </w:tcPr>
          <w:p w14:paraId="793D9F3C" w14:textId="77777777" w:rsidR="005D789B" w:rsidRPr="00544634" w:rsidRDefault="005D789B" w:rsidP="00544634">
            <w:pPr>
              <w:rPr>
                <w:rStyle w:val="Strong"/>
              </w:rPr>
            </w:pPr>
            <w:r w:rsidRPr="00544634">
              <w:rPr>
                <w:rStyle w:val="Strong"/>
              </w:rPr>
              <w:t>Publication</w:t>
            </w:r>
          </w:p>
        </w:tc>
        <w:tc>
          <w:tcPr>
            <w:tcW w:w="2126" w:type="dxa"/>
            <w:shd w:val="clear" w:color="auto" w:fill="CEDCE8"/>
            <w:vAlign w:val="center"/>
          </w:tcPr>
          <w:p w14:paraId="4C12C7D1" w14:textId="139115B8" w:rsidR="005D789B" w:rsidRPr="00544634" w:rsidRDefault="005D789B" w:rsidP="007D015A">
            <w:pPr>
              <w:jc w:val="right"/>
              <w:rPr>
                <w:rStyle w:val="Strong"/>
              </w:rPr>
            </w:pPr>
            <w:r>
              <w:rPr>
                <w:rStyle w:val="Strong"/>
              </w:rPr>
              <w:t>Number m</w:t>
            </w:r>
            <w:r w:rsidRPr="00544634">
              <w:rPr>
                <w:rStyle w:val="Strong"/>
              </w:rPr>
              <w:t>ailed</w:t>
            </w:r>
          </w:p>
        </w:tc>
        <w:tc>
          <w:tcPr>
            <w:tcW w:w="2268" w:type="dxa"/>
            <w:shd w:val="clear" w:color="auto" w:fill="CEDCE8"/>
            <w:vAlign w:val="center"/>
          </w:tcPr>
          <w:p w14:paraId="0788830F" w14:textId="144582AD" w:rsidR="005D789B" w:rsidRPr="00544634" w:rsidRDefault="005D789B" w:rsidP="007D015A">
            <w:pPr>
              <w:jc w:val="right"/>
              <w:rPr>
                <w:rStyle w:val="Strong"/>
              </w:rPr>
            </w:pPr>
            <w:r>
              <w:rPr>
                <w:rStyle w:val="Strong"/>
              </w:rPr>
              <w:t>Number d</w:t>
            </w:r>
            <w:r w:rsidRPr="00544634">
              <w:rPr>
                <w:rStyle w:val="Strong"/>
              </w:rPr>
              <w:t>ownloaded</w:t>
            </w:r>
          </w:p>
        </w:tc>
        <w:tc>
          <w:tcPr>
            <w:tcW w:w="2693" w:type="dxa"/>
            <w:shd w:val="clear" w:color="auto" w:fill="CEDCE8"/>
          </w:tcPr>
          <w:p w14:paraId="2466821B" w14:textId="2BB2BC8E" w:rsidR="005D789B" w:rsidRDefault="005D789B" w:rsidP="005D789B">
            <w:pPr>
              <w:jc w:val="right"/>
              <w:rPr>
                <w:rStyle w:val="Strong"/>
              </w:rPr>
            </w:pPr>
            <w:r>
              <w:rPr>
                <w:rStyle w:val="Strong"/>
              </w:rPr>
              <w:t>Number of translated publications downloaded*</w:t>
            </w:r>
          </w:p>
        </w:tc>
      </w:tr>
      <w:tr w:rsidR="005D789B" w:rsidRPr="00B05450" w14:paraId="6CA4B51D" w14:textId="0B9A0F18" w:rsidTr="00DB40BF">
        <w:tc>
          <w:tcPr>
            <w:tcW w:w="2694" w:type="dxa"/>
            <w:shd w:val="clear" w:color="auto" w:fill="CEDCE8"/>
            <w:vAlign w:val="center"/>
          </w:tcPr>
          <w:p w14:paraId="150056D6" w14:textId="6AE766BF" w:rsidR="005D789B" w:rsidRPr="001E0B07" w:rsidRDefault="005D789B" w:rsidP="00DF1C45">
            <w:pPr>
              <w:rPr>
                <w:lang w:val="en-GB" w:eastAsia="en-AU"/>
              </w:rPr>
            </w:pPr>
            <w:r>
              <w:rPr>
                <w:lang w:val="en-GB" w:eastAsia="en-AU"/>
              </w:rPr>
              <w:t>Workers’ Compensation and Injury Management: A Guide for Workers</w:t>
            </w:r>
          </w:p>
        </w:tc>
        <w:tc>
          <w:tcPr>
            <w:tcW w:w="2126" w:type="dxa"/>
          </w:tcPr>
          <w:p w14:paraId="49100EAF" w14:textId="717CD811" w:rsidR="005D789B" w:rsidRPr="005D789B" w:rsidRDefault="005D789B" w:rsidP="007D015A">
            <w:pPr>
              <w:jc w:val="right"/>
              <w:rPr>
                <w:rFonts w:cs="Arial"/>
              </w:rPr>
            </w:pPr>
            <w:r w:rsidRPr="005D789B">
              <w:rPr>
                <w:rFonts w:cs="Arial"/>
              </w:rPr>
              <w:t>4,792</w:t>
            </w:r>
          </w:p>
        </w:tc>
        <w:tc>
          <w:tcPr>
            <w:tcW w:w="2268" w:type="dxa"/>
          </w:tcPr>
          <w:p w14:paraId="0810193C" w14:textId="6999C877" w:rsidR="005D789B" w:rsidRPr="00AC0417" w:rsidRDefault="005D789B" w:rsidP="007D015A">
            <w:pPr>
              <w:jc w:val="right"/>
              <w:rPr>
                <w:rFonts w:cs="Arial"/>
              </w:rPr>
            </w:pPr>
            <w:r w:rsidRPr="00AC0417">
              <w:rPr>
                <w:rFonts w:cs="Arial"/>
              </w:rPr>
              <w:t>7,389</w:t>
            </w:r>
          </w:p>
        </w:tc>
        <w:tc>
          <w:tcPr>
            <w:tcW w:w="2693" w:type="dxa"/>
          </w:tcPr>
          <w:p w14:paraId="3041B18F" w14:textId="5C948B85" w:rsidR="005D789B" w:rsidRPr="00AC0417" w:rsidRDefault="005D789B" w:rsidP="007D015A">
            <w:pPr>
              <w:jc w:val="right"/>
            </w:pPr>
            <w:r w:rsidRPr="00AC0417">
              <w:t>1,756</w:t>
            </w:r>
          </w:p>
        </w:tc>
      </w:tr>
      <w:tr w:rsidR="005D789B" w:rsidRPr="00B05450" w14:paraId="1AC61A3D" w14:textId="63458A5F" w:rsidTr="00DB40BF">
        <w:tc>
          <w:tcPr>
            <w:tcW w:w="2694" w:type="dxa"/>
            <w:shd w:val="clear" w:color="auto" w:fill="CEDCE8"/>
            <w:vAlign w:val="center"/>
          </w:tcPr>
          <w:p w14:paraId="05C4FAB9" w14:textId="5CAC3D14" w:rsidR="005D789B" w:rsidRPr="001E0B07" w:rsidRDefault="005D789B" w:rsidP="00DF1C45">
            <w:pPr>
              <w:rPr>
                <w:rFonts w:cs="Arial"/>
              </w:rPr>
            </w:pPr>
            <w:r>
              <w:rPr>
                <w:rFonts w:cs="Arial"/>
                <w:bCs/>
                <w:szCs w:val="22"/>
              </w:rPr>
              <w:t>Workers’ Compensation: A Guide for Employers</w:t>
            </w:r>
          </w:p>
        </w:tc>
        <w:tc>
          <w:tcPr>
            <w:tcW w:w="2126" w:type="dxa"/>
          </w:tcPr>
          <w:p w14:paraId="70D32EF2" w14:textId="4BF74971" w:rsidR="005D789B" w:rsidRPr="005D789B" w:rsidRDefault="005D789B" w:rsidP="007D015A">
            <w:pPr>
              <w:jc w:val="right"/>
              <w:rPr>
                <w:rFonts w:cs="Arial"/>
              </w:rPr>
            </w:pPr>
            <w:r w:rsidRPr="005D789B">
              <w:t>785</w:t>
            </w:r>
          </w:p>
        </w:tc>
        <w:tc>
          <w:tcPr>
            <w:tcW w:w="2268" w:type="dxa"/>
          </w:tcPr>
          <w:p w14:paraId="70BCEC67" w14:textId="30AA1884" w:rsidR="005D789B" w:rsidRPr="00AC0417" w:rsidRDefault="005D789B" w:rsidP="007D015A">
            <w:pPr>
              <w:jc w:val="right"/>
              <w:rPr>
                <w:rFonts w:cs="Arial"/>
              </w:rPr>
            </w:pPr>
            <w:r w:rsidRPr="00AC0417">
              <w:rPr>
                <w:rFonts w:cs="Arial"/>
              </w:rPr>
              <w:t>5,658</w:t>
            </w:r>
          </w:p>
        </w:tc>
        <w:tc>
          <w:tcPr>
            <w:tcW w:w="2693" w:type="dxa"/>
          </w:tcPr>
          <w:p w14:paraId="7DDA4D07" w14:textId="342174D0" w:rsidR="005D789B" w:rsidRPr="00AC0417" w:rsidRDefault="005D789B" w:rsidP="007D015A">
            <w:pPr>
              <w:jc w:val="right"/>
            </w:pPr>
            <w:r w:rsidRPr="00AC0417">
              <w:t>4,413</w:t>
            </w:r>
          </w:p>
        </w:tc>
      </w:tr>
      <w:tr w:rsidR="005D789B" w:rsidRPr="00B05450" w14:paraId="4AE6DBD0" w14:textId="3ACA02AD" w:rsidTr="00DB40BF">
        <w:tc>
          <w:tcPr>
            <w:tcW w:w="2694" w:type="dxa"/>
            <w:shd w:val="clear" w:color="auto" w:fill="CEDCE8"/>
            <w:vAlign w:val="center"/>
          </w:tcPr>
          <w:p w14:paraId="3709F5A7" w14:textId="652E232D" w:rsidR="005D789B" w:rsidRDefault="005D789B" w:rsidP="00DF1C45">
            <w:pPr>
              <w:rPr>
                <w:rFonts w:cs="Arial"/>
                <w:bCs/>
                <w:szCs w:val="22"/>
              </w:rPr>
            </w:pPr>
            <w:r>
              <w:rPr>
                <w:rFonts w:cs="Arial"/>
                <w:bCs/>
                <w:szCs w:val="22"/>
              </w:rPr>
              <w:t>Injury Management: A Guide for Employers</w:t>
            </w:r>
          </w:p>
        </w:tc>
        <w:tc>
          <w:tcPr>
            <w:tcW w:w="2126" w:type="dxa"/>
          </w:tcPr>
          <w:p w14:paraId="1421D286" w14:textId="62D8DD9B" w:rsidR="005D789B" w:rsidRPr="005D789B" w:rsidRDefault="005D789B" w:rsidP="007D015A">
            <w:pPr>
              <w:jc w:val="right"/>
            </w:pPr>
            <w:r w:rsidRPr="005D789B">
              <w:t>528</w:t>
            </w:r>
          </w:p>
        </w:tc>
        <w:tc>
          <w:tcPr>
            <w:tcW w:w="2268" w:type="dxa"/>
          </w:tcPr>
          <w:p w14:paraId="709623C3" w14:textId="65413E58" w:rsidR="005D789B" w:rsidRPr="00AC0417" w:rsidRDefault="005D789B" w:rsidP="007D015A">
            <w:pPr>
              <w:jc w:val="right"/>
            </w:pPr>
            <w:r w:rsidRPr="00AC0417">
              <w:t>3,624</w:t>
            </w:r>
          </w:p>
        </w:tc>
        <w:tc>
          <w:tcPr>
            <w:tcW w:w="2693" w:type="dxa"/>
          </w:tcPr>
          <w:p w14:paraId="72D56782" w14:textId="3D875B47" w:rsidR="005D789B" w:rsidRPr="00AC0417" w:rsidRDefault="005D789B" w:rsidP="007D015A">
            <w:pPr>
              <w:jc w:val="right"/>
            </w:pPr>
            <w:r w:rsidRPr="00AC0417">
              <w:t>588</w:t>
            </w:r>
          </w:p>
        </w:tc>
      </w:tr>
      <w:tr w:rsidR="005D789B" w:rsidRPr="00B05450" w14:paraId="45B5B7AA" w14:textId="7FF0DD0F" w:rsidTr="00DB40BF">
        <w:tc>
          <w:tcPr>
            <w:tcW w:w="2694" w:type="dxa"/>
            <w:shd w:val="clear" w:color="auto" w:fill="CEDCE8"/>
            <w:vAlign w:val="center"/>
          </w:tcPr>
          <w:p w14:paraId="06D5BB4A" w14:textId="77050DE5" w:rsidR="005D789B" w:rsidRDefault="005D789B" w:rsidP="00DF1C45">
            <w:pPr>
              <w:rPr>
                <w:rFonts w:cs="Arial"/>
                <w:bCs/>
                <w:szCs w:val="22"/>
              </w:rPr>
            </w:pPr>
            <w:r>
              <w:rPr>
                <w:rFonts w:cs="Arial"/>
                <w:bCs/>
                <w:szCs w:val="22"/>
              </w:rPr>
              <w:t>A technical note on contractors and workers’ compensation</w:t>
            </w:r>
          </w:p>
        </w:tc>
        <w:tc>
          <w:tcPr>
            <w:tcW w:w="2126" w:type="dxa"/>
          </w:tcPr>
          <w:p w14:paraId="507EB011" w14:textId="1843D623" w:rsidR="005D789B" w:rsidRPr="005D789B" w:rsidRDefault="005D789B" w:rsidP="007D015A">
            <w:pPr>
              <w:jc w:val="right"/>
            </w:pPr>
            <w:r w:rsidRPr="005D789B">
              <w:t>477</w:t>
            </w:r>
          </w:p>
        </w:tc>
        <w:tc>
          <w:tcPr>
            <w:tcW w:w="2268" w:type="dxa"/>
          </w:tcPr>
          <w:p w14:paraId="27356022" w14:textId="55C64BF0" w:rsidR="005D789B" w:rsidRPr="00AC0417" w:rsidRDefault="00AC0417" w:rsidP="007D015A">
            <w:pPr>
              <w:jc w:val="right"/>
            </w:pPr>
            <w:r w:rsidRPr="00AC0417">
              <w:t>3,507</w:t>
            </w:r>
          </w:p>
        </w:tc>
        <w:tc>
          <w:tcPr>
            <w:tcW w:w="2693" w:type="dxa"/>
          </w:tcPr>
          <w:p w14:paraId="565D8BF3" w14:textId="57A76CC5" w:rsidR="005D789B" w:rsidRPr="00AC0417" w:rsidRDefault="00AC0417" w:rsidP="007D015A">
            <w:pPr>
              <w:jc w:val="right"/>
            </w:pPr>
            <w:r w:rsidRPr="00AC0417">
              <w:t>N/A</w:t>
            </w:r>
          </w:p>
        </w:tc>
      </w:tr>
      <w:tr w:rsidR="005D789B" w:rsidRPr="00B05450" w14:paraId="3C258174" w14:textId="5DCEBAB9" w:rsidTr="00DB40BF">
        <w:tc>
          <w:tcPr>
            <w:tcW w:w="2694" w:type="dxa"/>
            <w:shd w:val="clear" w:color="auto" w:fill="CEDCE8"/>
            <w:vAlign w:val="center"/>
          </w:tcPr>
          <w:p w14:paraId="603B997B" w14:textId="3E9D0836" w:rsidR="005D789B" w:rsidRDefault="005D789B" w:rsidP="00DF1C45">
            <w:pPr>
              <w:rPr>
                <w:rFonts w:cs="Arial"/>
                <w:bCs/>
                <w:szCs w:val="22"/>
              </w:rPr>
            </w:pPr>
            <w:r>
              <w:rPr>
                <w:rFonts w:cs="Arial"/>
                <w:bCs/>
                <w:szCs w:val="22"/>
              </w:rPr>
              <w:t>A Guide to Noise Induced Hearing Loss</w:t>
            </w:r>
          </w:p>
        </w:tc>
        <w:tc>
          <w:tcPr>
            <w:tcW w:w="2126" w:type="dxa"/>
          </w:tcPr>
          <w:p w14:paraId="697BF1D3" w14:textId="340240CE" w:rsidR="005D789B" w:rsidRPr="005D789B" w:rsidRDefault="005D789B" w:rsidP="007D015A">
            <w:pPr>
              <w:jc w:val="right"/>
            </w:pPr>
            <w:r w:rsidRPr="005D789B">
              <w:t>120</w:t>
            </w:r>
          </w:p>
        </w:tc>
        <w:tc>
          <w:tcPr>
            <w:tcW w:w="2268" w:type="dxa"/>
          </w:tcPr>
          <w:p w14:paraId="52F92C4E" w14:textId="370F0250" w:rsidR="005D789B" w:rsidRPr="00AC0417" w:rsidRDefault="00AC0417" w:rsidP="007D015A">
            <w:pPr>
              <w:jc w:val="right"/>
            </w:pPr>
            <w:r w:rsidRPr="00AC0417">
              <w:t>1,036</w:t>
            </w:r>
          </w:p>
        </w:tc>
        <w:tc>
          <w:tcPr>
            <w:tcW w:w="2693" w:type="dxa"/>
          </w:tcPr>
          <w:p w14:paraId="5EDE360E" w14:textId="4FC53FB0" w:rsidR="005D789B" w:rsidRPr="00AC0417" w:rsidRDefault="00AC0417" w:rsidP="007D015A">
            <w:pPr>
              <w:jc w:val="right"/>
            </w:pPr>
            <w:r w:rsidRPr="00AC0417">
              <w:t>N/A</w:t>
            </w:r>
          </w:p>
        </w:tc>
      </w:tr>
      <w:tr w:rsidR="005D789B" w:rsidRPr="00B05450" w14:paraId="538A6BA5" w14:textId="0DCC91AD" w:rsidTr="00DB40BF">
        <w:tc>
          <w:tcPr>
            <w:tcW w:w="2694" w:type="dxa"/>
            <w:shd w:val="clear" w:color="auto" w:fill="CEDCE8"/>
            <w:vAlign w:val="center"/>
          </w:tcPr>
          <w:p w14:paraId="7D8CCF13" w14:textId="4DA30AF5" w:rsidR="005D789B" w:rsidRDefault="005D789B" w:rsidP="00DF1C45">
            <w:pPr>
              <w:rPr>
                <w:rFonts w:cs="Arial"/>
                <w:bCs/>
                <w:szCs w:val="22"/>
              </w:rPr>
            </w:pPr>
            <w:r>
              <w:rPr>
                <w:rFonts w:cs="Arial"/>
                <w:bCs/>
                <w:szCs w:val="22"/>
              </w:rPr>
              <w:t>What happens if there is a dispute?</w:t>
            </w:r>
          </w:p>
        </w:tc>
        <w:tc>
          <w:tcPr>
            <w:tcW w:w="2126" w:type="dxa"/>
          </w:tcPr>
          <w:p w14:paraId="1DF1037E" w14:textId="4FCC2576" w:rsidR="005D789B" w:rsidRPr="005D789B" w:rsidRDefault="005D789B" w:rsidP="007D015A">
            <w:pPr>
              <w:jc w:val="right"/>
            </w:pPr>
            <w:r w:rsidRPr="005D789B">
              <w:t>182</w:t>
            </w:r>
          </w:p>
        </w:tc>
        <w:tc>
          <w:tcPr>
            <w:tcW w:w="2268" w:type="dxa"/>
          </w:tcPr>
          <w:p w14:paraId="421FA85A" w14:textId="50374E72" w:rsidR="005D789B" w:rsidRPr="00AC0417" w:rsidRDefault="00AC0417" w:rsidP="007D015A">
            <w:pPr>
              <w:jc w:val="right"/>
            </w:pPr>
            <w:r w:rsidRPr="00AC0417">
              <w:t>1,179</w:t>
            </w:r>
          </w:p>
        </w:tc>
        <w:tc>
          <w:tcPr>
            <w:tcW w:w="2693" w:type="dxa"/>
          </w:tcPr>
          <w:p w14:paraId="7BFD6479" w14:textId="79802898" w:rsidR="005D789B" w:rsidRPr="00AC0417" w:rsidRDefault="00AC0417" w:rsidP="007D015A">
            <w:pPr>
              <w:jc w:val="right"/>
            </w:pPr>
            <w:r w:rsidRPr="00AC0417">
              <w:t>969</w:t>
            </w:r>
          </w:p>
        </w:tc>
      </w:tr>
      <w:tr w:rsidR="005D789B" w:rsidRPr="00B05450" w14:paraId="127662E5" w14:textId="430472DD" w:rsidTr="00DB40BF">
        <w:tc>
          <w:tcPr>
            <w:tcW w:w="2694" w:type="dxa"/>
            <w:shd w:val="clear" w:color="auto" w:fill="CEDCE8"/>
            <w:vAlign w:val="center"/>
          </w:tcPr>
          <w:p w14:paraId="3ADDD7F1" w14:textId="6820F24B" w:rsidR="005D789B" w:rsidRDefault="005D789B" w:rsidP="00DF1C45">
            <w:pPr>
              <w:rPr>
                <w:rFonts w:cs="Arial"/>
                <w:bCs/>
                <w:szCs w:val="22"/>
              </w:rPr>
            </w:pPr>
            <w:r>
              <w:rPr>
                <w:rFonts w:cs="Arial"/>
                <w:bCs/>
                <w:szCs w:val="22"/>
              </w:rPr>
              <w:t>Insurance Brokers’ Code of Practice</w:t>
            </w:r>
          </w:p>
        </w:tc>
        <w:tc>
          <w:tcPr>
            <w:tcW w:w="2126" w:type="dxa"/>
          </w:tcPr>
          <w:p w14:paraId="6BB21B01" w14:textId="6DCB85DE" w:rsidR="005D789B" w:rsidRPr="005D789B" w:rsidRDefault="005D789B" w:rsidP="007D015A">
            <w:pPr>
              <w:jc w:val="right"/>
            </w:pPr>
            <w:r w:rsidRPr="005D789B">
              <w:t>12</w:t>
            </w:r>
          </w:p>
        </w:tc>
        <w:tc>
          <w:tcPr>
            <w:tcW w:w="2268" w:type="dxa"/>
          </w:tcPr>
          <w:p w14:paraId="2AC2E921" w14:textId="14BE0AAF" w:rsidR="005D789B" w:rsidRPr="00AC0417" w:rsidRDefault="00AC0417" w:rsidP="007D015A">
            <w:pPr>
              <w:jc w:val="right"/>
            </w:pPr>
            <w:r w:rsidRPr="00AC0417">
              <w:t>439</w:t>
            </w:r>
          </w:p>
        </w:tc>
        <w:tc>
          <w:tcPr>
            <w:tcW w:w="2693" w:type="dxa"/>
          </w:tcPr>
          <w:p w14:paraId="1CB75A56" w14:textId="6FEA26BA" w:rsidR="005D789B" w:rsidRPr="00AC0417" w:rsidRDefault="00AC0417" w:rsidP="007D015A">
            <w:pPr>
              <w:jc w:val="right"/>
            </w:pPr>
            <w:r w:rsidRPr="00AC0417">
              <w:t>N/A</w:t>
            </w:r>
          </w:p>
        </w:tc>
      </w:tr>
      <w:tr w:rsidR="005D789B" w:rsidRPr="00B05450" w14:paraId="349F8E32" w14:textId="411144BF" w:rsidTr="00DB40BF">
        <w:tc>
          <w:tcPr>
            <w:tcW w:w="2694" w:type="dxa"/>
            <w:shd w:val="clear" w:color="auto" w:fill="003F5F"/>
            <w:vAlign w:val="center"/>
          </w:tcPr>
          <w:p w14:paraId="2836052A" w14:textId="77777777" w:rsidR="005D789B" w:rsidRPr="00544634" w:rsidRDefault="005D789B" w:rsidP="00011319">
            <w:pPr>
              <w:rPr>
                <w:rStyle w:val="Strong"/>
                <w:color w:val="FFFFFF" w:themeColor="background1"/>
              </w:rPr>
            </w:pPr>
            <w:r w:rsidRPr="00544634">
              <w:rPr>
                <w:rStyle w:val="Strong"/>
                <w:color w:val="FFFFFF" w:themeColor="background1"/>
              </w:rPr>
              <w:t>Total</w:t>
            </w:r>
          </w:p>
        </w:tc>
        <w:tc>
          <w:tcPr>
            <w:tcW w:w="2126" w:type="dxa"/>
            <w:shd w:val="clear" w:color="auto" w:fill="003F5F"/>
          </w:tcPr>
          <w:p w14:paraId="3B70DFB2" w14:textId="159FFA00" w:rsidR="005D789B" w:rsidRPr="00DB6205" w:rsidRDefault="005D789B" w:rsidP="007D015A">
            <w:pPr>
              <w:jc w:val="right"/>
              <w:rPr>
                <w:rStyle w:val="Strong"/>
                <w:color w:val="FF0000"/>
                <w:highlight w:val="yellow"/>
              </w:rPr>
            </w:pPr>
            <w:r w:rsidRPr="005D789B">
              <w:rPr>
                <w:rStyle w:val="Strong"/>
                <w:color w:val="FFFFFF" w:themeColor="background1"/>
              </w:rPr>
              <w:t>6,896</w:t>
            </w:r>
          </w:p>
        </w:tc>
        <w:tc>
          <w:tcPr>
            <w:tcW w:w="2268" w:type="dxa"/>
            <w:shd w:val="clear" w:color="auto" w:fill="003F5F"/>
          </w:tcPr>
          <w:p w14:paraId="7442756B" w14:textId="137AF81B" w:rsidR="005D789B" w:rsidRPr="00DB6205" w:rsidRDefault="00AC0417" w:rsidP="007D015A">
            <w:pPr>
              <w:jc w:val="right"/>
              <w:rPr>
                <w:rStyle w:val="Strong"/>
                <w:color w:val="FF0000"/>
                <w:highlight w:val="yellow"/>
              </w:rPr>
            </w:pPr>
            <w:r w:rsidRPr="00AC0417">
              <w:rPr>
                <w:rStyle w:val="Strong"/>
                <w:color w:val="FFFFFF" w:themeColor="background1"/>
              </w:rPr>
              <w:t>22,393</w:t>
            </w:r>
          </w:p>
        </w:tc>
        <w:tc>
          <w:tcPr>
            <w:tcW w:w="2693" w:type="dxa"/>
            <w:shd w:val="clear" w:color="auto" w:fill="003F5F"/>
          </w:tcPr>
          <w:p w14:paraId="4E87335F" w14:textId="63CD5425" w:rsidR="005D789B" w:rsidRPr="00DB6205" w:rsidRDefault="00AC0417" w:rsidP="007D015A">
            <w:pPr>
              <w:jc w:val="right"/>
              <w:rPr>
                <w:rStyle w:val="Strong"/>
                <w:color w:val="FF0000"/>
                <w:highlight w:val="yellow"/>
              </w:rPr>
            </w:pPr>
            <w:r w:rsidRPr="00AC0417">
              <w:rPr>
                <w:rStyle w:val="Strong"/>
                <w:color w:val="FFFFFF" w:themeColor="background1"/>
              </w:rPr>
              <w:t>7,726</w:t>
            </w:r>
          </w:p>
        </w:tc>
      </w:tr>
    </w:tbl>
    <w:p w14:paraId="753969B4" w14:textId="100FFC34" w:rsidR="005D789B" w:rsidRPr="005D789B" w:rsidRDefault="0072504D" w:rsidP="00B05450">
      <w:pPr>
        <w:rPr>
          <w:i/>
          <w:color w:val="000000"/>
          <w:szCs w:val="22"/>
          <w:lang w:val="en-GB" w:eastAsia="en-AU"/>
        </w:rPr>
      </w:pPr>
      <w:r>
        <w:rPr>
          <w:szCs w:val="22"/>
          <w:lang w:val="en-GB" w:eastAsia="en-AU"/>
        </w:rPr>
        <w:t xml:space="preserve"> </w:t>
      </w:r>
      <w:r>
        <w:rPr>
          <w:color w:val="000000"/>
          <w:szCs w:val="22"/>
          <w:lang w:val="en-GB" w:eastAsia="en-AU"/>
        </w:rPr>
        <w:t xml:space="preserve"> </w:t>
      </w:r>
      <w:r w:rsidR="005D789B">
        <w:rPr>
          <w:color w:val="000000"/>
          <w:szCs w:val="22"/>
          <w:lang w:val="en-GB" w:eastAsia="en-AU"/>
        </w:rPr>
        <w:t>*</w:t>
      </w:r>
      <w:r w:rsidR="005D789B">
        <w:rPr>
          <w:i/>
          <w:color w:val="000000"/>
          <w:szCs w:val="22"/>
          <w:lang w:val="en-GB" w:eastAsia="en-AU"/>
        </w:rPr>
        <w:t xml:space="preserve">Translated languages include Chinese, Italian, Malaysian and Vietnamese. </w:t>
      </w:r>
    </w:p>
    <w:p w14:paraId="44C4D4E8" w14:textId="5343A0CA" w:rsidR="009C7041" w:rsidRDefault="006051FA" w:rsidP="00180C0F">
      <w:pPr>
        <w:pStyle w:val="Heading2nonumber"/>
      </w:pPr>
      <w:bookmarkStart w:id="394" w:name="_Toc399316979"/>
      <w:bookmarkStart w:id="395" w:name="_Toc426617504"/>
      <w:bookmarkStart w:id="396" w:name="_Toc450900730"/>
      <w:bookmarkStart w:id="397" w:name="_Toc525122025"/>
      <w:r w:rsidRPr="00A74E13">
        <w:t>W</w:t>
      </w:r>
      <w:r w:rsidR="004007BF">
        <w:t>orkCover WA w</w:t>
      </w:r>
      <w:r w:rsidRPr="00A74E13">
        <w:t>ebsite</w:t>
      </w:r>
      <w:bookmarkEnd w:id="394"/>
      <w:bookmarkEnd w:id="395"/>
      <w:bookmarkEnd w:id="396"/>
      <w:bookmarkEnd w:id="397"/>
    </w:p>
    <w:p w14:paraId="3070D1E9" w14:textId="77777777" w:rsidR="004542AB" w:rsidRDefault="004542AB" w:rsidP="004542AB">
      <w:r w:rsidRPr="00CF0FB6">
        <w:t xml:space="preserve">WorkCover WA’s website provides information on our services and the rights and responsibilities of stakeholders in an accessible, user-friendly format. Stakeholders can </w:t>
      </w:r>
      <w:r w:rsidRPr="00787F5E">
        <w:t>subscribe to Latest News updates from WorkCover WA and in 2017/18 our Agency sent 45 Latest News articles to 1,335 website subscribers. There were 439,960 downloads of publications, forms, reports and other information in 2017/18.</w:t>
      </w:r>
    </w:p>
    <w:p w14:paraId="7331A0FF" w14:textId="0B7E1548" w:rsidR="004542AB" w:rsidRPr="00CF0FB6" w:rsidRDefault="004542AB" w:rsidP="004542AB">
      <w:r>
        <w:t>In 2017/18, WorkCover WA changed its website data collection software</w:t>
      </w:r>
      <w:r w:rsidR="005F1DA4">
        <w:t xml:space="preserve"> to a more accurate server-side analytics program</w:t>
      </w:r>
      <w:r>
        <w:t xml:space="preserve">. Previous software only captured </w:t>
      </w:r>
      <w:r w:rsidR="005F1DA4">
        <w:t>client-side analytics</w:t>
      </w:r>
      <w:r>
        <w:t xml:space="preserve">. Therefore, the number of downloaded publications, forms, reports and other information is significantly higher than previous years. The rise in downloads can also be attributed to the increased promotion of online resources to stakeholders. </w:t>
      </w:r>
    </w:p>
    <w:p w14:paraId="07E9777D" w14:textId="615B32AE" w:rsidR="00B05450" w:rsidRPr="00CD764A" w:rsidRDefault="00F5416C" w:rsidP="00CD764A">
      <w:pPr>
        <w:pStyle w:val="Heading3nonumber"/>
        <w:rPr>
          <w:rStyle w:val="Strong"/>
          <w:rFonts w:cs="Arial"/>
          <w:b/>
          <w:bCs/>
        </w:rPr>
      </w:pPr>
      <w:bookmarkStart w:id="398" w:name="_Toc525122026"/>
      <w:r>
        <w:t>General website statistics</w:t>
      </w:r>
      <w:bookmarkEnd w:id="398"/>
    </w:p>
    <w:tbl>
      <w:tblPr>
        <w:tblW w:w="0" w:type="auto"/>
        <w:tblInd w:w="80" w:type="dxa"/>
        <w:tblBorders>
          <w:top w:val="single" w:sz="2" w:space="0" w:color="BAD0CD" w:themeColor="accent5" w:themeShade="E6"/>
          <w:left w:val="single" w:sz="2" w:space="0" w:color="BAD0CD" w:themeColor="accent5" w:themeShade="E6"/>
          <w:bottom w:val="single" w:sz="2" w:space="0" w:color="BAD0CD" w:themeColor="accent5" w:themeShade="E6"/>
          <w:right w:val="single" w:sz="2" w:space="0" w:color="BAD0CD" w:themeColor="accent5" w:themeShade="E6"/>
          <w:insideH w:val="single" w:sz="2" w:space="0" w:color="BAD0CD" w:themeColor="accent5" w:themeShade="E6"/>
          <w:insideV w:val="single" w:sz="2" w:space="0" w:color="BAD0CD" w:themeColor="accent5" w:themeShade="E6"/>
        </w:tblBorders>
        <w:tblLayout w:type="fixed"/>
        <w:tblCellMar>
          <w:left w:w="0" w:type="dxa"/>
          <w:right w:w="0" w:type="dxa"/>
        </w:tblCellMar>
        <w:tblLook w:val="0000" w:firstRow="0" w:lastRow="0" w:firstColumn="0" w:lastColumn="0" w:noHBand="0" w:noVBand="0"/>
        <w:tblCaption w:val="Table 29: Key downloads for 2017/18"/>
        <w:tblDescription w:val="This table provides the numbers of the top three downloads from WorkCover WA's website for the past financial year, which were the Prescribed Amount for 2017/18, Workers' Compensation Claim Form and Recommended Premium Rates 2017/18. "/>
      </w:tblPr>
      <w:tblGrid>
        <w:gridCol w:w="5162"/>
        <w:gridCol w:w="1559"/>
      </w:tblGrid>
      <w:tr w:rsidR="008778C2" w:rsidRPr="00B05450" w14:paraId="4CB26D99" w14:textId="77777777" w:rsidTr="00DB40BF">
        <w:trPr>
          <w:trHeight w:val="589"/>
        </w:trPr>
        <w:tc>
          <w:tcPr>
            <w:tcW w:w="6721" w:type="dxa"/>
            <w:gridSpan w:val="2"/>
            <w:shd w:val="clear" w:color="auto" w:fill="003F5F"/>
            <w:tcMar>
              <w:top w:w="80" w:type="dxa"/>
              <w:left w:w="80" w:type="dxa"/>
              <w:bottom w:w="80" w:type="dxa"/>
              <w:right w:w="80" w:type="dxa"/>
            </w:tcMar>
          </w:tcPr>
          <w:p w14:paraId="1A0F0152" w14:textId="5DDD16D5" w:rsidR="008778C2" w:rsidRPr="006A2DDB" w:rsidRDefault="008778C2" w:rsidP="00451D48">
            <w:pPr>
              <w:rPr>
                <w:b/>
                <w:color w:val="FF0000"/>
                <w:highlight w:val="yellow"/>
              </w:rPr>
            </w:pPr>
            <w:r w:rsidRPr="00DB40BF">
              <w:rPr>
                <w:b/>
                <w:color w:val="FFFFFF" w:themeColor="background1"/>
              </w:rPr>
              <w:t xml:space="preserve">Table </w:t>
            </w:r>
            <w:r w:rsidR="00451D48" w:rsidRPr="00DB40BF">
              <w:rPr>
                <w:b/>
                <w:color w:val="FFFFFF" w:themeColor="background1"/>
              </w:rPr>
              <w:t>29</w:t>
            </w:r>
            <w:r w:rsidRPr="00DB40BF">
              <w:rPr>
                <w:b/>
                <w:color w:val="FFFFFF" w:themeColor="background1"/>
              </w:rPr>
              <w:t xml:space="preserve">: </w:t>
            </w:r>
            <w:r w:rsidR="00CD764A">
              <w:rPr>
                <w:b/>
                <w:color w:val="FFFFFF" w:themeColor="background1"/>
              </w:rPr>
              <w:t>Key</w:t>
            </w:r>
            <w:r w:rsidRPr="006A2DDB">
              <w:rPr>
                <w:b/>
                <w:color w:val="FFFFFF" w:themeColor="background1"/>
              </w:rPr>
              <w:t xml:space="preserve"> downloads for 2017/18</w:t>
            </w:r>
          </w:p>
        </w:tc>
      </w:tr>
      <w:tr w:rsidR="00CD764A" w:rsidRPr="00B05450" w14:paraId="47985C3A" w14:textId="77777777" w:rsidTr="00DB40BF">
        <w:trPr>
          <w:trHeight w:val="589"/>
        </w:trPr>
        <w:tc>
          <w:tcPr>
            <w:tcW w:w="5162" w:type="dxa"/>
            <w:tcBorders>
              <w:top w:val="single" w:sz="2" w:space="0" w:color="9FBCD0"/>
              <w:left w:val="single" w:sz="2" w:space="0" w:color="9FBCD0"/>
              <w:bottom w:val="single" w:sz="2" w:space="0" w:color="9FBCD0"/>
              <w:right w:val="single" w:sz="2" w:space="0" w:color="9FBCD0"/>
            </w:tcBorders>
            <w:shd w:val="clear" w:color="auto" w:fill="CEDCE8"/>
            <w:tcMar>
              <w:top w:w="80" w:type="dxa"/>
              <w:left w:w="80" w:type="dxa"/>
              <w:bottom w:w="80" w:type="dxa"/>
              <w:right w:w="80" w:type="dxa"/>
            </w:tcMar>
          </w:tcPr>
          <w:p w14:paraId="1E65B436" w14:textId="25953726" w:rsidR="00CD764A" w:rsidRPr="00973C17" w:rsidRDefault="00CD764A" w:rsidP="00CD764A">
            <w:pPr>
              <w:rPr>
                <w:color w:val="FF0000"/>
                <w:highlight w:val="yellow"/>
              </w:rPr>
            </w:pPr>
            <w:r w:rsidRPr="00F407E8">
              <w:t>Variations in the Prescribed Amount 2017/18</w:t>
            </w:r>
          </w:p>
        </w:tc>
        <w:tc>
          <w:tcPr>
            <w:tcW w:w="1559" w:type="dxa"/>
            <w:tcBorders>
              <w:left w:val="single" w:sz="2" w:space="0" w:color="9FBCD0"/>
            </w:tcBorders>
            <w:tcMar>
              <w:top w:w="80" w:type="dxa"/>
              <w:left w:w="80" w:type="dxa"/>
              <w:bottom w:w="80" w:type="dxa"/>
              <w:right w:w="80" w:type="dxa"/>
            </w:tcMar>
          </w:tcPr>
          <w:p w14:paraId="3EBF2FC5" w14:textId="6489ADA8" w:rsidR="00CD764A" w:rsidRPr="00973C17" w:rsidRDefault="00CD764A" w:rsidP="00CD764A">
            <w:pPr>
              <w:jc w:val="right"/>
              <w:rPr>
                <w:color w:val="FF0000"/>
                <w:highlight w:val="yellow"/>
              </w:rPr>
            </w:pPr>
            <w:r w:rsidRPr="00F407E8">
              <w:t>14,650</w:t>
            </w:r>
          </w:p>
        </w:tc>
      </w:tr>
      <w:tr w:rsidR="00CD764A" w:rsidRPr="00B05450" w14:paraId="1D505DB9" w14:textId="77777777" w:rsidTr="00DB40BF">
        <w:trPr>
          <w:trHeight w:val="589"/>
        </w:trPr>
        <w:tc>
          <w:tcPr>
            <w:tcW w:w="5162" w:type="dxa"/>
            <w:tcBorders>
              <w:top w:val="single" w:sz="2" w:space="0" w:color="9FBCD0"/>
              <w:left w:val="single" w:sz="2" w:space="0" w:color="9FBCD0"/>
              <w:bottom w:val="single" w:sz="2" w:space="0" w:color="9FBCD0"/>
              <w:right w:val="single" w:sz="2" w:space="0" w:color="9FBCD0"/>
            </w:tcBorders>
            <w:shd w:val="clear" w:color="auto" w:fill="CEDCE8"/>
            <w:tcMar>
              <w:top w:w="80" w:type="dxa"/>
              <w:left w:w="80" w:type="dxa"/>
              <w:bottom w:w="80" w:type="dxa"/>
              <w:right w:w="80" w:type="dxa"/>
            </w:tcMar>
          </w:tcPr>
          <w:p w14:paraId="56D18978" w14:textId="48603565" w:rsidR="00CD764A" w:rsidRPr="00973C17" w:rsidRDefault="00CD764A" w:rsidP="00CD764A">
            <w:pPr>
              <w:rPr>
                <w:color w:val="FF0000"/>
                <w:highlight w:val="yellow"/>
              </w:rPr>
            </w:pPr>
            <w:r w:rsidRPr="00F407E8">
              <w:t xml:space="preserve">Workers’ Compensation Claim Form </w:t>
            </w:r>
          </w:p>
        </w:tc>
        <w:tc>
          <w:tcPr>
            <w:tcW w:w="1559" w:type="dxa"/>
            <w:tcBorders>
              <w:left w:val="single" w:sz="2" w:space="0" w:color="9FBCD0"/>
            </w:tcBorders>
            <w:tcMar>
              <w:top w:w="80" w:type="dxa"/>
              <w:left w:w="80" w:type="dxa"/>
              <w:bottom w:w="80" w:type="dxa"/>
              <w:right w:w="80" w:type="dxa"/>
            </w:tcMar>
          </w:tcPr>
          <w:p w14:paraId="3F939F3B" w14:textId="00924544" w:rsidR="00CD764A" w:rsidRPr="00973C17" w:rsidRDefault="00CD764A" w:rsidP="00CD764A">
            <w:pPr>
              <w:jc w:val="right"/>
              <w:rPr>
                <w:color w:val="FF0000"/>
                <w:highlight w:val="yellow"/>
              </w:rPr>
            </w:pPr>
            <w:r w:rsidRPr="00F407E8">
              <w:t>12,276</w:t>
            </w:r>
          </w:p>
        </w:tc>
      </w:tr>
      <w:tr w:rsidR="00CD764A" w:rsidRPr="00B05450" w14:paraId="3103FB9D" w14:textId="77777777" w:rsidTr="00DB40BF">
        <w:trPr>
          <w:trHeight w:val="589"/>
        </w:trPr>
        <w:tc>
          <w:tcPr>
            <w:tcW w:w="5162" w:type="dxa"/>
            <w:tcBorders>
              <w:top w:val="single" w:sz="2" w:space="0" w:color="9FBCD0"/>
              <w:left w:val="single" w:sz="2" w:space="0" w:color="9FBCD0"/>
              <w:bottom w:val="single" w:sz="2" w:space="0" w:color="9FBCD0"/>
              <w:right w:val="single" w:sz="2" w:space="0" w:color="9FBCD0"/>
            </w:tcBorders>
            <w:shd w:val="clear" w:color="auto" w:fill="CEDCE8"/>
            <w:tcMar>
              <w:top w:w="80" w:type="dxa"/>
              <w:left w:w="80" w:type="dxa"/>
              <w:bottom w:w="80" w:type="dxa"/>
              <w:right w:w="80" w:type="dxa"/>
            </w:tcMar>
          </w:tcPr>
          <w:p w14:paraId="3B16F7BC" w14:textId="40CF70DD" w:rsidR="00CD764A" w:rsidRPr="00973C17" w:rsidRDefault="00CD764A" w:rsidP="00CD764A">
            <w:pPr>
              <w:rPr>
                <w:color w:val="FF0000"/>
                <w:highlight w:val="yellow"/>
              </w:rPr>
            </w:pPr>
            <w:r w:rsidRPr="00F407E8">
              <w:t>Recommended Premium Rates 2017/18</w:t>
            </w:r>
          </w:p>
        </w:tc>
        <w:tc>
          <w:tcPr>
            <w:tcW w:w="1559" w:type="dxa"/>
            <w:tcBorders>
              <w:left w:val="single" w:sz="2" w:space="0" w:color="9FBCD0"/>
            </w:tcBorders>
            <w:tcMar>
              <w:top w:w="80" w:type="dxa"/>
              <w:left w:w="80" w:type="dxa"/>
              <w:bottom w:w="80" w:type="dxa"/>
              <w:right w:w="80" w:type="dxa"/>
            </w:tcMar>
          </w:tcPr>
          <w:p w14:paraId="7B2AB8E4" w14:textId="62FA4BBB" w:rsidR="00CD764A" w:rsidRPr="00973C17" w:rsidRDefault="00CD764A" w:rsidP="00CD764A">
            <w:pPr>
              <w:jc w:val="right"/>
              <w:rPr>
                <w:color w:val="FF0000"/>
                <w:highlight w:val="yellow"/>
              </w:rPr>
            </w:pPr>
            <w:r w:rsidRPr="00F407E8">
              <w:t>7,942</w:t>
            </w:r>
          </w:p>
        </w:tc>
      </w:tr>
    </w:tbl>
    <w:p w14:paraId="02D4ACB2" w14:textId="37636EB3" w:rsidR="00F5416C" w:rsidRPr="00F5416C" w:rsidRDefault="00F5416C" w:rsidP="00BA7C82">
      <w:pPr>
        <w:pStyle w:val="Heading4"/>
      </w:pPr>
    </w:p>
    <w:tbl>
      <w:tblPr>
        <w:tblStyle w:val="TableGrid2"/>
        <w:tblW w:w="0" w:type="auto"/>
        <w:tblInd w:w="108"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Look w:val="04A0" w:firstRow="1" w:lastRow="0" w:firstColumn="1" w:lastColumn="0" w:noHBand="0" w:noVBand="1"/>
        <w:tblCaption w:val="Table 30: Site visits"/>
        <w:tblDescription w:val="This table outlines the number of visits to the WorkCover WA website for 2017/18, and breaks it down into new visitors, returning visitors and unique visits. "/>
      </w:tblPr>
      <w:tblGrid>
        <w:gridCol w:w="5134"/>
        <w:gridCol w:w="1559"/>
      </w:tblGrid>
      <w:tr w:rsidR="008778C2" w:rsidRPr="00B05450" w14:paraId="0E903E41" w14:textId="77777777" w:rsidTr="00DB40BF">
        <w:trPr>
          <w:tblHeader/>
        </w:trPr>
        <w:tc>
          <w:tcPr>
            <w:tcW w:w="6693" w:type="dxa"/>
            <w:gridSpan w:val="2"/>
            <w:shd w:val="clear" w:color="auto" w:fill="003F5F"/>
          </w:tcPr>
          <w:p w14:paraId="3FED52DA" w14:textId="5A7A0C46" w:rsidR="008778C2" w:rsidRPr="006A2DDB" w:rsidRDefault="008778C2" w:rsidP="00451D48">
            <w:pPr>
              <w:rPr>
                <w:b/>
                <w:color w:val="FF0000"/>
                <w:highlight w:val="yellow"/>
              </w:rPr>
            </w:pPr>
            <w:r w:rsidRPr="00DB40BF">
              <w:rPr>
                <w:b/>
                <w:color w:val="FFFFFF" w:themeColor="background1"/>
              </w:rPr>
              <w:t xml:space="preserve">Table </w:t>
            </w:r>
            <w:r w:rsidR="00451D48" w:rsidRPr="00DB40BF">
              <w:rPr>
                <w:b/>
                <w:color w:val="FFFFFF" w:themeColor="background1"/>
              </w:rPr>
              <w:t>30</w:t>
            </w:r>
            <w:r w:rsidRPr="00DB40BF">
              <w:rPr>
                <w:b/>
                <w:color w:val="FFFFFF" w:themeColor="background1"/>
              </w:rPr>
              <w:t xml:space="preserve">: </w:t>
            </w:r>
            <w:r w:rsidRPr="006A2DDB">
              <w:rPr>
                <w:b/>
                <w:color w:val="FFFFFF" w:themeColor="background1"/>
              </w:rPr>
              <w:t>Site visits</w:t>
            </w:r>
            <w:r w:rsidR="006A2DDB">
              <w:rPr>
                <w:b/>
                <w:color w:val="FFFFFF" w:themeColor="background1"/>
              </w:rPr>
              <w:t xml:space="preserve"> for 2017/18</w:t>
            </w:r>
          </w:p>
        </w:tc>
      </w:tr>
      <w:tr w:rsidR="007D10BB" w:rsidRPr="00B05450" w14:paraId="49E9FFD2" w14:textId="77777777" w:rsidTr="00DB40BF">
        <w:trPr>
          <w:tblHeader/>
        </w:trPr>
        <w:tc>
          <w:tcPr>
            <w:tcW w:w="5134" w:type="dxa"/>
            <w:shd w:val="clear" w:color="auto" w:fill="CEDCE8"/>
          </w:tcPr>
          <w:p w14:paraId="06B486B0" w14:textId="4FA8AB92" w:rsidR="007D10BB" w:rsidRPr="008715A5" w:rsidRDefault="00CF4913" w:rsidP="007D10BB">
            <w:r w:rsidRPr="008715A5">
              <w:t>New v</w:t>
            </w:r>
            <w:r w:rsidR="007D10BB" w:rsidRPr="008715A5">
              <w:t>isitor</w:t>
            </w:r>
          </w:p>
        </w:tc>
        <w:tc>
          <w:tcPr>
            <w:tcW w:w="1559" w:type="dxa"/>
          </w:tcPr>
          <w:p w14:paraId="4B3156DC" w14:textId="34040EC8" w:rsidR="008715A5" w:rsidRPr="00745896" w:rsidRDefault="00CD764A" w:rsidP="007D015A">
            <w:pPr>
              <w:jc w:val="right"/>
            </w:pPr>
            <w:r w:rsidRPr="00745896">
              <w:t>129,195</w:t>
            </w:r>
          </w:p>
          <w:p w14:paraId="569FC233" w14:textId="24CCA35B" w:rsidR="007D10BB" w:rsidRPr="00745896" w:rsidRDefault="00552B4B" w:rsidP="00A45D02">
            <w:pPr>
              <w:jc w:val="right"/>
            </w:pPr>
            <w:r w:rsidRPr="00745896">
              <w:t xml:space="preserve"> (</w:t>
            </w:r>
            <w:r w:rsidR="00CD764A" w:rsidRPr="00745896">
              <w:t>77.7</w:t>
            </w:r>
            <w:r w:rsidR="00B34B29" w:rsidRPr="00745896">
              <w:t>%)</w:t>
            </w:r>
          </w:p>
        </w:tc>
      </w:tr>
      <w:tr w:rsidR="007D10BB" w:rsidRPr="00B05450" w14:paraId="6E8EE68E" w14:textId="77777777" w:rsidTr="00DB40BF">
        <w:tc>
          <w:tcPr>
            <w:tcW w:w="5134" w:type="dxa"/>
            <w:shd w:val="clear" w:color="auto" w:fill="CEDCE8"/>
          </w:tcPr>
          <w:p w14:paraId="310802FE" w14:textId="3EDE008D" w:rsidR="007D10BB" w:rsidRPr="008715A5" w:rsidRDefault="00CF4913" w:rsidP="007D10BB">
            <w:r w:rsidRPr="008715A5">
              <w:t>Returning v</w:t>
            </w:r>
            <w:r w:rsidR="007D10BB" w:rsidRPr="008715A5">
              <w:t>isitor</w:t>
            </w:r>
          </w:p>
        </w:tc>
        <w:tc>
          <w:tcPr>
            <w:tcW w:w="1559" w:type="dxa"/>
          </w:tcPr>
          <w:p w14:paraId="775CC2E1" w14:textId="43FC4BDE" w:rsidR="007D10BB" w:rsidRPr="00745896" w:rsidRDefault="00CD764A" w:rsidP="007D015A">
            <w:pPr>
              <w:jc w:val="right"/>
            </w:pPr>
            <w:r w:rsidRPr="00745896">
              <w:t>37,083</w:t>
            </w:r>
          </w:p>
          <w:p w14:paraId="1B678CBD" w14:textId="73B2608A" w:rsidR="00B34B29" w:rsidRPr="00745896" w:rsidRDefault="00B34B29" w:rsidP="00A45D02">
            <w:pPr>
              <w:jc w:val="right"/>
            </w:pPr>
            <w:r w:rsidRPr="00745896">
              <w:t>(</w:t>
            </w:r>
            <w:r w:rsidR="00CD764A" w:rsidRPr="00745896">
              <w:t>22.3</w:t>
            </w:r>
            <w:r w:rsidRPr="00745896">
              <w:t>%)</w:t>
            </w:r>
          </w:p>
        </w:tc>
      </w:tr>
      <w:tr w:rsidR="007D10BB" w:rsidRPr="00B05450" w14:paraId="69155A31" w14:textId="77777777" w:rsidTr="00DB40BF">
        <w:tc>
          <w:tcPr>
            <w:tcW w:w="5134" w:type="dxa"/>
            <w:shd w:val="clear" w:color="auto" w:fill="F8CAAA"/>
          </w:tcPr>
          <w:p w14:paraId="7B2FC2C1" w14:textId="53CAD318" w:rsidR="007D10BB" w:rsidRPr="008715A5" w:rsidRDefault="0015273D" w:rsidP="0015273D">
            <w:r>
              <w:t xml:space="preserve">Total </w:t>
            </w:r>
            <w:r w:rsidR="00C46656">
              <w:t>v</w:t>
            </w:r>
            <w:r w:rsidR="007D10BB" w:rsidRPr="008715A5">
              <w:t>isits</w:t>
            </w:r>
          </w:p>
        </w:tc>
        <w:tc>
          <w:tcPr>
            <w:tcW w:w="1559" w:type="dxa"/>
          </w:tcPr>
          <w:p w14:paraId="724F58FA" w14:textId="4F5332B2" w:rsidR="007D10BB" w:rsidRPr="00745896" w:rsidRDefault="00745896" w:rsidP="007D015A">
            <w:pPr>
              <w:jc w:val="right"/>
            </w:pPr>
            <w:r w:rsidRPr="00745896">
              <w:t>268,429</w:t>
            </w:r>
          </w:p>
        </w:tc>
      </w:tr>
      <w:tr w:rsidR="007D10BB" w:rsidRPr="00B05450" w14:paraId="45AE683D" w14:textId="77777777" w:rsidTr="00DB40BF">
        <w:tc>
          <w:tcPr>
            <w:tcW w:w="5134" w:type="dxa"/>
            <w:shd w:val="clear" w:color="auto" w:fill="F8CAAA"/>
          </w:tcPr>
          <w:p w14:paraId="7331EEE0" w14:textId="2C64A059" w:rsidR="007D10BB" w:rsidRPr="008715A5" w:rsidRDefault="004B24BA" w:rsidP="007D10BB">
            <w:r w:rsidRPr="008715A5">
              <w:t>Unique v</w:t>
            </w:r>
            <w:r w:rsidR="007D10BB" w:rsidRPr="008715A5">
              <w:t>isits</w:t>
            </w:r>
          </w:p>
        </w:tc>
        <w:tc>
          <w:tcPr>
            <w:tcW w:w="1559" w:type="dxa"/>
          </w:tcPr>
          <w:p w14:paraId="5DA608D9" w14:textId="45CCA916" w:rsidR="007D10BB" w:rsidRPr="00745896" w:rsidRDefault="00745896" w:rsidP="007D015A">
            <w:pPr>
              <w:jc w:val="right"/>
            </w:pPr>
            <w:r w:rsidRPr="00745896">
              <w:t>134,184</w:t>
            </w:r>
          </w:p>
        </w:tc>
      </w:tr>
    </w:tbl>
    <w:p w14:paraId="4DCA0F43" w14:textId="629DE5D5" w:rsidR="00B05450" w:rsidRDefault="00B05450" w:rsidP="00BA7C82">
      <w:pPr>
        <w:pStyle w:val="Heading4"/>
      </w:pPr>
    </w:p>
    <w:tbl>
      <w:tblPr>
        <w:tblStyle w:val="TableGrid"/>
        <w:tblW w:w="0" w:type="auto"/>
        <w:tblInd w:w="137"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31: Views by WorkCover WA website channel"/>
        <w:tblDescription w:val="This table provides information on the number of WorkCover WA website views by channel. The channels are Resources, Workers, Employers, Health Providers, News, Service Providers, Contact us and Resolving a dispute. "/>
      </w:tblPr>
      <w:tblGrid>
        <w:gridCol w:w="5103"/>
        <w:gridCol w:w="1559"/>
      </w:tblGrid>
      <w:tr w:rsidR="008778C2" w14:paraId="3FAF23FC" w14:textId="77777777" w:rsidTr="00DB40BF">
        <w:trPr>
          <w:tblHeader/>
        </w:trPr>
        <w:tc>
          <w:tcPr>
            <w:tcW w:w="6662" w:type="dxa"/>
            <w:gridSpan w:val="2"/>
            <w:shd w:val="clear" w:color="auto" w:fill="003F5F"/>
          </w:tcPr>
          <w:p w14:paraId="0F3A03C4" w14:textId="579A0C5D" w:rsidR="008778C2" w:rsidRPr="006A2DDB" w:rsidRDefault="008778C2" w:rsidP="00451D48">
            <w:pPr>
              <w:rPr>
                <w:b/>
                <w:color w:val="FF0000"/>
                <w:highlight w:val="yellow"/>
              </w:rPr>
            </w:pPr>
            <w:r w:rsidRPr="00DB40BF">
              <w:rPr>
                <w:b/>
                <w:color w:val="FFFFFF" w:themeColor="background1"/>
              </w:rPr>
              <w:t xml:space="preserve">Table </w:t>
            </w:r>
            <w:r w:rsidR="00451D48" w:rsidRPr="00DB40BF">
              <w:rPr>
                <w:b/>
                <w:color w:val="FFFFFF" w:themeColor="background1"/>
              </w:rPr>
              <w:t>31</w:t>
            </w:r>
            <w:r w:rsidRPr="00DB40BF">
              <w:rPr>
                <w:b/>
                <w:color w:val="FFFFFF" w:themeColor="background1"/>
              </w:rPr>
              <w:t xml:space="preserve">: </w:t>
            </w:r>
            <w:r w:rsidRPr="006A2DDB">
              <w:rPr>
                <w:b/>
                <w:color w:val="FFFFFF" w:themeColor="background1"/>
              </w:rPr>
              <w:t>Views by WorkCover WA website channels</w:t>
            </w:r>
          </w:p>
        </w:tc>
      </w:tr>
      <w:tr w:rsidR="00745896" w14:paraId="29B387FE" w14:textId="77777777" w:rsidTr="00DB40BF">
        <w:trPr>
          <w:tblHeader/>
        </w:trPr>
        <w:tc>
          <w:tcPr>
            <w:tcW w:w="5103" w:type="dxa"/>
            <w:shd w:val="clear" w:color="auto" w:fill="CEDCE8"/>
          </w:tcPr>
          <w:p w14:paraId="10B85CC7" w14:textId="2339E044" w:rsidR="00745896" w:rsidRPr="008715A5" w:rsidRDefault="00745896" w:rsidP="00745896">
            <w:r>
              <w:t>Resources</w:t>
            </w:r>
          </w:p>
        </w:tc>
        <w:tc>
          <w:tcPr>
            <w:tcW w:w="1559" w:type="dxa"/>
          </w:tcPr>
          <w:p w14:paraId="0BCBEF99" w14:textId="4CB0D64C" w:rsidR="00745896" w:rsidRPr="00F5416C" w:rsidRDefault="00745896" w:rsidP="00745896">
            <w:pPr>
              <w:jc w:val="right"/>
              <w:rPr>
                <w:color w:val="FF0000"/>
                <w:highlight w:val="yellow"/>
              </w:rPr>
            </w:pPr>
            <w:r>
              <w:t>239,022</w:t>
            </w:r>
          </w:p>
        </w:tc>
      </w:tr>
      <w:tr w:rsidR="00745896" w14:paraId="23028DD5" w14:textId="77777777" w:rsidTr="00DB40BF">
        <w:tc>
          <w:tcPr>
            <w:tcW w:w="5103" w:type="dxa"/>
            <w:shd w:val="clear" w:color="auto" w:fill="CEDCE8"/>
          </w:tcPr>
          <w:p w14:paraId="6774D2B8" w14:textId="7E5D5230" w:rsidR="00745896" w:rsidRPr="008715A5" w:rsidRDefault="00745896" w:rsidP="00745896">
            <w:r>
              <w:t>Workers</w:t>
            </w:r>
          </w:p>
        </w:tc>
        <w:tc>
          <w:tcPr>
            <w:tcW w:w="1559" w:type="dxa"/>
          </w:tcPr>
          <w:p w14:paraId="07C4C692" w14:textId="7B7CB4B0" w:rsidR="00745896" w:rsidRPr="00F5416C" w:rsidRDefault="00745896" w:rsidP="00745896">
            <w:pPr>
              <w:jc w:val="right"/>
              <w:rPr>
                <w:color w:val="FF0000"/>
                <w:highlight w:val="yellow"/>
              </w:rPr>
            </w:pPr>
            <w:r>
              <w:t>158,764</w:t>
            </w:r>
          </w:p>
        </w:tc>
      </w:tr>
      <w:tr w:rsidR="00745896" w14:paraId="300036CC" w14:textId="77777777" w:rsidTr="00DB40BF">
        <w:tc>
          <w:tcPr>
            <w:tcW w:w="5103" w:type="dxa"/>
            <w:shd w:val="clear" w:color="auto" w:fill="CEDCE8"/>
          </w:tcPr>
          <w:p w14:paraId="3407E019" w14:textId="5D270933" w:rsidR="00745896" w:rsidRPr="008715A5" w:rsidRDefault="00745896" w:rsidP="00745896">
            <w:r>
              <w:t>Employers</w:t>
            </w:r>
          </w:p>
        </w:tc>
        <w:tc>
          <w:tcPr>
            <w:tcW w:w="1559" w:type="dxa"/>
          </w:tcPr>
          <w:p w14:paraId="2D2CF002" w14:textId="1FCCC917" w:rsidR="00745896" w:rsidRPr="00F5416C" w:rsidRDefault="00745896" w:rsidP="00745896">
            <w:pPr>
              <w:jc w:val="right"/>
              <w:rPr>
                <w:color w:val="FF0000"/>
                <w:highlight w:val="yellow"/>
              </w:rPr>
            </w:pPr>
            <w:r>
              <w:t>119,150</w:t>
            </w:r>
          </w:p>
        </w:tc>
      </w:tr>
      <w:tr w:rsidR="00745896" w14:paraId="38EE5E76" w14:textId="77777777" w:rsidTr="00DB40BF">
        <w:tc>
          <w:tcPr>
            <w:tcW w:w="5103" w:type="dxa"/>
            <w:shd w:val="clear" w:color="auto" w:fill="CEDCE8"/>
          </w:tcPr>
          <w:p w14:paraId="1343012F" w14:textId="3D98DCD8" w:rsidR="00745896" w:rsidRPr="008715A5" w:rsidRDefault="00745896" w:rsidP="00745896">
            <w:r>
              <w:t>Health providers</w:t>
            </w:r>
          </w:p>
        </w:tc>
        <w:tc>
          <w:tcPr>
            <w:tcW w:w="1559" w:type="dxa"/>
          </w:tcPr>
          <w:p w14:paraId="0C913015" w14:textId="767D2A9D" w:rsidR="00745896" w:rsidRPr="00F5416C" w:rsidRDefault="00745896" w:rsidP="00745896">
            <w:pPr>
              <w:jc w:val="right"/>
              <w:rPr>
                <w:color w:val="FF0000"/>
                <w:highlight w:val="yellow"/>
              </w:rPr>
            </w:pPr>
            <w:r>
              <w:t>40,725</w:t>
            </w:r>
          </w:p>
        </w:tc>
      </w:tr>
      <w:tr w:rsidR="00745896" w14:paraId="4D280AEA" w14:textId="77777777" w:rsidTr="00DB40BF">
        <w:tc>
          <w:tcPr>
            <w:tcW w:w="5103" w:type="dxa"/>
            <w:shd w:val="clear" w:color="auto" w:fill="CEDCE8"/>
          </w:tcPr>
          <w:p w14:paraId="2BAA9DA0" w14:textId="2C5D12DA" w:rsidR="00745896" w:rsidRPr="008715A5" w:rsidRDefault="00745896" w:rsidP="00745896">
            <w:r>
              <w:t>News</w:t>
            </w:r>
          </w:p>
        </w:tc>
        <w:tc>
          <w:tcPr>
            <w:tcW w:w="1559" w:type="dxa"/>
          </w:tcPr>
          <w:p w14:paraId="4B6DC4E9" w14:textId="29C3F9E0" w:rsidR="00745896" w:rsidRPr="00F5416C" w:rsidRDefault="00745896" w:rsidP="00745896">
            <w:pPr>
              <w:jc w:val="right"/>
              <w:rPr>
                <w:color w:val="FF0000"/>
                <w:highlight w:val="yellow"/>
              </w:rPr>
            </w:pPr>
            <w:r>
              <w:t>38,400</w:t>
            </w:r>
          </w:p>
        </w:tc>
      </w:tr>
      <w:tr w:rsidR="00745896" w14:paraId="18DAD6D6" w14:textId="77777777" w:rsidTr="00DB40BF">
        <w:tc>
          <w:tcPr>
            <w:tcW w:w="5103" w:type="dxa"/>
            <w:shd w:val="clear" w:color="auto" w:fill="CEDCE8"/>
          </w:tcPr>
          <w:p w14:paraId="4215FBC3" w14:textId="09A8FA82" w:rsidR="00745896" w:rsidRPr="008715A5" w:rsidRDefault="00745896" w:rsidP="00745896">
            <w:r>
              <w:t>Service providers</w:t>
            </w:r>
          </w:p>
        </w:tc>
        <w:tc>
          <w:tcPr>
            <w:tcW w:w="1559" w:type="dxa"/>
          </w:tcPr>
          <w:p w14:paraId="6068358A" w14:textId="1B90BD4F" w:rsidR="00745896" w:rsidRPr="008778C2" w:rsidRDefault="00745896" w:rsidP="00745896">
            <w:pPr>
              <w:jc w:val="right"/>
              <w:rPr>
                <w:color w:val="FF0000"/>
                <w:highlight w:val="yellow"/>
              </w:rPr>
            </w:pPr>
            <w:r>
              <w:t>31,365</w:t>
            </w:r>
          </w:p>
        </w:tc>
      </w:tr>
      <w:tr w:rsidR="00745896" w14:paraId="23D6D523" w14:textId="77777777" w:rsidTr="00DB40BF">
        <w:tc>
          <w:tcPr>
            <w:tcW w:w="5103" w:type="dxa"/>
            <w:shd w:val="clear" w:color="auto" w:fill="CEDCE8"/>
          </w:tcPr>
          <w:p w14:paraId="2FAA3440" w14:textId="329F0161" w:rsidR="00745896" w:rsidRPr="008715A5" w:rsidRDefault="00745896" w:rsidP="00745896">
            <w:r>
              <w:t>Contact us</w:t>
            </w:r>
          </w:p>
        </w:tc>
        <w:tc>
          <w:tcPr>
            <w:tcW w:w="1559" w:type="dxa"/>
          </w:tcPr>
          <w:p w14:paraId="2FA33938" w14:textId="1A1FFD1A" w:rsidR="00745896" w:rsidRPr="008778C2" w:rsidRDefault="00745896" w:rsidP="00745896">
            <w:pPr>
              <w:jc w:val="right"/>
              <w:rPr>
                <w:color w:val="FF0000"/>
                <w:highlight w:val="yellow"/>
              </w:rPr>
            </w:pPr>
            <w:r>
              <w:t>16,780</w:t>
            </w:r>
          </w:p>
        </w:tc>
      </w:tr>
      <w:tr w:rsidR="00745896" w14:paraId="022F462D" w14:textId="77777777" w:rsidTr="00DB40BF">
        <w:tc>
          <w:tcPr>
            <w:tcW w:w="5103" w:type="dxa"/>
            <w:shd w:val="clear" w:color="auto" w:fill="CEDCE8"/>
          </w:tcPr>
          <w:p w14:paraId="7DB25EB8" w14:textId="1904A9E7" w:rsidR="00745896" w:rsidRPr="008715A5" w:rsidRDefault="00745896" w:rsidP="00745896">
            <w:r>
              <w:t>Resolving a dispute</w:t>
            </w:r>
          </w:p>
        </w:tc>
        <w:tc>
          <w:tcPr>
            <w:tcW w:w="1559" w:type="dxa"/>
          </w:tcPr>
          <w:p w14:paraId="3EE8C08A" w14:textId="4AE4A9F3" w:rsidR="00745896" w:rsidRPr="008778C2" w:rsidRDefault="00745896" w:rsidP="00745896">
            <w:pPr>
              <w:jc w:val="right"/>
              <w:rPr>
                <w:color w:val="FF0000"/>
                <w:highlight w:val="yellow"/>
              </w:rPr>
            </w:pPr>
            <w:r>
              <w:t>16,588</w:t>
            </w:r>
          </w:p>
        </w:tc>
      </w:tr>
    </w:tbl>
    <w:p w14:paraId="2931F7FE" w14:textId="590CA6D6" w:rsidR="00242CA4" w:rsidRPr="00B43CB4" w:rsidRDefault="00562FFF" w:rsidP="00242CA4">
      <w:bookmarkStart w:id="399" w:name="_Toc450900734"/>
      <w:r>
        <w:rPr>
          <w:rStyle w:val="Heading2nonumberChar"/>
        </w:rPr>
        <w:br/>
      </w:r>
      <w:bookmarkStart w:id="400" w:name="_Toc525122027"/>
      <w:r w:rsidR="00242CA4" w:rsidRPr="00A74E13">
        <w:rPr>
          <w:rStyle w:val="Heading2nonumberChar"/>
        </w:rPr>
        <w:t>gp</w:t>
      </w:r>
      <w:r w:rsidR="00242CA4" w:rsidRPr="00A74E13">
        <w:rPr>
          <w:rStyle w:val="Heading2nonumberChar"/>
          <w:i/>
        </w:rPr>
        <w:t>suppor</w:t>
      </w:r>
      <w:r w:rsidR="00242CA4" w:rsidRPr="00A74E13">
        <w:rPr>
          <w:rStyle w:val="Heading2nonumberChar"/>
        </w:rPr>
        <w:t>t website</w:t>
      </w:r>
      <w:bookmarkEnd w:id="399"/>
      <w:bookmarkEnd w:id="400"/>
    </w:p>
    <w:p w14:paraId="5966882C" w14:textId="340E0DDB" w:rsidR="00F5416C" w:rsidRDefault="00F5416C">
      <w:pPr>
        <w:keepLines w:val="0"/>
        <w:spacing w:after="0" w:line="240" w:lineRule="auto"/>
      </w:pPr>
      <w:bookmarkStart w:id="401" w:name="_Toc426617513"/>
      <w:bookmarkStart w:id="402" w:name="_Toc450900735"/>
      <w:r>
        <w:t>WorkCover WA continued to promote stakeholder engagement and cooperation via its subsidiary gp</w:t>
      </w:r>
      <w:r w:rsidRPr="00F5416C">
        <w:rPr>
          <w:i/>
        </w:rPr>
        <w:t>support</w:t>
      </w:r>
      <w:r>
        <w:t xml:space="preserve"> website, a key educational tool for general practitioners who have an important role to pla</w:t>
      </w:r>
      <w:r w:rsidR="00B41C3E">
        <w:t>y</w:t>
      </w:r>
      <w:r>
        <w:t xml:space="preserve"> in the workers’ compensation and injury management scheme.</w:t>
      </w:r>
    </w:p>
    <w:p w14:paraId="5A4B01B8" w14:textId="77777777" w:rsidR="00F5416C" w:rsidRDefault="00F5416C">
      <w:pPr>
        <w:keepLines w:val="0"/>
        <w:spacing w:after="0" w:line="240" w:lineRule="auto"/>
      </w:pPr>
    </w:p>
    <w:p w14:paraId="7D732EA2" w14:textId="6AFC1ED1" w:rsidR="00F5416C" w:rsidRDefault="00745896">
      <w:pPr>
        <w:keepLines w:val="0"/>
        <w:spacing w:after="0" w:line="240" w:lineRule="auto"/>
      </w:pPr>
      <w:r w:rsidRPr="00745896">
        <w:t>Three</w:t>
      </w:r>
      <w:r w:rsidR="00F5416C" w:rsidRPr="00745896">
        <w:t xml:space="preserve"> </w:t>
      </w:r>
      <w:r w:rsidR="00F5416C">
        <w:t>news articles were published on the gp</w:t>
      </w:r>
      <w:r w:rsidR="00F5416C" w:rsidRPr="00F5416C">
        <w:rPr>
          <w:i/>
        </w:rPr>
        <w:t xml:space="preserve">support </w:t>
      </w:r>
      <w:r w:rsidR="00F5416C">
        <w:t>website in 2017/18</w:t>
      </w:r>
      <w:r w:rsidR="00B41C3E">
        <w:t xml:space="preserve"> on topics including the:</w:t>
      </w:r>
    </w:p>
    <w:p w14:paraId="3CE4D50B" w14:textId="77777777" w:rsidR="00F5416C" w:rsidRDefault="00F5416C">
      <w:pPr>
        <w:keepLines w:val="0"/>
        <w:spacing w:after="0" w:line="240" w:lineRule="auto"/>
      </w:pPr>
    </w:p>
    <w:p w14:paraId="5B6629CC" w14:textId="2EB4A433" w:rsidR="00F5416C" w:rsidRPr="00AD6FE2" w:rsidRDefault="00AD6FE2" w:rsidP="00F5416C">
      <w:pPr>
        <w:pStyle w:val="BulletListLevel1"/>
      </w:pPr>
      <w:r w:rsidRPr="00AD6FE2">
        <w:t>Clinical Practice Guidelines</w:t>
      </w:r>
      <w:r w:rsidR="00F5416C" w:rsidRPr="00AD6FE2">
        <w:t xml:space="preserve"> </w:t>
      </w:r>
    </w:p>
    <w:p w14:paraId="77A15465" w14:textId="59CFC629" w:rsidR="00F5416C" w:rsidRPr="00AD6FE2" w:rsidRDefault="00AD6FE2" w:rsidP="00F5416C">
      <w:pPr>
        <w:pStyle w:val="BulletListLevel1"/>
      </w:pPr>
      <w:r w:rsidRPr="00AD6FE2">
        <w:t>launch of the ‘Certificates of Capacity – guidance for doctors’ educational video</w:t>
      </w:r>
      <w:r w:rsidR="00F5416C" w:rsidRPr="00AD6FE2">
        <w:t xml:space="preserve"> </w:t>
      </w:r>
    </w:p>
    <w:p w14:paraId="293103F9" w14:textId="65373055" w:rsidR="00697009" w:rsidRPr="00745896" w:rsidRDefault="00AD6FE2" w:rsidP="00B62818">
      <w:pPr>
        <w:pStyle w:val="BulletListLevel1"/>
      </w:pPr>
      <w:r w:rsidRPr="00745896">
        <w:t xml:space="preserve">WorkCover WA’s GP campaign </w:t>
      </w:r>
      <w:bookmarkEnd w:id="401"/>
      <w:bookmarkEnd w:id="402"/>
    </w:p>
    <w:tbl>
      <w:tblPr>
        <w:tblStyle w:val="TableGrid2"/>
        <w:tblW w:w="0" w:type="auto"/>
        <w:tblInd w:w="108"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Look w:val="04A0" w:firstRow="1" w:lastRow="0" w:firstColumn="1" w:lastColumn="0" w:noHBand="0" w:noVBand="1"/>
        <w:tblCaption w:val="Table 32: Site visits"/>
        <w:tblDescription w:val="This table outlines the number of site visits to WorkCover WA's gpsupport website in 2017/18 based on new visitors and returning visitors. "/>
      </w:tblPr>
      <w:tblGrid>
        <w:gridCol w:w="4992"/>
        <w:gridCol w:w="1701"/>
      </w:tblGrid>
      <w:tr w:rsidR="00B62818" w:rsidRPr="00B05450" w14:paraId="071B6EA8" w14:textId="77777777" w:rsidTr="00DB40BF">
        <w:trPr>
          <w:trHeight w:val="435"/>
          <w:tblHeader/>
        </w:trPr>
        <w:tc>
          <w:tcPr>
            <w:tcW w:w="6693" w:type="dxa"/>
            <w:gridSpan w:val="2"/>
            <w:shd w:val="clear" w:color="auto" w:fill="003F5F"/>
          </w:tcPr>
          <w:p w14:paraId="2E943754" w14:textId="559E1DAD" w:rsidR="00B62818" w:rsidRPr="006A2DDB" w:rsidRDefault="00B62818" w:rsidP="00DB40BF">
            <w:pPr>
              <w:rPr>
                <w:b/>
                <w:color w:val="FF0000"/>
                <w:highlight w:val="yellow"/>
              </w:rPr>
            </w:pPr>
            <w:r w:rsidRPr="00DB40BF">
              <w:rPr>
                <w:b/>
                <w:color w:val="FFFFFF" w:themeColor="background1"/>
              </w:rPr>
              <w:t xml:space="preserve">Table </w:t>
            </w:r>
            <w:r w:rsidR="00DB40BF" w:rsidRPr="00DB40BF">
              <w:rPr>
                <w:b/>
                <w:color w:val="FFFFFF" w:themeColor="background1"/>
              </w:rPr>
              <w:t>32</w:t>
            </w:r>
            <w:r w:rsidRPr="00DB40BF">
              <w:rPr>
                <w:b/>
                <w:color w:val="FFFFFF" w:themeColor="background1"/>
              </w:rPr>
              <w:t>: gp</w:t>
            </w:r>
            <w:r w:rsidRPr="00DB40BF">
              <w:rPr>
                <w:b/>
                <w:i/>
                <w:color w:val="FFFFFF" w:themeColor="background1"/>
              </w:rPr>
              <w:t>support</w:t>
            </w:r>
            <w:r w:rsidRPr="00DB40BF">
              <w:rPr>
                <w:b/>
                <w:color w:val="FFFFFF" w:themeColor="background1"/>
              </w:rPr>
              <w:t xml:space="preserve"> site visits</w:t>
            </w:r>
            <w:r w:rsidR="006A2DDB" w:rsidRPr="00DB40BF">
              <w:rPr>
                <w:b/>
                <w:color w:val="FFFFFF" w:themeColor="background1"/>
              </w:rPr>
              <w:t xml:space="preserve"> for 2017/18</w:t>
            </w:r>
          </w:p>
        </w:tc>
      </w:tr>
      <w:tr w:rsidR="00745896" w:rsidRPr="00B05450" w14:paraId="5C208297" w14:textId="77777777" w:rsidTr="00DB40BF">
        <w:trPr>
          <w:trHeight w:val="435"/>
          <w:tblHeader/>
        </w:trPr>
        <w:tc>
          <w:tcPr>
            <w:tcW w:w="4992" w:type="dxa"/>
            <w:shd w:val="clear" w:color="auto" w:fill="CEDCE8"/>
          </w:tcPr>
          <w:p w14:paraId="5872226D" w14:textId="22314A8F" w:rsidR="00745896" w:rsidRPr="00B05450" w:rsidRDefault="00745896" w:rsidP="00745896">
            <w:r>
              <w:t>New v</w:t>
            </w:r>
            <w:r w:rsidRPr="00B05450">
              <w:t>isitor</w:t>
            </w:r>
          </w:p>
        </w:tc>
        <w:tc>
          <w:tcPr>
            <w:tcW w:w="1701" w:type="dxa"/>
          </w:tcPr>
          <w:p w14:paraId="2D9F8791" w14:textId="04D8D119" w:rsidR="00745896" w:rsidRPr="00B62818" w:rsidRDefault="00745896" w:rsidP="00745896">
            <w:pPr>
              <w:jc w:val="right"/>
              <w:rPr>
                <w:color w:val="FF0000"/>
                <w:highlight w:val="yellow"/>
              </w:rPr>
            </w:pPr>
            <w:r w:rsidRPr="006A1A14">
              <w:t>2,975 (</w:t>
            </w:r>
            <w:r>
              <w:t>87.7</w:t>
            </w:r>
            <w:r w:rsidRPr="006A1A14">
              <w:t>%)</w:t>
            </w:r>
          </w:p>
        </w:tc>
      </w:tr>
      <w:tr w:rsidR="00745896" w:rsidRPr="00B05450" w14:paraId="502A8AE9" w14:textId="77777777" w:rsidTr="00DB40BF">
        <w:tc>
          <w:tcPr>
            <w:tcW w:w="4992" w:type="dxa"/>
            <w:shd w:val="clear" w:color="auto" w:fill="CEDCE8"/>
          </w:tcPr>
          <w:p w14:paraId="663ECE8B" w14:textId="7EBA84D8" w:rsidR="00745896" w:rsidRPr="00B05450" w:rsidRDefault="00745896" w:rsidP="00745896">
            <w:r>
              <w:t>Returning visitor</w:t>
            </w:r>
          </w:p>
        </w:tc>
        <w:tc>
          <w:tcPr>
            <w:tcW w:w="1701" w:type="dxa"/>
          </w:tcPr>
          <w:p w14:paraId="128695B9" w14:textId="2DA8441E" w:rsidR="00745896" w:rsidRPr="00B62818" w:rsidRDefault="00745896" w:rsidP="00745896">
            <w:pPr>
              <w:jc w:val="right"/>
              <w:rPr>
                <w:color w:val="FF0000"/>
                <w:highlight w:val="yellow"/>
              </w:rPr>
            </w:pPr>
            <w:r w:rsidRPr="006A1A14">
              <w:t xml:space="preserve">418 </w:t>
            </w:r>
            <w:r w:rsidRPr="006A1A14">
              <w:br/>
              <w:t>(12.3%)</w:t>
            </w:r>
          </w:p>
        </w:tc>
      </w:tr>
    </w:tbl>
    <w:p w14:paraId="66F259E7" w14:textId="77777777" w:rsidR="00697009" w:rsidRDefault="00697009" w:rsidP="00242CA4"/>
    <w:p w14:paraId="08102F45" w14:textId="21A2A49D" w:rsidR="009C7041" w:rsidRPr="005C35DF" w:rsidRDefault="005F52A3" w:rsidP="00976041">
      <w:pPr>
        <w:pStyle w:val="Heading2nonumber"/>
      </w:pPr>
      <w:bookmarkStart w:id="403" w:name="_Toc525122028"/>
      <w:r>
        <w:t>Social media</w:t>
      </w:r>
      <w:bookmarkEnd w:id="403"/>
    </w:p>
    <w:p w14:paraId="7791E643" w14:textId="333B8044" w:rsidR="005F52A3" w:rsidRDefault="005F52A3" w:rsidP="005F52A3">
      <w:pPr>
        <w:pStyle w:val="Heading3nonumber"/>
      </w:pPr>
      <w:bookmarkStart w:id="404" w:name="_Toc525122029"/>
      <w:r>
        <w:t>Twitter</w:t>
      </w:r>
      <w:bookmarkEnd w:id="404"/>
    </w:p>
    <w:p w14:paraId="35E894BB" w14:textId="04D7CC4F" w:rsidR="00D24D5B" w:rsidRDefault="005F52A3" w:rsidP="009639E1">
      <w:r>
        <w:t>WorkCover WA uses Twitter to engage and communicate with external stakeholders. Information is ‘tweeted’ with links directing followers to the WorkCover WA website for more information.</w:t>
      </w:r>
    </w:p>
    <w:p w14:paraId="640453A5" w14:textId="28BFAA89" w:rsidR="00745896" w:rsidRPr="00787F5E" w:rsidRDefault="00745896" w:rsidP="00745896">
      <w:r w:rsidRPr="00787F5E">
        <w:t xml:space="preserve">During 2017/18, WorkCover WA ‘tweeted’ 83 times </w:t>
      </w:r>
      <w:r w:rsidR="00451D48">
        <w:t>to</w:t>
      </w:r>
      <w:r w:rsidRPr="00787F5E">
        <w:t xml:space="preserve"> 463 followers including workers, healthcare providers, business managers, human resource officers and advocacy groups.</w:t>
      </w:r>
    </w:p>
    <w:p w14:paraId="25C6FCD8" w14:textId="76B79D61" w:rsidR="005F52A3" w:rsidRDefault="005F52A3" w:rsidP="005F52A3">
      <w:pPr>
        <w:pStyle w:val="Heading3nonumber"/>
        <w:rPr>
          <w:lang w:eastAsia="en-AU"/>
        </w:rPr>
      </w:pPr>
      <w:bookmarkStart w:id="405" w:name="_Toc525122030"/>
      <w:r>
        <w:rPr>
          <w:lang w:eastAsia="en-AU"/>
        </w:rPr>
        <w:t>Facebook</w:t>
      </w:r>
      <w:bookmarkEnd w:id="405"/>
    </w:p>
    <w:p w14:paraId="6C5BD683" w14:textId="77777777" w:rsidR="00745896" w:rsidRPr="00711CD6" w:rsidRDefault="00745896" w:rsidP="00745896">
      <w:pPr>
        <w:rPr>
          <w:lang w:eastAsia="en-AU"/>
        </w:rPr>
      </w:pPr>
      <w:bookmarkStart w:id="406" w:name="_Toc399316980"/>
      <w:bookmarkStart w:id="407" w:name="_Toc426617516"/>
      <w:bookmarkStart w:id="408" w:name="_Toc450900738"/>
      <w:r w:rsidRPr="00711CD6">
        <w:rPr>
          <w:lang w:eastAsia="en-AU"/>
        </w:rPr>
        <w:t xml:space="preserve">WorkCover WA’s Facebook page was launched in January 2018 as an additional source of information and education for our external stakeholders. </w:t>
      </w:r>
    </w:p>
    <w:p w14:paraId="1A41402D" w14:textId="77777777" w:rsidR="00745896" w:rsidRPr="00711CD6" w:rsidRDefault="00745896" w:rsidP="00745896">
      <w:pPr>
        <w:rPr>
          <w:lang w:eastAsia="en-AU"/>
        </w:rPr>
      </w:pPr>
      <w:r w:rsidRPr="00711CD6">
        <w:rPr>
          <w:lang w:eastAsia="en-AU"/>
        </w:rPr>
        <w:t xml:space="preserve">WorkCover WA has so far </w:t>
      </w:r>
      <w:r w:rsidRPr="00787F5E">
        <w:rPr>
          <w:lang w:eastAsia="en-AU"/>
        </w:rPr>
        <w:t>accumulated 73 followers and published 45 posts on a range of topics including:</w:t>
      </w:r>
    </w:p>
    <w:p w14:paraId="5447B711" w14:textId="77777777" w:rsidR="00745896" w:rsidRPr="00711CD6" w:rsidRDefault="00745896" w:rsidP="00745896">
      <w:pPr>
        <w:pStyle w:val="BulletListLevel1"/>
        <w:rPr>
          <w:lang w:eastAsia="en-AU"/>
        </w:rPr>
      </w:pPr>
      <w:r w:rsidRPr="00711CD6">
        <w:rPr>
          <w:lang w:eastAsia="en-AU"/>
        </w:rPr>
        <w:t xml:space="preserve">WorkCover WA’s regional visits to Albany, Bunbury and the Gascoyne  </w:t>
      </w:r>
    </w:p>
    <w:p w14:paraId="5E46F445" w14:textId="77777777" w:rsidR="00745896" w:rsidRPr="00711CD6" w:rsidRDefault="00745896" w:rsidP="00745896">
      <w:pPr>
        <w:pStyle w:val="BulletListLevel1"/>
        <w:rPr>
          <w:lang w:eastAsia="en-AU"/>
        </w:rPr>
      </w:pPr>
      <w:r w:rsidRPr="00711CD6">
        <w:rPr>
          <w:lang w:eastAsia="en-AU"/>
        </w:rPr>
        <w:t>educational events, such as WorkCover WA’s Employer Essentials and Residential Construction Industry seminars</w:t>
      </w:r>
    </w:p>
    <w:p w14:paraId="6315E6E3" w14:textId="5693C81E" w:rsidR="00745896" w:rsidRPr="00711CD6" w:rsidRDefault="00745896" w:rsidP="00745896">
      <w:pPr>
        <w:pStyle w:val="BulletListLevel1"/>
        <w:rPr>
          <w:lang w:eastAsia="en-AU"/>
        </w:rPr>
      </w:pPr>
      <w:r w:rsidRPr="00711CD6">
        <w:rPr>
          <w:lang w:eastAsia="en-AU"/>
        </w:rPr>
        <w:t xml:space="preserve">scheme updates, such as changes to the </w:t>
      </w:r>
      <w:r w:rsidR="00516777">
        <w:rPr>
          <w:lang w:eastAsia="en-AU"/>
        </w:rPr>
        <w:t>recommended premium rates</w:t>
      </w:r>
      <w:r w:rsidRPr="00711CD6">
        <w:rPr>
          <w:lang w:eastAsia="en-AU"/>
        </w:rPr>
        <w:t>.</w:t>
      </w:r>
    </w:p>
    <w:p w14:paraId="369E94CA" w14:textId="77777777" w:rsidR="006051FA" w:rsidRDefault="006051FA" w:rsidP="00180C0F">
      <w:pPr>
        <w:pStyle w:val="Heading2nonumber"/>
      </w:pPr>
      <w:bookmarkStart w:id="409" w:name="_Toc525122031"/>
      <w:r w:rsidRPr="008429C2">
        <w:t>Advice and Assistance Unit</w:t>
      </w:r>
      <w:bookmarkEnd w:id="406"/>
      <w:bookmarkEnd w:id="407"/>
      <w:bookmarkEnd w:id="408"/>
      <w:bookmarkEnd w:id="409"/>
    </w:p>
    <w:p w14:paraId="254F595F" w14:textId="73D8FA92" w:rsidR="004120D9" w:rsidRDefault="004120D9" w:rsidP="004120D9">
      <w:bookmarkStart w:id="410" w:name="_Toc399316983"/>
      <w:bookmarkStart w:id="411" w:name="_Toc426617517"/>
      <w:bookmarkStart w:id="412" w:name="_Toc450900740"/>
      <w:r>
        <w:t>WorkCover WA’s Advice and Assistance Unit is the Agency’s frontline service for workers, employers and other stakeholders who require immediate guidance related to workers’ compensation and injury management.</w:t>
      </w:r>
    </w:p>
    <w:p w14:paraId="70EA9EBF" w14:textId="7A29F6E0" w:rsidR="004120D9" w:rsidRDefault="004120D9" w:rsidP="004120D9">
      <w:r>
        <w:t xml:space="preserve">This year the Unit </w:t>
      </w:r>
      <w:r w:rsidRPr="00DC7689">
        <w:t xml:space="preserve">responded to </w:t>
      </w:r>
      <w:r w:rsidR="00DC7689" w:rsidRPr="00DC7689">
        <w:t>19,939</w:t>
      </w:r>
      <w:r w:rsidRPr="00DC7689">
        <w:t xml:space="preserve"> requests for advice </w:t>
      </w:r>
      <w:r>
        <w:t>and assistance by email, letter, phone and onsite at WorkCover WA. The requests came from a broad cross section of stakeholders and covered topics including the claims process, injury management, return to work, weekly compensation rates and entitlements, workplace rehabilitation entitlements, and dispute resolution.</w:t>
      </w:r>
    </w:p>
    <w:p w14:paraId="340FC5C0" w14:textId="62DD8829" w:rsidR="004E053E" w:rsidRDefault="004E053E" w:rsidP="004120D9">
      <w:r>
        <w:t xml:space="preserve">In 2017/18, data collected from requests for advice and assistance were categorised based on stakeholder type and where possible, organisation. This helped to inform and determine appropriate targeted regulatory activity and education. </w:t>
      </w:r>
    </w:p>
    <w:p w14:paraId="6F42705D" w14:textId="5BFE1A51" w:rsidR="004E053E" w:rsidRDefault="004E053E" w:rsidP="004120D9">
      <w:r>
        <w:t>Another initiative introduced</w:t>
      </w:r>
      <w:r w:rsidR="0096048B">
        <w:t xml:space="preserve"> and trialled</w:t>
      </w:r>
      <w:r>
        <w:t xml:space="preserve"> in 2017/18 was a live chat feat</w:t>
      </w:r>
      <w:r w:rsidR="0096048B">
        <w:t xml:space="preserve">ure on the WorkCover WA website, enabling stakeholders to directly message an Advice and Assistance Officer online with their queries. Over the two month trial, </w:t>
      </w:r>
      <w:r w:rsidR="00455D7D" w:rsidRPr="00455D7D">
        <w:t>217</w:t>
      </w:r>
      <w:r w:rsidR="0096048B" w:rsidRPr="00455D7D">
        <w:t xml:space="preserve"> chats </w:t>
      </w:r>
      <w:r w:rsidR="0096048B">
        <w:t xml:space="preserve">were received. This feature will be reviewed in 2018/19. </w:t>
      </w:r>
    </w:p>
    <w:p w14:paraId="49D74B6B" w14:textId="77777777" w:rsidR="00C860A3" w:rsidRDefault="006051FA" w:rsidP="00180C0F">
      <w:pPr>
        <w:pStyle w:val="Heading1nonumber"/>
      </w:pPr>
      <w:bookmarkStart w:id="413" w:name="_Toc525122032"/>
      <w:r w:rsidRPr="00AF6FC5">
        <w:t xml:space="preserve">Training and </w:t>
      </w:r>
      <w:r w:rsidR="00854400" w:rsidRPr="00AF6FC5">
        <w:t>s</w:t>
      </w:r>
      <w:r w:rsidRPr="00AF6FC5">
        <w:t>eminars</w:t>
      </w:r>
      <w:bookmarkEnd w:id="410"/>
      <w:bookmarkEnd w:id="411"/>
      <w:bookmarkEnd w:id="412"/>
      <w:bookmarkEnd w:id="413"/>
    </w:p>
    <w:p w14:paraId="03E117AC" w14:textId="5BB839FC" w:rsidR="00C8654C" w:rsidRDefault="005F52A3" w:rsidP="005F52A3">
      <w:bookmarkStart w:id="414" w:name="_Toc399316984"/>
      <w:bookmarkStart w:id="415" w:name="_Toc426617518"/>
      <w:bookmarkStart w:id="416" w:name="_Toc450900741"/>
      <w:r>
        <w:t>During 2017/18, WorkCover WA delivered a range of events in the form of seminars, information sessions and presentations. The events informed stakeholders and the general public about workers’ compensation and injury management rights, obligations and responsibilities. The events also promoted collabor</w:t>
      </w:r>
      <w:r w:rsidR="00A16BDF">
        <w:t>ation and mutual respect between</w:t>
      </w:r>
      <w:r>
        <w:t xml:space="preserve"> stakeholder groups by providing insight into the various elements of the scheme.</w:t>
      </w:r>
      <w:r w:rsidR="0096048B">
        <w:t xml:space="preserve"> </w:t>
      </w:r>
      <w:r w:rsidR="0096048B" w:rsidRPr="00451D48">
        <w:t>Table</w:t>
      </w:r>
      <w:r w:rsidR="001B45B9" w:rsidRPr="00451D48">
        <w:t xml:space="preserve"> </w:t>
      </w:r>
      <w:r w:rsidR="00451D48" w:rsidRPr="00451D48">
        <w:t>32</w:t>
      </w:r>
      <w:r w:rsidR="001B45B9" w:rsidRPr="00451D48">
        <w:t xml:space="preserve"> outlines </w:t>
      </w:r>
      <w:r w:rsidR="00516777">
        <w:t>some of the</w:t>
      </w:r>
      <w:r w:rsidR="001B45B9">
        <w:t xml:space="preserve"> events delivered by WorkCover WA in 2017/18. </w:t>
      </w:r>
    </w:p>
    <w:tbl>
      <w:tblPr>
        <w:tblStyle w:val="TableGrid"/>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33: Events delivered by WorkCover WA in 2017/18"/>
        <w:tblDescription w:val="This table outlines the events delivered by WorkCover WA in 2017/18 and explains the purpose of the event and the target stakeholder. "/>
      </w:tblPr>
      <w:tblGrid>
        <w:gridCol w:w="3012"/>
        <w:gridCol w:w="3014"/>
        <w:gridCol w:w="2763"/>
      </w:tblGrid>
      <w:tr w:rsidR="001B45B9" w:rsidRPr="005378AA" w14:paraId="7B11C56D" w14:textId="77777777" w:rsidTr="00DB40BF">
        <w:trPr>
          <w:tblHeader/>
        </w:trPr>
        <w:tc>
          <w:tcPr>
            <w:tcW w:w="8789" w:type="dxa"/>
            <w:gridSpan w:val="3"/>
            <w:shd w:val="clear" w:color="auto" w:fill="003F5F"/>
          </w:tcPr>
          <w:p w14:paraId="7378C45B" w14:textId="3BB31D20" w:rsidR="001B45B9" w:rsidRPr="005378AA" w:rsidRDefault="001B45B9" w:rsidP="00DB40BF">
            <w:pPr>
              <w:rPr>
                <w:rStyle w:val="Strong"/>
                <w:color w:val="FFFFFF" w:themeColor="background1"/>
              </w:rPr>
            </w:pPr>
            <w:r w:rsidRPr="00DB40BF">
              <w:rPr>
                <w:rStyle w:val="Strong"/>
                <w:color w:val="FFFFFF" w:themeColor="background1"/>
              </w:rPr>
              <w:t xml:space="preserve">Table </w:t>
            </w:r>
            <w:r w:rsidR="00451D48" w:rsidRPr="00DB40BF">
              <w:rPr>
                <w:rStyle w:val="Strong"/>
                <w:color w:val="FFFFFF" w:themeColor="background1"/>
              </w:rPr>
              <w:t>3</w:t>
            </w:r>
            <w:r w:rsidR="00DB40BF" w:rsidRPr="00DB40BF">
              <w:rPr>
                <w:rStyle w:val="Strong"/>
                <w:color w:val="FFFFFF" w:themeColor="background1"/>
              </w:rPr>
              <w:t>3</w:t>
            </w:r>
            <w:r w:rsidRPr="00DB40BF">
              <w:rPr>
                <w:rStyle w:val="Strong"/>
                <w:color w:val="FFFFFF" w:themeColor="background1"/>
              </w:rPr>
              <w:t xml:space="preserve">: </w:t>
            </w:r>
            <w:r>
              <w:rPr>
                <w:rStyle w:val="Strong"/>
                <w:color w:val="FFFFFF" w:themeColor="background1"/>
              </w:rPr>
              <w:t xml:space="preserve">Events delivered by WorkCover WA in </w:t>
            </w:r>
            <w:r w:rsidRPr="00B273C8">
              <w:rPr>
                <w:rStyle w:val="Strong"/>
                <w:color w:val="FFFFFF" w:themeColor="background1"/>
              </w:rPr>
              <w:t>2017/18</w:t>
            </w:r>
          </w:p>
        </w:tc>
      </w:tr>
      <w:tr w:rsidR="001B45B9" w:rsidRPr="005378AA" w14:paraId="616E618A" w14:textId="77777777" w:rsidTr="00DB40BF">
        <w:tc>
          <w:tcPr>
            <w:tcW w:w="3012" w:type="dxa"/>
            <w:shd w:val="clear" w:color="auto" w:fill="CEDCE8"/>
            <w:vAlign w:val="center"/>
          </w:tcPr>
          <w:p w14:paraId="73CFD5DD" w14:textId="0AEBCAD1" w:rsidR="001B45B9" w:rsidRPr="005378AA" w:rsidRDefault="001B45B9" w:rsidP="00E44EC4">
            <w:pPr>
              <w:rPr>
                <w:rStyle w:val="Strong"/>
              </w:rPr>
            </w:pPr>
            <w:r>
              <w:rPr>
                <w:rStyle w:val="Strong"/>
              </w:rPr>
              <w:t xml:space="preserve">Event name </w:t>
            </w:r>
          </w:p>
        </w:tc>
        <w:tc>
          <w:tcPr>
            <w:tcW w:w="3014" w:type="dxa"/>
            <w:shd w:val="clear" w:color="auto" w:fill="CEDCE8"/>
            <w:vAlign w:val="center"/>
          </w:tcPr>
          <w:p w14:paraId="074C7573" w14:textId="00E1468D" w:rsidR="001B45B9" w:rsidRPr="005378AA" w:rsidRDefault="001B45B9" w:rsidP="00E44EC4">
            <w:pPr>
              <w:rPr>
                <w:rStyle w:val="Strong"/>
              </w:rPr>
            </w:pPr>
            <w:r>
              <w:rPr>
                <w:rStyle w:val="Strong"/>
              </w:rPr>
              <w:t>Target stakeholder</w:t>
            </w:r>
          </w:p>
        </w:tc>
        <w:tc>
          <w:tcPr>
            <w:tcW w:w="2763" w:type="dxa"/>
            <w:shd w:val="clear" w:color="auto" w:fill="CEDCE8"/>
            <w:vAlign w:val="center"/>
          </w:tcPr>
          <w:p w14:paraId="1B42817D" w14:textId="78AFF2FC" w:rsidR="001B45B9" w:rsidRPr="005378AA" w:rsidRDefault="001B45B9" w:rsidP="00E44EC4">
            <w:pPr>
              <w:rPr>
                <w:rStyle w:val="Strong"/>
              </w:rPr>
            </w:pPr>
            <w:r>
              <w:rPr>
                <w:rStyle w:val="Strong"/>
              </w:rPr>
              <w:t>Event details</w:t>
            </w:r>
          </w:p>
        </w:tc>
      </w:tr>
      <w:tr w:rsidR="001B45B9" w:rsidRPr="00B273C8" w14:paraId="02EE721F" w14:textId="77777777" w:rsidTr="00DB40BF">
        <w:trPr>
          <w:trHeight w:val="286"/>
        </w:trPr>
        <w:tc>
          <w:tcPr>
            <w:tcW w:w="3012" w:type="dxa"/>
            <w:shd w:val="clear" w:color="auto" w:fill="CEDCE8"/>
            <w:vAlign w:val="center"/>
          </w:tcPr>
          <w:p w14:paraId="62A0CFC2" w14:textId="3014CE04" w:rsidR="001B45B9" w:rsidRPr="001B45B9" w:rsidRDefault="001B45B9" w:rsidP="00E44EC4">
            <w:r w:rsidRPr="001B45B9">
              <w:t xml:space="preserve">Welcome to WorkCover WA </w:t>
            </w:r>
            <w:r w:rsidR="00D6620F">
              <w:t>Seminar</w:t>
            </w:r>
          </w:p>
        </w:tc>
        <w:tc>
          <w:tcPr>
            <w:tcW w:w="3014" w:type="dxa"/>
          </w:tcPr>
          <w:p w14:paraId="51DD99A2" w14:textId="5DA68446" w:rsidR="001B45B9" w:rsidRPr="001B45B9" w:rsidRDefault="001B45B9" w:rsidP="00E44EC4">
            <w:r w:rsidRPr="001B45B9">
              <w:t xml:space="preserve">Employers, </w:t>
            </w:r>
            <w:r>
              <w:t>service providers, health providers</w:t>
            </w:r>
          </w:p>
        </w:tc>
        <w:tc>
          <w:tcPr>
            <w:tcW w:w="2763" w:type="dxa"/>
          </w:tcPr>
          <w:p w14:paraId="3D5BB9AA" w14:textId="7FE774E8" w:rsidR="001B45B9" w:rsidRPr="001B45B9" w:rsidRDefault="001B45B9" w:rsidP="00E44EC4">
            <w:r>
              <w:t xml:space="preserve">Provides an introduction to the workers’ compensation and injury management scheme in Western Australia and WorkCover WA </w:t>
            </w:r>
          </w:p>
        </w:tc>
      </w:tr>
      <w:tr w:rsidR="001B45B9" w:rsidRPr="00B273C8" w14:paraId="58195B26" w14:textId="77777777" w:rsidTr="00DB40BF">
        <w:tc>
          <w:tcPr>
            <w:tcW w:w="3012" w:type="dxa"/>
            <w:shd w:val="clear" w:color="auto" w:fill="CEDCE8"/>
            <w:vAlign w:val="center"/>
          </w:tcPr>
          <w:p w14:paraId="109CCE0E" w14:textId="1AF80295" w:rsidR="001B45B9" w:rsidRPr="001B45B9" w:rsidRDefault="001B45B9" w:rsidP="00E44EC4">
            <w:r>
              <w:t>Insurance Brokers’ Breakfast Seminar</w:t>
            </w:r>
          </w:p>
        </w:tc>
        <w:tc>
          <w:tcPr>
            <w:tcW w:w="3014" w:type="dxa"/>
          </w:tcPr>
          <w:p w14:paraId="243A88C3" w14:textId="033B7D61" w:rsidR="001B45B9" w:rsidRPr="001B45B9" w:rsidRDefault="001B45B9" w:rsidP="00E44EC4">
            <w:r>
              <w:t>Insurance brokers, insurers, self-insurers</w:t>
            </w:r>
          </w:p>
        </w:tc>
        <w:tc>
          <w:tcPr>
            <w:tcW w:w="2763" w:type="dxa"/>
          </w:tcPr>
          <w:p w14:paraId="749D7834" w14:textId="56A0AE26" w:rsidR="001B45B9" w:rsidRPr="001B45B9" w:rsidRDefault="001B45B9" w:rsidP="00E44EC4">
            <w:r>
              <w:t xml:space="preserve">Updates stakeholders with WorkCover WA’s activities and current priorities, and relevant statistics and trends </w:t>
            </w:r>
          </w:p>
        </w:tc>
      </w:tr>
      <w:tr w:rsidR="001B45B9" w:rsidRPr="00B273C8" w14:paraId="4ECF1F85" w14:textId="77777777" w:rsidTr="00DB40BF">
        <w:tc>
          <w:tcPr>
            <w:tcW w:w="3012" w:type="dxa"/>
            <w:shd w:val="clear" w:color="auto" w:fill="CEDCE8"/>
            <w:vAlign w:val="center"/>
          </w:tcPr>
          <w:p w14:paraId="5CA64469" w14:textId="7AF9095B" w:rsidR="001B45B9" w:rsidRDefault="001B45B9" w:rsidP="00E44EC4">
            <w:r>
              <w:t xml:space="preserve">Residential Construction Seminar </w:t>
            </w:r>
          </w:p>
        </w:tc>
        <w:tc>
          <w:tcPr>
            <w:tcW w:w="3014" w:type="dxa"/>
          </w:tcPr>
          <w:p w14:paraId="719B6029" w14:textId="3EE8D24F" w:rsidR="001B45B9" w:rsidRDefault="001B45B9" w:rsidP="00E44EC4">
            <w:r>
              <w:t xml:space="preserve">Employers, contractors, sub-contractors </w:t>
            </w:r>
          </w:p>
        </w:tc>
        <w:tc>
          <w:tcPr>
            <w:tcW w:w="2763" w:type="dxa"/>
          </w:tcPr>
          <w:p w14:paraId="70C4F3F0" w14:textId="603E1E3E" w:rsidR="001B45B9" w:rsidRDefault="001B45B9" w:rsidP="00E44EC4">
            <w:r>
              <w:t xml:space="preserve">Overviews the role of WorkCover WA and discusses employer obligations and contracting arrangements </w:t>
            </w:r>
          </w:p>
        </w:tc>
      </w:tr>
      <w:tr w:rsidR="001B45B9" w:rsidRPr="00B273C8" w14:paraId="4C707DBE" w14:textId="77777777" w:rsidTr="00DB40BF">
        <w:tc>
          <w:tcPr>
            <w:tcW w:w="3012" w:type="dxa"/>
            <w:shd w:val="clear" w:color="auto" w:fill="CEDCE8"/>
            <w:vAlign w:val="center"/>
          </w:tcPr>
          <w:p w14:paraId="144F03B1" w14:textId="1294B5A6" w:rsidR="001B45B9" w:rsidRDefault="001B45B9" w:rsidP="00E44EC4">
            <w:r>
              <w:t>Approved Medical Specialist Training</w:t>
            </w:r>
          </w:p>
        </w:tc>
        <w:tc>
          <w:tcPr>
            <w:tcW w:w="3014" w:type="dxa"/>
          </w:tcPr>
          <w:p w14:paraId="364D4A2F" w14:textId="0F09AE2E" w:rsidR="001B45B9" w:rsidRDefault="001B45B9" w:rsidP="001B45B9">
            <w:r>
              <w:t xml:space="preserve">Specialist and non- specialist medical practitioners </w:t>
            </w:r>
          </w:p>
        </w:tc>
        <w:tc>
          <w:tcPr>
            <w:tcW w:w="2763" w:type="dxa"/>
          </w:tcPr>
          <w:p w14:paraId="4E23BF58" w14:textId="464C14A3" w:rsidR="001B45B9" w:rsidRDefault="001B45B9" w:rsidP="001B45B9">
            <w:r>
              <w:t xml:space="preserve">Provides training to specialist and non-specialist medical practitioners seeking to become designated as WorkCover WA Approved Medical Specialists. </w:t>
            </w:r>
          </w:p>
        </w:tc>
      </w:tr>
    </w:tbl>
    <w:p w14:paraId="70130C2A" w14:textId="77777777" w:rsidR="001B45B9" w:rsidRPr="00A45D02" w:rsidRDefault="001B45B9" w:rsidP="005F52A3"/>
    <w:p w14:paraId="1F5617E5" w14:textId="20BCC585" w:rsidR="003767E8" w:rsidRDefault="00616E8C" w:rsidP="00180C0F">
      <w:pPr>
        <w:pStyle w:val="Heading2nonumber"/>
      </w:pPr>
      <w:bookmarkStart w:id="417" w:name="_Toc525122033"/>
      <w:r>
        <w:t>WorkCover WA</w:t>
      </w:r>
      <w:r w:rsidR="008E45CC" w:rsidRPr="00AF6FC5">
        <w:t xml:space="preserve"> seminars</w:t>
      </w:r>
      <w:bookmarkEnd w:id="414"/>
      <w:bookmarkEnd w:id="415"/>
      <w:bookmarkEnd w:id="416"/>
      <w:bookmarkEnd w:id="417"/>
    </w:p>
    <w:p w14:paraId="7D87E2F1" w14:textId="611A31D5" w:rsidR="00535740" w:rsidRDefault="00535740" w:rsidP="00535740">
      <w:pPr>
        <w:pStyle w:val="Heading3nonumber"/>
      </w:pPr>
      <w:bookmarkStart w:id="418" w:name="_Toc525122034"/>
      <w:r>
        <w:t>Welcome to WorkCover WA</w:t>
      </w:r>
      <w:bookmarkEnd w:id="418"/>
    </w:p>
    <w:p w14:paraId="21E274B9" w14:textId="2BA3D898" w:rsidR="00863F88" w:rsidRDefault="00BD17A3" w:rsidP="00863F88">
      <w:pPr>
        <w:rPr>
          <w:lang w:eastAsia="en-AU"/>
        </w:rPr>
      </w:pPr>
      <w:bookmarkStart w:id="419" w:name="_Toc450900745"/>
      <w:r>
        <w:rPr>
          <w:lang w:eastAsia="en-AU"/>
        </w:rPr>
        <w:t>Welcome to WorkCover WA seminars are regular events in the Agency’s calendar. Providing an introductory overview of WorkCover WA and its role within the workers’ compensation and injury management scheme, the seminar offers attendees an opportunity to discuss individual queries and concerns with experienced divisional heads.</w:t>
      </w:r>
    </w:p>
    <w:p w14:paraId="69097A40" w14:textId="316D79E8" w:rsidR="00BD17A3" w:rsidRDefault="00BD17A3" w:rsidP="00863F88">
      <w:pPr>
        <w:rPr>
          <w:lang w:eastAsia="en-AU"/>
        </w:rPr>
      </w:pPr>
      <w:r>
        <w:rPr>
          <w:lang w:eastAsia="en-AU"/>
        </w:rPr>
        <w:t xml:space="preserve">WorkCover WA conducted </w:t>
      </w:r>
      <w:r w:rsidR="00E47B67">
        <w:rPr>
          <w:lang w:eastAsia="en-AU"/>
        </w:rPr>
        <w:t>4</w:t>
      </w:r>
      <w:r w:rsidRPr="001E747C">
        <w:rPr>
          <w:lang w:eastAsia="en-AU"/>
        </w:rPr>
        <w:t xml:space="preserve"> </w:t>
      </w:r>
      <w:r>
        <w:rPr>
          <w:lang w:eastAsia="en-AU"/>
        </w:rPr>
        <w:t xml:space="preserve">seminars in 2017/18, informing and educating </w:t>
      </w:r>
      <w:r w:rsidR="001E747C" w:rsidRPr="001E747C">
        <w:rPr>
          <w:lang w:eastAsia="en-AU"/>
        </w:rPr>
        <w:t>182</w:t>
      </w:r>
      <w:r>
        <w:rPr>
          <w:lang w:eastAsia="en-AU"/>
        </w:rPr>
        <w:t xml:space="preserve"> stakeholders about the scheme. Attendees included workers, employers, and scheme and service providers.</w:t>
      </w:r>
    </w:p>
    <w:p w14:paraId="6B547D69" w14:textId="52E1AB98" w:rsidR="00BD17A3" w:rsidRDefault="00146297" w:rsidP="00863F88">
      <w:pPr>
        <w:rPr>
          <w:lang w:eastAsia="en-AU"/>
        </w:rPr>
      </w:pPr>
      <w:r>
        <w:rPr>
          <w:lang w:eastAsia="en-AU"/>
        </w:rPr>
        <w:t>WorkCover WA received positive feedback for the seminars, including:</w:t>
      </w:r>
    </w:p>
    <w:p w14:paraId="1E45D2E2" w14:textId="5D8DA985" w:rsidR="009A2D29" w:rsidRDefault="00654C20" w:rsidP="009E1BAE">
      <w:pPr>
        <w:pStyle w:val="BulletListLevel1"/>
        <w:rPr>
          <w:lang w:eastAsia="en-AU"/>
        </w:rPr>
      </w:pPr>
      <w:r>
        <w:rPr>
          <w:lang w:eastAsia="en-AU"/>
        </w:rPr>
        <w:t>“</w:t>
      </w:r>
      <w:r w:rsidRPr="00605565">
        <w:rPr>
          <w:i/>
          <w:lang w:eastAsia="en-AU"/>
        </w:rPr>
        <w:t xml:space="preserve">All the speakers were knowledgeable and delivered information and </w:t>
      </w:r>
      <w:r w:rsidR="00B253E4" w:rsidRPr="00605565">
        <w:rPr>
          <w:i/>
          <w:lang w:eastAsia="en-AU"/>
        </w:rPr>
        <w:t>resources clearly and precisely</w:t>
      </w:r>
      <w:r w:rsidR="00451D48">
        <w:rPr>
          <w:lang w:eastAsia="en-AU"/>
        </w:rPr>
        <w:t>.</w:t>
      </w:r>
      <w:r>
        <w:rPr>
          <w:lang w:eastAsia="en-AU"/>
        </w:rPr>
        <w:t>”</w:t>
      </w:r>
      <w:r w:rsidR="009A2D29" w:rsidRPr="009A2D29">
        <w:rPr>
          <w:lang w:eastAsia="en-AU"/>
        </w:rPr>
        <w:t xml:space="preserve"> </w:t>
      </w:r>
    </w:p>
    <w:p w14:paraId="2DDE51DC" w14:textId="3680CA40" w:rsidR="00BE12D4" w:rsidRDefault="009A2D29" w:rsidP="009E1BAE">
      <w:pPr>
        <w:pStyle w:val="BulletListLevel1"/>
        <w:rPr>
          <w:lang w:eastAsia="en-AU"/>
        </w:rPr>
      </w:pPr>
      <w:r w:rsidRPr="000F7784">
        <w:rPr>
          <w:lang w:eastAsia="en-AU"/>
        </w:rPr>
        <w:t>“</w:t>
      </w:r>
      <w:r w:rsidRPr="00605565">
        <w:rPr>
          <w:i/>
          <w:lang w:eastAsia="en-AU"/>
        </w:rPr>
        <w:t>I was very pleased with the information given and the commitment to ongoing contact should I need to be in touch in the future</w:t>
      </w:r>
      <w:r w:rsidR="00146297">
        <w:rPr>
          <w:lang w:eastAsia="en-AU"/>
        </w:rPr>
        <w:t>.</w:t>
      </w:r>
      <w:r w:rsidRPr="000F7784">
        <w:rPr>
          <w:lang w:eastAsia="en-AU"/>
        </w:rPr>
        <w:t>”</w:t>
      </w:r>
    </w:p>
    <w:p w14:paraId="47B915E9" w14:textId="40698665" w:rsidR="00A05C3C" w:rsidRDefault="00BE12D4" w:rsidP="00863F88">
      <w:pPr>
        <w:rPr>
          <w:lang w:eastAsia="en-AU"/>
        </w:rPr>
      </w:pPr>
      <w:r>
        <w:rPr>
          <w:lang w:eastAsia="en-AU"/>
        </w:rPr>
        <w:t xml:space="preserve">A number of attendees commented they would like further information in relation to injury management coordination and the return to work process. To help improve future seminars, WorkCover WA </w:t>
      </w:r>
      <w:r w:rsidR="00590CC7">
        <w:rPr>
          <w:lang w:eastAsia="en-AU"/>
        </w:rPr>
        <w:t>added</w:t>
      </w:r>
      <w:r>
        <w:rPr>
          <w:lang w:eastAsia="en-AU"/>
        </w:rPr>
        <w:t xml:space="preserve"> more information </w:t>
      </w:r>
      <w:r w:rsidR="00EC0948">
        <w:rPr>
          <w:lang w:eastAsia="en-AU"/>
        </w:rPr>
        <w:t>about</w:t>
      </w:r>
      <w:r>
        <w:rPr>
          <w:lang w:eastAsia="en-AU"/>
        </w:rPr>
        <w:t xml:space="preserve"> these topics </w:t>
      </w:r>
      <w:r w:rsidR="00EC0948">
        <w:rPr>
          <w:lang w:eastAsia="en-AU"/>
        </w:rPr>
        <w:t>to</w:t>
      </w:r>
      <w:r>
        <w:rPr>
          <w:lang w:eastAsia="en-AU"/>
        </w:rPr>
        <w:t xml:space="preserve"> the </w:t>
      </w:r>
      <w:r w:rsidR="00A05C3C">
        <w:rPr>
          <w:lang w:eastAsia="en-AU"/>
        </w:rPr>
        <w:t>presentation.</w:t>
      </w:r>
    </w:p>
    <w:p w14:paraId="2B559BB2" w14:textId="77777777" w:rsidR="00A05C3C" w:rsidRDefault="00A05C3C">
      <w:pPr>
        <w:keepLines w:val="0"/>
        <w:spacing w:after="0" w:line="240" w:lineRule="auto"/>
        <w:rPr>
          <w:lang w:eastAsia="en-AU"/>
        </w:rPr>
      </w:pPr>
      <w:r>
        <w:rPr>
          <w:lang w:eastAsia="en-AU"/>
        </w:rPr>
        <w:br w:type="page"/>
      </w:r>
    </w:p>
    <w:p w14:paraId="3BE0F6D1" w14:textId="77777777" w:rsidR="00BD17A3" w:rsidRPr="00BD17A3" w:rsidRDefault="00BD17A3" w:rsidP="00863F88">
      <w:pPr>
        <w:rPr>
          <w:rStyle w:val="Strong"/>
          <w:b w:val="0"/>
          <w:bCs w:val="0"/>
          <w:lang w:eastAsia="en-AU"/>
        </w:rPr>
      </w:pPr>
    </w:p>
    <w:tbl>
      <w:tblPr>
        <w:tblW w:w="0" w:type="auto"/>
        <w:tblInd w:w="80"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Caption w:val="Table 34: Welcome to WorkCover WA Seminar Attendance"/>
        <w:tblDescription w:val="This table outlines the number of attendees to Welcome to WorkCover WA Seminars in 2017/18."/>
      </w:tblPr>
      <w:tblGrid>
        <w:gridCol w:w="4312"/>
        <w:gridCol w:w="1417"/>
      </w:tblGrid>
      <w:tr w:rsidR="00A15135" w:rsidRPr="00B05450" w14:paraId="1F50411F" w14:textId="77777777" w:rsidTr="00DB40BF">
        <w:trPr>
          <w:trHeight w:val="589"/>
        </w:trPr>
        <w:tc>
          <w:tcPr>
            <w:tcW w:w="5729" w:type="dxa"/>
            <w:gridSpan w:val="2"/>
            <w:shd w:val="clear" w:color="auto" w:fill="003F5F"/>
            <w:tcMar>
              <w:top w:w="80" w:type="dxa"/>
              <w:left w:w="80" w:type="dxa"/>
              <w:bottom w:w="80" w:type="dxa"/>
              <w:right w:w="80" w:type="dxa"/>
            </w:tcMar>
          </w:tcPr>
          <w:p w14:paraId="48311DC7" w14:textId="66CB74D1" w:rsidR="00A15135" w:rsidRPr="00BD17A3" w:rsidRDefault="00A15135" w:rsidP="00DB40BF">
            <w:pPr>
              <w:rPr>
                <w:b/>
                <w:color w:val="FF0000"/>
              </w:rPr>
            </w:pPr>
            <w:r w:rsidRPr="00DB40BF">
              <w:rPr>
                <w:b/>
                <w:color w:val="FFFFFF" w:themeColor="background1"/>
              </w:rPr>
              <w:t>Tab</w:t>
            </w:r>
            <w:r w:rsidR="00451D48" w:rsidRPr="00DB40BF">
              <w:rPr>
                <w:b/>
                <w:color w:val="FFFFFF" w:themeColor="background1"/>
              </w:rPr>
              <w:t>le 3</w:t>
            </w:r>
            <w:r w:rsidR="00DB40BF" w:rsidRPr="00DB40BF">
              <w:rPr>
                <w:b/>
                <w:color w:val="FFFFFF" w:themeColor="background1"/>
              </w:rPr>
              <w:t>4</w:t>
            </w:r>
            <w:r w:rsidRPr="00DB40BF">
              <w:rPr>
                <w:b/>
                <w:color w:val="FFFFFF" w:themeColor="background1"/>
              </w:rPr>
              <w:t xml:space="preserve">: </w:t>
            </w:r>
            <w:r w:rsidRPr="00BD17A3">
              <w:rPr>
                <w:b/>
                <w:color w:val="FFFFFF" w:themeColor="background1"/>
              </w:rPr>
              <w:t>2017/18 Welcome to WorkCover WA seminar attendance*</w:t>
            </w:r>
          </w:p>
        </w:tc>
      </w:tr>
      <w:tr w:rsidR="00F95232" w:rsidRPr="00B05450" w14:paraId="10E01120" w14:textId="77777777" w:rsidTr="00DB40BF">
        <w:trPr>
          <w:trHeight w:val="589"/>
        </w:trPr>
        <w:tc>
          <w:tcPr>
            <w:tcW w:w="4312" w:type="dxa"/>
            <w:shd w:val="clear" w:color="auto" w:fill="CEDCE8"/>
            <w:tcMar>
              <w:top w:w="80" w:type="dxa"/>
              <w:left w:w="80" w:type="dxa"/>
              <w:bottom w:w="80" w:type="dxa"/>
              <w:right w:w="80" w:type="dxa"/>
            </w:tcMar>
          </w:tcPr>
          <w:p w14:paraId="07A49389" w14:textId="6F96BAE1" w:rsidR="00F95232" w:rsidRPr="00903860" w:rsidRDefault="00F95232" w:rsidP="00F95232">
            <w:r w:rsidRPr="00903860">
              <w:t>Employer</w:t>
            </w:r>
          </w:p>
        </w:tc>
        <w:tc>
          <w:tcPr>
            <w:tcW w:w="1417" w:type="dxa"/>
            <w:tcMar>
              <w:top w:w="80" w:type="dxa"/>
              <w:left w:w="80" w:type="dxa"/>
              <w:bottom w:w="80" w:type="dxa"/>
              <w:right w:w="80" w:type="dxa"/>
            </w:tcMar>
          </w:tcPr>
          <w:p w14:paraId="4FBC9655" w14:textId="048C429A" w:rsidR="00F95232" w:rsidRPr="001E747C" w:rsidRDefault="00F95232" w:rsidP="00F95232">
            <w:pPr>
              <w:jc w:val="right"/>
            </w:pPr>
            <w:r w:rsidRPr="001E747C">
              <w:t>49%</w:t>
            </w:r>
          </w:p>
        </w:tc>
      </w:tr>
      <w:tr w:rsidR="00F95232" w:rsidRPr="00B05450" w14:paraId="50165989" w14:textId="77777777" w:rsidTr="00DB40BF">
        <w:trPr>
          <w:trHeight w:val="589"/>
        </w:trPr>
        <w:tc>
          <w:tcPr>
            <w:tcW w:w="4312" w:type="dxa"/>
            <w:shd w:val="clear" w:color="auto" w:fill="CEDCE8"/>
            <w:tcMar>
              <w:top w:w="80" w:type="dxa"/>
              <w:left w:w="80" w:type="dxa"/>
              <w:bottom w:w="80" w:type="dxa"/>
              <w:right w:w="80" w:type="dxa"/>
            </w:tcMar>
          </w:tcPr>
          <w:p w14:paraId="7EFDAEB8" w14:textId="13E3C0F9" w:rsidR="00F95232" w:rsidRPr="00903860" w:rsidRDefault="00F95232" w:rsidP="00F95232">
            <w:r w:rsidRPr="00903860">
              <w:t>Service provider</w:t>
            </w:r>
          </w:p>
        </w:tc>
        <w:tc>
          <w:tcPr>
            <w:tcW w:w="1417" w:type="dxa"/>
            <w:tcMar>
              <w:top w:w="80" w:type="dxa"/>
              <w:left w:w="80" w:type="dxa"/>
              <w:bottom w:w="80" w:type="dxa"/>
              <w:right w:w="80" w:type="dxa"/>
            </w:tcMar>
          </w:tcPr>
          <w:p w14:paraId="6524CE97" w14:textId="236EDEAF" w:rsidR="00F95232" w:rsidRPr="001E747C" w:rsidRDefault="00F95232" w:rsidP="00F95232">
            <w:pPr>
              <w:jc w:val="right"/>
            </w:pPr>
            <w:r w:rsidRPr="001E747C">
              <w:t>14%</w:t>
            </w:r>
          </w:p>
        </w:tc>
      </w:tr>
      <w:tr w:rsidR="00F95232" w:rsidRPr="00B05450" w14:paraId="358AD701" w14:textId="77777777" w:rsidTr="00DB40BF">
        <w:trPr>
          <w:trHeight w:val="589"/>
        </w:trPr>
        <w:tc>
          <w:tcPr>
            <w:tcW w:w="4312" w:type="dxa"/>
            <w:shd w:val="clear" w:color="auto" w:fill="CEDCE8"/>
            <w:tcMar>
              <w:top w:w="80" w:type="dxa"/>
              <w:left w:w="80" w:type="dxa"/>
              <w:bottom w:w="80" w:type="dxa"/>
              <w:right w:w="80" w:type="dxa"/>
            </w:tcMar>
          </w:tcPr>
          <w:p w14:paraId="0475BF14" w14:textId="6F61AB53" w:rsidR="00F95232" w:rsidRPr="00903860" w:rsidRDefault="00F95232" w:rsidP="00F95232">
            <w:r w:rsidRPr="00903860">
              <w:t>Health provider</w:t>
            </w:r>
          </w:p>
        </w:tc>
        <w:tc>
          <w:tcPr>
            <w:tcW w:w="1417" w:type="dxa"/>
            <w:tcMar>
              <w:top w:w="80" w:type="dxa"/>
              <w:left w:w="80" w:type="dxa"/>
              <w:bottom w:w="80" w:type="dxa"/>
              <w:right w:w="80" w:type="dxa"/>
            </w:tcMar>
          </w:tcPr>
          <w:p w14:paraId="343021BB" w14:textId="10F6817F" w:rsidR="00F95232" w:rsidRPr="001E747C" w:rsidRDefault="00F95232" w:rsidP="00F95232">
            <w:pPr>
              <w:jc w:val="right"/>
            </w:pPr>
            <w:r w:rsidRPr="001E747C">
              <w:t>14%</w:t>
            </w:r>
          </w:p>
        </w:tc>
      </w:tr>
      <w:tr w:rsidR="00F95232" w:rsidRPr="00B05450" w14:paraId="1F9C1BDB" w14:textId="77777777" w:rsidTr="00DB40BF">
        <w:trPr>
          <w:trHeight w:val="589"/>
        </w:trPr>
        <w:tc>
          <w:tcPr>
            <w:tcW w:w="4312" w:type="dxa"/>
            <w:shd w:val="clear" w:color="auto" w:fill="CEDCE8"/>
            <w:tcMar>
              <w:top w:w="80" w:type="dxa"/>
              <w:left w:w="80" w:type="dxa"/>
              <w:bottom w:w="80" w:type="dxa"/>
              <w:right w:w="80" w:type="dxa"/>
            </w:tcMar>
          </w:tcPr>
          <w:p w14:paraId="2A671390" w14:textId="5BD29FCE" w:rsidR="00F95232" w:rsidRPr="00903860" w:rsidRDefault="00F95232" w:rsidP="00F95232">
            <w:r w:rsidRPr="00903860">
              <w:t>Other / No response</w:t>
            </w:r>
          </w:p>
        </w:tc>
        <w:tc>
          <w:tcPr>
            <w:tcW w:w="1417" w:type="dxa"/>
            <w:tcMar>
              <w:top w:w="80" w:type="dxa"/>
              <w:left w:w="80" w:type="dxa"/>
              <w:bottom w:w="80" w:type="dxa"/>
              <w:right w:w="80" w:type="dxa"/>
            </w:tcMar>
          </w:tcPr>
          <w:p w14:paraId="4F6638C1" w14:textId="3A49844B" w:rsidR="00F95232" w:rsidRPr="001E747C" w:rsidRDefault="00F95232" w:rsidP="00F95232">
            <w:pPr>
              <w:jc w:val="right"/>
            </w:pPr>
            <w:r w:rsidRPr="001E747C">
              <w:t>16%</w:t>
            </w:r>
          </w:p>
        </w:tc>
      </w:tr>
      <w:tr w:rsidR="00F95232" w:rsidRPr="00B05450" w14:paraId="3B253FDA" w14:textId="77777777" w:rsidTr="00DB40BF">
        <w:trPr>
          <w:trHeight w:val="589"/>
        </w:trPr>
        <w:tc>
          <w:tcPr>
            <w:tcW w:w="4312" w:type="dxa"/>
            <w:shd w:val="clear" w:color="auto" w:fill="CEDCE8"/>
            <w:tcMar>
              <w:top w:w="80" w:type="dxa"/>
              <w:left w:w="80" w:type="dxa"/>
              <w:bottom w:w="80" w:type="dxa"/>
              <w:right w:w="80" w:type="dxa"/>
            </w:tcMar>
          </w:tcPr>
          <w:p w14:paraId="40BF6C60" w14:textId="4CBC8E68" w:rsidR="00F95232" w:rsidRPr="00903860" w:rsidRDefault="00F95232" w:rsidP="00F95232">
            <w:r w:rsidRPr="00903860">
              <w:t>Worker</w:t>
            </w:r>
          </w:p>
        </w:tc>
        <w:tc>
          <w:tcPr>
            <w:tcW w:w="1417" w:type="dxa"/>
            <w:tcMar>
              <w:top w:w="80" w:type="dxa"/>
              <w:left w:w="80" w:type="dxa"/>
              <w:bottom w:w="80" w:type="dxa"/>
              <w:right w:w="80" w:type="dxa"/>
            </w:tcMar>
          </w:tcPr>
          <w:p w14:paraId="0AAD7319" w14:textId="78AFFDE6" w:rsidR="00F95232" w:rsidRPr="001E747C" w:rsidRDefault="00F95232" w:rsidP="00F95232">
            <w:pPr>
              <w:jc w:val="right"/>
            </w:pPr>
            <w:r w:rsidRPr="001E747C">
              <w:t>7%</w:t>
            </w:r>
          </w:p>
        </w:tc>
      </w:tr>
    </w:tbl>
    <w:p w14:paraId="7A35A152" w14:textId="0A4A6AA7" w:rsidR="00903860" w:rsidRDefault="00903860" w:rsidP="00903860">
      <w:r>
        <w:br/>
        <w:t xml:space="preserve">*Based on feedback from </w:t>
      </w:r>
      <w:r w:rsidR="001E747C" w:rsidRPr="001E747C">
        <w:t>135</w:t>
      </w:r>
      <w:r w:rsidRPr="001E747C">
        <w:t xml:space="preserve"> </w:t>
      </w:r>
      <w:r>
        <w:t>attendees</w:t>
      </w:r>
    </w:p>
    <w:p w14:paraId="77D02D1C" w14:textId="47E17477" w:rsidR="00AF6FC5" w:rsidRDefault="00AF6FC5" w:rsidP="00FA7BF4">
      <w:pPr>
        <w:pStyle w:val="Heading3nonumber"/>
      </w:pPr>
      <w:bookmarkStart w:id="420" w:name="_Toc525122035"/>
      <w:r>
        <w:t>Insurance Brokers</w:t>
      </w:r>
      <w:r w:rsidR="00C22D5F">
        <w:t>’</w:t>
      </w:r>
      <w:r>
        <w:t xml:space="preserve"> Breakfast Seminar</w:t>
      </w:r>
      <w:bookmarkEnd w:id="419"/>
      <w:bookmarkEnd w:id="420"/>
    </w:p>
    <w:p w14:paraId="7F9CD125" w14:textId="21776F01" w:rsidR="00EF48DF" w:rsidRDefault="009A2D29" w:rsidP="00AF6FC5">
      <w:pPr>
        <w:rPr>
          <w:rFonts w:eastAsia="Calibri"/>
        </w:rPr>
      </w:pPr>
      <w:r>
        <w:rPr>
          <w:rFonts w:eastAsia="Calibri"/>
        </w:rPr>
        <w:t>The 2017 Insurance Brokers’ Breakfast Seminar was held on Friday 8 December at Crown Perth. This was the eighth seminar since the commencement of the series in 2006, continuing WorkCover WA’s commitment to engaging with insurance brokers in collaboration with the National Insurance Brokers Association.</w:t>
      </w:r>
    </w:p>
    <w:p w14:paraId="6B6F21FA" w14:textId="39950515" w:rsidR="009A2D29" w:rsidRDefault="00B253E4" w:rsidP="00AF6FC5">
      <w:pPr>
        <w:rPr>
          <w:rFonts w:eastAsia="Calibri"/>
        </w:rPr>
      </w:pPr>
      <w:r>
        <w:rPr>
          <w:rFonts w:eastAsia="Calibri"/>
        </w:rPr>
        <w:t xml:space="preserve">The event included </w:t>
      </w:r>
      <w:r w:rsidR="009A2D29">
        <w:rPr>
          <w:rFonts w:eastAsia="Calibri"/>
        </w:rPr>
        <w:t>a keynote presentation from generational expert Claire Madden that discussed the trend</w:t>
      </w:r>
      <w:r>
        <w:rPr>
          <w:rFonts w:eastAsia="Calibri"/>
        </w:rPr>
        <w:t>s redefining the future of work. T</w:t>
      </w:r>
      <w:r w:rsidR="009A2D29">
        <w:rPr>
          <w:rFonts w:eastAsia="Calibri"/>
        </w:rPr>
        <w:t xml:space="preserve">he seminar </w:t>
      </w:r>
      <w:r>
        <w:rPr>
          <w:rFonts w:eastAsia="Calibri"/>
        </w:rPr>
        <w:t>helped insurance brokers</w:t>
      </w:r>
      <w:r w:rsidR="009A2D29">
        <w:rPr>
          <w:rFonts w:eastAsia="Calibri"/>
        </w:rPr>
        <w:t>:</w:t>
      </w:r>
    </w:p>
    <w:p w14:paraId="7DEA4483" w14:textId="1502D64E" w:rsidR="009A2D29" w:rsidRDefault="00B253E4" w:rsidP="009A2D29">
      <w:pPr>
        <w:pStyle w:val="BulletListLevel1"/>
        <w:rPr>
          <w:rFonts w:eastAsia="Calibri"/>
        </w:rPr>
      </w:pPr>
      <w:r>
        <w:rPr>
          <w:rFonts w:eastAsia="Calibri"/>
        </w:rPr>
        <w:t>l</w:t>
      </w:r>
      <w:r w:rsidR="009A2D29">
        <w:rPr>
          <w:rFonts w:eastAsia="Calibri"/>
        </w:rPr>
        <w:t>earn more about WorkCover WA and the WA scheme</w:t>
      </w:r>
    </w:p>
    <w:p w14:paraId="56B1F8C9" w14:textId="453B201C" w:rsidR="009A2D29" w:rsidRDefault="00B253E4" w:rsidP="009A2D29">
      <w:pPr>
        <w:pStyle w:val="BulletListLevel1"/>
        <w:rPr>
          <w:rFonts w:eastAsia="Calibri"/>
        </w:rPr>
      </w:pPr>
      <w:r>
        <w:rPr>
          <w:rFonts w:eastAsia="Calibri"/>
        </w:rPr>
        <w:t>b</w:t>
      </w:r>
      <w:r w:rsidR="009A2D29">
        <w:rPr>
          <w:rFonts w:eastAsia="Calibri"/>
        </w:rPr>
        <w:t>etter understand WorkCover WA’s regulatory role</w:t>
      </w:r>
    </w:p>
    <w:p w14:paraId="382F7934" w14:textId="5C18297B" w:rsidR="009A2D29" w:rsidRDefault="00B253E4" w:rsidP="009A2D29">
      <w:pPr>
        <w:pStyle w:val="BulletListLevel1"/>
        <w:rPr>
          <w:rFonts w:eastAsia="Calibri"/>
        </w:rPr>
      </w:pPr>
      <w:r>
        <w:rPr>
          <w:rFonts w:eastAsia="Calibri"/>
        </w:rPr>
        <w:t>r</w:t>
      </w:r>
      <w:r w:rsidR="009A2D29">
        <w:rPr>
          <w:rFonts w:eastAsia="Calibri"/>
        </w:rPr>
        <w:t>eceive feedback about how the services of brokers are perceived by stakeholders and where the interface between insurers, brokers, employers and workers can be improved</w:t>
      </w:r>
    </w:p>
    <w:p w14:paraId="418CE184" w14:textId="5A2B5428" w:rsidR="009A2D29" w:rsidRDefault="00B253E4" w:rsidP="009A2D29">
      <w:pPr>
        <w:pStyle w:val="BulletListLevel1"/>
        <w:rPr>
          <w:rFonts w:eastAsia="Calibri"/>
        </w:rPr>
      </w:pPr>
      <w:r>
        <w:rPr>
          <w:rFonts w:eastAsia="Calibri"/>
        </w:rPr>
        <w:t>h</w:t>
      </w:r>
      <w:r w:rsidR="009A2D29">
        <w:rPr>
          <w:rFonts w:eastAsia="Calibri"/>
        </w:rPr>
        <w:t>ear about latest scheme trends and developments.</w:t>
      </w:r>
    </w:p>
    <w:p w14:paraId="6D992343" w14:textId="77777777" w:rsidR="00A36388" w:rsidRDefault="00A36388" w:rsidP="00A36388">
      <w:pPr>
        <w:pStyle w:val="BulletListLevel1"/>
        <w:numPr>
          <w:ilvl w:val="0"/>
          <w:numId w:val="0"/>
        </w:numPr>
        <w:rPr>
          <w:rFonts w:eastAsia="Calibri"/>
        </w:rPr>
      </w:pPr>
      <w:r>
        <w:rPr>
          <w:rFonts w:eastAsia="Calibri"/>
        </w:rPr>
        <w:t>Nearly 200 brokers attended the event. The presentation was rated as either ‘good’ or ‘excellent’ by 90 percent of surveyed attendees, with 100 percent indicating they would recommend the seminar to others.</w:t>
      </w:r>
    </w:p>
    <w:p w14:paraId="1BD2A60E" w14:textId="03F7FACB" w:rsidR="009A2D29" w:rsidRDefault="009A2D29" w:rsidP="009A2D29">
      <w:pPr>
        <w:rPr>
          <w:rFonts w:eastAsia="Calibri"/>
          <w:i/>
        </w:rPr>
      </w:pPr>
      <w:r>
        <w:rPr>
          <w:rFonts w:eastAsia="Calibri"/>
        </w:rPr>
        <w:t xml:space="preserve">The seminar also provided a platform for the launch of WorkCover WA’s </w:t>
      </w:r>
      <w:r w:rsidR="00B253E4">
        <w:rPr>
          <w:rFonts w:eastAsia="Calibri"/>
        </w:rPr>
        <w:t>latest</w:t>
      </w:r>
      <w:r>
        <w:rPr>
          <w:rFonts w:eastAsia="Calibri"/>
        </w:rPr>
        <w:t xml:space="preserve"> educational video</w:t>
      </w:r>
      <w:r w:rsidR="00B253E4">
        <w:rPr>
          <w:rFonts w:eastAsia="Calibri"/>
        </w:rPr>
        <w:t>,</w:t>
      </w:r>
      <w:r>
        <w:rPr>
          <w:rFonts w:eastAsia="Calibri"/>
        </w:rPr>
        <w:t xml:space="preserve"> </w:t>
      </w:r>
      <w:r w:rsidR="00B253E4" w:rsidRPr="00B253E4">
        <w:rPr>
          <w:rFonts w:eastAsia="Calibri"/>
        </w:rPr>
        <w:t>‘</w:t>
      </w:r>
      <w:r w:rsidRPr="00DC40F3">
        <w:rPr>
          <w:rFonts w:eastAsia="Calibri"/>
          <w:i/>
        </w:rPr>
        <w:t>Workers’ compensation insurance: a guide for insurance brokers</w:t>
      </w:r>
      <w:r w:rsidR="00B253E4" w:rsidRPr="00DC40F3">
        <w:rPr>
          <w:rFonts w:eastAsia="Calibri"/>
          <w:i/>
        </w:rPr>
        <w:t>’</w:t>
      </w:r>
      <w:r w:rsidRPr="00B253E4">
        <w:rPr>
          <w:rFonts w:eastAsia="Calibri"/>
        </w:rPr>
        <w:t>.</w:t>
      </w:r>
      <w:r w:rsidR="00A36388">
        <w:rPr>
          <w:rFonts w:eastAsia="Calibri"/>
        </w:rPr>
        <w:t xml:space="preserve"> F</w:t>
      </w:r>
      <w:r w:rsidR="00A36388" w:rsidRPr="00E47B67">
        <w:rPr>
          <w:rFonts w:eastAsia="Calibri"/>
        </w:rPr>
        <w:t xml:space="preserve">or more information in relation to the video read </w:t>
      </w:r>
      <w:r w:rsidR="00E47B67" w:rsidRPr="00E47B67">
        <w:rPr>
          <w:rFonts w:eastAsia="Calibri"/>
        </w:rPr>
        <w:t>Educational videos</w:t>
      </w:r>
      <w:r w:rsidR="00A36388" w:rsidRPr="00E47B67">
        <w:rPr>
          <w:rFonts w:eastAsia="Calibri"/>
        </w:rPr>
        <w:t xml:space="preserve"> on page </w:t>
      </w:r>
      <w:r w:rsidR="00E47B67" w:rsidRPr="00E47B67">
        <w:rPr>
          <w:rFonts w:eastAsia="Calibri"/>
        </w:rPr>
        <w:t>93</w:t>
      </w:r>
      <w:r w:rsidR="00A36388" w:rsidRPr="00E47B67">
        <w:rPr>
          <w:rFonts w:eastAsia="Calibri"/>
        </w:rPr>
        <w:t>.</w:t>
      </w:r>
    </w:p>
    <w:p w14:paraId="49C09B97" w14:textId="2D0E0A80" w:rsidR="00FA7BF4" w:rsidRDefault="00FA7BF4" w:rsidP="00FA7BF4">
      <w:pPr>
        <w:pStyle w:val="Heading3nonumber"/>
      </w:pPr>
      <w:bookmarkStart w:id="421" w:name="_Toc525122036"/>
      <w:r>
        <w:t xml:space="preserve">Residential Construction </w:t>
      </w:r>
      <w:r w:rsidR="002D12AD">
        <w:t xml:space="preserve">Industry </w:t>
      </w:r>
      <w:r>
        <w:t>Seminar</w:t>
      </w:r>
      <w:bookmarkEnd w:id="421"/>
    </w:p>
    <w:p w14:paraId="1B2F8BE0" w14:textId="456EFF3A" w:rsidR="00897267" w:rsidRDefault="00897267" w:rsidP="00A36388">
      <w:pPr>
        <w:rPr>
          <w:rFonts w:eastAsia="Calibri"/>
        </w:rPr>
      </w:pPr>
      <w:r>
        <w:rPr>
          <w:rFonts w:eastAsia="Calibri"/>
        </w:rPr>
        <w:t xml:space="preserve">WorkCover WA held the Residential Construction Industry Seminar on 10 April 2018. The seminar was held in response to data showing the industry was one of the top two industries most at risk of </w:t>
      </w:r>
      <w:r w:rsidR="002B2CF4">
        <w:rPr>
          <w:rFonts w:eastAsia="Calibri"/>
        </w:rPr>
        <w:t xml:space="preserve">employers </w:t>
      </w:r>
      <w:r>
        <w:rPr>
          <w:rFonts w:eastAsia="Calibri"/>
        </w:rPr>
        <w:t>not holding adequate workers’ compensation insurance.</w:t>
      </w:r>
    </w:p>
    <w:p w14:paraId="5296B077" w14:textId="7AFBA2BA" w:rsidR="00897267" w:rsidRDefault="00897267" w:rsidP="00AF6FC5">
      <w:pPr>
        <w:rPr>
          <w:rFonts w:eastAsia="Calibri"/>
        </w:rPr>
      </w:pPr>
      <w:r>
        <w:rPr>
          <w:rFonts w:eastAsia="Calibri"/>
        </w:rPr>
        <w:t xml:space="preserve">The seminar </w:t>
      </w:r>
      <w:r w:rsidRPr="00DB40BF">
        <w:rPr>
          <w:rFonts w:eastAsia="Calibri"/>
        </w:rPr>
        <w:t xml:space="preserve">aimed to educate employers </w:t>
      </w:r>
      <w:r w:rsidR="002B2CF4" w:rsidRPr="00DB40BF">
        <w:rPr>
          <w:rFonts w:eastAsia="Calibri"/>
        </w:rPr>
        <w:t xml:space="preserve">in the industry </w:t>
      </w:r>
      <w:r w:rsidR="00EC0948" w:rsidRPr="00DB40BF">
        <w:rPr>
          <w:rFonts w:eastAsia="Calibri"/>
        </w:rPr>
        <w:t>about</w:t>
      </w:r>
      <w:r w:rsidRPr="00DB40BF">
        <w:rPr>
          <w:rFonts w:eastAsia="Calibri"/>
        </w:rPr>
        <w:t xml:space="preserve"> their rights, roles and obligations under the scheme. </w:t>
      </w:r>
      <w:r w:rsidR="00F078C8" w:rsidRPr="00DB40BF">
        <w:rPr>
          <w:rFonts w:eastAsia="Calibri"/>
        </w:rPr>
        <w:t xml:space="preserve">Twenty six </w:t>
      </w:r>
      <w:r w:rsidR="002B2CF4" w:rsidRPr="00DB40BF">
        <w:rPr>
          <w:rFonts w:eastAsia="Calibri"/>
        </w:rPr>
        <w:t>employers attended the event,</w:t>
      </w:r>
      <w:r w:rsidRPr="00DB40BF">
        <w:rPr>
          <w:rFonts w:eastAsia="Calibri"/>
        </w:rPr>
        <w:t xml:space="preserve"> ranging from bricklayers and builders, to painters </w:t>
      </w:r>
      <w:r>
        <w:rPr>
          <w:rFonts w:eastAsia="Calibri"/>
        </w:rPr>
        <w:t>and plumbers.</w:t>
      </w:r>
    </w:p>
    <w:p w14:paraId="4BA23B98" w14:textId="742A1100" w:rsidR="00897267" w:rsidRDefault="00897267" w:rsidP="00AF6FC5">
      <w:pPr>
        <w:rPr>
          <w:rFonts w:eastAsia="Calibri"/>
        </w:rPr>
      </w:pPr>
      <w:r>
        <w:rPr>
          <w:rFonts w:eastAsia="Calibri"/>
        </w:rPr>
        <w:t xml:space="preserve">Positive feedback </w:t>
      </w:r>
      <w:r w:rsidR="002B2CF4">
        <w:rPr>
          <w:rFonts w:eastAsia="Calibri"/>
        </w:rPr>
        <w:t>was received, with 100 percent</w:t>
      </w:r>
      <w:r>
        <w:rPr>
          <w:rFonts w:eastAsia="Calibri"/>
        </w:rPr>
        <w:t xml:space="preserve"> of attendees </w:t>
      </w:r>
      <w:r w:rsidR="002B2CF4">
        <w:rPr>
          <w:rFonts w:eastAsia="Calibri"/>
        </w:rPr>
        <w:t>indicating</w:t>
      </w:r>
      <w:r>
        <w:rPr>
          <w:rFonts w:eastAsia="Calibri"/>
        </w:rPr>
        <w:t xml:space="preserve"> the seminar better informed them about workers’ compensation and employer </w:t>
      </w:r>
      <w:r w:rsidRPr="000E3C29">
        <w:rPr>
          <w:rFonts w:eastAsia="Calibri"/>
        </w:rPr>
        <w:t xml:space="preserve">obligations. </w:t>
      </w:r>
    </w:p>
    <w:p w14:paraId="2DB4C6C7" w14:textId="21503190" w:rsidR="00F142FE" w:rsidRDefault="00897267" w:rsidP="00897267">
      <w:pPr>
        <w:rPr>
          <w:rFonts w:eastAsia="Calibri"/>
          <w:color w:val="FF0000"/>
        </w:rPr>
      </w:pPr>
      <w:r>
        <w:rPr>
          <w:rFonts w:eastAsia="Calibri"/>
        </w:rPr>
        <w:t xml:space="preserve">The seminar was held to </w:t>
      </w:r>
      <w:r w:rsidRPr="005B6DC0">
        <w:rPr>
          <w:rFonts w:eastAsia="Calibri"/>
        </w:rPr>
        <w:t xml:space="preserve">coincide with WorkCover WA’s Residential Construction Industry Campaign. </w:t>
      </w:r>
      <w:r w:rsidR="003F0AB0" w:rsidRPr="005B6DC0">
        <w:rPr>
          <w:rFonts w:eastAsia="Calibri"/>
        </w:rPr>
        <w:t>More information about the campaign is available under</w:t>
      </w:r>
      <w:r w:rsidRPr="005B6DC0">
        <w:rPr>
          <w:rFonts w:eastAsia="Calibri"/>
        </w:rPr>
        <w:t xml:space="preserve"> Case Study 2: Industry campaigns on </w:t>
      </w:r>
      <w:r w:rsidRPr="00E47B67">
        <w:rPr>
          <w:rFonts w:eastAsia="Calibri"/>
        </w:rPr>
        <w:t xml:space="preserve">page </w:t>
      </w:r>
      <w:r w:rsidR="00E47B67" w:rsidRPr="00E47B67">
        <w:rPr>
          <w:rFonts w:eastAsia="Calibri"/>
        </w:rPr>
        <w:t>75</w:t>
      </w:r>
      <w:r w:rsidRPr="00E47B67">
        <w:rPr>
          <w:rFonts w:eastAsia="Calibri"/>
        </w:rPr>
        <w:t>.</w:t>
      </w:r>
    </w:p>
    <w:p w14:paraId="7630DD6D" w14:textId="1A0823FF" w:rsidR="00B0728C" w:rsidRDefault="008B2BD5" w:rsidP="00FA7BF4">
      <w:pPr>
        <w:pStyle w:val="Heading3nonumber"/>
      </w:pPr>
      <w:bookmarkStart w:id="422" w:name="_Toc426617519"/>
      <w:bookmarkStart w:id="423" w:name="_Toc450900742"/>
      <w:bookmarkStart w:id="424" w:name="_Toc525122037"/>
      <w:bookmarkStart w:id="425" w:name="_Toc399316986"/>
      <w:r>
        <w:t>Approved medical s</w:t>
      </w:r>
      <w:r w:rsidR="00B87212" w:rsidRPr="00AF6FC5">
        <w:t>pecialist</w:t>
      </w:r>
      <w:r w:rsidR="00B0728C" w:rsidRPr="00AF6FC5">
        <w:t xml:space="preserve"> training</w:t>
      </w:r>
      <w:bookmarkEnd w:id="422"/>
      <w:bookmarkEnd w:id="423"/>
      <w:bookmarkEnd w:id="424"/>
    </w:p>
    <w:p w14:paraId="4829F421" w14:textId="5EEA669C" w:rsidR="00DD4FE6" w:rsidRDefault="00DD4FE6" w:rsidP="0076050F">
      <w:bookmarkStart w:id="426" w:name="_Toc399316987"/>
      <w:bookmarkStart w:id="427" w:name="_Toc426617522"/>
      <w:bookmarkStart w:id="428" w:name="_Toc450900743"/>
      <w:bookmarkEnd w:id="425"/>
      <w:r>
        <w:t xml:space="preserve">In order to become an approved medical specialist, medical practitioners must complete formal training in permanent impairment assessment, including a </w:t>
      </w:r>
      <w:r w:rsidR="00FC278B">
        <w:br/>
      </w:r>
      <w:r>
        <w:t>WA-specific session.</w:t>
      </w:r>
    </w:p>
    <w:p w14:paraId="64C4CE46" w14:textId="55AE74D2" w:rsidR="00D6620F" w:rsidRDefault="00DD4FE6" w:rsidP="00D6620F">
      <w:r>
        <w:t xml:space="preserve">In 2017/18, WorkCover </w:t>
      </w:r>
      <w:r w:rsidRPr="00670BD0">
        <w:t xml:space="preserve">WA held </w:t>
      </w:r>
      <w:r w:rsidR="00451835" w:rsidRPr="00670BD0">
        <w:t>one</w:t>
      </w:r>
      <w:r w:rsidRPr="00670BD0">
        <w:t xml:space="preserve"> training session on the WA permanent impairment </w:t>
      </w:r>
      <w:r w:rsidR="00B106FA" w:rsidRPr="00670BD0">
        <w:t xml:space="preserve">assessment </w:t>
      </w:r>
      <w:r w:rsidRPr="00670BD0">
        <w:t xml:space="preserve">regime and registered </w:t>
      </w:r>
      <w:r w:rsidR="00C6298E" w:rsidRPr="00670BD0">
        <w:t>nine</w:t>
      </w:r>
      <w:r w:rsidRPr="00670BD0">
        <w:t xml:space="preserve"> new approved medical specialists.</w:t>
      </w:r>
    </w:p>
    <w:p w14:paraId="1CBEEE18" w14:textId="44313660" w:rsidR="00FA7BF4" w:rsidRDefault="00FA7BF4" w:rsidP="00FA7BF4">
      <w:pPr>
        <w:pStyle w:val="Heading3nonumber"/>
      </w:pPr>
      <w:bookmarkStart w:id="429" w:name="_Toc525122038"/>
      <w:r>
        <w:t>Presentations on request</w:t>
      </w:r>
      <w:bookmarkEnd w:id="429"/>
    </w:p>
    <w:p w14:paraId="175FCFBE" w14:textId="77777777" w:rsidR="00F12491" w:rsidRPr="00711CD6" w:rsidRDefault="00F12491" w:rsidP="00F12491">
      <w:r w:rsidRPr="00711CD6">
        <w:t xml:space="preserve">WorkCover WA delivers a range of tailored presentations to stakeholders upon request. During 2017/18, the Agency delivered </w:t>
      </w:r>
      <w:r w:rsidRPr="000D43DB">
        <w:t xml:space="preserve">eight </w:t>
      </w:r>
      <w:r w:rsidRPr="00711CD6">
        <w:t xml:space="preserve">external presentations to stakeholders including </w:t>
      </w:r>
      <w:r w:rsidRPr="00B94526">
        <w:t xml:space="preserve">regional shires, physiotherapists and insurers. </w:t>
      </w:r>
    </w:p>
    <w:p w14:paraId="51B16412" w14:textId="77777777" w:rsidR="00F12491" w:rsidRPr="00711CD6" w:rsidRDefault="00F12491" w:rsidP="00F12491">
      <w:r w:rsidRPr="00711CD6">
        <w:t>The presentations focused on:</w:t>
      </w:r>
    </w:p>
    <w:p w14:paraId="1D58DB49" w14:textId="77777777" w:rsidR="00F12491" w:rsidRPr="000D43DB" w:rsidRDefault="00F12491" w:rsidP="00F12491">
      <w:pPr>
        <w:pStyle w:val="BulletListLevel1"/>
      </w:pPr>
      <w:r w:rsidRPr="000D43DB">
        <w:t>the role of WorkCover WA</w:t>
      </w:r>
    </w:p>
    <w:p w14:paraId="74E143B4" w14:textId="77777777" w:rsidR="00F12491" w:rsidRPr="000D43DB" w:rsidRDefault="00F12491" w:rsidP="00F12491">
      <w:pPr>
        <w:pStyle w:val="BulletListLevel1"/>
      </w:pPr>
      <w:r w:rsidRPr="000D43DB">
        <w:t>the workers’ compensation scheme</w:t>
      </w:r>
    </w:p>
    <w:p w14:paraId="00EF3579" w14:textId="77777777" w:rsidR="00F12491" w:rsidRPr="000D43DB" w:rsidRDefault="00F12491" w:rsidP="00F12491">
      <w:pPr>
        <w:pStyle w:val="BulletListLevel1"/>
      </w:pPr>
      <w:r w:rsidRPr="000D43DB">
        <w:t>the claims process</w:t>
      </w:r>
    </w:p>
    <w:p w14:paraId="73E317C7" w14:textId="77777777" w:rsidR="00F12491" w:rsidRPr="00B94526" w:rsidRDefault="00F12491" w:rsidP="00F12491">
      <w:pPr>
        <w:pStyle w:val="BulletListLevel1"/>
      </w:pPr>
      <w:r w:rsidRPr="000D43DB">
        <w:t>injury management and return to work.</w:t>
      </w:r>
    </w:p>
    <w:p w14:paraId="01E69FEC" w14:textId="76EB5EB1" w:rsidR="005C4313" w:rsidRPr="00AE69D3" w:rsidRDefault="00FA7BF4" w:rsidP="0076050F">
      <w:pPr>
        <w:pStyle w:val="Heading2nonumber"/>
      </w:pPr>
      <w:bookmarkStart w:id="430" w:name="_Toc525122039"/>
      <w:r>
        <w:t>External seminars</w:t>
      </w:r>
      <w:bookmarkEnd w:id="430"/>
      <w:r w:rsidR="005C4313">
        <w:t xml:space="preserve"> </w:t>
      </w:r>
      <w:bookmarkEnd w:id="426"/>
      <w:bookmarkEnd w:id="427"/>
      <w:bookmarkEnd w:id="428"/>
    </w:p>
    <w:p w14:paraId="4F854EFE" w14:textId="39F0D37E" w:rsidR="00A041E9" w:rsidRDefault="00A041E9" w:rsidP="00A041E9">
      <w:pPr>
        <w:rPr>
          <w:rFonts w:eastAsia="Calibri"/>
        </w:rPr>
      </w:pPr>
      <w:r>
        <w:rPr>
          <w:rFonts w:eastAsia="Calibri"/>
        </w:rPr>
        <w:t xml:space="preserve">WorkCover WA presents and exhibits at a number of external events and seminars each year. These activities enable workers’ compensation and injury management information and practical advice to be provided to hundreds of interested stakeholders. </w:t>
      </w:r>
    </w:p>
    <w:p w14:paraId="2407E3B3" w14:textId="77777777" w:rsidR="008643A2" w:rsidRPr="00E1533F" w:rsidRDefault="008643A2" w:rsidP="008643A2">
      <w:pPr>
        <w:pStyle w:val="Heading3nonumber"/>
        <w:rPr>
          <w:rFonts w:eastAsia="Calibri"/>
        </w:rPr>
      </w:pPr>
      <w:bookmarkStart w:id="431" w:name="_Toc525122040"/>
      <w:r w:rsidRPr="00E1533F">
        <w:rPr>
          <w:rFonts w:eastAsia="Calibri"/>
        </w:rPr>
        <w:t>Bizlinks</w:t>
      </w:r>
      <w:bookmarkEnd w:id="431"/>
    </w:p>
    <w:p w14:paraId="704BB912" w14:textId="1E48B2D6" w:rsidR="008643A2" w:rsidRDefault="002E4C53" w:rsidP="008643A2">
      <w:pPr>
        <w:rPr>
          <w:rFonts w:eastAsia="Calibri"/>
        </w:rPr>
      </w:pPr>
      <w:r>
        <w:rPr>
          <w:rFonts w:eastAsia="Calibri"/>
        </w:rPr>
        <w:t xml:space="preserve">BizLinks events are hosted </w:t>
      </w:r>
      <w:r w:rsidRPr="00DB40BF">
        <w:rPr>
          <w:rFonts w:eastAsia="Calibri"/>
        </w:rPr>
        <w:t xml:space="preserve">by the Small Business Development Corporation and </w:t>
      </w:r>
      <w:r>
        <w:rPr>
          <w:rFonts w:eastAsia="Calibri"/>
        </w:rPr>
        <w:t xml:space="preserve">provide WorkCover WA the opportunity to educate small business owners about their workers’ compensation and injury management obligations. In 2017/18, WorkCover WA presented at BizLinks </w:t>
      </w:r>
      <w:r w:rsidRPr="001A5646">
        <w:rPr>
          <w:rFonts w:eastAsia="Calibri"/>
        </w:rPr>
        <w:t xml:space="preserve">seminars in </w:t>
      </w:r>
      <w:r w:rsidR="002B2CF4" w:rsidRPr="001A5646">
        <w:rPr>
          <w:rFonts w:eastAsia="Calibri"/>
        </w:rPr>
        <w:t>Perth and Bunbury</w:t>
      </w:r>
      <w:r w:rsidRPr="001A5646">
        <w:rPr>
          <w:rFonts w:eastAsia="Calibri"/>
        </w:rPr>
        <w:t>.</w:t>
      </w:r>
    </w:p>
    <w:p w14:paraId="7BAF9D3F" w14:textId="66018A1D" w:rsidR="002E4C53" w:rsidRPr="002E4C53" w:rsidRDefault="002E4C53" w:rsidP="008643A2">
      <w:pPr>
        <w:rPr>
          <w:rFonts w:eastAsia="Calibri"/>
        </w:rPr>
      </w:pPr>
      <w:r>
        <w:rPr>
          <w:rFonts w:eastAsia="Calibri"/>
        </w:rPr>
        <w:t xml:space="preserve">Each free BizLinks seminar </w:t>
      </w:r>
      <w:r w:rsidRPr="001A5646">
        <w:rPr>
          <w:rFonts w:eastAsia="Calibri"/>
        </w:rPr>
        <w:t xml:space="preserve">involves 9-10 government agencies presenting to 50-60 attendees. Involvement in the seminars has proved successful with a number of attendees indicating their knowledge of workers’ compensation significantly </w:t>
      </w:r>
      <w:r>
        <w:rPr>
          <w:rFonts w:eastAsia="Calibri"/>
        </w:rPr>
        <w:t>increased after the event.</w:t>
      </w:r>
    </w:p>
    <w:p w14:paraId="1BE81AC8" w14:textId="09858FBF" w:rsidR="00ED1818" w:rsidRPr="00E1533F" w:rsidRDefault="00ED1818" w:rsidP="00ED1818">
      <w:pPr>
        <w:pStyle w:val="Heading3nonumber"/>
        <w:rPr>
          <w:rFonts w:eastAsia="Calibri"/>
        </w:rPr>
      </w:pPr>
      <w:bookmarkStart w:id="432" w:name="_Toc525122041"/>
      <w:r>
        <w:rPr>
          <w:rFonts w:eastAsia="Calibri"/>
        </w:rPr>
        <w:t>Edith Cowan University</w:t>
      </w:r>
      <w:bookmarkEnd w:id="432"/>
    </w:p>
    <w:p w14:paraId="295602D5" w14:textId="78E8C6B2" w:rsidR="008E7ADF" w:rsidRPr="009236FA" w:rsidRDefault="008E7ADF" w:rsidP="008E7ADF">
      <w:r>
        <w:t xml:space="preserve">In 2017/18, WorkCover WA presented to third year Occupational Therapy, third year Occupational Safety and Health, and postgraduate </w:t>
      </w:r>
      <w:r w:rsidR="00B82B50">
        <w:t>Human Resources</w:t>
      </w:r>
      <w:r>
        <w:t xml:space="preserve"> students at Edith Cowan University. The presentations focused on workers’ compensation, the role of rehabilitation providers in the workers’ compensation and injury management scheme, and the importance of an effective return to work. Information provided to students formed the basis of either an assignment or examination question. Feedback indicated the presentations were well received and useful to students’ studies. </w:t>
      </w:r>
    </w:p>
    <w:p w14:paraId="79729AFE" w14:textId="240AC0F1" w:rsidR="00E23722" w:rsidRDefault="008F1E81" w:rsidP="00F12BC1">
      <w:pPr>
        <w:pStyle w:val="Heading2nonumber"/>
      </w:pPr>
      <w:bookmarkStart w:id="433" w:name="_Toc525122042"/>
      <w:r>
        <w:t xml:space="preserve">External </w:t>
      </w:r>
      <w:r w:rsidR="00FA7BF4">
        <w:t>exhibitions</w:t>
      </w:r>
      <w:bookmarkEnd w:id="433"/>
      <w:r w:rsidR="00913426">
        <w:t xml:space="preserve"> </w:t>
      </w:r>
    </w:p>
    <w:p w14:paraId="52ACFAE9" w14:textId="2E5A072E" w:rsidR="005D5B00" w:rsidRDefault="00FA7BF4" w:rsidP="00F12BC1">
      <w:pPr>
        <w:pStyle w:val="Heading3nonumber"/>
        <w:rPr>
          <w:rFonts w:eastAsia="Calibri"/>
        </w:rPr>
      </w:pPr>
      <w:bookmarkStart w:id="434" w:name="_Toc525122043"/>
      <w:bookmarkStart w:id="435" w:name="_Toc399316988"/>
      <w:bookmarkStart w:id="436" w:name="_Toc426617523"/>
      <w:bookmarkStart w:id="437" w:name="_Toc450900744"/>
      <w:r>
        <w:rPr>
          <w:rFonts w:eastAsia="Calibri"/>
        </w:rPr>
        <w:t>NIFNEX Small Business Expo</w:t>
      </w:r>
      <w:bookmarkEnd w:id="434"/>
    </w:p>
    <w:p w14:paraId="200E0B6C" w14:textId="4D362D20" w:rsidR="00514C34" w:rsidRPr="00711CD6" w:rsidRDefault="00514C34" w:rsidP="00514C34">
      <w:pPr>
        <w:rPr>
          <w:rFonts w:eastAsia="Calibri"/>
        </w:rPr>
      </w:pPr>
      <w:r w:rsidRPr="00711CD6">
        <w:rPr>
          <w:rFonts w:eastAsia="Calibri"/>
        </w:rPr>
        <w:t xml:space="preserve">WorkCover WA exhibited at the NIFNEX Small Business Expo on 5 May 2018. </w:t>
      </w:r>
      <w:r w:rsidRPr="00C168B7">
        <w:rPr>
          <w:rFonts w:eastAsia="Calibri"/>
        </w:rPr>
        <w:t xml:space="preserve">The majority of enquiries were in relation to workers’ compensation insurance, employer obligations and contracting arrangements. </w:t>
      </w:r>
    </w:p>
    <w:p w14:paraId="0060FA37" w14:textId="7F5BA043" w:rsidR="00B3021F" w:rsidRDefault="00B3021F" w:rsidP="005D5B00">
      <w:pPr>
        <w:rPr>
          <w:rFonts w:eastAsia="Calibri"/>
        </w:rPr>
      </w:pPr>
      <w:r>
        <w:rPr>
          <w:rFonts w:eastAsia="Calibri"/>
        </w:rPr>
        <w:t>WorkCover WA also exhibited at the NIFNEX</w:t>
      </w:r>
      <w:r w:rsidR="00081DEE">
        <w:rPr>
          <w:rFonts w:eastAsia="Calibri"/>
        </w:rPr>
        <w:t xml:space="preserve"> Business Essentials Expo on 15 </w:t>
      </w:r>
      <w:r>
        <w:rPr>
          <w:rFonts w:eastAsia="Calibri"/>
        </w:rPr>
        <w:t xml:space="preserve">September 2017. </w:t>
      </w:r>
      <w:r w:rsidR="00A041E9">
        <w:rPr>
          <w:rFonts w:eastAsia="Calibri"/>
        </w:rPr>
        <w:t>The m</w:t>
      </w:r>
      <w:r>
        <w:rPr>
          <w:rFonts w:eastAsia="Calibri"/>
        </w:rPr>
        <w:t xml:space="preserve">ajority of </w:t>
      </w:r>
      <w:r w:rsidR="00A041E9">
        <w:rPr>
          <w:rFonts w:eastAsia="Calibri"/>
        </w:rPr>
        <w:t>enquiries</w:t>
      </w:r>
      <w:r>
        <w:rPr>
          <w:rFonts w:eastAsia="Calibri"/>
        </w:rPr>
        <w:t xml:space="preserve"> focused on contractors and </w:t>
      </w:r>
      <w:r w:rsidR="00A041E9">
        <w:rPr>
          <w:rFonts w:eastAsia="Calibri"/>
        </w:rPr>
        <w:br/>
      </w:r>
      <w:r>
        <w:rPr>
          <w:rFonts w:eastAsia="Calibri"/>
        </w:rPr>
        <w:t>sub-contractors, and general information about workers’ compensation.</w:t>
      </w:r>
    </w:p>
    <w:p w14:paraId="3BF778FD" w14:textId="37A3EA8E" w:rsidR="0085350D" w:rsidRPr="0085350D" w:rsidRDefault="00081DEE" w:rsidP="005D5B00">
      <w:pPr>
        <w:rPr>
          <w:rFonts w:eastAsia="Calibri"/>
        </w:rPr>
      </w:pPr>
      <w:r>
        <w:rPr>
          <w:rFonts w:eastAsia="Calibri"/>
        </w:rPr>
        <w:t>Exhibiting at the expos enabled WorkCover WA to engage with the small business community and ensure small business owners were aware of their obligation to insure all workers for workers’ compensation.</w:t>
      </w:r>
    </w:p>
    <w:p w14:paraId="129A5298" w14:textId="5BB35D6E" w:rsidR="00266CD7" w:rsidRDefault="00FA7BF4" w:rsidP="00F12BC1">
      <w:pPr>
        <w:pStyle w:val="Heading3nonumber"/>
        <w:rPr>
          <w:rFonts w:eastAsia="Calibri"/>
        </w:rPr>
      </w:pPr>
      <w:bookmarkStart w:id="438" w:name="_Toc525122044"/>
      <w:r>
        <w:rPr>
          <w:rFonts w:eastAsia="Calibri"/>
        </w:rPr>
        <w:t>Perth Franchising Expo</w:t>
      </w:r>
      <w:bookmarkEnd w:id="438"/>
    </w:p>
    <w:p w14:paraId="3C87308E" w14:textId="1C9AE2B4" w:rsidR="00E6117B" w:rsidRDefault="00E6117B" w:rsidP="00E6117B">
      <w:pPr>
        <w:rPr>
          <w:rFonts w:eastAsia="Calibri"/>
        </w:rPr>
      </w:pPr>
      <w:r>
        <w:rPr>
          <w:rFonts w:eastAsia="Calibri"/>
        </w:rPr>
        <w:t xml:space="preserve">WorkCover WA exhibited at the Perth Franchising Expo at Crown Perth on 6 May 2018. Over 1,000 people visited the Expo and WorkCover WA staff also made contact with the 50 other exhibitors present. </w:t>
      </w:r>
      <w:r w:rsidR="00A041E9">
        <w:rPr>
          <w:rFonts w:eastAsia="Calibri"/>
        </w:rPr>
        <w:t>Attending</w:t>
      </w:r>
      <w:r>
        <w:rPr>
          <w:rFonts w:eastAsia="Calibri"/>
        </w:rPr>
        <w:t xml:space="preserve"> staff were kept busy </w:t>
      </w:r>
      <w:r w:rsidR="00A041E9">
        <w:rPr>
          <w:rFonts w:eastAsia="Calibri"/>
        </w:rPr>
        <w:t xml:space="preserve">providing information, </w:t>
      </w:r>
      <w:r>
        <w:rPr>
          <w:rFonts w:eastAsia="Calibri"/>
        </w:rPr>
        <w:t>handing out publications and responding to queries</w:t>
      </w:r>
      <w:r w:rsidR="0060712C">
        <w:rPr>
          <w:rFonts w:eastAsia="Calibri"/>
        </w:rPr>
        <w:t>. T</w:t>
      </w:r>
      <w:r>
        <w:rPr>
          <w:rFonts w:eastAsia="Calibri"/>
        </w:rPr>
        <w:t xml:space="preserve">he majority </w:t>
      </w:r>
      <w:r w:rsidR="0060712C">
        <w:rPr>
          <w:rFonts w:eastAsia="Calibri"/>
        </w:rPr>
        <w:t>of queries came</w:t>
      </w:r>
      <w:r>
        <w:rPr>
          <w:rFonts w:eastAsia="Calibri"/>
        </w:rPr>
        <w:t xml:space="preserve"> from potential and current business owners about better understanding their legal requirements and knowing when they needed to take out workers’ compensation insurance. </w:t>
      </w:r>
    </w:p>
    <w:p w14:paraId="6446882E" w14:textId="52DF7591" w:rsidR="00266CD7" w:rsidRDefault="00FA7BF4" w:rsidP="00F12BC1">
      <w:pPr>
        <w:pStyle w:val="Heading3nonumber"/>
        <w:rPr>
          <w:rFonts w:eastAsia="Calibri"/>
        </w:rPr>
      </w:pPr>
      <w:bookmarkStart w:id="439" w:name="_Toc525122045"/>
      <w:r>
        <w:rPr>
          <w:rFonts w:eastAsia="Calibri"/>
        </w:rPr>
        <w:t>Perth Tradies Expo</w:t>
      </w:r>
      <w:bookmarkEnd w:id="439"/>
    </w:p>
    <w:p w14:paraId="55CB201F" w14:textId="77777777" w:rsidR="00F12491" w:rsidRPr="004A558B" w:rsidRDefault="00F12491" w:rsidP="00F12491">
      <w:bookmarkStart w:id="440" w:name="_Toc399316994"/>
      <w:bookmarkStart w:id="441" w:name="_Toc426617528"/>
      <w:bookmarkStart w:id="442" w:name="_Toc450900747"/>
      <w:bookmarkEnd w:id="435"/>
      <w:bookmarkEnd w:id="436"/>
      <w:bookmarkEnd w:id="437"/>
      <w:r w:rsidRPr="00711CD6">
        <w:t xml:space="preserve">WorkCover WA exhibited at the Perth Tradies Expo at Ascot Racecourse from 22 to 24 June 2018. This event provided WorkCover WA staff with the opportunity to liaise with tradespeople about their obligations, in particular regarding contracting and </w:t>
      </w:r>
      <w:r w:rsidRPr="00711CD6">
        <w:br/>
      </w:r>
      <w:r w:rsidRPr="004A558B">
        <w:t>sub-contracting arrangements.</w:t>
      </w:r>
    </w:p>
    <w:p w14:paraId="6C9C3161" w14:textId="7CF7D4E0" w:rsidR="00F12491" w:rsidRPr="004A558B" w:rsidRDefault="00F12491" w:rsidP="00F12491">
      <w:r w:rsidRPr="004A558B">
        <w:t>Approximately 8,000 people attended the three day event. Staff answered question</w:t>
      </w:r>
      <w:r w:rsidR="004279BE">
        <w:t>s from attendees about covering workers for</w:t>
      </w:r>
      <w:r w:rsidRPr="004A558B">
        <w:t xml:space="preserve"> workers’ compensation insurance and contracting arrangements.</w:t>
      </w:r>
    </w:p>
    <w:p w14:paraId="3F1F5A90" w14:textId="3FC8461E" w:rsidR="00F12491" w:rsidRPr="004A558B" w:rsidRDefault="00F12491" w:rsidP="00F12491">
      <w:pPr>
        <w:rPr>
          <w:rFonts w:eastAsia="Calibri"/>
          <w:color w:val="FF0000"/>
        </w:rPr>
      </w:pPr>
      <w:r w:rsidRPr="00711CD6">
        <w:rPr>
          <w:rFonts w:eastAsia="Calibri"/>
        </w:rPr>
        <w:t xml:space="preserve">The </w:t>
      </w:r>
      <w:r w:rsidR="00516777">
        <w:rPr>
          <w:rFonts w:eastAsia="Calibri"/>
        </w:rPr>
        <w:t>exhibition</w:t>
      </w:r>
      <w:r w:rsidRPr="00711CD6">
        <w:rPr>
          <w:rFonts w:eastAsia="Calibri"/>
        </w:rPr>
        <w:t xml:space="preserve"> coincided with WorkCover WA’s Residential Construction Industry Campaign. More </w:t>
      </w:r>
      <w:r w:rsidRPr="005B6DC0">
        <w:rPr>
          <w:rFonts w:eastAsia="Calibri"/>
        </w:rPr>
        <w:t xml:space="preserve">information about the campaign is available under Case Study 2: Industry campaigns on </w:t>
      </w:r>
      <w:r w:rsidRPr="00E47B67">
        <w:rPr>
          <w:rFonts w:eastAsia="Calibri"/>
        </w:rPr>
        <w:t xml:space="preserve">page </w:t>
      </w:r>
      <w:r w:rsidR="00E47B67" w:rsidRPr="00E47B67">
        <w:rPr>
          <w:rFonts w:eastAsia="Calibri"/>
        </w:rPr>
        <w:t>75</w:t>
      </w:r>
      <w:r w:rsidRPr="00711CD6">
        <w:rPr>
          <w:rFonts w:eastAsia="Calibri"/>
        </w:rPr>
        <w:t>.</w:t>
      </w:r>
    </w:p>
    <w:p w14:paraId="66AF9F48" w14:textId="606E20BD" w:rsidR="006B7073" w:rsidRPr="004730F5" w:rsidRDefault="006B7073" w:rsidP="004730F5">
      <w:pPr>
        <w:pStyle w:val="Heading1nonumber"/>
      </w:pPr>
      <w:bookmarkStart w:id="443" w:name="_Toc525122046"/>
      <w:r w:rsidRPr="00AF6FC5">
        <w:t>Collaboration</w:t>
      </w:r>
      <w:bookmarkEnd w:id="440"/>
      <w:bookmarkEnd w:id="441"/>
      <w:bookmarkEnd w:id="442"/>
      <w:bookmarkEnd w:id="443"/>
    </w:p>
    <w:p w14:paraId="11FBA59E" w14:textId="4621888D" w:rsidR="00263AB7" w:rsidRDefault="00FE7C2A" w:rsidP="00263AB7">
      <w:r>
        <w:t>WorkCover WA</w:t>
      </w:r>
      <w:r w:rsidR="00CF29B0">
        <w:t xml:space="preserve"> collaborates with </w:t>
      </w:r>
      <w:r w:rsidR="000A1939">
        <w:t>external parties</w:t>
      </w:r>
      <w:r w:rsidR="00CF29B0">
        <w:t xml:space="preserve"> </w:t>
      </w:r>
      <w:r w:rsidR="000A1939">
        <w:t>who</w:t>
      </w:r>
      <w:r w:rsidR="00CF29B0">
        <w:t xml:space="preserve"> contribute to the effective management of the </w:t>
      </w:r>
      <w:r w:rsidR="00F67A93">
        <w:t>WA</w:t>
      </w:r>
      <w:r w:rsidR="00CF29B0">
        <w:t xml:space="preserve"> scheme. </w:t>
      </w:r>
      <w:r w:rsidR="00C928CB">
        <w:t xml:space="preserve">This </w:t>
      </w:r>
      <w:r w:rsidR="00CF29B0">
        <w:t xml:space="preserve">collaboration is aimed at ensuring ongoing improvement of </w:t>
      </w:r>
      <w:r w:rsidR="000A1939">
        <w:t xml:space="preserve">State and National </w:t>
      </w:r>
      <w:r w:rsidR="00CF29B0">
        <w:t>workers’ compensation outcomes.</w:t>
      </w:r>
    </w:p>
    <w:p w14:paraId="22B20848" w14:textId="77777777" w:rsidR="00D24893" w:rsidRPr="00D24893" w:rsidRDefault="00D24893" w:rsidP="00D4406D">
      <w:pPr>
        <w:pStyle w:val="Heading2nonumber"/>
      </w:pPr>
      <w:bookmarkStart w:id="444" w:name="_Toc450900748"/>
      <w:bookmarkStart w:id="445" w:name="_Toc525122047"/>
      <w:r w:rsidRPr="00AF6FC5">
        <w:t>National collaboration</w:t>
      </w:r>
      <w:bookmarkEnd w:id="444"/>
      <w:bookmarkEnd w:id="445"/>
    </w:p>
    <w:p w14:paraId="38943846" w14:textId="3F369A4C" w:rsidR="004A7F08" w:rsidRDefault="004A7F08" w:rsidP="004A7F08">
      <w:pPr>
        <w:pStyle w:val="Heading3nonumber"/>
      </w:pPr>
      <w:bookmarkStart w:id="446" w:name="_Toc450900750"/>
      <w:bookmarkStart w:id="447" w:name="_Toc525122048"/>
      <w:r w:rsidRPr="008429C2">
        <w:t>Heads of Workers</w:t>
      </w:r>
      <w:r w:rsidR="009F1C9D">
        <w:t>’</w:t>
      </w:r>
      <w:r w:rsidRPr="008429C2">
        <w:t xml:space="preserve"> Compensation Authorities</w:t>
      </w:r>
      <w:bookmarkEnd w:id="446"/>
      <w:bookmarkEnd w:id="447"/>
    </w:p>
    <w:p w14:paraId="59E67633" w14:textId="19FBE846" w:rsidR="009B2B48" w:rsidRPr="0080018B" w:rsidRDefault="009B2B48" w:rsidP="009B2B48">
      <w:bookmarkStart w:id="448" w:name="_Toc426617530"/>
      <w:bookmarkStart w:id="449" w:name="_Toc450900749"/>
      <w:bookmarkStart w:id="450" w:name="_Toc399316998"/>
      <w:bookmarkStart w:id="451" w:name="_Toc426617532"/>
      <w:bookmarkStart w:id="452" w:name="_Toc450900751"/>
      <w:bookmarkStart w:id="453" w:name="_Toc399316997"/>
      <w:r>
        <w:t>On 31 December 2017,</w:t>
      </w:r>
      <w:r w:rsidRPr="0080018B">
        <w:t xml:space="preserve"> </w:t>
      </w:r>
      <w:r w:rsidRPr="00DB32FC">
        <w:t xml:space="preserve">WorkCover WA </w:t>
      </w:r>
      <w:r w:rsidR="003F0243">
        <w:t xml:space="preserve">successfully </w:t>
      </w:r>
      <w:r>
        <w:t>completed its two-year term as</w:t>
      </w:r>
      <w:r w:rsidRPr="00DB32FC">
        <w:t xml:space="preserve"> chair of </w:t>
      </w:r>
      <w:r w:rsidRPr="00DB40BF">
        <w:t xml:space="preserve">the Heads of Workers’ Compensation Authorities (HWCA). HWCA comprises the Chief Executives (or their representatives) of the peak </w:t>
      </w:r>
      <w:r w:rsidRPr="00DB32FC">
        <w:t xml:space="preserve">bodies responsible </w:t>
      </w:r>
      <w:r w:rsidRPr="0080018B">
        <w:t>for the regulation of workers’ co</w:t>
      </w:r>
      <w:r w:rsidR="007556AC">
        <w:t>mpensation in Australia and New </w:t>
      </w:r>
      <w:r w:rsidRPr="0080018B">
        <w:t>Zealand. This includes Australia's 10 workers' compensation authorities and the New Zealand Accident Compensation Corporation.</w:t>
      </w:r>
    </w:p>
    <w:p w14:paraId="79515A57" w14:textId="499B11C0" w:rsidR="009B2B48" w:rsidRPr="0080018B" w:rsidRDefault="009B2B48" w:rsidP="009B2B48">
      <w:r w:rsidRPr="0080018B">
        <w:t>HWCA’s vision is to promote and implement best practice in workers’ compensation arrangements in Australia and New Zealand in the areas of policy and legislative matters, regulation and scheme administration. HWCA also liaises with Safe Work Australia on workers’ compensation matters.</w:t>
      </w:r>
    </w:p>
    <w:p w14:paraId="4103B750" w14:textId="4CF6E0D8" w:rsidR="009B2B48" w:rsidRDefault="009B2B48" w:rsidP="009B2B48">
      <w:pPr>
        <w:rPr>
          <w:b/>
          <w:bCs/>
        </w:rPr>
      </w:pPr>
      <w:r w:rsidRPr="0080018B">
        <w:t>As chair of HWCA, WorkCover WA provide</w:t>
      </w:r>
      <w:r w:rsidR="007556AC">
        <w:t>d</w:t>
      </w:r>
      <w:r w:rsidRPr="0080018B">
        <w:t xml:space="preserve"> executive and policy level support for meetings and national projects.</w:t>
      </w:r>
      <w:r>
        <w:t xml:space="preserve"> On 1 January 2018, Comcare assumed responsibility for chairing HWCA.</w:t>
      </w:r>
      <w:r w:rsidRPr="0080018B">
        <w:t xml:space="preserve"> WorkCover WA maintain</w:t>
      </w:r>
      <w:r>
        <w:t>s</w:t>
      </w:r>
      <w:r w:rsidRPr="0080018B">
        <w:t xml:space="preserve"> an active role in driving a strategic policy agenda </w:t>
      </w:r>
      <w:r w:rsidR="00B106FA">
        <w:t>at a national level</w:t>
      </w:r>
      <w:r w:rsidRPr="0080018B">
        <w:t>.</w:t>
      </w:r>
    </w:p>
    <w:p w14:paraId="4791B9E2" w14:textId="0347C54E" w:rsidR="00F15555" w:rsidRDefault="00F15555" w:rsidP="0080018B">
      <w:pPr>
        <w:pStyle w:val="Heading3nonumber"/>
      </w:pPr>
      <w:bookmarkStart w:id="454" w:name="_Toc525122049"/>
      <w:r>
        <w:t>Strategic Issues Group – Workers’ Compensation</w:t>
      </w:r>
      <w:bookmarkEnd w:id="448"/>
      <w:bookmarkEnd w:id="449"/>
      <w:bookmarkEnd w:id="454"/>
    </w:p>
    <w:p w14:paraId="755DE3D4" w14:textId="77777777" w:rsidR="009B2B48" w:rsidRDefault="009B2B48" w:rsidP="009B2B48">
      <w:r w:rsidRPr="0080018B">
        <w:t>WorkCover </w:t>
      </w:r>
      <w:r w:rsidRPr="00DB40BF">
        <w:t>WA’s Chief Executive Officer (CEO) is WA’s representative on the Safe Work Australia Strategic Issues Group – Workers’ Compensation (SIG</w:t>
      </w:r>
      <w:r w:rsidRPr="00DB40BF">
        <w:noBreakHyphen/>
        <w:t xml:space="preserve">WC). </w:t>
      </w:r>
      <w:r w:rsidRPr="00DB40BF">
        <w:br/>
        <w:t xml:space="preserve">SIG-WC is a forum for workers’ compensation authorities and social partners to discuss national policy issues. SIG-WC has a strategic focus and develops initiatives to improve workers’ compensation arrangements across </w:t>
      </w:r>
      <w:r w:rsidRPr="0080018B">
        <w:t xml:space="preserve">Australia. </w:t>
      </w:r>
    </w:p>
    <w:p w14:paraId="2DFA3C5F" w14:textId="101AE07F" w:rsidR="009B2B48" w:rsidRDefault="009B2B48" w:rsidP="009B2B48">
      <w:r>
        <w:t>Some of the key activities progressed in 2017/18 by SIG-WC include:</w:t>
      </w:r>
    </w:p>
    <w:p w14:paraId="3759FD4A" w14:textId="11C151F1" w:rsidR="009B2B48" w:rsidRPr="00C75E5D" w:rsidRDefault="009B2B48" w:rsidP="009B2B48">
      <w:pPr>
        <w:pStyle w:val="BulletListLevel1"/>
        <w:rPr>
          <w:rFonts w:eastAsiaTheme="minorHAnsi"/>
          <w:i/>
        </w:rPr>
      </w:pPr>
      <w:r w:rsidRPr="006A7EE5">
        <w:rPr>
          <w:rFonts w:eastAsiaTheme="minorHAnsi"/>
        </w:rPr>
        <w:t>implement</w:t>
      </w:r>
      <w:r w:rsidR="00C75E5D">
        <w:rPr>
          <w:rFonts w:eastAsiaTheme="minorHAnsi"/>
        </w:rPr>
        <w:t>ing</w:t>
      </w:r>
      <w:r w:rsidRPr="006A7EE5">
        <w:rPr>
          <w:rFonts w:eastAsiaTheme="minorHAnsi"/>
        </w:rPr>
        <w:t xml:space="preserve"> </w:t>
      </w:r>
      <w:r w:rsidRPr="00C75E5D">
        <w:rPr>
          <w:rFonts w:eastAsiaTheme="minorHAnsi"/>
          <w:i/>
        </w:rPr>
        <w:t>Taking Action: A Best Practice Framework for the Management of Psychological Claims for the Australian Workers’ Compensation Sector</w:t>
      </w:r>
    </w:p>
    <w:p w14:paraId="1256CA84" w14:textId="0337C619" w:rsidR="009B2B48" w:rsidRPr="006A7EE5" w:rsidRDefault="00C75E5D" w:rsidP="009B2B48">
      <w:pPr>
        <w:pStyle w:val="BulletListLevel1"/>
        <w:rPr>
          <w:rFonts w:eastAsiaTheme="minorHAnsi"/>
        </w:rPr>
      </w:pPr>
      <w:r>
        <w:rPr>
          <w:rFonts w:eastAsiaTheme="minorHAnsi"/>
        </w:rPr>
        <w:t xml:space="preserve">publishing </w:t>
      </w:r>
      <w:r w:rsidR="009B2B48" w:rsidRPr="006A7EE5">
        <w:rPr>
          <w:rFonts w:eastAsiaTheme="minorHAnsi"/>
        </w:rPr>
        <w:t>fact sheets regarding return to work experiences and outcomes of employees with psychological injury claims.</w:t>
      </w:r>
    </w:p>
    <w:p w14:paraId="73EAC1D4" w14:textId="4E9EE7B5" w:rsidR="009B2B48" w:rsidRPr="0080018B" w:rsidRDefault="00C75E5D" w:rsidP="009B2B48">
      <w:pPr>
        <w:pStyle w:val="BulletListLevel1"/>
      </w:pPr>
      <w:r>
        <w:rPr>
          <w:rFonts w:eastAsiaTheme="minorHAnsi"/>
        </w:rPr>
        <w:t>publishing</w:t>
      </w:r>
      <w:r w:rsidR="009B2B48" w:rsidRPr="006A7EE5">
        <w:rPr>
          <w:rFonts w:eastAsiaTheme="minorHAnsi"/>
        </w:rPr>
        <w:t xml:space="preserve"> key benchmark reports including the </w:t>
      </w:r>
      <w:r w:rsidR="009B2B48" w:rsidRPr="00C75E5D">
        <w:rPr>
          <w:rFonts w:eastAsiaTheme="minorHAnsi"/>
          <w:i/>
        </w:rPr>
        <w:t>Comparative Performance Monitoring Report</w:t>
      </w:r>
      <w:r w:rsidR="009B2B48" w:rsidRPr="006A7EE5">
        <w:rPr>
          <w:rFonts w:eastAsiaTheme="minorHAnsi"/>
        </w:rPr>
        <w:t xml:space="preserve"> and the 25th edition of the </w:t>
      </w:r>
      <w:r w:rsidR="009B2B48" w:rsidRPr="00C75E5D">
        <w:rPr>
          <w:rFonts w:eastAsiaTheme="minorHAnsi"/>
          <w:i/>
        </w:rPr>
        <w:t>Comparison of Workers’ Compensation Arrangements in Australia and New Zealand</w:t>
      </w:r>
      <w:r w:rsidR="009B2B48" w:rsidRPr="006A7EE5">
        <w:rPr>
          <w:rFonts w:eastAsiaTheme="minorHAnsi"/>
        </w:rPr>
        <w:t>.</w:t>
      </w:r>
    </w:p>
    <w:p w14:paraId="023F4C99" w14:textId="77777777" w:rsidR="0086154B" w:rsidRPr="008429C2" w:rsidRDefault="0086154B" w:rsidP="00D4406D">
      <w:pPr>
        <w:pStyle w:val="Heading3nonumber"/>
      </w:pPr>
      <w:bookmarkStart w:id="455" w:name="_Toc525122050"/>
      <w:r w:rsidRPr="008429C2">
        <w:t>Personal Injury Education Foundation</w:t>
      </w:r>
      <w:bookmarkEnd w:id="450"/>
      <w:bookmarkEnd w:id="451"/>
      <w:bookmarkEnd w:id="452"/>
      <w:bookmarkEnd w:id="455"/>
    </w:p>
    <w:p w14:paraId="3ED45370" w14:textId="4FEA7E11" w:rsidR="008F569E" w:rsidRPr="00F35E19" w:rsidRDefault="009E0BA5" w:rsidP="009E0BA5">
      <w:bookmarkStart w:id="456" w:name="_Toc450900752"/>
      <w:bookmarkStart w:id="457" w:name="_Toc399316995"/>
      <w:r w:rsidRPr="006A7EE5">
        <w:t xml:space="preserve">WorkCover WA is a member of the Personal Injury Education Foundation </w:t>
      </w:r>
      <w:r w:rsidR="00E47B67">
        <w:br/>
      </w:r>
      <w:r w:rsidRPr="006A7EE5">
        <w:t>(PIEF, www.pief.com.au) and continued to support programs developed by PIEF in 2017/18</w:t>
      </w:r>
      <w:r w:rsidR="00C75E5D">
        <w:t>, including the</w:t>
      </w:r>
      <w:r w:rsidRPr="006A7EE5">
        <w:t xml:space="preserve"> </w:t>
      </w:r>
      <w:r w:rsidRPr="00124084">
        <w:rPr>
          <w:i/>
        </w:rPr>
        <w:t>Principles of Personal Injury Scheme Design and Evaluation</w:t>
      </w:r>
      <w:r w:rsidRPr="006A7EE5">
        <w:t>.</w:t>
      </w:r>
    </w:p>
    <w:p w14:paraId="1D7F9EDF" w14:textId="77777777" w:rsidR="001C3824" w:rsidRDefault="001C3824" w:rsidP="001C3824">
      <w:pPr>
        <w:pStyle w:val="Heading3nonumber"/>
      </w:pPr>
      <w:bookmarkStart w:id="458" w:name="_Toc525122051"/>
      <w:r>
        <w:t>Australian Taxation Office</w:t>
      </w:r>
      <w:bookmarkEnd w:id="458"/>
    </w:p>
    <w:p w14:paraId="43FE94AC" w14:textId="77777777" w:rsidR="001C3824" w:rsidRPr="0053404A" w:rsidRDefault="001C3824" w:rsidP="001C3824">
      <w:r>
        <w:t xml:space="preserve">WorkCover WA has continued to work </w:t>
      </w:r>
      <w:r w:rsidRPr="00DB40BF">
        <w:t xml:space="preserve">with the Australian Taxation Office (ATO) in </w:t>
      </w:r>
      <w:r>
        <w:t>2017/18 to identify potential employer compliance breaches. The ATO data is an invaluable source of information for proactive campaigns and WorkCover WA will continue to work with the ATO to optimise the use of data in regulatory activities.</w:t>
      </w:r>
    </w:p>
    <w:p w14:paraId="747E7111" w14:textId="77777777" w:rsidR="00D24893" w:rsidRDefault="00D24893" w:rsidP="00D4406D">
      <w:pPr>
        <w:pStyle w:val="Heading2nonumber"/>
      </w:pPr>
      <w:bookmarkStart w:id="459" w:name="_Toc525122052"/>
      <w:r w:rsidRPr="008429C2">
        <w:t>State collaboration</w:t>
      </w:r>
      <w:bookmarkEnd w:id="456"/>
      <w:bookmarkEnd w:id="459"/>
      <w:r>
        <w:t xml:space="preserve"> </w:t>
      </w:r>
    </w:p>
    <w:p w14:paraId="2D9FBC2D" w14:textId="77777777" w:rsidR="00AE36B9" w:rsidRPr="00BB7139" w:rsidRDefault="00AE36B9" w:rsidP="00AE36B9">
      <w:pPr>
        <w:pStyle w:val="Heading3nonumber"/>
      </w:pPr>
      <w:bookmarkStart w:id="460" w:name="_Toc525122053"/>
      <w:bookmarkStart w:id="461" w:name="_Toc426617533"/>
      <w:bookmarkStart w:id="462" w:name="_Toc450900753"/>
      <w:r w:rsidRPr="008D0A0E">
        <w:t xml:space="preserve">Commission </w:t>
      </w:r>
      <w:r w:rsidRPr="00BB7139">
        <w:t>for Occupational Safety and Health</w:t>
      </w:r>
      <w:bookmarkEnd w:id="460"/>
    </w:p>
    <w:p w14:paraId="5B3896CB" w14:textId="52C78863" w:rsidR="00AE36B9" w:rsidRPr="00F35E19" w:rsidRDefault="002D51F8" w:rsidP="002D51F8">
      <w:r>
        <w:t xml:space="preserve">The WorkCover WA CEO attends meetings of the Commission for Occupational Safety and Health. The Commission consists of representatives from employers, employees, government and people with expertise and knowledge in occupational safety and health matters. WorkCover WA </w:t>
      </w:r>
      <w:r w:rsidR="00665C33">
        <w:t xml:space="preserve">also </w:t>
      </w:r>
      <w:r>
        <w:t>provides ongoing support to the Commission’s objectives in the form of statistical data about work-related injury and disease.</w:t>
      </w:r>
    </w:p>
    <w:p w14:paraId="11956368" w14:textId="77777777" w:rsidR="00ED1818" w:rsidRPr="00E1533F" w:rsidRDefault="00ED1818" w:rsidP="00ED1818">
      <w:pPr>
        <w:pStyle w:val="Heading3nonumber"/>
        <w:rPr>
          <w:rFonts w:eastAsia="Calibri"/>
        </w:rPr>
      </w:pPr>
      <w:bookmarkStart w:id="463" w:name="_Toc525122054"/>
      <w:r>
        <w:rPr>
          <w:rFonts w:eastAsia="Calibri"/>
        </w:rPr>
        <w:t>Edith Cowan University</w:t>
      </w:r>
      <w:bookmarkEnd w:id="463"/>
    </w:p>
    <w:p w14:paraId="331DDC68" w14:textId="13FF7304" w:rsidR="002D51F8" w:rsidRDefault="002118A8" w:rsidP="00ED1818">
      <w:pPr>
        <w:rPr>
          <w:rFonts w:eastAsia="Calibri"/>
          <w:color w:val="FF0000"/>
        </w:rPr>
      </w:pPr>
      <w:r>
        <w:rPr>
          <w:rFonts w:eastAsia="Calibri"/>
        </w:rPr>
        <w:t>Wor</w:t>
      </w:r>
      <w:r w:rsidR="00B80BE1">
        <w:rPr>
          <w:rFonts w:eastAsia="Calibri"/>
        </w:rPr>
        <w:t>kCover WA sponsored and presented the</w:t>
      </w:r>
      <w:r w:rsidR="00665C33">
        <w:rPr>
          <w:rFonts w:eastAsia="Calibri"/>
        </w:rPr>
        <w:t xml:space="preserve"> inaugural undergraduate and </w:t>
      </w:r>
      <w:r w:rsidR="00665C33" w:rsidRPr="00DB40BF">
        <w:rPr>
          <w:rFonts w:eastAsia="Calibri"/>
        </w:rPr>
        <w:t>postgraduate</w:t>
      </w:r>
      <w:r w:rsidR="00B80BE1" w:rsidRPr="00DB40BF">
        <w:rPr>
          <w:rFonts w:eastAsia="Calibri"/>
        </w:rPr>
        <w:t xml:space="preserve"> WorkCover WA Workers’ Compensation Award at the Edith Cowan University (ECU)</w:t>
      </w:r>
      <w:r w:rsidRPr="00DB40BF">
        <w:rPr>
          <w:rFonts w:eastAsia="Calibri"/>
        </w:rPr>
        <w:t xml:space="preserve"> </w:t>
      </w:r>
      <w:r w:rsidR="00B80BE1" w:rsidRPr="00DB40BF">
        <w:rPr>
          <w:rFonts w:eastAsia="Calibri"/>
        </w:rPr>
        <w:t xml:space="preserve">School of Medical </w:t>
      </w:r>
      <w:r w:rsidR="00B80BE1">
        <w:rPr>
          <w:rFonts w:eastAsia="Calibri"/>
        </w:rPr>
        <w:t xml:space="preserve">and Health Sciences Awards Ceremony in April 2018. </w:t>
      </w:r>
      <w:r w:rsidR="0008684E">
        <w:rPr>
          <w:rFonts w:eastAsia="Calibri"/>
        </w:rPr>
        <w:t>These awards recognise</w:t>
      </w:r>
      <w:r w:rsidR="00B80BE1">
        <w:rPr>
          <w:rFonts w:eastAsia="Calibri"/>
        </w:rPr>
        <w:t xml:space="preserve"> the highest achieving undergradu</w:t>
      </w:r>
      <w:r w:rsidR="0008684E">
        <w:rPr>
          <w:rFonts w:eastAsia="Calibri"/>
        </w:rPr>
        <w:t xml:space="preserve">ate student in the Workplace Compensation and Injury Management unit and highest achieving postgraduate student in the Workers’ Compensation and Rehabilitation unit. WorkCover WA was pleased to present the awards to Ms Leanne Nolan and Mr Jamie Malone for their outstanding work in the undergraduate and postgraduate coursework respectively, and present them with a complimentary ticket to the WorkCover WA Biennial Conference in 2019. </w:t>
      </w:r>
    </w:p>
    <w:p w14:paraId="70D379B5" w14:textId="53E12E36" w:rsidR="002118A8" w:rsidRPr="002118A8" w:rsidRDefault="002118A8" w:rsidP="00ED1818">
      <w:pPr>
        <w:rPr>
          <w:rFonts w:eastAsia="Calibri"/>
        </w:rPr>
      </w:pPr>
      <w:r>
        <w:rPr>
          <w:rFonts w:eastAsia="Calibri"/>
        </w:rPr>
        <w:t xml:space="preserve">WorkCover WA also delivered presentations </w:t>
      </w:r>
      <w:r w:rsidRPr="00DB40BF">
        <w:rPr>
          <w:rFonts w:eastAsia="Calibri"/>
        </w:rPr>
        <w:t xml:space="preserve">to ECU </w:t>
      </w:r>
      <w:r w:rsidR="0008684E" w:rsidRPr="00DB40BF">
        <w:rPr>
          <w:rFonts w:eastAsia="Calibri"/>
        </w:rPr>
        <w:t xml:space="preserve">Occupational </w:t>
      </w:r>
      <w:r w:rsidR="0008684E">
        <w:rPr>
          <w:rFonts w:eastAsia="Calibri"/>
        </w:rPr>
        <w:t xml:space="preserve">Therapy and Occupational Safety and Health </w:t>
      </w:r>
      <w:r>
        <w:rPr>
          <w:rFonts w:eastAsia="Calibri"/>
        </w:rPr>
        <w:t xml:space="preserve">students during 2017/18. </w:t>
      </w:r>
      <w:r w:rsidR="002D51F8">
        <w:rPr>
          <w:rFonts w:eastAsia="Calibri"/>
        </w:rPr>
        <w:t xml:space="preserve">More information in relation to the ECU presentations is available on </w:t>
      </w:r>
      <w:r w:rsidR="002D51F8" w:rsidRPr="00E47B67">
        <w:rPr>
          <w:rFonts w:eastAsia="Calibri"/>
        </w:rPr>
        <w:t xml:space="preserve">page </w:t>
      </w:r>
      <w:r w:rsidR="00E47B67" w:rsidRPr="00E47B67">
        <w:rPr>
          <w:rFonts w:eastAsia="Calibri"/>
        </w:rPr>
        <w:t>103</w:t>
      </w:r>
      <w:r w:rsidR="002D51F8">
        <w:rPr>
          <w:rFonts w:eastAsia="Calibri"/>
        </w:rPr>
        <w:t>.</w:t>
      </w:r>
    </w:p>
    <w:p w14:paraId="4E147A57" w14:textId="0F06866D" w:rsidR="00AE36B9" w:rsidRPr="00A037C5" w:rsidRDefault="00AE36B9" w:rsidP="00AE36B9">
      <w:pPr>
        <w:pStyle w:val="Heading3nonumber"/>
        <w:rPr>
          <w:sz w:val="22"/>
          <w:szCs w:val="22"/>
        </w:rPr>
      </w:pPr>
      <w:bookmarkStart w:id="464" w:name="_Toc525122055"/>
      <w:r>
        <w:t>Healthier Workplace WA</w:t>
      </w:r>
      <w:bookmarkEnd w:id="464"/>
      <w:r w:rsidR="002D51F8">
        <w:t xml:space="preserve"> </w:t>
      </w:r>
    </w:p>
    <w:p w14:paraId="02A638BF" w14:textId="6C71D7A6" w:rsidR="00AE36B9" w:rsidRPr="00174BF3" w:rsidRDefault="00AE36B9" w:rsidP="00AE36B9">
      <w:r w:rsidRPr="00174BF3">
        <w:t xml:space="preserve">WorkCover WA has continued to </w:t>
      </w:r>
      <w:r w:rsidRPr="00DB40BF">
        <w:t xml:space="preserve">work with Healthier Workplace WA (HWWA) to </w:t>
      </w:r>
      <w:r w:rsidRPr="00174BF3">
        <w:t>hel</w:t>
      </w:r>
      <w:r w:rsidR="00665C33">
        <w:t>p promote better employee healt</w:t>
      </w:r>
      <w:r w:rsidR="00785BFA">
        <w:t>h</w:t>
      </w:r>
      <w:r w:rsidR="00665C33">
        <w:t xml:space="preserve">. Focus areas are decreasing smoking and </w:t>
      </w:r>
      <w:r w:rsidR="00665C33" w:rsidRPr="005B6DC0">
        <w:t>alcohol intake and increasing physical activity and healthy eating</w:t>
      </w:r>
      <w:r w:rsidRPr="005B6DC0">
        <w:t xml:space="preserve">. For more information on WorkCover WA’s HWWA inspired initiatives see ‘Health and wellness’ on </w:t>
      </w:r>
      <w:r w:rsidRPr="00E47B67">
        <w:t xml:space="preserve">page </w:t>
      </w:r>
      <w:r w:rsidR="00E47B67" w:rsidRPr="00E47B67">
        <w:t>115</w:t>
      </w:r>
      <w:r w:rsidRPr="00E47B67">
        <w:t>.</w:t>
      </w:r>
    </w:p>
    <w:p w14:paraId="4B966B17" w14:textId="77777777" w:rsidR="00AE36B9" w:rsidRPr="00DD689C" w:rsidRDefault="00AE36B9" w:rsidP="00AE36B9">
      <w:pPr>
        <w:pStyle w:val="Heading3nonumber"/>
      </w:pPr>
      <w:bookmarkStart w:id="465" w:name="_Toc525122056"/>
      <w:r w:rsidRPr="00DD689C">
        <w:t>Industrial Foundation for Accident Prevention</w:t>
      </w:r>
      <w:bookmarkEnd w:id="465"/>
    </w:p>
    <w:p w14:paraId="74C501D1" w14:textId="77777777" w:rsidR="00255692" w:rsidRDefault="00255692" w:rsidP="00255692">
      <w:r w:rsidRPr="00711CD6">
        <w:t xml:space="preserve">WorkCover WA’s </w:t>
      </w:r>
      <w:r w:rsidRPr="00DB40BF">
        <w:t xml:space="preserve">cooperative partnership with the not-for-profit Industrial Foundation for Accident Prevention (IFAP) continued in 2017/18 by providing free information sessions to injured workers. IFAP is a registered </w:t>
      </w:r>
      <w:r w:rsidRPr="00711CD6">
        <w:t>training organisation providing education and information to injured workers about the workers’ compensation, injury management and return to work process.</w:t>
      </w:r>
    </w:p>
    <w:p w14:paraId="34665E46" w14:textId="77777777" w:rsidR="00D5708F" w:rsidRPr="00B94526" w:rsidRDefault="00D5708F" w:rsidP="00D5708F">
      <w:r w:rsidRPr="00711CD6">
        <w:t>In 2017/</w:t>
      </w:r>
      <w:r w:rsidRPr="00B94526">
        <w:t>18, 6 free IFAP seminars were delivered to 31 injured workers.</w:t>
      </w:r>
    </w:p>
    <w:p w14:paraId="44E3B2F3" w14:textId="4B2F0B7D" w:rsidR="00255692" w:rsidRPr="00711CD6" w:rsidRDefault="0019307E" w:rsidP="00255692">
      <w:r>
        <w:t xml:space="preserve">Previously, seminars were held monthly at either WorkCover WA or IFAP’s premises in North Lake. A review was conducted in January 2018, which resulted in the seminars being </w:t>
      </w:r>
      <w:r w:rsidR="00D5708F">
        <w:t>conducted</w:t>
      </w:r>
      <w:r>
        <w:t xml:space="preserve"> every two months at WorkCover WA only. </w:t>
      </w:r>
      <w:r w:rsidR="00D5708F">
        <w:t xml:space="preserve">This will be reassessed in 2018/19. </w:t>
      </w:r>
    </w:p>
    <w:p w14:paraId="07A0F8D8" w14:textId="77777777" w:rsidR="00AE36B9" w:rsidRDefault="00AE36B9" w:rsidP="00AE36B9">
      <w:pPr>
        <w:pStyle w:val="Heading3nonumber"/>
        <w:rPr>
          <w:rFonts w:eastAsia="Calibri"/>
        </w:rPr>
      </w:pPr>
      <w:bookmarkStart w:id="466" w:name="_Toc525122057"/>
      <w:r>
        <w:rPr>
          <w:rFonts w:eastAsia="Calibri"/>
        </w:rPr>
        <w:t>Inter Insurer Injury Management Forum</w:t>
      </w:r>
      <w:bookmarkEnd w:id="466"/>
    </w:p>
    <w:p w14:paraId="45C5663D" w14:textId="77777777" w:rsidR="001A5646" w:rsidRDefault="001A5646" w:rsidP="001A5646">
      <w:r>
        <w:t xml:space="preserve">The Inter Insurer Injury Management Forum (the Forum) consists of injury management advisers from approved insurers, the Insurance Commission of WA, LGIS, and representatives of allied health providers. </w:t>
      </w:r>
    </w:p>
    <w:p w14:paraId="0692638D" w14:textId="66BEC516" w:rsidR="001A5646" w:rsidRDefault="001A5646" w:rsidP="001A5646">
      <w:r>
        <w:t>The aim of the Forum is to develop the skills and knowledge of injury management professionals operating within the scheme. WorkCover WA participated in three meetings of the Forum in 2017/18.</w:t>
      </w:r>
    </w:p>
    <w:p w14:paraId="31C49C00" w14:textId="77777777" w:rsidR="0086154B" w:rsidRPr="0086154B" w:rsidRDefault="0086154B" w:rsidP="00D4406D">
      <w:pPr>
        <w:pStyle w:val="Heading3nonumber"/>
      </w:pPr>
      <w:bookmarkStart w:id="467" w:name="_Toc525122058"/>
      <w:r w:rsidRPr="0086154B">
        <w:t>Public Sector Safety and Injury Management Steering Committee</w:t>
      </w:r>
      <w:bookmarkEnd w:id="457"/>
      <w:bookmarkEnd w:id="461"/>
      <w:bookmarkEnd w:id="462"/>
      <w:bookmarkEnd w:id="467"/>
    </w:p>
    <w:p w14:paraId="33F09C62" w14:textId="41BA6BC2" w:rsidR="007E2C1E" w:rsidRPr="007E2C1E" w:rsidRDefault="00C20149" w:rsidP="007E2C1E">
      <w:bookmarkStart w:id="468" w:name="_Toc426617534"/>
      <w:bookmarkStart w:id="469" w:name="_Toc450900754"/>
      <w:r>
        <w:t>WorkCover WA is a member of the Public Sector Safety and Injury Management Steering Committee, which consists of representatives from WorkSafe, the Department of Commerce, RiskCover, the Public Sector Commission and UnionsWA. The committee is responsible for arranging presentations for public sector staff on injury management and return to work topics.</w:t>
      </w:r>
      <w:bookmarkStart w:id="470" w:name="_Toc399317007"/>
      <w:bookmarkEnd w:id="453"/>
      <w:bookmarkEnd w:id="468"/>
      <w:bookmarkEnd w:id="469"/>
    </w:p>
    <w:p w14:paraId="1F7501F4" w14:textId="0B9288E4" w:rsidR="00E52ADB" w:rsidRDefault="00D6620F" w:rsidP="00D6620F">
      <w:pPr>
        <w:pStyle w:val="Heading3nonumber"/>
      </w:pPr>
      <w:bookmarkStart w:id="471" w:name="_Toc525122059"/>
      <w:bookmarkStart w:id="472" w:name="_Toc450900761"/>
      <w:r>
        <w:t xml:space="preserve">National Insurance </w:t>
      </w:r>
      <w:r w:rsidR="005F254D">
        <w:t>Brokers</w:t>
      </w:r>
      <w:r>
        <w:t xml:space="preserve"> Association</w:t>
      </w:r>
      <w:bookmarkEnd w:id="471"/>
      <w:r>
        <w:t xml:space="preserve"> </w:t>
      </w:r>
    </w:p>
    <w:p w14:paraId="53FF0A93" w14:textId="20F91AFA" w:rsidR="00D6620F" w:rsidRDefault="00D6620F" w:rsidP="00D6620F">
      <w:pPr>
        <w:rPr>
          <w:rFonts w:eastAsiaTheme="majorEastAsia"/>
        </w:rPr>
      </w:pPr>
      <w:r w:rsidRPr="00DB40BF">
        <w:rPr>
          <w:rFonts w:eastAsiaTheme="majorEastAsia"/>
        </w:rPr>
        <w:t xml:space="preserve">WorkCover WA </w:t>
      </w:r>
      <w:r w:rsidR="00DB48C1" w:rsidRPr="00DB40BF">
        <w:rPr>
          <w:rFonts w:eastAsiaTheme="majorEastAsia"/>
        </w:rPr>
        <w:t xml:space="preserve">has an ongoing relationship with the National Insurance </w:t>
      </w:r>
      <w:r w:rsidR="00D37786" w:rsidRPr="00DB40BF">
        <w:rPr>
          <w:rFonts w:eastAsiaTheme="majorEastAsia"/>
        </w:rPr>
        <w:t>Brokers</w:t>
      </w:r>
      <w:r w:rsidR="00DB48C1" w:rsidRPr="00DB40BF">
        <w:rPr>
          <w:rFonts w:eastAsiaTheme="majorEastAsia"/>
        </w:rPr>
        <w:t xml:space="preserve"> Association (NIBA) to educate insurance brokers about their role and obligations within the workers’</w:t>
      </w:r>
      <w:r w:rsidR="00703C74" w:rsidRPr="00DB40BF">
        <w:rPr>
          <w:rFonts w:eastAsiaTheme="majorEastAsia"/>
        </w:rPr>
        <w:t xml:space="preserve"> compensation scheme in Western Australia</w:t>
      </w:r>
      <w:r w:rsidR="00703C74">
        <w:rPr>
          <w:rFonts w:eastAsiaTheme="majorEastAsia"/>
        </w:rPr>
        <w:t xml:space="preserve">. </w:t>
      </w:r>
      <w:r w:rsidR="00DB48C1">
        <w:rPr>
          <w:rFonts w:eastAsiaTheme="majorEastAsia"/>
        </w:rPr>
        <w:t xml:space="preserve"> </w:t>
      </w:r>
    </w:p>
    <w:p w14:paraId="1869E378" w14:textId="4D107D5D" w:rsidR="00DB48C1" w:rsidRDefault="00DB48C1" w:rsidP="00D6620F">
      <w:pPr>
        <w:rPr>
          <w:rFonts w:eastAsiaTheme="majorEastAsia"/>
        </w:rPr>
      </w:pPr>
      <w:r>
        <w:rPr>
          <w:rFonts w:eastAsiaTheme="majorEastAsia"/>
        </w:rPr>
        <w:t xml:space="preserve">For the last six years, WorkCover WA has held an Insurance Brokers’ Breakfast Seminar to update insurance brokers on the latest trends and statistics </w:t>
      </w:r>
      <w:r w:rsidR="00703C74">
        <w:rPr>
          <w:rFonts w:eastAsiaTheme="majorEastAsia"/>
        </w:rPr>
        <w:t xml:space="preserve">within the workers’ compensation and injury management scheme, </w:t>
      </w:r>
      <w:r>
        <w:rPr>
          <w:rFonts w:eastAsiaTheme="majorEastAsia"/>
        </w:rPr>
        <w:t xml:space="preserve">and provide information about WorkCover WA’s activities. More information about the Insurance Brokers’ Breakfast Seminar is on </w:t>
      </w:r>
      <w:r w:rsidRPr="00104470">
        <w:rPr>
          <w:rFonts w:eastAsiaTheme="majorEastAsia"/>
        </w:rPr>
        <w:t xml:space="preserve">page </w:t>
      </w:r>
      <w:r w:rsidR="00104470" w:rsidRPr="00104470">
        <w:rPr>
          <w:rFonts w:eastAsiaTheme="majorEastAsia"/>
        </w:rPr>
        <w:t>101</w:t>
      </w:r>
      <w:r w:rsidR="00A05C3C" w:rsidRPr="00104470">
        <w:rPr>
          <w:rFonts w:eastAsiaTheme="majorEastAsia"/>
        </w:rPr>
        <w:t>.</w:t>
      </w:r>
    </w:p>
    <w:p w14:paraId="79CA0E5E" w14:textId="16F35965" w:rsidR="00DB48C1" w:rsidRPr="00DB40BF" w:rsidRDefault="00DB48C1" w:rsidP="00D6620F">
      <w:pPr>
        <w:rPr>
          <w:rFonts w:eastAsiaTheme="majorEastAsia"/>
        </w:rPr>
      </w:pPr>
      <w:r>
        <w:rPr>
          <w:rFonts w:eastAsiaTheme="majorEastAsia"/>
        </w:rPr>
        <w:t xml:space="preserve">In </w:t>
      </w:r>
      <w:r w:rsidRPr="00DB40BF">
        <w:rPr>
          <w:rFonts w:eastAsiaTheme="majorEastAsia"/>
        </w:rPr>
        <w:t xml:space="preserve">2017/18, WorkCover WA assisted NIBA and the Insurance Council Australia Western Australia (ICA WA) with the development of a training program to educate insurance brokers in relation to WorkCover WA, the </w:t>
      </w:r>
      <w:r w:rsidR="0008192D" w:rsidRPr="00DB40BF">
        <w:rPr>
          <w:rFonts w:eastAsiaTheme="majorEastAsia"/>
        </w:rPr>
        <w:t xml:space="preserve">workers’ compensation and injury management scheme in Western Australia and claims management. </w:t>
      </w:r>
    </w:p>
    <w:p w14:paraId="0305B951" w14:textId="4F99BDC6" w:rsidR="0008192D" w:rsidRDefault="0008192D" w:rsidP="00D6620F">
      <w:pPr>
        <w:rPr>
          <w:rFonts w:eastAsiaTheme="majorEastAsia"/>
        </w:rPr>
      </w:pPr>
      <w:r w:rsidRPr="00DB40BF">
        <w:rPr>
          <w:rFonts w:eastAsiaTheme="majorEastAsia"/>
        </w:rPr>
        <w:t xml:space="preserve">WorkCover WA also attended a NIBA WA </w:t>
      </w:r>
      <w:r>
        <w:rPr>
          <w:rFonts w:eastAsiaTheme="majorEastAsia"/>
        </w:rPr>
        <w:t xml:space="preserve">Divisional Committee Meeting in July 2017 to update the Committee on WorkCover WA activities and legislative changes. </w:t>
      </w:r>
    </w:p>
    <w:p w14:paraId="5812368F" w14:textId="77777777" w:rsidR="0008192D" w:rsidRDefault="0008192D">
      <w:pPr>
        <w:keepLines w:val="0"/>
        <w:spacing w:after="0" w:line="240" w:lineRule="auto"/>
        <w:rPr>
          <w:rFonts w:eastAsiaTheme="majorEastAsia"/>
        </w:rPr>
      </w:pPr>
      <w:r>
        <w:rPr>
          <w:rFonts w:eastAsiaTheme="majorEastAsia"/>
        </w:rPr>
        <w:br w:type="page"/>
      </w:r>
    </w:p>
    <w:p w14:paraId="7F8FED91" w14:textId="77777777" w:rsidR="0008192D" w:rsidRPr="00DB48C1" w:rsidRDefault="0008192D" w:rsidP="00D6620F">
      <w:pPr>
        <w:rPr>
          <w:rFonts w:eastAsiaTheme="majorEastAsia"/>
        </w:rPr>
      </w:pPr>
    </w:p>
    <w:p w14:paraId="313432B0" w14:textId="4DC87D20" w:rsidR="00BE73BE" w:rsidRPr="00345BF2" w:rsidRDefault="00981D34" w:rsidP="00BB3984">
      <w:pPr>
        <w:pStyle w:val="CoverTitle"/>
        <w:ind w:left="0" w:right="-188"/>
      </w:pPr>
      <w:r w:rsidRPr="00345BF2">
        <w:t>Section 4:</w:t>
      </w:r>
      <w:r w:rsidR="00BB3984">
        <w:t xml:space="preserve"> Opportunities and </w:t>
      </w:r>
      <w:r w:rsidR="00197C53">
        <w:t>c</w:t>
      </w:r>
      <w:r w:rsidRPr="00345BF2">
        <w:t>hallenges</w:t>
      </w:r>
      <w:bookmarkEnd w:id="470"/>
      <w:bookmarkEnd w:id="472"/>
    </w:p>
    <w:p w14:paraId="3A89643A" w14:textId="77777777" w:rsidR="00981D34" w:rsidRPr="007E3277" w:rsidRDefault="00295655" w:rsidP="007E3277">
      <w:pPr>
        <w:pStyle w:val="Heading1nonumber"/>
      </w:pPr>
      <w:bookmarkStart w:id="473" w:name="_Toc399317008"/>
      <w:bookmarkStart w:id="474" w:name="_Toc426617539"/>
      <w:bookmarkStart w:id="475" w:name="_Toc450900762"/>
      <w:bookmarkStart w:id="476" w:name="_Toc525122060"/>
      <w:r w:rsidRPr="007E3277">
        <w:t>Opportunity and accessibility</w:t>
      </w:r>
      <w:bookmarkEnd w:id="473"/>
      <w:bookmarkEnd w:id="474"/>
      <w:bookmarkEnd w:id="475"/>
      <w:bookmarkEnd w:id="476"/>
      <w:r w:rsidRPr="007E3277">
        <w:t xml:space="preserve"> </w:t>
      </w:r>
    </w:p>
    <w:p w14:paraId="43D6DA30" w14:textId="7F822E51" w:rsidR="00BE73BE" w:rsidRDefault="001911A4" w:rsidP="006F2F0B">
      <w:pPr>
        <w:pStyle w:val="Heading2nonumber"/>
      </w:pPr>
      <w:bookmarkStart w:id="477" w:name="_Toc399317009"/>
      <w:bookmarkStart w:id="478" w:name="_Toc426617540"/>
      <w:bookmarkStart w:id="479" w:name="_Toc450900763"/>
      <w:bookmarkStart w:id="480" w:name="_Toc525122061"/>
      <w:r>
        <w:t>Workforce d</w:t>
      </w:r>
      <w:r w:rsidR="00BE73BE">
        <w:t>evelopment</w:t>
      </w:r>
      <w:bookmarkEnd w:id="477"/>
      <w:bookmarkEnd w:id="478"/>
      <w:bookmarkEnd w:id="479"/>
      <w:bookmarkEnd w:id="480"/>
      <w:r w:rsidR="00BE73BE">
        <w:t xml:space="preserve"> </w:t>
      </w:r>
    </w:p>
    <w:tbl>
      <w:tblPr>
        <w:tblW w:w="0" w:type="auto"/>
        <w:tblInd w:w="80"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Pr>
      <w:tblGrid>
        <w:gridCol w:w="8706"/>
      </w:tblGrid>
      <w:tr w:rsidR="00F8068F" w:rsidRPr="00630BE0" w14:paraId="5DC8E160" w14:textId="77777777" w:rsidTr="00DB40BF">
        <w:trPr>
          <w:trHeight w:val="60"/>
        </w:trPr>
        <w:tc>
          <w:tcPr>
            <w:tcW w:w="8706" w:type="dxa"/>
            <w:shd w:val="clear" w:color="auto" w:fill="003F5F"/>
            <w:tcMar>
              <w:top w:w="113" w:type="dxa"/>
              <w:left w:w="80" w:type="dxa"/>
              <w:bottom w:w="113" w:type="dxa"/>
              <w:right w:w="80" w:type="dxa"/>
            </w:tcMar>
          </w:tcPr>
          <w:p w14:paraId="759E87B3" w14:textId="11CDF7B2" w:rsidR="00F8068F" w:rsidRPr="007A6FE0" w:rsidRDefault="00F8068F" w:rsidP="00F8068F">
            <w:pPr>
              <w:rPr>
                <w:rStyle w:val="Strong"/>
              </w:rPr>
            </w:pPr>
            <w:r w:rsidRPr="00F8068F">
              <w:rPr>
                <w:rStyle w:val="Strong"/>
                <w:color w:val="FFFFFF" w:themeColor="background1"/>
              </w:rPr>
              <w:t>The following initiative</w:t>
            </w:r>
            <w:r w:rsidR="00310386">
              <w:rPr>
                <w:rStyle w:val="Strong"/>
                <w:color w:val="FFFFFF" w:themeColor="background1"/>
              </w:rPr>
              <w:t>s are</w:t>
            </w:r>
            <w:r>
              <w:rPr>
                <w:rStyle w:val="Strong"/>
                <w:color w:val="FFFFFF" w:themeColor="background1"/>
              </w:rPr>
              <w:t xml:space="preserve"> </w:t>
            </w:r>
            <w:r w:rsidRPr="00F8068F">
              <w:rPr>
                <w:rStyle w:val="Strong"/>
                <w:color w:val="FFFFFF" w:themeColor="background1"/>
              </w:rPr>
              <w:t>aligned with, and contribute to, WorkCover WA strategic goal:</w:t>
            </w:r>
          </w:p>
        </w:tc>
      </w:tr>
      <w:tr w:rsidR="00F8068F" w:rsidRPr="005D768A" w14:paraId="00243D2A" w14:textId="77777777" w:rsidTr="00DB40BF">
        <w:trPr>
          <w:trHeight w:val="825"/>
        </w:trPr>
        <w:tc>
          <w:tcPr>
            <w:tcW w:w="8706" w:type="dxa"/>
            <w:tcMar>
              <w:top w:w="113" w:type="dxa"/>
              <w:left w:w="80" w:type="dxa"/>
              <w:bottom w:w="113" w:type="dxa"/>
              <w:right w:w="80" w:type="dxa"/>
            </w:tcMar>
          </w:tcPr>
          <w:p w14:paraId="5131D77A" w14:textId="6170E2A8" w:rsidR="00F8068F" w:rsidRPr="00B56C77" w:rsidRDefault="00B56C77" w:rsidP="008B2BD5">
            <w:pPr>
              <w:rPr>
                <w:rStyle w:val="Strong"/>
                <w:b w:val="0"/>
                <w:color w:val="FF0000"/>
              </w:rPr>
            </w:pPr>
            <w:r>
              <w:rPr>
                <w:rStyle w:val="Strong"/>
                <w:b w:val="0"/>
              </w:rPr>
              <w:t xml:space="preserve">3 – </w:t>
            </w:r>
            <w:r w:rsidR="00F8068F" w:rsidRPr="00B56C77">
              <w:rPr>
                <w:rStyle w:val="Strong"/>
                <w:b w:val="0"/>
              </w:rPr>
              <w:t xml:space="preserve">Agile </w:t>
            </w:r>
            <w:r>
              <w:rPr>
                <w:rStyle w:val="Strong"/>
                <w:b w:val="0"/>
              </w:rPr>
              <w:t>and innovative o</w:t>
            </w:r>
            <w:r w:rsidR="00F8068F" w:rsidRPr="00B56C77">
              <w:rPr>
                <w:rStyle w:val="Strong"/>
                <w:b w:val="0"/>
              </w:rPr>
              <w:t xml:space="preserve">rganisation </w:t>
            </w:r>
          </w:p>
        </w:tc>
      </w:tr>
    </w:tbl>
    <w:p w14:paraId="094B1F92" w14:textId="73234336" w:rsidR="00BE73BE" w:rsidRDefault="008B2BD5" w:rsidP="00923828">
      <w:pPr>
        <w:pStyle w:val="Heading3nonumber"/>
      </w:pPr>
      <w:bookmarkStart w:id="481" w:name="_Toc450900764"/>
      <w:bookmarkStart w:id="482" w:name="_Toc525122062"/>
      <w:r>
        <w:t>Employee c</w:t>
      </w:r>
      <w:r w:rsidR="00923828">
        <w:t>apability</w:t>
      </w:r>
      <w:bookmarkEnd w:id="481"/>
      <w:bookmarkEnd w:id="482"/>
    </w:p>
    <w:p w14:paraId="2206D712" w14:textId="10584AC4" w:rsidR="00923828" w:rsidRPr="002C0154" w:rsidRDefault="001D4C0A" w:rsidP="001D4C0A">
      <w:r w:rsidRPr="00891FAC">
        <w:t xml:space="preserve">WorkCover WA invests in building the capability of staff. Professional development strategies are identified through </w:t>
      </w:r>
      <w:r w:rsidRPr="00DB40BF">
        <w:t xml:space="preserve">the Performance Development Agreement (PDA) </w:t>
      </w:r>
      <w:r>
        <w:t xml:space="preserve">process. Refer to </w:t>
      </w:r>
      <w:r w:rsidRPr="00104470">
        <w:t xml:space="preserve">page </w:t>
      </w:r>
      <w:r w:rsidR="00104470" w:rsidRPr="00104470">
        <w:t>111</w:t>
      </w:r>
      <w:r w:rsidRPr="00104470">
        <w:t xml:space="preserve"> for </w:t>
      </w:r>
      <w:r>
        <w:t>more details on the PDA process.</w:t>
      </w:r>
    </w:p>
    <w:p w14:paraId="572DA458" w14:textId="3E85DD45" w:rsidR="004135C6" w:rsidRPr="00104470" w:rsidRDefault="007E43AD" w:rsidP="004930E9">
      <w:pPr>
        <w:pStyle w:val="Heading4colour"/>
        <w:ind w:left="0"/>
        <w:rPr>
          <w:color w:val="auto"/>
        </w:rPr>
      </w:pPr>
      <w:bookmarkStart w:id="483" w:name="_Toc450900765"/>
      <w:r w:rsidRPr="00104470">
        <w:rPr>
          <w:color w:val="auto"/>
        </w:rPr>
        <w:t>Blended Learning</w:t>
      </w:r>
      <w:r w:rsidR="0007257C" w:rsidRPr="00104470">
        <w:rPr>
          <w:color w:val="auto"/>
        </w:rPr>
        <w:t xml:space="preserve"> Program</w:t>
      </w:r>
      <w:bookmarkEnd w:id="483"/>
    </w:p>
    <w:p w14:paraId="439E7411" w14:textId="279F3F38" w:rsidR="001D4C0A" w:rsidRDefault="001D4C0A" w:rsidP="00891FAC">
      <w:bookmarkStart w:id="484" w:name="_Toc426617541"/>
      <w:r>
        <w:t>WorkCover WA’s ‘blended learning’ approach to staff development aims to build the competency of staff through learning plans that are specific and tailored to the individual. The approach is based on a philosophy that a balance of differing options including on-the-job learning, learning from other staff and structured formal programs is the most effective method to build staff skills and competency.</w:t>
      </w:r>
    </w:p>
    <w:p w14:paraId="2A7BAF7A" w14:textId="314F0D76" w:rsidR="001D4C0A" w:rsidRDefault="001D4C0A" w:rsidP="001D4C0A">
      <w:r>
        <w:t>The blended learning approach has now been embedded into the agency staff development methodology.</w:t>
      </w:r>
      <w:r w:rsidR="00891FAC">
        <w:t xml:space="preserve"> </w:t>
      </w:r>
      <w:r>
        <w:t>Staff predominantly attain skills enhancement opportunities through accessing a library of online courses or through work experience placements.</w:t>
      </w:r>
    </w:p>
    <w:p w14:paraId="1524598B" w14:textId="4A4966DB" w:rsidR="001C4182" w:rsidRDefault="001C4182" w:rsidP="004930E9">
      <w:pPr>
        <w:pStyle w:val="Heading4"/>
        <w:ind w:left="0"/>
      </w:pPr>
      <w:r>
        <w:t>Staff training</w:t>
      </w:r>
    </w:p>
    <w:p w14:paraId="498D3C26" w14:textId="4D255427" w:rsidR="001C4182" w:rsidRDefault="001C4182" w:rsidP="001C4182">
      <w:r>
        <w:t>In 2017/18, WorkCover WA staff attended external training on courses including:</w:t>
      </w:r>
    </w:p>
    <w:p w14:paraId="58EE6854" w14:textId="22CC96B7" w:rsidR="001C4182" w:rsidRPr="00B5174F" w:rsidRDefault="00B5174F" w:rsidP="001C4182">
      <w:pPr>
        <w:pStyle w:val="BulletListLevel1"/>
      </w:pPr>
      <w:r w:rsidRPr="00B5174F">
        <w:t>Certificate IV in Government Investigations</w:t>
      </w:r>
    </w:p>
    <w:p w14:paraId="6A87A89A" w14:textId="20201AA4" w:rsidR="001C4182" w:rsidRPr="00B5174F" w:rsidRDefault="00B5174F" w:rsidP="001C4182">
      <w:pPr>
        <w:pStyle w:val="BulletListLevel1"/>
      </w:pPr>
      <w:r w:rsidRPr="00B5174F">
        <w:t>Public Sector Graduate Development Program</w:t>
      </w:r>
    </w:p>
    <w:p w14:paraId="329C5C4A" w14:textId="195B9E81" w:rsidR="001C4182" w:rsidRPr="00B5174F" w:rsidRDefault="00B5174F" w:rsidP="001C4182">
      <w:pPr>
        <w:pStyle w:val="BulletListLevel1"/>
      </w:pPr>
      <w:r w:rsidRPr="00B5174F">
        <w:t>Leadership and Management Coaching</w:t>
      </w:r>
    </w:p>
    <w:p w14:paraId="55DCF97A" w14:textId="28E30A5A" w:rsidR="00B5174F" w:rsidRPr="00B5174F" w:rsidRDefault="00B5174F" w:rsidP="001C4182">
      <w:pPr>
        <w:pStyle w:val="BulletListLevel1"/>
      </w:pPr>
      <w:r w:rsidRPr="00B5174F">
        <w:t>Adobe InDesign</w:t>
      </w:r>
    </w:p>
    <w:p w14:paraId="6ADC84E4" w14:textId="570F27D9" w:rsidR="00B5174F" w:rsidRPr="00B5174F" w:rsidRDefault="004279BE" w:rsidP="001C4182">
      <w:pPr>
        <w:pStyle w:val="BulletListLevel1"/>
      </w:pPr>
      <w:r>
        <w:t>Injury Management</w:t>
      </w:r>
    </w:p>
    <w:p w14:paraId="2910EB59" w14:textId="1A3A449B" w:rsidR="00B5174F" w:rsidRPr="00B5174F" w:rsidRDefault="00B5174F" w:rsidP="001C4182">
      <w:pPr>
        <w:pStyle w:val="BulletListLevel1"/>
      </w:pPr>
      <w:r w:rsidRPr="00B5174F">
        <w:t>Equal Employment Opportunity Law.</w:t>
      </w:r>
    </w:p>
    <w:p w14:paraId="4F05EF94" w14:textId="25538271" w:rsidR="001C4182" w:rsidRDefault="001C4182" w:rsidP="001C4182">
      <w:r>
        <w:t>During the year staff also attended in-house training programs on:</w:t>
      </w:r>
    </w:p>
    <w:p w14:paraId="6AEBBC7C" w14:textId="4F6E24ED" w:rsidR="001C4182" w:rsidRPr="00B5174F" w:rsidRDefault="00B5174F" w:rsidP="001C4182">
      <w:pPr>
        <w:pStyle w:val="BulletListLevel1"/>
      </w:pPr>
      <w:r w:rsidRPr="00B5174F">
        <w:t>Mental Health First Aid</w:t>
      </w:r>
      <w:r w:rsidR="00CC07EA">
        <w:t xml:space="preserve"> for Managers</w:t>
      </w:r>
    </w:p>
    <w:p w14:paraId="30F6BB24" w14:textId="5D8E14F2" w:rsidR="001C4182" w:rsidRPr="00B5174F" w:rsidRDefault="00B5174F" w:rsidP="001C4182">
      <w:pPr>
        <w:pStyle w:val="BulletListLevel1"/>
      </w:pPr>
      <w:r w:rsidRPr="00B5174F">
        <w:t>Manual Handling</w:t>
      </w:r>
    </w:p>
    <w:p w14:paraId="007DEEDA" w14:textId="5BF869A0" w:rsidR="001C4182" w:rsidRPr="00B5174F" w:rsidRDefault="00B5174F" w:rsidP="001C4182">
      <w:pPr>
        <w:pStyle w:val="BulletListLevel1"/>
      </w:pPr>
      <w:r w:rsidRPr="00B5174F">
        <w:t>Accountable a</w:t>
      </w:r>
      <w:r w:rsidR="004279BE">
        <w:t>nd Ethical Decision Making</w:t>
      </w:r>
    </w:p>
    <w:p w14:paraId="0E1C3E35" w14:textId="3114B01F" w:rsidR="00B5174F" w:rsidRPr="00B5174F" w:rsidRDefault="00B5174F" w:rsidP="001C4182">
      <w:pPr>
        <w:pStyle w:val="BulletListLevel1"/>
      </w:pPr>
      <w:r w:rsidRPr="00B5174F">
        <w:t xml:space="preserve">Fire Warden Training. </w:t>
      </w:r>
    </w:p>
    <w:bookmarkEnd w:id="484"/>
    <w:p w14:paraId="5F3C4F7F" w14:textId="035D688E" w:rsidR="008E4728" w:rsidRDefault="001D4C0A" w:rsidP="004930E9">
      <w:pPr>
        <w:pStyle w:val="Heading4"/>
        <w:ind w:left="0"/>
      </w:pPr>
      <w:r>
        <w:t>Online learning</w:t>
      </w:r>
    </w:p>
    <w:p w14:paraId="266D41EA" w14:textId="2DEEC9EF" w:rsidR="001D4C0A" w:rsidRPr="00B106FA" w:rsidRDefault="001D4C0A" w:rsidP="001D4C0A">
      <w:bookmarkStart w:id="485" w:name="_Toc426617543"/>
      <w:bookmarkStart w:id="486" w:name="_Toc450900767"/>
      <w:r>
        <w:t>In 2016/17, the blended learning</w:t>
      </w:r>
      <w:r w:rsidR="00B106FA">
        <w:t xml:space="preserve"> strategy was enhanced through a pilot program using an online learning platform</w:t>
      </w:r>
      <w:r w:rsidR="00114D74">
        <w:t>. This allowed</w:t>
      </w:r>
      <w:r w:rsidR="00B106FA">
        <w:t xml:space="preserve"> staff to access </w:t>
      </w:r>
      <w:r>
        <w:t xml:space="preserve">a library of learning and development resources at their own workstations during working hours. </w:t>
      </w:r>
      <w:r w:rsidR="00B106FA" w:rsidRPr="00B106FA">
        <w:t>Access to online training</w:t>
      </w:r>
      <w:r>
        <w:t xml:space="preserve"> replaced most of the traditional training accessed by staff and provided a ‘learn-as the </w:t>
      </w:r>
      <w:r w:rsidRPr="00B106FA">
        <w:t>need-arises’ approach to staff learning.</w:t>
      </w:r>
    </w:p>
    <w:p w14:paraId="5789C4EB" w14:textId="1DFA8E8E" w:rsidR="00114D74" w:rsidRDefault="001D4C0A" w:rsidP="001D4C0A">
      <w:r w:rsidRPr="00B106FA">
        <w:t xml:space="preserve">The intention of utilising </w:t>
      </w:r>
      <w:r w:rsidR="00B106FA" w:rsidRPr="00B106FA">
        <w:t>the pilot</w:t>
      </w:r>
      <w:r>
        <w:t xml:space="preserve"> was to evaluate the engagement and effectiveness of an online learning directory and support blended learning strategies. The trial implementation was successful with staff undertaking online learning on an as needs basis</w:t>
      </w:r>
      <w:r w:rsidR="00114D74">
        <w:t>.</w:t>
      </w:r>
    </w:p>
    <w:p w14:paraId="4FC1F863" w14:textId="77777777" w:rsidR="00851212" w:rsidRDefault="001D4C0A" w:rsidP="001D4C0A">
      <w:r>
        <w:t>Since launching in April 2017, WorkCover WA staff</w:t>
      </w:r>
      <w:r w:rsidR="00851212">
        <w:t>:</w:t>
      </w:r>
    </w:p>
    <w:p w14:paraId="6D278987" w14:textId="77777777" w:rsidR="00851212" w:rsidRDefault="00851212" w:rsidP="00851212">
      <w:pPr>
        <w:pStyle w:val="BulletListLevel1"/>
      </w:pPr>
      <w:r>
        <w:t>completed 294 online courses</w:t>
      </w:r>
    </w:p>
    <w:p w14:paraId="006D9ED0" w14:textId="77777777" w:rsidR="00851212" w:rsidRDefault="00851212" w:rsidP="00851212">
      <w:pPr>
        <w:pStyle w:val="BulletListLevel1"/>
      </w:pPr>
      <w:r>
        <w:t>watched 1,094 educational videos</w:t>
      </w:r>
    </w:p>
    <w:p w14:paraId="50EF43C3" w14:textId="77777777" w:rsidR="00851212" w:rsidRDefault="00851212" w:rsidP="00851212">
      <w:pPr>
        <w:pStyle w:val="BulletListLevel1"/>
      </w:pPr>
      <w:r>
        <w:t>completed 675 hours of online training.</w:t>
      </w:r>
      <w:r w:rsidR="001D4C0A">
        <w:t xml:space="preserve"> </w:t>
      </w:r>
    </w:p>
    <w:p w14:paraId="1A77632B" w14:textId="65C16AEA" w:rsidR="001D4C0A" w:rsidRDefault="001D4C0A" w:rsidP="00851212">
      <w:r>
        <w:t xml:space="preserve">The top three courses completed by staff </w:t>
      </w:r>
      <w:r w:rsidR="00851212">
        <w:t>covered</w:t>
      </w:r>
      <w:r>
        <w:t xml:space="preserve"> topics including communication skills, writing in plain English and </w:t>
      </w:r>
      <w:r w:rsidR="00F8129B">
        <w:t xml:space="preserve">Microsoft </w:t>
      </w:r>
      <w:r>
        <w:t>Excel.</w:t>
      </w:r>
    </w:p>
    <w:p w14:paraId="7E85BF08" w14:textId="78B0C9C1" w:rsidR="00E038DC" w:rsidRDefault="00B106FA" w:rsidP="00E038DC">
      <w:r>
        <w:t>WorkCover WA has commenced implementation of a long term program of online learning which is integrated with our online Human Resources Information System.</w:t>
      </w:r>
      <w:r w:rsidR="00D443E5">
        <w:t xml:space="preserve"> </w:t>
      </w:r>
      <w:r w:rsidR="00851212">
        <w:t>Implementation of the new on</w:t>
      </w:r>
      <w:r w:rsidR="001D4C0A">
        <w:t>line system commenced in January with completion due later in 2018</w:t>
      </w:r>
      <w:r w:rsidR="00E038DC">
        <w:t>.</w:t>
      </w:r>
    </w:p>
    <w:p w14:paraId="3E31BCCA" w14:textId="158F6F66" w:rsidR="001C4182" w:rsidRDefault="001C4182" w:rsidP="00FC31E7">
      <w:pPr>
        <w:pStyle w:val="Heading3nonumber"/>
      </w:pPr>
      <w:bookmarkStart w:id="487" w:name="_Toc525122063"/>
      <w:bookmarkEnd w:id="485"/>
      <w:bookmarkEnd w:id="486"/>
      <w:r>
        <w:t>Employee development</w:t>
      </w:r>
      <w:bookmarkEnd w:id="487"/>
    </w:p>
    <w:p w14:paraId="0E0671EF" w14:textId="77777777" w:rsidR="00FC31E7" w:rsidRDefault="00FC31E7" w:rsidP="004930E9">
      <w:pPr>
        <w:pStyle w:val="Heading4"/>
        <w:ind w:left="0"/>
      </w:pPr>
      <w:r>
        <w:t>Performance Development Agreement process</w:t>
      </w:r>
    </w:p>
    <w:p w14:paraId="3AB16A21" w14:textId="684A7E9B" w:rsidR="00FC31E7" w:rsidRPr="001C4182" w:rsidRDefault="00FC31E7" w:rsidP="00FC31E7">
      <w:r w:rsidRPr="00D80987">
        <w:t xml:space="preserve">WorkCover WA’s </w:t>
      </w:r>
      <w:r w:rsidRPr="00DB32FC">
        <w:t xml:space="preserve">employee development process is facilitated through its </w:t>
      </w:r>
      <w:r w:rsidR="006B4521">
        <w:t xml:space="preserve">performance development </w:t>
      </w:r>
      <w:r w:rsidR="006B4521" w:rsidRPr="00DB40BF">
        <w:t>agreement (</w:t>
      </w:r>
      <w:r w:rsidRPr="00DB40BF">
        <w:t>PDA</w:t>
      </w:r>
      <w:r w:rsidR="006B4521" w:rsidRPr="00DB40BF">
        <w:t>)</w:t>
      </w:r>
      <w:r w:rsidRPr="00DB40BF">
        <w:t xml:space="preserve"> system. Through the PDA process</w:t>
      </w:r>
      <w:r w:rsidR="00D443E5" w:rsidRPr="00DB40BF">
        <w:t>,</w:t>
      </w:r>
      <w:r w:rsidRPr="00DB40BF">
        <w:t xml:space="preserve"> all staff participate in two </w:t>
      </w:r>
      <w:r w:rsidRPr="00D80987">
        <w:t xml:space="preserve">formal meetings </w:t>
      </w:r>
      <w:r>
        <w:t xml:space="preserve">with their supervisor </w:t>
      </w:r>
      <w:r w:rsidRPr="00D80987">
        <w:t>each year to discuss performance, provide feedba</w:t>
      </w:r>
      <w:r>
        <w:t xml:space="preserve">ck, and develop action plans to improve performance and/or capability. </w:t>
      </w:r>
    </w:p>
    <w:p w14:paraId="05731EEB" w14:textId="55EDDA23" w:rsidR="00B016C7" w:rsidRPr="001C4182" w:rsidRDefault="001C4182" w:rsidP="004930E9">
      <w:pPr>
        <w:pStyle w:val="Heading4"/>
        <w:ind w:left="0"/>
      </w:pPr>
      <w:r w:rsidRPr="001C4182">
        <w:t>Performance and competency development</w:t>
      </w:r>
    </w:p>
    <w:p w14:paraId="12A0915F" w14:textId="4508AAD5" w:rsidR="001C4182" w:rsidRDefault="001C4182" w:rsidP="001C4182">
      <w:pPr>
        <w:keepLines w:val="0"/>
      </w:pPr>
      <w:r>
        <w:t>A review of the existing performance management system was undertaken and</w:t>
      </w:r>
      <w:r w:rsidR="00D443E5">
        <w:t>,</w:t>
      </w:r>
      <w:r>
        <w:t xml:space="preserve"> coupled with results from past audits</w:t>
      </w:r>
      <w:r w:rsidR="00D443E5">
        <w:t xml:space="preserve">, identified </w:t>
      </w:r>
      <w:r w:rsidR="006E4EAC">
        <w:t xml:space="preserve">a need </w:t>
      </w:r>
      <w:r>
        <w:t xml:space="preserve">to implement an online performance management system. </w:t>
      </w:r>
    </w:p>
    <w:p w14:paraId="6D074E7C" w14:textId="3154FFB0" w:rsidR="006E4EAC" w:rsidRDefault="006E4EAC" w:rsidP="001C4182">
      <w:pPr>
        <w:keepLines w:val="0"/>
      </w:pPr>
      <w:r>
        <w:t>In 2017/18, WorkCover WA scoped the requirements for an online system and engaged a service provider to ensure readiness for implementation. The new system will reduce the administrative burden emanating from paper-based performance managing, and will allow for automated reminders and improved access to historical performance reviews.</w:t>
      </w:r>
    </w:p>
    <w:p w14:paraId="1FDE61A7" w14:textId="5891FFB7" w:rsidR="006E4EAC" w:rsidRDefault="000618D7" w:rsidP="001C4182">
      <w:pPr>
        <w:keepLines w:val="0"/>
      </w:pPr>
      <w:r>
        <w:t xml:space="preserve">The online system will be launched </w:t>
      </w:r>
      <w:r w:rsidR="006E4EAC">
        <w:t>next financial year.</w:t>
      </w:r>
    </w:p>
    <w:p w14:paraId="1A0859C3" w14:textId="0C393049" w:rsidR="00FB3B7A" w:rsidRPr="00A50832" w:rsidRDefault="00201B0B" w:rsidP="00813D32">
      <w:pPr>
        <w:pStyle w:val="Heading2nonumber"/>
      </w:pPr>
      <w:bookmarkStart w:id="488" w:name="_Toc426617544"/>
      <w:bookmarkStart w:id="489" w:name="_Toc450900768"/>
      <w:bookmarkStart w:id="490" w:name="_Toc525122064"/>
      <w:r w:rsidRPr="00A50832">
        <w:t xml:space="preserve">Attraction and </w:t>
      </w:r>
      <w:r w:rsidR="00906BAA" w:rsidRPr="00A50832">
        <w:t>r</w:t>
      </w:r>
      <w:r w:rsidRPr="00A50832">
        <w:t>etention</w:t>
      </w:r>
      <w:bookmarkEnd w:id="488"/>
      <w:bookmarkEnd w:id="489"/>
      <w:bookmarkEnd w:id="490"/>
      <w:r w:rsidRPr="00A50832">
        <w:t xml:space="preserve"> </w:t>
      </w:r>
    </w:p>
    <w:p w14:paraId="61470997" w14:textId="688D255E" w:rsidR="00E9100C" w:rsidRDefault="003D5822" w:rsidP="00E9100C">
      <w:pPr>
        <w:pStyle w:val="Heading3nonumber"/>
      </w:pPr>
      <w:bookmarkStart w:id="491" w:name="_Toc525122065"/>
      <w:r w:rsidRPr="00952CCA">
        <w:t>Graduate Program</w:t>
      </w:r>
      <w:bookmarkEnd w:id="491"/>
    </w:p>
    <w:p w14:paraId="0F79D146" w14:textId="77777777" w:rsidR="0042211C" w:rsidRDefault="00762053" w:rsidP="000252CF">
      <w:r>
        <w:t>T</w:t>
      </w:r>
      <w:r w:rsidR="00146331">
        <w:t>he</w:t>
      </w:r>
      <w:r w:rsidR="000252CF">
        <w:t xml:space="preserve"> 2017/18 </w:t>
      </w:r>
      <w:r w:rsidR="00146331">
        <w:t>graduate program sought</w:t>
      </w:r>
      <w:r w:rsidR="00E9100C">
        <w:t xml:space="preserve"> </w:t>
      </w:r>
      <w:r w:rsidR="000252CF">
        <w:t>graduates to perf</w:t>
      </w:r>
      <w:r w:rsidR="00E9100C">
        <w:t>orm dedicated roles within the A</w:t>
      </w:r>
      <w:r w:rsidR="000252CF">
        <w:t>gency compatible with their qualificat</w:t>
      </w:r>
      <w:r w:rsidR="0042211C">
        <w:t xml:space="preserve">ions and employment aspirations. This is a continuation of the approach adopted last financial year. </w:t>
      </w:r>
    </w:p>
    <w:p w14:paraId="141E6D84" w14:textId="4F5E30C9" w:rsidR="000252CF" w:rsidRDefault="000252CF" w:rsidP="000252CF">
      <w:r>
        <w:t xml:space="preserve">One graduate commenced in February 2018 to undertake a dedicated role in the Business Intelligence Branch. In addition to the core responsibility of her position, the graduate also participated in the Graduate Development Program sponsored by the </w:t>
      </w:r>
      <w:r w:rsidRPr="00DB40BF">
        <w:t>Public Sector Commission (PSC).</w:t>
      </w:r>
    </w:p>
    <w:p w14:paraId="32F35D3B" w14:textId="4576D14F" w:rsidR="000252CF" w:rsidRPr="002C0154" w:rsidRDefault="000252CF" w:rsidP="000252CF">
      <w:r>
        <w:t>The two graduates recruited in January 2017 successfully completed the PSC Graduate Development Program this financial year.</w:t>
      </w:r>
    </w:p>
    <w:p w14:paraId="4E9FD20A" w14:textId="602B2A8B" w:rsidR="00813D32" w:rsidRDefault="00813D32" w:rsidP="00813D32">
      <w:pPr>
        <w:pStyle w:val="Heading3nonumber"/>
      </w:pPr>
      <w:bookmarkStart w:id="492" w:name="_Toc525122066"/>
      <w:r>
        <w:t>I</w:t>
      </w:r>
      <w:r w:rsidR="003D5822">
        <w:t>nnovative r</w:t>
      </w:r>
      <w:r>
        <w:t>ecruitment</w:t>
      </w:r>
      <w:bookmarkEnd w:id="492"/>
    </w:p>
    <w:p w14:paraId="619D707F" w14:textId="77777777" w:rsidR="000252CF" w:rsidRDefault="000252CF" w:rsidP="000252CF">
      <w:pPr>
        <w:rPr>
          <w:lang w:val="en-US"/>
        </w:rPr>
      </w:pPr>
      <w:bookmarkStart w:id="493" w:name="_Toc426617545"/>
      <w:bookmarkStart w:id="494" w:name="_Toc450900769"/>
      <w:r>
        <w:rPr>
          <w:lang w:val="en-US"/>
        </w:rPr>
        <w:t xml:space="preserve">The Innovative Recruitment Strategy reviewed current WorkCover WA attraction, selection and assessment practices to identify improvements and enhance talent attraction and retention. </w:t>
      </w:r>
    </w:p>
    <w:p w14:paraId="2470D35A" w14:textId="5B630C44" w:rsidR="000252CF" w:rsidRDefault="000252CF" w:rsidP="000252CF">
      <w:pPr>
        <w:rPr>
          <w:lang w:val="en-US"/>
        </w:rPr>
      </w:pPr>
      <w:r>
        <w:rPr>
          <w:lang w:val="en-US"/>
        </w:rPr>
        <w:t>In 2017/18</w:t>
      </w:r>
      <w:r w:rsidR="000D4858">
        <w:rPr>
          <w:lang w:val="en-US"/>
        </w:rPr>
        <w:t>,</w:t>
      </w:r>
      <w:r>
        <w:rPr>
          <w:lang w:val="en-US"/>
        </w:rPr>
        <w:t xml:space="preserve"> WorkCover WA implemented revised recruitment, selection and assessment methods, including:</w:t>
      </w:r>
    </w:p>
    <w:p w14:paraId="1768EF73" w14:textId="1F62487F" w:rsidR="000252CF" w:rsidRDefault="000252CF" w:rsidP="000252CF">
      <w:pPr>
        <w:pStyle w:val="BulletListLevel1"/>
        <w:rPr>
          <w:lang w:val="en-US"/>
        </w:rPr>
      </w:pPr>
      <w:r>
        <w:rPr>
          <w:lang w:val="en-US"/>
        </w:rPr>
        <w:t>improving the Careers page on the WorkCover WA website</w:t>
      </w:r>
    </w:p>
    <w:p w14:paraId="492B5B81" w14:textId="01DA78D4" w:rsidR="000252CF" w:rsidRDefault="000252CF" w:rsidP="000252CF">
      <w:pPr>
        <w:pStyle w:val="BulletListLevel1"/>
        <w:rPr>
          <w:lang w:val="en-US"/>
        </w:rPr>
      </w:pPr>
      <w:r>
        <w:rPr>
          <w:lang w:val="en-US"/>
        </w:rPr>
        <w:t>integrating context statements into selection criteria</w:t>
      </w:r>
    </w:p>
    <w:p w14:paraId="1883E171" w14:textId="478E4F42" w:rsidR="000252CF" w:rsidRDefault="000252CF" w:rsidP="000252CF">
      <w:pPr>
        <w:pStyle w:val="BulletListLevel1"/>
        <w:rPr>
          <w:lang w:val="en-US"/>
        </w:rPr>
      </w:pPr>
      <w:r>
        <w:rPr>
          <w:lang w:val="en-US"/>
        </w:rPr>
        <w:t>utilising free-form interview questions</w:t>
      </w:r>
    </w:p>
    <w:p w14:paraId="39836367" w14:textId="4A9BF19B" w:rsidR="000252CF" w:rsidRPr="009A628A" w:rsidRDefault="000252CF" w:rsidP="009A628A">
      <w:pPr>
        <w:pStyle w:val="BulletListLevel1"/>
        <w:rPr>
          <w:lang w:val="en-US"/>
        </w:rPr>
      </w:pPr>
      <w:r>
        <w:rPr>
          <w:lang w:val="en-US"/>
        </w:rPr>
        <w:t>increas</w:t>
      </w:r>
      <w:r w:rsidR="000D4858">
        <w:rPr>
          <w:lang w:val="en-US"/>
        </w:rPr>
        <w:t>ing</w:t>
      </w:r>
      <w:r>
        <w:rPr>
          <w:lang w:val="en-US"/>
        </w:rPr>
        <w:t xml:space="preserve"> adoption of personality testing.</w:t>
      </w:r>
    </w:p>
    <w:p w14:paraId="0827A3B9" w14:textId="1E742409" w:rsidR="000252CF" w:rsidRPr="002C0154" w:rsidRDefault="000252CF" w:rsidP="000252CF">
      <w:pPr>
        <w:rPr>
          <w:lang w:val="en-US"/>
        </w:rPr>
      </w:pPr>
      <w:r>
        <w:rPr>
          <w:lang w:val="en-US"/>
        </w:rPr>
        <w:t>The Innovative Recruitment Strategy is now part of WorkCover WA’s mainstream recruitment and selection process.</w:t>
      </w:r>
    </w:p>
    <w:p w14:paraId="34A2B2AD" w14:textId="61666561" w:rsidR="00B652EE" w:rsidRPr="00813D32" w:rsidRDefault="00B652EE" w:rsidP="00813D32">
      <w:pPr>
        <w:rPr>
          <w:b/>
        </w:rPr>
      </w:pPr>
      <w:r w:rsidRPr="00813D32">
        <w:rPr>
          <w:b/>
        </w:rPr>
        <w:t>Careers page</w:t>
      </w:r>
    </w:p>
    <w:p w14:paraId="5911BC32" w14:textId="758B95C4" w:rsidR="00813D32" w:rsidRDefault="000D4858" w:rsidP="00A61634">
      <w:r>
        <w:t>In October 2017,</w:t>
      </w:r>
      <w:r w:rsidR="00F91364">
        <w:t xml:space="preserve"> </w:t>
      </w:r>
      <w:r w:rsidR="0050432A">
        <w:t xml:space="preserve">a new Careers page </w:t>
      </w:r>
      <w:r>
        <w:t xml:space="preserve">was launched </w:t>
      </w:r>
      <w:r w:rsidR="0050432A">
        <w:t xml:space="preserve">on </w:t>
      </w:r>
      <w:r w:rsidRPr="000D4858">
        <w:rPr>
          <w:color w:val="0000FF"/>
          <w:u w:val="single"/>
        </w:rPr>
        <w:t>workcover.wa.gov.au</w:t>
      </w:r>
      <w:r>
        <w:t xml:space="preserve"> that </w:t>
      </w:r>
      <w:r w:rsidR="00F91364">
        <w:t xml:space="preserve">is easier to navigate </w:t>
      </w:r>
      <w:r w:rsidR="0050432A">
        <w:t>an</w:t>
      </w:r>
      <w:r w:rsidR="00F91364">
        <w:t xml:space="preserve">d </w:t>
      </w:r>
      <w:r>
        <w:t xml:space="preserve">more </w:t>
      </w:r>
      <w:r w:rsidR="0050432A">
        <w:t xml:space="preserve">attractive to applicants seeking employment </w:t>
      </w:r>
      <w:r>
        <w:t>with WorkCover WA</w:t>
      </w:r>
      <w:r w:rsidR="0050432A">
        <w:t>.</w:t>
      </w:r>
    </w:p>
    <w:p w14:paraId="06FD7EB0" w14:textId="071C2578" w:rsidR="000D4858" w:rsidRDefault="000D4858" w:rsidP="00A61634">
      <w:r>
        <w:t xml:space="preserve">The new Careers page is an </w:t>
      </w:r>
      <w:r w:rsidR="00B07706">
        <w:t>education source for</w:t>
      </w:r>
      <w:r>
        <w:t xml:space="preserve"> prospective jobseekers, and contains information on the benefits of working with our Agency. The page also includes current staff profiles to provide applicants with an idea of the work undertaken by Agency staff.</w:t>
      </w:r>
    </w:p>
    <w:p w14:paraId="0A489FA8" w14:textId="6DE12FE5" w:rsidR="006D48C1" w:rsidRDefault="006D48C1" w:rsidP="006F2F0B">
      <w:pPr>
        <w:pStyle w:val="Heading1nonumber"/>
      </w:pPr>
      <w:bookmarkStart w:id="495" w:name="_Toc399317011"/>
      <w:bookmarkStart w:id="496" w:name="_Toc426617547"/>
      <w:bookmarkStart w:id="497" w:name="_Toc450900771"/>
      <w:bookmarkStart w:id="498" w:name="_Toc525122067"/>
      <w:bookmarkEnd w:id="493"/>
      <w:bookmarkEnd w:id="494"/>
      <w:r>
        <w:t>Equality and inclusion</w:t>
      </w:r>
      <w:bookmarkEnd w:id="495"/>
      <w:bookmarkEnd w:id="496"/>
      <w:bookmarkEnd w:id="497"/>
      <w:bookmarkEnd w:id="498"/>
    </w:p>
    <w:tbl>
      <w:tblPr>
        <w:tblW w:w="0" w:type="auto"/>
        <w:tblInd w:w="80"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Pr>
      <w:tblGrid>
        <w:gridCol w:w="8706"/>
      </w:tblGrid>
      <w:tr w:rsidR="00B26D41" w:rsidRPr="00630BE0" w14:paraId="38D19C55" w14:textId="77777777" w:rsidTr="00DB40BF">
        <w:trPr>
          <w:trHeight w:val="60"/>
        </w:trPr>
        <w:tc>
          <w:tcPr>
            <w:tcW w:w="8706" w:type="dxa"/>
            <w:shd w:val="clear" w:color="auto" w:fill="003F5F"/>
            <w:tcMar>
              <w:top w:w="113" w:type="dxa"/>
              <w:left w:w="80" w:type="dxa"/>
              <w:bottom w:w="113" w:type="dxa"/>
              <w:right w:w="80" w:type="dxa"/>
            </w:tcMar>
          </w:tcPr>
          <w:p w14:paraId="6779702F" w14:textId="3CD64D47" w:rsidR="00B26D41" w:rsidRPr="000D4B1A" w:rsidRDefault="00B26D41" w:rsidP="003C2788">
            <w:pPr>
              <w:rPr>
                <w:rStyle w:val="Strong"/>
              </w:rPr>
            </w:pPr>
            <w:r w:rsidRPr="00B26D41">
              <w:rPr>
                <w:rStyle w:val="Strong"/>
                <w:color w:val="FFFFFF" w:themeColor="background1"/>
              </w:rPr>
              <w:t xml:space="preserve">The following initiatives all fall under the banner of the Equal Employment Opportunity </w:t>
            </w:r>
            <w:r w:rsidR="001C2F17">
              <w:rPr>
                <w:rStyle w:val="Strong"/>
                <w:color w:val="FFFFFF" w:themeColor="background1"/>
              </w:rPr>
              <w:t xml:space="preserve">Management </w:t>
            </w:r>
            <w:r w:rsidRPr="00B26D41">
              <w:rPr>
                <w:rStyle w:val="Strong"/>
                <w:color w:val="FFFFFF" w:themeColor="background1"/>
              </w:rPr>
              <w:t>Plan</w:t>
            </w:r>
            <w:r w:rsidR="00FD5205">
              <w:rPr>
                <w:rStyle w:val="Strong"/>
                <w:color w:val="FFFFFF" w:themeColor="background1"/>
              </w:rPr>
              <w:t xml:space="preserve"> (which </w:t>
            </w:r>
            <w:r w:rsidR="003C2788">
              <w:rPr>
                <w:rStyle w:val="Strong"/>
                <w:color w:val="FFFFFF" w:themeColor="background1"/>
              </w:rPr>
              <w:t xml:space="preserve">forms part of </w:t>
            </w:r>
            <w:r w:rsidR="00FD5205">
              <w:rPr>
                <w:rStyle w:val="Strong"/>
                <w:color w:val="FFFFFF" w:themeColor="background1"/>
              </w:rPr>
              <w:t>our Strategic Workforce Plan)</w:t>
            </w:r>
            <w:r w:rsidRPr="00B26D41">
              <w:rPr>
                <w:rStyle w:val="Strong"/>
                <w:color w:val="FFFFFF" w:themeColor="background1"/>
              </w:rPr>
              <w:t>. All initiatives are aligned with, and contribute to, WorkCover WA strategic goal:</w:t>
            </w:r>
          </w:p>
        </w:tc>
      </w:tr>
      <w:tr w:rsidR="00B26D41" w:rsidRPr="005D768A" w14:paraId="29FCF83F" w14:textId="77777777" w:rsidTr="00DB40BF">
        <w:trPr>
          <w:trHeight w:val="825"/>
        </w:trPr>
        <w:tc>
          <w:tcPr>
            <w:tcW w:w="8706" w:type="dxa"/>
            <w:tcMar>
              <w:top w:w="113" w:type="dxa"/>
              <w:left w:w="80" w:type="dxa"/>
              <w:bottom w:w="113" w:type="dxa"/>
              <w:right w:w="80" w:type="dxa"/>
            </w:tcMar>
          </w:tcPr>
          <w:p w14:paraId="7F242DC6" w14:textId="357DF090" w:rsidR="00B26D41" w:rsidRPr="00B26D41" w:rsidRDefault="00B26D41" w:rsidP="00D31603">
            <w:pPr>
              <w:rPr>
                <w:rStyle w:val="Strong"/>
                <w:b w:val="0"/>
                <w:color w:val="FF0000"/>
              </w:rPr>
            </w:pPr>
            <w:r w:rsidRPr="00B26D41">
              <w:rPr>
                <w:rStyle w:val="Strong"/>
                <w:b w:val="0"/>
              </w:rPr>
              <w:t xml:space="preserve">3 – </w:t>
            </w:r>
            <w:r w:rsidR="00444E80">
              <w:rPr>
                <w:rStyle w:val="Strong"/>
                <w:b w:val="0"/>
              </w:rPr>
              <w:t>Agile and</w:t>
            </w:r>
            <w:r w:rsidRPr="00B26D41">
              <w:rPr>
                <w:rStyle w:val="Strong"/>
                <w:b w:val="0"/>
              </w:rPr>
              <w:t xml:space="preserve"> innovative organisation </w:t>
            </w:r>
          </w:p>
        </w:tc>
      </w:tr>
    </w:tbl>
    <w:p w14:paraId="68CC5157" w14:textId="77777777" w:rsidR="006F7496" w:rsidRPr="00F22490" w:rsidRDefault="005A185F" w:rsidP="006F2F0B">
      <w:pPr>
        <w:pStyle w:val="Heading2nonumber"/>
      </w:pPr>
      <w:bookmarkStart w:id="499" w:name="_Toc426617548"/>
      <w:bookmarkStart w:id="500" w:name="_Toc450900772"/>
      <w:bookmarkStart w:id="501" w:name="_Toc525122068"/>
      <w:r w:rsidRPr="00A50832">
        <w:t>Disab</w:t>
      </w:r>
      <w:r w:rsidR="001206ED" w:rsidRPr="00A50832">
        <w:t>ility Access and Inclusion Plan</w:t>
      </w:r>
      <w:bookmarkEnd w:id="499"/>
      <w:bookmarkEnd w:id="500"/>
      <w:bookmarkEnd w:id="501"/>
    </w:p>
    <w:p w14:paraId="2F793E79" w14:textId="515085E1" w:rsidR="003755F5" w:rsidRPr="001311D7" w:rsidRDefault="003755F5" w:rsidP="003755F5">
      <w:bookmarkStart w:id="502" w:name="_Toc426617549"/>
      <w:bookmarkStart w:id="503" w:name="_Toc450900773"/>
      <w:r w:rsidRPr="001311D7">
        <w:t>Through the implementation of its</w:t>
      </w:r>
      <w:r w:rsidRPr="008D0819">
        <w:t xml:space="preserve"> Disability Access and Inclusion Plan</w:t>
      </w:r>
      <w:r>
        <w:t xml:space="preserve"> (the Plan)</w:t>
      </w:r>
      <w:r w:rsidRPr="008D0819">
        <w:t>,</w:t>
      </w:r>
      <w:r w:rsidRPr="001311D7">
        <w:t xml:space="preserve"> WorkCover WA recognises and commits to the inclusion of people with disability (both internal and external to the Agency) by ensuring they have </w:t>
      </w:r>
      <w:r>
        <w:t>appropriate</w:t>
      </w:r>
      <w:r w:rsidRPr="001311D7">
        <w:t xml:space="preserve"> access to our facilities and services. </w:t>
      </w:r>
    </w:p>
    <w:p w14:paraId="595E6D6A" w14:textId="00A586C4" w:rsidR="003755F5" w:rsidRPr="001311D7" w:rsidRDefault="003755F5" w:rsidP="003755F5">
      <w:r w:rsidRPr="001311D7">
        <w:t xml:space="preserve">WorkCover WA’s Equity and Diversity Committee meets quarterly and is responsible for delivery of the initiatives included in the </w:t>
      </w:r>
      <w:r>
        <w:t>Plan</w:t>
      </w:r>
      <w:r w:rsidRPr="001311D7">
        <w:t xml:space="preserve">. </w:t>
      </w:r>
      <w:r w:rsidR="00DB6BA1">
        <w:t xml:space="preserve"> Further information </w:t>
      </w:r>
      <w:r w:rsidR="00A9187B">
        <w:t>about</w:t>
      </w:r>
      <w:r w:rsidR="00DB6BA1">
        <w:t xml:space="preserve"> the Committee can be found on </w:t>
      </w:r>
      <w:r w:rsidR="00DB6BA1" w:rsidRPr="00104470">
        <w:t xml:space="preserve">page </w:t>
      </w:r>
      <w:r w:rsidR="00104470" w:rsidRPr="00104470">
        <w:t>41</w:t>
      </w:r>
      <w:r w:rsidR="00DB6BA1" w:rsidRPr="00104470">
        <w:t>.</w:t>
      </w:r>
    </w:p>
    <w:p w14:paraId="169863F6" w14:textId="4B95F64B" w:rsidR="003755F5" w:rsidRDefault="003755F5" w:rsidP="003755F5">
      <w:pPr>
        <w:rPr>
          <w:bCs/>
        </w:rPr>
      </w:pPr>
      <w:r w:rsidRPr="001311D7">
        <w:rPr>
          <w:bCs/>
        </w:rPr>
        <w:t>During the year</w:t>
      </w:r>
      <w:r w:rsidR="00DB6BA1">
        <w:rPr>
          <w:bCs/>
        </w:rPr>
        <w:t>,</w:t>
      </w:r>
      <w:r w:rsidRPr="001311D7">
        <w:rPr>
          <w:bCs/>
        </w:rPr>
        <w:t xml:space="preserve"> WorkCover WA utilised the website</w:t>
      </w:r>
      <w:r>
        <w:rPr>
          <w:bCs/>
        </w:rPr>
        <w:t xml:space="preserve"> and </w:t>
      </w:r>
      <w:r w:rsidRPr="001311D7">
        <w:rPr>
          <w:bCs/>
        </w:rPr>
        <w:t xml:space="preserve">intranet to promote </w:t>
      </w:r>
      <w:r>
        <w:rPr>
          <w:bCs/>
        </w:rPr>
        <w:t>the</w:t>
      </w:r>
      <w:r w:rsidRPr="001311D7">
        <w:rPr>
          <w:bCs/>
        </w:rPr>
        <w:t xml:space="preserve"> commitment </w:t>
      </w:r>
      <w:r>
        <w:rPr>
          <w:bCs/>
        </w:rPr>
        <w:t>contained within</w:t>
      </w:r>
      <w:r w:rsidRPr="001311D7">
        <w:rPr>
          <w:bCs/>
        </w:rPr>
        <w:t xml:space="preserve"> the </w:t>
      </w:r>
      <w:r>
        <w:rPr>
          <w:bCs/>
        </w:rPr>
        <w:t>Plan</w:t>
      </w:r>
      <w:r w:rsidRPr="001311D7">
        <w:rPr>
          <w:bCs/>
        </w:rPr>
        <w:t xml:space="preserve"> to people with disability, internal staff and external contractors.</w:t>
      </w:r>
    </w:p>
    <w:p w14:paraId="192CD864" w14:textId="4092DCBF" w:rsidR="003755F5" w:rsidRDefault="003755F5" w:rsidP="003755F5">
      <w:pPr>
        <w:rPr>
          <w:bCs/>
        </w:rPr>
      </w:pPr>
      <w:r>
        <w:rPr>
          <w:bCs/>
        </w:rPr>
        <w:t>Specific initiatives arising from the Plan in 2017/18 include:</w:t>
      </w:r>
    </w:p>
    <w:p w14:paraId="34306B58" w14:textId="62369201" w:rsidR="003755F5" w:rsidRDefault="003755F5" w:rsidP="003755F5">
      <w:pPr>
        <w:pStyle w:val="BulletListLevel1"/>
      </w:pPr>
      <w:r>
        <w:t>intranet articles promoting Disability Awareness Week and Mental Health Week</w:t>
      </w:r>
    </w:p>
    <w:p w14:paraId="5D2B53B1" w14:textId="56D21B97" w:rsidR="003755F5" w:rsidRDefault="003755F5" w:rsidP="003755F5">
      <w:pPr>
        <w:pStyle w:val="BulletListLevel1"/>
      </w:pPr>
      <w:r>
        <w:t>Mental Health Safety Training for supervisory staff</w:t>
      </w:r>
    </w:p>
    <w:p w14:paraId="4BB76CB4" w14:textId="57A1A047" w:rsidR="003755F5" w:rsidRDefault="00A9187B" w:rsidP="003755F5">
      <w:pPr>
        <w:pStyle w:val="BulletListLevel1"/>
      </w:pPr>
      <w:r>
        <w:t>commencement of a project to ensure improved accessibility to WorkCover WA publications</w:t>
      </w:r>
    </w:p>
    <w:p w14:paraId="3D79168F" w14:textId="355A149D" w:rsidR="003755F5" w:rsidRDefault="00A9187B" w:rsidP="003755F5">
      <w:pPr>
        <w:pStyle w:val="BulletListLevel1"/>
      </w:pPr>
      <w:r>
        <w:t xml:space="preserve">completion of an audit to identify staff requiring physical assistance during emergency evacuations. </w:t>
      </w:r>
    </w:p>
    <w:p w14:paraId="2DF3A7E3" w14:textId="1EDDDEFB" w:rsidR="005A185F" w:rsidRDefault="005A185F" w:rsidP="00A22AB8">
      <w:pPr>
        <w:pStyle w:val="Heading2nonumber"/>
      </w:pPr>
      <w:bookmarkStart w:id="504" w:name="_Toc426617550"/>
      <w:bookmarkStart w:id="505" w:name="_Toc450900774"/>
      <w:bookmarkStart w:id="506" w:name="_Toc525122069"/>
      <w:bookmarkEnd w:id="502"/>
      <w:bookmarkEnd w:id="503"/>
      <w:r w:rsidRPr="00A50832">
        <w:t>Reconciliation Action Plan</w:t>
      </w:r>
      <w:bookmarkEnd w:id="504"/>
      <w:bookmarkEnd w:id="505"/>
      <w:bookmarkEnd w:id="506"/>
    </w:p>
    <w:p w14:paraId="346C6C6C" w14:textId="44CFCC95" w:rsidR="00B20F22" w:rsidRDefault="00B66538" w:rsidP="00B66538">
      <w:pPr>
        <w:rPr>
          <w:rFonts w:eastAsiaTheme="minorHAnsi"/>
        </w:rPr>
      </w:pPr>
      <w:bookmarkStart w:id="507" w:name="_Toc399317013"/>
      <w:bookmarkStart w:id="508" w:name="_Toc426617551"/>
      <w:bookmarkStart w:id="509" w:name="_Toc450900775"/>
      <w:r>
        <w:rPr>
          <w:rFonts w:eastAsiaTheme="minorHAnsi"/>
        </w:rPr>
        <w:t>WorkCover WA has a Reconciliation Action Plan to raise awareness about the culture and values of Aboriginal and Torres Strait Islander Australians.</w:t>
      </w:r>
    </w:p>
    <w:p w14:paraId="2280DDF5" w14:textId="353DB94B" w:rsidR="00B66538" w:rsidRDefault="00B66538" w:rsidP="00B66538">
      <w:pPr>
        <w:rPr>
          <w:rFonts w:eastAsiaTheme="minorHAnsi"/>
        </w:rPr>
      </w:pPr>
      <w:r>
        <w:rPr>
          <w:rFonts w:eastAsiaTheme="minorHAnsi"/>
        </w:rPr>
        <w:t xml:space="preserve">Reconciliation Action Plan initiatives </w:t>
      </w:r>
      <w:r w:rsidR="00387A6C">
        <w:rPr>
          <w:rFonts w:eastAsiaTheme="minorHAnsi"/>
        </w:rPr>
        <w:t>completed in 2017/18, included</w:t>
      </w:r>
      <w:r>
        <w:rPr>
          <w:rFonts w:eastAsiaTheme="minorHAnsi"/>
        </w:rPr>
        <w:t>:</w:t>
      </w:r>
    </w:p>
    <w:p w14:paraId="72E83C07" w14:textId="5797B85A" w:rsidR="00B66538" w:rsidRDefault="003050E6" w:rsidP="00B66538">
      <w:pPr>
        <w:pStyle w:val="BulletListLevel1"/>
        <w:rPr>
          <w:rFonts w:eastAsiaTheme="minorHAnsi"/>
        </w:rPr>
      </w:pPr>
      <w:r>
        <w:rPr>
          <w:rFonts w:eastAsiaTheme="minorHAnsi"/>
        </w:rPr>
        <w:t>i</w:t>
      </w:r>
      <w:r w:rsidR="00B66538">
        <w:rPr>
          <w:rFonts w:eastAsiaTheme="minorHAnsi"/>
        </w:rPr>
        <w:t xml:space="preserve">ntranet articles promoting and </w:t>
      </w:r>
      <w:r w:rsidR="00AF2DDC">
        <w:rPr>
          <w:rFonts w:eastAsiaTheme="minorHAnsi"/>
        </w:rPr>
        <w:t>celebrating</w:t>
      </w:r>
      <w:r w:rsidR="00B66538">
        <w:rPr>
          <w:rFonts w:eastAsiaTheme="minorHAnsi"/>
        </w:rPr>
        <w:t xml:space="preserve"> NAIDOC Week and National Reconciliation Week</w:t>
      </w:r>
    </w:p>
    <w:p w14:paraId="4988219B" w14:textId="53B136AE" w:rsidR="00B66538" w:rsidRDefault="003050E6" w:rsidP="00B66538">
      <w:pPr>
        <w:pStyle w:val="BulletListLevel1"/>
        <w:rPr>
          <w:rFonts w:eastAsiaTheme="minorHAnsi"/>
        </w:rPr>
      </w:pPr>
      <w:r>
        <w:rPr>
          <w:rFonts w:eastAsiaTheme="minorHAnsi"/>
        </w:rPr>
        <w:t>c</w:t>
      </w:r>
      <w:r w:rsidR="00B66538">
        <w:rPr>
          <w:rFonts w:eastAsiaTheme="minorHAnsi"/>
        </w:rPr>
        <w:t xml:space="preserve">ultural awareness training provided to new </w:t>
      </w:r>
      <w:r w:rsidR="00387A6C">
        <w:rPr>
          <w:rFonts w:eastAsiaTheme="minorHAnsi"/>
        </w:rPr>
        <w:t>staff</w:t>
      </w:r>
    </w:p>
    <w:p w14:paraId="774E6A99" w14:textId="508B923E" w:rsidR="00B66538" w:rsidRDefault="003050E6" w:rsidP="00B66538">
      <w:pPr>
        <w:pStyle w:val="BulletListLevel1"/>
        <w:rPr>
          <w:rFonts w:eastAsiaTheme="minorHAnsi"/>
        </w:rPr>
      </w:pPr>
      <w:r>
        <w:rPr>
          <w:rFonts w:eastAsiaTheme="minorHAnsi"/>
        </w:rPr>
        <w:t>r</w:t>
      </w:r>
      <w:r w:rsidR="00B66538">
        <w:rPr>
          <w:rFonts w:eastAsiaTheme="minorHAnsi"/>
        </w:rPr>
        <w:t>egular monitoring of actions by the Equity and Diversity Committee</w:t>
      </w:r>
    </w:p>
    <w:p w14:paraId="6552A003" w14:textId="1B21ED2F" w:rsidR="00B66538" w:rsidRDefault="003050E6" w:rsidP="00B66538">
      <w:pPr>
        <w:pStyle w:val="BulletListLevel1"/>
        <w:rPr>
          <w:rFonts w:eastAsiaTheme="minorHAnsi"/>
        </w:rPr>
      </w:pPr>
      <w:r>
        <w:rPr>
          <w:rFonts w:eastAsiaTheme="minorHAnsi"/>
        </w:rPr>
        <w:t>i</w:t>
      </w:r>
      <w:r w:rsidR="00B66538">
        <w:rPr>
          <w:rFonts w:eastAsiaTheme="minorHAnsi"/>
        </w:rPr>
        <w:t>ncreased engagement with Aboriginal and Torres Strait Islander businesses on the procurement of goods and services.</w:t>
      </w:r>
    </w:p>
    <w:p w14:paraId="133E733E" w14:textId="5CFD808B" w:rsidR="00B66538" w:rsidRPr="002C0154" w:rsidRDefault="003050E6" w:rsidP="00B66538">
      <w:pPr>
        <w:rPr>
          <w:rFonts w:eastAsiaTheme="minorHAnsi"/>
        </w:rPr>
      </w:pPr>
      <w:r>
        <w:rPr>
          <w:rFonts w:eastAsiaTheme="minorHAnsi"/>
        </w:rPr>
        <w:t>A review of the 2015–</w:t>
      </w:r>
      <w:r w:rsidR="00B66538">
        <w:rPr>
          <w:rFonts w:eastAsiaTheme="minorHAnsi"/>
        </w:rPr>
        <w:t>2018 Reconciliation Action Plan has been initiated with a view to finalising the new Plan by the first quarter of 2018/19.</w:t>
      </w:r>
    </w:p>
    <w:p w14:paraId="0A79DEA4" w14:textId="77777777" w:rsidR="000D0D01" w:rsidRPr="00F909F4" w:rsidRDefault="000D0D01" w:rsidP="000D0D01">
      <w:pPr>
        <w:pStyle w:val="Heading2nonumber"/>
      </w:pPr>
      <w:bookmarkStart w:id="510" w:name="_Toc525122070"/>
      <w:r w:rsidRPr="00957B71">
        <w:t>Traineeship program</w:t>
      </w:r>
      <w:bookmarkEnd w:id="510"/>
    </w:p>
    <w:p w14:paraId="263AB5CD" w14:textId="77777777" w:rsidR="00B66538" w:rsidRPr="00A22AB8" w:rsidRDefault="00B66538" w:rsidP="00B66538">
      <w:r w:rsidRPr="00A22AB8">
        <w:t>Primarily targeted at youth under the age of 25, WorkCover WA’s traineeship program also emphasises engagement with young Aboriginal and Torres Strait Islander Australians.</w:t>
      </w:r>
    </w:p>
    <w:p w14:paraId="355D3D5C" w14:textId="77777777" w:rsidR="00B66538" w:rsidRDefault="00B66538" w:rsidP="00B66538">
      <w:r w:rsidRPr="00A22AB8">
        <w:t>Trainees are supported in completing a Certificate III in Government while undertaking a range of work placements across the Agency. This arrangement provides trainees with skills and experience to enable them to be ‘job ready’ and skilled for future employment opportunities.</w:t>
      </w:r>
    </w:p>
    <w:p w14:paraId="5507BBA0" w14:textId="1B64DE86" w:rsidR="00B66538" w:rsidRPr="00A22AB8" w:rsidRDefault="00B66538" w:rsidP="00B66538">
      <w:r>
        <w:t xml:space="preserve">During 2017/18, WorkCover WA engaged one new trainee. A previous trainee completed a Certificate III in Government and has commenced a Certificate IV in Business. The trainee has been engaged on a contract basis since completing </w:t>
      </w:r>
      <w:r w:rsidR="00A9187B">
        <w:t>her</w:t>
      </w:r>
      <w:r>
        <w:t xml:space="preserve"> traineeship in September 2017.</w:t>
      </w:r>
    </w:p>
    <w:p w14:paraId="12B33054" w14:textId="195B08B9" w:rsidR="003C0D28" w:rsidRPr="004730F5" w:rsidRDefault="003C0D28" w:rsidP="004730F5">
      <w:pPr>
        <w:pStyle w:val="Heading1nonumber"/>
      </w:pPr>
      <w:bookmarkStart w:id="511" w:name="_Toc525122071"/>
      <w:r w:rsidRPr="00A50832">
        <w:t>Safety, health and wellbeing</w:t>
      </w:r>
      <w:bookmarkEnd w:id="507"/>
      <w:bookmarkEnd w:id="508"/>
      <w:bookmarkEnd w:id="509"/>
      <w:bookmarkEnd w:id="511"/>
    </w:p>
    <w:tbl>
      <w:tblPr>
        <w:tblW w:w="0" w:type="auto"/>
        <w:tblInd w:w="-5" w:type="dxa"/>
        <w:tblBorders>
          <w:top w:val="single" w:sz="2" w:space="0" w:color="9FBCD0"/>
          <w:left w:val="single" w:sz="2" w:space="0" w:color="9FBCD0"/>
          <w:bottom w:val="single" w:sz="2" w:space="0" w:color="9FBCD0"/>
          <w:right w:val="single" w:sz="2" w:space="0" w:color="9FBCD0"/>
          <w:insideH w:val="single" w:sz="2" w:space="0" w:color="9FBCD0"/>
          <w:insideV w:val="single" w:sz="2" w:space="0" w:color="9FBCD0"/>
        </w:tblBorders>
        <w:tblLayout w:type="fixed"/>
        <w:tblCellMar>
          <w:left w:w="0" w:type="dxa"/>
          <w:right w:w="0" w:type="dxa"/>
        </w:tblCellMar>
        <w:tblLook w:val="0000" w:firstRow="0" w:lastRow="0" w:firstColumn="0" w:lastColumn="0" w:noHBand="0" w:noVBand="0"/>
      </w:tblPr>
      <w:tblGrid>
        <w:gridCol w:w="8791"/>
      </w:tblGrid>
      <w:tr w:rsidR="00C14D9C" w:rsidRPr="0052441C" w14:paraId="133D17EC" w14:textId="77777777" w:rsidTr="00DB40BF">
        <w:trPr>
          <w:trHeight w:val="60"/>
        </w:trPr>
        <w:tc>
          <w:tcPr>
            <w:tcW w:w="8791" w:type="dxa"/>
            <w:shd w:val="clear" w:color="auto" w:fill="003F5F"/>
            <w:tcMar>
              <w:top w:w="113" w:type="dxa"/>
              <w:left w:w="80" w:type="dxa"/>
              <w:bottom w:w="113" w:type="dxa"/>
              <w:right w:w="80" w:type="dxa"/>
            </w:tcMar>
          </w:tcPr>
          <w:p w14:paraId="7BDAC824" w14:textId="70A774D5" w:rsidR="00C14D9C" w:rsidRPr="00814DCD" w:rsidRDefault="00C14D9C" w:rsidP="00D31603">
            <w:pPr>
              <w:rPr>
                <w:rStyle w:val="Strong"/>
              </w:rPr>
            </w:pPr>
            <w:r w:rsidRPr="00C14D9C">
              <w:rPr>
                <w:rStyle w:val="Strong"/>
                <w:color w:val="FFFFFF" w:themeColor="background1"/>
              </w:rPr>
              <w:t>The following initiative</w:t>
            </w:r>
            <w:r w:rsidR="00D23609">
              <w:rPr>
                <w:rStyle w:val="Strong"/>
                <w:color w:val="FFFFFF" w:themeColor="background1"/>
              </w:rPr>
              <w:t>s are aligned with, and contribute</w:t>
            </w:r>
            <w:r w:rsidRPr="00C14D9C">
              <w:rPr>
                <w:rStyle w:val="Strong"/>
                <w:color w:val="FFFFFF" w:themeColor="background1"/>
              </w:rPr>
              <w:t xml:space="preserve"> to, WorkCover WA strategic goal</w:t>
            </w:r>
          </w:p>
        </w:tc>
      </w:tr>
      <w:tr w:rsidR="00C14D9C" w:rsidRPr="0052441C" w14:paraId="7DB1A4B0" w14:textId="77777777" w:rsidTr="00DB40BF">
        <w:trPr>
          <w:trHeight w:val="593"/>
        </w:trPr>
        <w:tc>
          <w:tcPr>
            <w:tcW w:w="8791" w:type="dxa"/>
            <w:tcMar>
              <w:top w:w="113" w:type="dxa"/>
              <w:left w:w="80" w:type="dxa"/>
              <w:bottom w:w="113" w:type="dxa"/>
              <w:right w:w="80" w:type="dxa"/>
            </w:tcMar>
          </w:tcPr>
          <w:p w14:paraId="7F5BBEBF" w14:textId="648FC09E" w:rsidR="00C14D9C" w:rsidRPr="00C14D9C" w:rsidRDefault="00C14D9C" w:rsidP="00D31603">
            <w:pPr>
              <w:rPr>
                <w:b/>
                <w:highlight w:val="green"/>
                <w:lang w:val="en-GB" w:eastAsia="en-AU"/>
              </w:rPr>
            </w:pPr>
            <w:r w:rsidRPr="00C14D9C">
              <w:rPr>
                <w:rStyle w:val="Strong"/>
                <w:b w:val="0"/>
              </w:rPr>
              <w:t xml:space="preserve">3 – Agile and innovative organisation </w:t>
            </w:r>
          </w:p>
        </w:tc>
      </w:tr>
    </w:tbl>
    <w:p w14:paraId="2307E528" w14:textId="5BA40A59" w:rsidR="003C0D28" w:rsidRDefault="003C0D28" w:rsidP="006F2F0B">
      <w:pPr>
        <w:pStyle w:val="Heading2nonumber"/>
      </w:pPr>
      <w:bookmarkStart w:id="512" w:name="_Toc426617552"/>
      <w:bookmarkStart w:id="513" w:name="_Toc450900776"/>
      <w:bookmarkStart w:id="514" w:name="_Toc525122072"/>
      <w:r w:rsidRPr="00EF1298">
        <w:t>Occupational Safety and Health Management Plan</w:t>
      </w:r>
      <w:bookmarkEnd w:id="512"/>
      <w:bookmarkEnd w:id="513"/>
      <w:bookmarkEnd w:id="514"/>
    </w:p>
    <w:p w14:paraId="4ECCB8ED" w14:textId="77777777" w:rsidR="007772B2" w:rsidRDefault="007772B2" w:rsidP="007772B2">
      <w:pPr>
        <w:rPr>
          <w:szCs w:val="22"/>
        </w:rPr>
      </w:pPr>
      <w:bookmarkStart w:id="515" w:name="_Toc450900779"/>
      <w:bookmarkStart w:id="516" w:name="_Toc426617555"/>
      <w:r>
        <w:t xml:space="preserve">The </w:t>
      </w:r>
      <w:r w:rsidRPr="00DB32FC">
        <w:t>OSH Management Plan 20</w:t>
      </w:r>
      <w:r>
        <w:t>18–2020</w:t>
      </w:r>
      <w:r w:rsidRPr="00DB32FC">
        <w:t xml:space="preserve"> (the Plan) ensures a systematic and consistent approach </w:t>
      </w:r>
      <w:r>
        <w:t xml:space="preserve">is adopted </w:t>
      </w:r>
      <w:r w:rsidRPr="00DB40BF">
        <w:t xml:space="preserve">towards OSH </w:t>
      </w:r>
      <w:r>
        <w:t>management and allows WorkCover WA greater transparency and accountability in its management of OSH.</w:t>
      </w:r>
    </w:p>
    <w:p w14:paraId="1EDF3F74" w14:textId="3FEE5B7B" w:rsidR="007772B2" w:rsidRDefault="007772B2" w:rsidP="007772B2">
      <w:r>
        <w:t xml:space="preserve">The OSH Management Plan ensures our documented OSH requirements, management processes and other activities </w:t>
      </w:r>
      <w:r w:rsidR="00387A6C">
        <w:t xml:space="preserve">proactively </w:t>
      </w:r>
      <w:r>
        <w:t xml:space="preserve">contribute to improving and maintaining </w:t>
      </w:r>
      <w:r w:rsidR="00387A6C">
        <w:t>positive</w:t>
      </w:r>
      <w:r>
        <w:t xml:space="preserve"> OSH outcomes. The content of the OSH Management Plan reflects the requirements of the </w:t>
      </w:r>
      <w:r>
        <w:rPr>
          <w:i/>
          <w:iCs/>
        </w:rPr>
        <w:t>OSH Act 1984</w:t>
      </w:r>
      <w:r>
        <w:t xml:space="preserve">, the </w:t>
      </w:r>
      <w:r>
        <w:rPr>
          <w:i/>
          <w:iCs/>
        </w:rPr>
        <w:t>OSH Regulations 1996</w:t>
      </w:r>
      <w:r>
        <w:t>, the Public Sector Occupational Safety and Health Code of Practice 2007 and the WorkSafe Plan 2014.</w:t>
      </w:r>
    </w:p>
    <w:p w14:paraId="7592196F" w14:textId="363854AD" w:rsidR="007772B2" w:rsidRDefault="007772B2" w:rsidP="007772B2">
      <w:r>
        <w:t>OSH policies and practices are communicated to staff through an online induction program and on the intranet. Online OSH training is a requirement for all employees and managers. WorkCover WA’s current OSH policies and procedures are available to stakeholders through the OSH manual and on the WorkCover WA website.</w:t>
      </w:r>
      <w:r w:rsidR="00387A6C">
        <w:t xml:space="preserve"> Managers and supervisors also communicate OSH expectations and discuss OSH matters with staff at team meetings. </w:t>
      </w:r>
    </w:p>
    <w:p w14:paraId="00E69E6E" w14:textId="39F9EE76" w:rsidR="007772B2" w:rsidRDefault="007772B2" w:rsidP="007772B2">
      <w:r>
        <w:t>An audit of the Plan against the WorkSafe Plan assessment tool was completed in May 2018. WorkCover WA was found to have a strong safety culture, evidenced by a 0% incident rate for the past three years and</w:t>
      </w:r>
      <w:r w:rsidRPr="000977D0">
        <w:t xml:space="preserve"> </w:t>
      </w:r>
      <w:r>
        <w:t xml:space="preserve">feedback from staff. This resulted in the Agency’s receipt of a WorkSafe Plan Gold Certificate of Achievement. </w:t>
      </w:r>
      <w:r w:rsidR="00387A6C">
        <w:t>Further identified</w:t>
      </w:r>
      <w:r>
        <w:t xml:space="preserve"> improvement</w:t>
      </w:r>
      <w:r w:rsidR="00387A6C">
        <w:t xml:space="preserve"> opportunities</w:t>
      </w:r>
      <w:r>
        <w:t xml:space="preserve"> have been prioritised and scheduled. </w:t>
      </w:r>
    </w:p>
    <w:p w14:paraId="2A58930A" w14:textId="1E13765A" w:rsidR="007772B2" w:rsidRDefault="007772B2" w:rsidP="007772B2">
      <w:r>
        <w:t xml:space="preserve">For information on the Occupational Safety and Health Committee go to </w:t>
      </w:r>
      <w:r w:rsidRPr="00104470">
        <w:t xml:space="preserve">page </w:t>
      </w:r>
      <w:r w:rsidR="00104470" w:rsidRPr="00104470">
        <w:t>42</w:t>
      </w:r>
      <w:r w:rsidRPr="00104470">
        <w:t xml:space="preserve"> </w:t>
      </w:r>
      <w:r>
        <w:t>of this report.</w:t>
      </w:r>
    </w:p>
    <w:p w14:paraId="4F0BD121" w14:textId="4EB4D7E0" w:rsidR="00DF6A56" w:rsidRPr="004730F5" w:rsidRDefault="00371FCA" w:rsidP="007772B2">
      <w:pPr>
        <w:pStyle w:val="Heading2nonumber"/>
      </w:pPr>
      <w:bookmarkStart w:id="517" w:name="_Toc525122073"/>
      <w:r w:rsidRPr="00074072">
        <w:t xml:space="preserve">Health and </w:t>
      </w:r>
      <w:r w:rsidR="002F30AF" w:rsidRPr="00074072">
        <w:t>w</w:t>
      </w:r>
      <w:r w:rsidRPr="00074072">
        <w:t>ellness</w:t>
      </w:r>
      <w:bookmarkEnd w:id="515"/>
      <w:bookmarkEnd w:id="516"/>
      <w:bookmarkEnd w:id="517"/>
    </w:p>
    <w:p w14:paraId="1BD30AA5" w14:textId="77777777" w:rsidR="00D22600" w:rsidRDefault="00D22600" w:rsidP="00D22600">
      <w:bookmarkStart w:id="518" w:name="_Toc399317014"/>
      <w:bookmarkStart w:id="519" w:name="_Toc426617556"/>
      <w:bookmarkStart w:id="520" w:name="_Toc450900780"/>
      <w:r>
        <w:t xml:space="preserve">WorkCover WA supports and contributes to the health and wellbeing of its employees by offering a Health and Wellness Program (the Program). </w:t>
      </w:r>
    </w:p>
    <w:p w14:paraId="0A4C1484" w14:textId="14665E9C" w:rsidR="00D22600" w:rsidRPr="00006C8E" w:rsidRDefault="00D22600" w:rsidP="00D22600">
      <w:pPr>
        <w:rPr>
          <w:szCs w:val="22"/>
        </w:rPr>
      </w:pPr>
      <w:r>
        <w:rPr>
          <w:szCs w:val="22"/>
        </w:rPr>
        <w:t>In 2017/18</w:t>
      </w:r>
      <w:r w:rsidRPr="00006C8E">
        <w:rPr>
          <w:szCs w:val="22"/>
        </w:rPr>
        <w:t>, the Program offered a range of wellness initiatives to staff including:</w:t>
      </w:r>
    </w:p>
    <w:p w14:paraId="23BBD041" w14:textId="39FBC10E" w:rsidR="00D22600" w:rsidRPr="00D22600" w:rsidRDefault="00936D2A" w:rsidP="00D22600">
      <w:pPr>
        <w:pStyle w:val="BulletListLevel1"/>
        <w:rPr>
          <w:rFonts w:eastAsia="Calibri"/>
        </w:rPr>
      </w:pPr>
      <w:r>
        <w:rPr>
          <w:rFonts w:eastAsia="Calibri"/>
        </w:rPr>
        <w:t>h</w:t>
      </w:r>
      <w:r w:rsidR="00D22600" w:rsidRPr="00D22600">
        <w:rPr>
          <w:rFonts w:eastAsia="Calibri"/>
        </w:rPr>
        <w:t xml:space="preserve">ealthy </w:t>
      </w:r>
      <w:r>
        <w:rPr>
          <w:rFonts w:eastAsia="Calibri"/>
        </w:rPr>
        <w:t>h</w:t>
      </w:r>
      <w:r w:rsidR="00D22600" w:rsidRPr="00D22600">
        <w:rPr>
          <w:rFonts w:eastAsia="Calibri"/>
        </w:rPr>
        <w:t xml:space="preserve">eart </w:t>
      </w:r>
      <w:r>
        <w:rPr>
          <w:rFonts w:eastAsia="Calibri"/>
        </w:rPr>
        <w:t>c</w:t>
      </w:r>
      <w:r w:rsidR="00D22600" w:rsidRPr="00D22600">
        <w:rPr>
          <w:rFonts w:eastAsia="Calibri"/>
        </w:rPr>
        <w:t>hecks</w:t>
      </w:r>
    </w:p>
    <w:p w14:paraId="77310399" w14:textId="77777777" w:rsidR="00D22600" w:rsidRPr="00D22600" w:rsidRDefault="00D22600" w:rsidP="00D22600">
      <w:pPr>
        <w:pStyle w:val="BulletListLevel1"/>
        <w:rPr>
          <w:rFonts w:eastAsia="Calibri"/>
        </w:rPr>
      </w:pPr>
      <w:r w:rsidRPr="00D22600">
        <w:rPr>
          <w:rFonts w:eastAsia="Calibri"/>
        </w:rPr>
        <w:t>skin cancer screening</w:t>
      </w:r>
    </w:p>
    <w:p w14:paraId="2E63ECB2" w14:textId="5D3B8E34" w:rsidR="00D22600" w:rsidRPr="00D22600" w:rsidRDefault="00D22600" w:rsidP="00D22600">
      <w:pPr>
        <w:pStyle w:val="BulletListLevel1"/>
        <w:rPr>
          <w:rFonts w:eastAsia="Calibri"/>
        </w:rPr>
      </w:pPr>
      <w:r w:rsidRPr="00D22600">
        <w:rPr>
          <w:rFonts w:eastAsia="Calibri"/>
        </w:rPr>
        <w:t>flu vaccination</w:t>
      </w:r>
      <w:r w:rsidR="00A157B5">
        <w:rPr>
          <w:rFonts w:eastAsia="Calibri"/>
        </w:rPr>
        <w:t>s</w:t>
      </w:r>
    </w:p>
    <w:p w14:paraId="4A7C3E4F" w14:textId="77777777" w:rsidR="00D22600" w:rsidRPr="00D22600" w:rsidRDefault="00D22600" w:rsidP="00D22600">
      <w:pPr>
        <w:pStyle w:val="BulletListLevel1"/>
        <w:rPr>
          <w:rFonts w:eastAsia="Calibri"/>
        </w:rPr>
      </w:pPr>
      <w:r w:rsidRPr="00D22600">
        <w:rPr>
          <w:rFonts w:eastAsia="Calibri"/>
        </w:rPr>
        <w:t xml:space="preserve">free on-site gym </w:t>
      </w:r>
    </w:p>
    <w:p w14:paraId="2A1231A0" w14:textId="77777777" w:rsidR="00114D74" w:rsidRDefault="00D22600" w:rsidP="00D22600">
      <w:pPr>
        <w:pStyle w:val="BulletListLevel1"/>
        <w:rPr>
          <w:rFonts w:eastAsia="Calibri"/>
        </w:rPr>
      </w:pPr>
      <w:r w:rsidRPr="00D22600">
        <w:rPr>
          <w:rFonts w:eastAsia="Calibri"/>
        </w:rPr>
        <w:t>‘lunch and</w:t>
      </w:r>
      <w:r w:rsidR="00114D74">
        <w:rPr>
          <w:rFonts w:eastAsia="Calibri"/>
        </w:rPr>
        <w:t xml:space="preserve"> learn’ sessions on topics including:</w:t>
      </w:r>
    </w:p>
    <w:p w14:paraId="1B6F27C8" w14:textId="0D2FEE45" w:rsidR="00D22600" w:rsidRDefault="00114D74" w:rsidP="00114D74">
      <w:pPr>
        <w:pStyle w:val="BulletListLevel1"/>
        <w:numPr>
          <w:ilvl w:val="1"/>
          <w:numId w:val="3"/>
        </w:numPr>
        <w:rPr>
          <w:rFonts w:eastAsia="Calibri"/>
        </w:rPr>
      </w:pPr>
      <w:r>
        <w:rPr>
          <w:rFonts w:eastAsia="Calibri"/>
        </w:rPr>
        <w:t>Nourish your body to reduce stress</w:t>
      </w:r>
    </w:p>
    <w:p w14:paraId="00C18E98" w14:textId="2B798864" w:rsidR="00114D74" w:rsidRPr="00D22600" w:rsidRDefault="00114D74" w:rsidP="00114D74">
      <w:pPr>
        <w:pStyle w:val="BulletListLevel1"/>
        <w:numPr>
          <w:ilvl w:val="1"/>
          <w:numId w:val="3"/>
        </w:numPr>
        <w:rPr>
          <w:rFonts w:eastAsia="Calibri"/>
        </w:rPr>
      </w:pPr>
      <w:r>
        <w:rPr>
          <w:rFonts w:eastAsia="Calibri"/>
        </w:rPr>
        <w:t xml:space="preserve">How to unplug and recharge. </w:t>
      </w:r>
    </w:p>
    <w:p w14:paraId="6EC2FCC2" w14:textId="281C8C71" w:rsidR="00467AF4" w:rsidRDefault="00467AF4" w:rsidP="00D22600">
      <w:pPr>
        <w:rPr>
          <w:rFonts w:eastAsia="Calibri"/>
        </w:rPr>
      </w:pPr>
      <w:r w:rsidRPr="00467AF4">
        <w:rPr>
          <w:rFonts w:eastAsia="Calibri"/>
        </w:rPr>
        <w:t>A health</w:t>
      </w:r>
      <w:r>
        <w:rPr>
          <w:rFonts w:eastAsia="Calibri"/>
        </w:rPr>
        <w:t xml:space="preserve"> and wellness survey was conducted in 2017/18 </w:t>
      </w:r>
      <w:r w:rsidR="00AE18C6">
        <w:rPr>
          <w:rFonts w:eastAsia="Calibri"/>
        </w:rPr>
        <w:t>seeking</w:t>
      </w:r>
      <w:r>
        <w:rPr>
          <w:rFonts w:eastAsia="Calibri"/>
        </w:rPr>
        <w:t xml:space="preserve"> staff feedback on current initiatives and new ideas WorkCover WA can offer as part of the Program. </w:t>
      </w:r>
      <w:r w:rsidR="00396393">
        <w:rPr>
          <w:rFonts w:eastAsia="Calibri"/>
        </w:rPr>
        <w:t>The survey found</w:t>
      </w:r>
      <w:r>
        <w:rPr>
          <w:rFonts w:eastAsia="Calibri"/>
        </w:rPr>
        <w:t>:</w:t>
      </w:r>
    </w:p>
    <w:p w14:paraId="5F96DEB0" w14:textId="5055363A" w:rsidR="00467AF4" w:rsidRPr="00114D74" w:rsidRDefault="00936D2A" w:rsidP="00467AF4">
      <w:pPr>
        <w:pStyle w:val="BulletListLevel1"/>
        <w:rPr>
          <w:rFonts w:eastAsia="Calibri"/>
        </w:rPr>
      </w:pPr>
      <w:r>
        <w:rPr>
          <w:rFonts w:eastAsia="Calibri"/>
        </w:rPr>
        <w:t>a</w:t>
      </w:r>
      <w:r w:rsidR="00597612">
        <w:rPr>
          <w:rFonts w:eastAsia="Calibri"/>
        </w:rPr>
        <w:t>pproximately 96 per</w:t>
      </w:r>
      <w:r w:rsidR="00114D74" w:rsidRPr="00114D74">
        <w:rPr>
          <w:rFonts w:eastAsia="Calibri"/>
        </w:rPr>
        <w:t>cent of staff are motivated to participate in initiatives t</w:t>
      </w:r>
      <w:r>
        <w:rPr>
          <w:rFonts w:eastAsia="Calibri"/>
        </w:rPr>
        <w:t>o improve their overall health</w:t>
      </w:r>
    </w:p>
    <w:p w14:paraId="5E7F4CD7" w14:textId="6D4C6165" w:rsidR="00467AF4" w:rsidRPr="00114D74" w:rsidRDefault="00936D2A" w:rsidP="00467AF4">
      <w:pPr>
        <w:pStyle w:val="BulletListLevel1"/>
        <w:rPr>
          <w:rFonts w:eastAsia="Calibri"/>
        </w:rPr>
      </w:pPr>
      <w:r>
        <w:rPr>
          <w:rFonts w:eastAsia="Calibri"/>
        </w:rPr>
        <w:t>t</w:t>
      </w:r>
      <w:r w:rsidR="00114D74" w:rsidRPr="00114D74">
        <w:rPr>
          <w:rFonts w:eastAsia="Calibri"/>
        </w:rPr>
        <w:t>here was considerable interest from staff to improve their</w:t>
      </w:r>
      <w:r>
        <w:rPr>
          <w:rFonts w:eastAsia="Calibri"/>
        </w:rPr>
        <w:t xml:space="preserve"> physical and mental wellbeing</w:t>
      </w:r>
    </w:p>
    <w:p w14:paraId="7C290F55" w14:textId="34F1A6F9" w:rsidR="00467AF4" w:rsidRPr="00114D74" w:rsidRDefault="00936D2A" w:rsidP="00467AF4">
      <w:pPr>
        <w:pStyle w:val="BulletListLevel1"/>
        <w:rPr>
          <w:rFonts w:eastAsia="Calibri"/>
        </w:rPr>
      </w:pPr>
      <w:r>
        <w:rPr>
          <w:rFonts w:eastAsia="Calibri"/>
        </w:rPr>
        <w:t>t</w:t>
      </w:r>
      <w:r w:rsidR="00114D74" w:rsidRPr="00114D74">
        <w:rPr>
          <w:rFonts w:eastAsia="Calibri"/>
        </w:rPr>
        <w:t>he majority of respondents cited a lack of time as the reason for no</w:t>
      </w:r>
      <w:r>
        <w:rPr>
          <w:rFonts w:eastAsia="Calibri"/>
        </w:rPr>
        <w:t>t being more physically active</w:t>
      </w:r>
    </w:p>
    <w:p w14:paraId="3108D2C9" w14:textId="470D56E4" w:rsidR="00114D74" w:rsidRPr="00114D74" w:rsidRDefault="00597612" w:rsidP="00467AF4">
      <w:pPr>
        <w:pStyle w:val="BulletListLevel1"/>
        <w:rPr>
          <w:rFonts w:eastAsia="Calibri"/>
        </w:rPr>
      </w:pPr>
      <w:r>
        <w:rPr>
          <w:rFonts w:eastAsia="Calibri"/>
        </w:rPr>
        <w:t>74 per</w:t>
      </w:r>
      <w:r w:rsidR="00114D74" w:rsidRPr="00114D74">
        <w:rPr>
          <w:rFonts w:eastAsia="Calibri"/>
        </w:rPr>
        <w:t xml:space="preserve">cent of respondents indicated they receive sufficient health and wellness information within the workplace. </w:t>
      </w:r>
    </w:p>
    <w:p w14:paraId="6ECD2F6D" w14:textId="2E642368" w:rsidR="003C7423" w:rsidRDefault="003C7423" w:rsidP="00EC319D">
      <w:pPr>
        <w:rPr>
          <w:rFonts w:eastAsia="Calibri"/>
        </w:rPr>
      </w:pPr>
      <w:r>
        <w:rPr>
          <w:rFonts w:eastAsia="Calibri"/>
        </w:rPr>
        <w:t>In October 2017</w:t>
      </w:r>
      <w:r w:rsidR="00EC319D" w:rsidRPr="00EC319D">
        <w:rPr>
          <w:rFonts w:eastAsia="Calibri"/>
        </w:rPr>
        <w:t>, 18 WorkCover WA managers</w:t>
      </w:r>
      <w:r>
        <w:rPr>
          <w:rFonts w:eastAsia="Calibri"/>
        </w:rPr>
        <w:t xml:space="preserve"> completed </w:t>
      </w:r>
      <w:r w:rsidRPr="00DB40BF">
        <w:rPr>
          <w:rFonts w:eastAsia="Calibri"/>
        </w:rPr>
        <w:t>an</w:t>
      </w:r>
      <w:r w:rsidR="00EC319D" w:rsidRPr="00DB40BF">
        <w:rPr>
          <w:rFonts w:eastAsia="Calibri"/>
        </w:rPr>
        <w:t xml:space="preserve"> AMA accredited </w:t>
      </w:r>
      <w:r w:rsidR="00EC319D">
        <w:rPr>
          <w:rFonts w:eastAsia="Calibri"/>
        </w:rPr>
        <w:t>Mental Health Safety Training</w:t>
      </w:r>
      <w:r>
        <w:rPr>
          <w:rFonts w:eastAsia="Calibri"/>
        </w:rPr>
        <w:t xml:space="preserve"> course</w:t>
      </w:r>
      <w:r w:rsidR="00EC319D">
        <w:rPr>
          <w:rFonts w:eastAsia="Calibri"/>
        </w:rPr>
        <w:t xml:space="preserve">. Managers learnt about the stigma, organisational factors and common types of mental illnesses. </w:t>
      </w:r>
      <w:r>
        <w:rPr>
          <w:rFonts w:eastAsia="Calibri"/>
        </w:rPr>
        <w:t>The training helped managers understand the important role they play in raising awareness of mental health conditions and reducing mental health issues within the workplace.</w:t>
      </w:r>
    </w:p>
    <w:p w14:paraId="5E641E75" w14:textId="63FB5D70" w:rsidR="00D22600" w:rsidRDefault="00D22600" w:rsidP="004930E9">
      <w:pPr>
        <w:pStyle w:val="Heading4"/>
        <w:ind w:left="0"/>
        <w:rPr>
          <w:rFonts w:eastAsia="Calibri"/>
        </w:rPr>
      </w:pPr>
      <w:r>
        <w:rPr>
          <w:rFonts w:eastAsia="Calibri"/>
        </w:rPr>
        <w:t>Health and wellness champions</w:t>
      </w:r>
    </w:p>
    <w:p w14:paraId="261E1126" w14:textId="7D7BA583" w:rsidR="00534047" w:rsidRDefault="00D22600" w:rsidP="00D22600">
      <w:pPr>
        <w:rPr>
          <w:rFonts w:eastAsia="Calibri"/>
        </w:rPr>
      </w:pPr>
      <w:r>
        <w:rPr>
          <w:rFonts w:eastAsia="Calibri"/>
        </w:rPr>
        <w:t>In 2017/18, seven WorkCover WA s</w:t>
      </w:r>
      <w:r w:rsidR="00B17E5A">
        <w:rPr>
          <w:rFonts w:eastAsia="Calibri"/>
        </w:rPr>
        <w:t xml:space="preserve">taff members were appointed as </w:t>
      </w:r>
      <w:r>
        <w:rPr>
          <w:rFonts w:eastAsia="Calibri"/>
        </w:rPr>
        <w:t>health and wellness champions</w:t>
      </w:r>
      <w:r w:rsidR="00AF2DDC">
        <w:rPr>
          <w:rFonts w:eastAsia="Calibri"/>
        </w:rPr>
        <w:t>.</w:t>
      </w:r>
      <w:r w:rsidR="00B7259D">
        <w:rPr>
          <w:rFonts w:eastAsia="Calibri"/>
        </w:rPr>
        <w:t xml:space="preserve"> </w:t>
      </w:r>
      <w:r w:rsidR="00B17E5A">
        <w:rPr>
          <w:rFonts w:eastAsia="Calibri"/>
        </w:rPr>
        <w:t xml:space="preserve">The </w:t>
      </w:r>
      <w:r>
        <w:rPr>
          <w:rFonts w:eastAsia="Calibri"/>
        </w:rPr>
        <w:t xml:space="preserve">champions meet every three months and brainstorm health and wellness initiatives for our Agency. </w:t>
      </w:r>
    </w:p>
    <w:p w14:paraId="3F88FD59" w14:textId="731E1577" w:rsidR="00D22600" w:rsidRDefault="00D22600" w:rsidP="00D22600">
      <w:pPr>
        <w:rPr>
          <w:rFonts w:eastAsia="Calibri"/>
        </w:rPr>
      </w:pPr>
      <w:r>
        <w:rPr>
          <w:rFonts w:eastAsia="Calibri"/>
        </w:rPr>
        <w:t>Th</w:t>
      </w:r>
      <w:r w:rsidR="00B17E5A">
        <w:rPr>
          <w:rFonts w:eastAsia="Calibri"/>
        </w:rPr>
        <w:t xml:space="preserve">is year, the </w:t>
      </w:r>
      <w:r>
        <w:rPr>
          <w:rFonts w:eastAsia="Calibri"/>
        </w:rPr>
        <w:t>champions have assisted with monthly health and wellness intranet articles and ‘lunch and learn’ sessions.</w:t>
      </w:r>
      <w:r w:rsidR="00B17E5A">
        <w:rPr>
          <w:rFonts w:eastAsia="Calibri"/>
        </w:rPr>
        <w:t xml:space="preserve"> The </w:t>
      </w:r>
      <w:r w:rsidR="00534047">
        <w:rPr>
          <w:rFonts w:eastAsia="Calibri"/>
        </w:rPr>
        <w:t>champions are also responsible for updating a</w:t>
      </w:r>
      <w:r w:rsidR="00467AF4">
        <w:rPr>
          <w:rFonts w:eastAsia="Calibri"/>
        </w:rPr>
        <w:t xml:space="preserve"> dedicated ‘Health and wellness’ page </w:t>
      </w:r>
      <w:r w:rsidR="00534047">
        <w:rPr>
          <w:rFonts w:eastAsia="Calibri"/>
        </w:rPr>
        <w:t>on</w:t>
      </w:r>
      <w:r w:rsidR="00467AF4">
        <w:rPr>
          <w:rFonts w:eastAsia="Calibri"/>
        </w:rPr>
        <w:t xml:space="preserve"> the intranet </w:t>
      </w:r>
      <w:r w:rsidR="00534047">
        <w:rPr>
          <w:rFonts w:eastAsia="Calibri"/>
        </w:rPr>
        <w:t>which contains</w:t>
      </w:r>
      <w:r w:rsidR="00467AF4">
        <w:rPr>
          <w:rFonts w:eastAsia="Calibri"/>
        </w:rPr>
        <w:t xml:space="preserve"> links to </w:t>
      </w:r>
      <w:r w:rsidR="00534047">
        <w:rPr>
          <w:rFonts w:eastAsia="Calibri"/>
        </w:rPr>
        <w:t xml:space="preserve">healthy recipes and </w:t>
      </w:r>
      <w:r w:rsidR="00467AF4">
        <w:rPr>
          <w:rFonts w:eastAsia="Calibri"/>
        </w:rPr>
        <w:t>low cost</w:t>
      </w:r>
      <w:r w:rsidR="00534047">
        <w:rPr>
          <w:rFonts w:eastAsia="Calibri"/>
        </w:rPr>
        <w:t xml:space="preserve"> h</w:t>
      </w:r>
      <w:r w:rsidR="00467AF4">
        <w:rPr>
          <w:rFonts w:eastAsia="Calibri"/>
        </w:rPr>
        <w:t>ealth</w:t>
      </w:r>
      <w:r w:rsidR="00534047">
        <w:rPr>
          <w:rFonts w:eastAsia="Calibri"/>
        </w:rPr>
        <w:t xml:space="preserve"> related</w:t>
      </w:r>
      <w:r w:rsidR="00467AF4">
        <w:rPr>
          <w:rFonts w:eastAsia="Calibri"/>
        </w:rPr>
        <w:t xml:space="preserve"> events </w:t>
      </w:r>
      <w:r w:rsidR="00534047">
        <w:rPr>
          <w:rFonts w:eastAsia="Calibri"/>
        </w:rPr>
        <w:t>across</w:t>
      </w:r>
      <w:r w:rsidR="00467AF4">
        <w:rPr>
          <w:rFonts w:eastAsia="Calibri"/>
        </w:rPr>
        <w:t xml:space="preserve"> Perth.</w:t>
      </w:r>
    </w:p>
    <w:p w14:paraId="4BD84004" w14:textId="6F81F825" w:rsidR="00371FCA" w:rsidRPr="004730F5" w:rsidRDefault="00371FCA" w:rsidP="004730F5">
      <w:pPr>
        <w:pStyle w:val="Heading1nonumber"/>
      </w:pPr>
      <w:bookmarkStart w:id="521" w:name="_Toc525122074"/>
      <w:r>
        <w:t xml:space="preserve">Agency </w:t>
      </w:r>
      <w:r w:rsidR="002F30AF">
        <w:t>c</w:t>
      </w:r>
      <w:r>
        <w:t>hallenges</w:t>
      </w:r>
      <w:bookmarkEnd w:id="518"/>
      <w:bookmarkEnd w:id="519"/>
      <w:bookmarkEnd w:id="520"/>
      <w:bookmarkEnd w:id="521"/>
      <w:r>
        <w:t xml:space="preserve"> </w:t>
      </w:r>
    </w:p>
    <w:p w14:paraId="7DA6B601" w14:textId="58D98905" w:rsidR="00216B12" w:rsidRDefault="009856F0" w:rsidP="00216B12">
      <w:pPr>
        <w:pStyle w:val="Heading2nonumber"/>
      </w:pPr>
      <w:bookmarkStart w:id="522" w:name="_Toc525122075"/>
      <w:r>
        <w:t xml:space="preserve">Strategic management of </w:t>
      </w:r>
      <w:r w:rsidR="00713BE7">
        <w:t xml:space="preserve">the </w:t>
      </w:r>
      <w:r>
        <w:t>scheme</w:t>
      </w:r>
      <w:bookmarkEnd w:id="522"/>
    </w:p>
    <w:p w14:paraId="4A3A23EF" w14:textId="4E6618AE" w:rsidR="00CF1703" w:rsidRPr="00DB40BF" w:rsidRDefault="00387A6C" w:rsidP="00B46C69">
      <w:r w:rsidRPr="00DB40BF">
        <w:t>There are</w:t>
      </w:r>
      <w:r w:rsidR="00B46C69" w:rsidRPr="00DB40BF">
        <w:t xml:space="preserve"> a number of current and futu</w:t>
      </w:r>
      <w:r w:rsidR="00E60C50" w:rsidRPr="00DB40BF">
        <w:t>re technological, demographical</w:t>
      </w:r>
      <w:r w:rsidR="00B46C69" w:rsidRPr="00DB40BF">
        <w:t xml:space="preserve"> and economic challenges to the workers’ compensation and injury management scheme (the scheme)</w:t>
      </w:r>
      <w:r w:rsidRPr="00DB40BF">
        <w:t xml:space="preserve">. WorkCover WA continues to monitor and manage these as strategic issues. </w:t>
      </w:r>
    </w:p>
    <w:p w14:paraId="31855B15" w14:textId="50CECFC6" w:rsidR="00B46C69" w:rsidRPr="002C0154" w:rsidRDefault="00B46C69" w:rsidP="00B46C69">
      <w:r w:rsidRPr="006C3C5D">
        <w:t xml:space="preserve">Refer to ‘Strategic </w:t>
      </w:r>
      <w:r w:rsidRPr="00104470">
        <w:t xml:space="preserve">planning’ on page </w:t>
      </w:r>
      <w:r w:rsidR="00104470" w:rsidRPr="00104470">
        <w:t>32</w:t>
      </w:r>
      <w:r w:rsidRPr="00104470">
        <w:t xml:space="preserve"> in </w:t>
      </w:r>
      <w:r w:rsidRPr="00A01C4E">
        <w:rPr>
          <w:i/>
        </w:rPr>
        <w:t>Section 1: Agency in focus</w:t>
      </w:r>
      <w:r w:rsidRPr="00A01C4E">
        <w:t xml:space="preserve"> for a description of the </w:t>
      </w:r>
      <w:r w:rsidRPr="00A01C4E">
        <w:rPr>
          <w:i/>
        </w:rPr>
        <w:t>WorkCover WA 2015 – 2018 Strategic Plan</w:t>
      </w:r>
      <w:r w:rsidRPr="00A01C4E">
        <w:t xml:space="preserve"> </w:t>
      </w:r>
      <w:r>
        <w:t xml:space="preserve">and </w:t>
      </w:r>
      <w:r w:rsidR="00E60C50">
        <w:t xml:space="preserve">for </w:t>
      </w:r>
      <w:r>
        <w:t>details of the Strategic Initiatives which aim to proactively and strategically address scheme challenges on a short and long term basis.</w:t>
      </w:r>
    </w:p>
    <w:p w14:paraId="421CC1FA" w14:textId="57551A5F" w:rsidR="00021EE0" w:rsidRDefault="00021EE0" w:rsidP="006F2F0B">
      <w:pPr>
        <w:pStyle w:val="Heading2nonumber"/>
      </w:pPr>
      <w:bookmarkStart w:id="523" w:name="_Toc399317015"/>
      <w:bookmarkStart w:id="524" w:name="_Toc426617557"/>
      <w:bookmarkStart w:id="525" w:name="_Toc450900781"/>
      <w:bookmarkStart w:id="526" w:name="_Toc525122076"/>
      <w:r w:rsidRPr="00A50832">
        <w:t xml:space="preserve">Electronic Document </w:t>
      </w:r>
      <w:r w:rsidR="00284C5F">
        <w:t>and</w:t>
      </w:r>
      <w:r w:rsidRPr="00A50832">
        <w:t xml:space="preserve"> Records Management System</w:t>
      </w:r>
      <w:bookmarkEnd w:id="523"/>
      <w:bookmarkEnd w:id="524"/>
      <w:bookmarkEnd w:id="525"/>
      <w:bookmarkEnd w:id="526"/>
    </w:p>
    <w:p w14:paraId="32A1F800" w14:textId="765B1534" w:rsidR="003A3FDB" w:rsidRPr="00387A6C" w:rsidRDefault="003A3FDB" w:rsidP="003A3FDB">
      <w:pPr>
        <w:rPr>
          <w:i/>
        </w:rPr>
      </w:pPr>
      <w:bookmarkStart w:id="527" w:name="_Toc426617558"/>
      <w:bookmarkStart w:id="528" w:name="_Toc450900782"/>
      <w:r>
        <w:t>WorkCover WA is committed</w:t>
      </w:r>
      <w:r w:rsidRPr="0077197F">
        <w:t xml:space="preserve"> to best practice recordkeeping </w:t>
      </w:r>
      <w:r>
        <w:t xml:space="preserve">to ensure effective and efficient use of information, and </w:t>
      </w:r>
      <w:r w:rsidR="00387A6C">
        <w:t xml:space="preserve">maintain compliance with the </w:t>
      </w:r>
      <w:r w:rsidR="00387A6C">
        <w:rPr>
          <w:i/>
        </w:rPr>
        <w:t xml:space="preserve">State Records Act 2000. </w:t>
      </w:r>
    </w:p>
    <w:p w14:paraId="6BBDE3BB" w14:textId="575E090F" w:rsidR="0017020B" w:rsidRDefault="003A3FDB" w:rsidP="003A3FDB">
      <w:r>
        <w:t xml:space="preserve">Following </w:t>
      </w:r>
      <w:r w:rsidR="0017020B">
        <w:t xml:space="preserve">an </w:t>
      </w:r>
      <w:r>
        <w:t xml:space="preserve">upgrade of our electronic document </w:t>
      </w:r>
      <w:r w:rsidR="00983356">
        <w:t xml:space="preserve">records </w:t>
      </w:r>
      <w:r>
        <w:t>management system (</w:t>
      </w:r>
      <w:r w:rsidR="00983356">
        <w:t xml:space="preserve">EDRMS), </w:t>
      </w:r>
      <w:r>
        <w:t xml:space="preserve">activities in 2017/18 focussed on reducing the storage of hard copy records and migration of historical records stored on network drives.  </w:t>
      </w:r>
    </w:p>
    <w:p w14:paraId="0AB3D392" w14:textId="09A39D5B" w:rsidR="003A3FDB" w:rsidRDefault="003A3FDB" w:rsidP="003A3FDB">
      <w:pPr>
        <w:rPr>
          <w:rFonts w:eastAsiaTheme="minorHAnsi"/>
          <w:szCs w:val="22"/>
        </w:rPr>
      </w:pPr>
      <w:r>
        <w:rPr>
          <w:rFonts w:eastAsiaTheme="minorHAnsi"/>
          <w:szCs w:val="22"/>
        </w:rPr>
        <w:t xml:space="preserve">WorkCover WA has also made significant progress on digitising important historical scheme records, especially those on deteriorating microfiche media. </w:t>
      </w:r>
      <w:r w:rsidRPr="00A41896">
        <w:rPr>
          <w:rFonts w:eastAsiaTheme="minorHAnsi"/>
          <w:szCs w:val="22"/>
        </w:rPr>
        <w:t xml:space="preserve"> </w:t>
      </w:r>
      <w:r>
        <w:rPr>
          <w:rFonts w:eastAsiaTheme="minorHAnsi"/>
          <w:szCs w:val="22"/>
        </w:rPr>
        <w:t xml:space="preserve">All microfiche records have now been preserved and scanned using optical recognition software and are in the process of being imported into </w:t>
      </w:r>
      <w:r w:rsidR="00983356">
        <w:rPr>
          <w:rFonts w:eastAsiaTheme="minorHAnsi"/>
          <w:szCs w:val="22"/>
        </w:rPr>
        <w:t>the EDRMS</w:t>
      </w:r>
      <w:r>
        <w:rPr>
          <w:rFonts w:eastAsiaTheme="minorHAnsi"/>
          <w:szCs w:val="22"/>
        </w:rPr>
        <w:t>, allow</w:t>
      </w:r>
      <w:r w:rsidR="0017020B">
        <w:rPr>
          <w:rFonts w:eastAsiaTheme="minorHAnsi"/>
          <w:szCs w:val="22"/>
        </w:rPr>
        <w:t>ing</w:t>
      </w:r>
      <w:r>
        <w:rPr>
          <w:rFonts w:eastAsiaTheme="minorHAnsi"/>
          <w:szCs w:val="22"/>
        </w:rPr>
        <w:t xml:space="preserve"> these records to be easily accessible and searchable.</w:t>
      </w:r>
    </w:p>
    <w:p w14:paraId="5E0DBBCE" w14:textId="1521028A" w:rsidR="00AF108F" w:rsidRPr="004730F5" w:rsidRDefault="00AF108F" w:rsidP="004730F5">
      <w:pPr>
        <w:pStyle w:val="Heading2nonumber"/>
      </w:pPr>
      <w:bookmarkStart w:id="529" w:name="_Toc525122077"/>
      <w:r w:rsidRPr="009623B3">
        <w:t>Risk Management Framework</w:t>
      </w:r>
      <w:bookmarkEnd w:id="527"/>
      <w:bookmarkEnd w:id="528"/>
      <w:bookmarkEnd w:id="529"/>
    </w:p>
    <w:p w14:paraId="15A15BB5" w14:textId="75A03881" w:rsidR="00C8094B" w:rsidRDefault="00C8094B" w:rsidP="00C8094B">
      <w:pPr>
        <w:rPr>
          <w:szCs w:val="22"/>
          <w:lang w:eastAsia="en-AU"/>
        </w:rPr>
      </w:pPr>
      <w:bookmarkStart w:id="530" w:name="_Toc426617560"/>
      <w:bookmarkStart w:id="531" w:name="_Toc450900784"/>
      <w:r w:rsidRPr="00DF7D4C">
        <w:rPr>
          <w:lang w:eastAsia="en-AU"/>
        </w:rPr>
        <w:t xml:space="preserve">In accordance with </w:t>
      </w:r>
      <w:r w:rsidRPr="00DB32FC">
        <w:rPr>
          <w:lang w:eastAsia="en-AU"/>
        </w:rPr>
        <w:t xml:space="preserve">the Public Sector Commissioner’s (PSC) Circular </w:t>
      </w:r>
      <w:r w:rsidRPr="00DF7D4C">
        <w:rPr>
          <w:lang w:eastAsia="en-AU"/>
        </w:rPr>
        <w:t>2015-03 and Treasurer</w:t>
      </w:r>
      <w:r>
        <w:rPr>
          <w:lang w:eastAsia="en-AU"/>
        </w:rPr>
        <w:t>’</w:t>
      </w:r>
      <w:r w:rsidRPr="00DF7D4C">
        <w:rPr>
          <w:lang w:eastAsia="en-AU"/>
        </w:rPr>
        <w:t>s Instruction 825, all p</w:t>
      </w:r>
      <w:r>
        <w:rPr>
          <w:lang w:eastAsia="en-AU"/>
        </w:rPr>
        <w:t>ublic sector bodies must practise risk management,</w:t>
      </w:r>
      <w:r w:rsidRPr="00DF7D4C">
        <w:rPr>
          <w:lang w:eastAsia="en-AU"/>
        </w:rPr>
        <w:t xml:space="preserve"> </w:t>
      </w:r>
      <w:r w:rsidRPr="00971B5C">
        <w:rPr>
          <w:szCs w:val="22"/>
          <w:lang w:eastAsia="en-AU"/>
        </w:rPr>
        <w:t>regularly undertake a structured risk assessment process to identify the risks facing the organisation, be able to demo</w:t>
      </w:r>
      <w:r w:rsidR="00B62590">
        <w:rPr>
          <w:szCs w:val="22"/>
          <w:lang w:eastAsia="en-AU"/>
        </w:rPr>
        <w:t>nstrate the management of risks</w:t>
      </w:r>
      <w:r w:rsidRPr="00971B5C">
        <w:rPr>
          <w:szCs w:val="22"/>
          <w:lang w:eastAsia="en-AU"/>
        </w:rPr>
        <w:t xml:space="preserve"> and</w:t>
      </w:r>
      <w:r w:rsidR="00B62590">
        <w:rPr>
          <w:szCs w:val="22"/>
          <w:lang w:eastAsia="en-AU"/>
        </w:rPr>
        <w:t>,</w:t>
      </w:r>
      <w:r w:rsidRPr="00971B5C">
        <w:rPr>
          <w:szCs w:val="22"/>
          <w:lang w:eastAsia="en-AU"/>
        </w:rPr>
        <w:t xml:space="preserve"> where appropriate, have business continuity plans to ensure they can respond to and recover from any business disruption.</w:t>
      </w:r>
    </w:p>
    <w:p w14:paraId="2507FF1E" w14:textId="3E529BDE" w:rsidR="008A0CFB" w:rsidRDefault="008A0CFB" w:rsidP="00C8094B">
      <w:pPr>
        <w:rPr>
          <w:szCs w:val="22"/>
          <w:lang w:eastAsia="en-AU"/>
        </w:rPr>
      </w:pPr>
      <w:r>
        <w:rPr>
          <w:szCs w:val="22"/>
          <w:lang w:eastAsia="en-AU"/>
        </w:rPr>
        <w:t>This year the Agency continued to build on its risk management advancements by:</w:t>
      </w:r>
    </w:p>
    <w:p w14:paraId="08B206DF" w14:textId="504CA5C5" w:rsidR="008A0CFB" w:rsidRPr="008A0CFB" w:rsidRDefault="008A0CFB" w:rsidP="008A0CFB">
      <w:pPr>
        <w:pStyle w:val="BulletListLevel1"/>
      </w:pPr>
      <w:r w:rsidRPr="008A0CFB">
        <w:t>regular</w:t>
      </w:r>
      <w:r w:rsidR="00B62590">
        <w:t>ly</w:t>
      </w:r>
      <w:r w:rsidRPr="008A0CFB">
        <w:t xml:space="preserve"> review</w:t>
      </w:r>
      <w:r w:rsidR="00B62590">
        <w:t>ing</w:t>
      </w:r>
      <w:r w:rsidRPr="008A0CFB">
        <w:t xml:space="preserve"> strategic and operational risks</w:t>
      </w:r>
      <w:r w:rsidR="00A9187B">
        <w:t>. This</w:t>
      </w:r>
      <w:r w:rsidRPr="008A0CFB">
        <w:t xml:space="preserve"> ensure</w:t>
      </w:r>
      <w:r w:rsidR="00A9187B">
        <w:t>s</w:t>
      </w:r>
      <w:r w:rsidRPr="008A0CFB">
        <w:t xml:space="preserve"> full consideration is given to high level strategic risks associated with long-term organisational objectives and operational controls which address Agency threats or opportunities on a day to day business level</w:t>
      </w:r>
    </w:p>
    <w:p w14:paraId="25451836" w14:textId="08E38905" w:rsidR="00387A6C" w:rsidRPr="008A0CFB" w:rsidRDefault="00387A6C" w:rsidP="00387A6C">
      <w:pPr>
        <w:pStyle w:val="BulletListLevel1"/>
      </w:pPr>
      <w:r>
        <w:rPr>
          <w:lang w:eastAsia="en-AU"/>
        </w:rPr>
        <w:t xml:space="preserve">continuing to refine </w:t>
      </w:r>
      <w:r w:rsidR="007F7104">
        <w:rPr>
          <w:lang w:eastAsia="en-AU"/>
        </w:rPr>
        <w:t>the</w:t>
      </w:r>
      <w:r>
        <w:rPr>
          <w:lang w:eastAsia="en-AU"/>
        </w:rPr>
        <w:t xml:space="preserve"> Enterprise Risk Management Framework by measuring, monitoring and </w:t>
      </w:r>
      <w:r w:rsidRPr="008A0CFB">
        <w:t xml:space="preserve">reporting </w:t>
      </w:r>
      <w:r w:rsidR="007F7104">
        <w:t>on key risk indicators</w:t>
      </w:r>
    </w:p>
    <w:p w14:paraId="30BE3C3B" w14:textId="4DF9E7F8" w:rsidR="008A0CFB" w:rsidRPr="008A0CFB" w:rsidRDefault="00B17E5A" w:rsidP="008A0CFB">
      <w:pPr>
        <w:pStyle w:val="BulletListLevel1"/>
      </w:pPr>
      <w:r>
        <w:t>maintaining</w:t>
      </w:r>
      <w:r w:rsidR="008A0CFB" w:rsidRPr="008A0CFB">
        <w:t xml:space="preserve"> a project management system which incorporates the management of project risks </w:t>
      </w:r>
    </w:p>
    <w:p w14:paraId="0D196526" w14:textId="1CB6186B" w:rsidR="008A0CFB" w:rsidRPr="008A0CFB" w:rsidRDefault="008A0CFB" w:rsidP="008A0CFB">
      <w:pPr>
        <w:pStyle w:val="BulletListLevel1"/>
      </w:pPr>
      <w:r w:rsidRPr="008A0CFB">
        <w:t xml:space="preserve">reviewing and updating </w:t>
      </w:r>
      <w:r w:rsidR="00B17E5A">
        <w:t>the</w:t>
      </w:r>
      <w:r w:rsidRPr="008A0CFB">
        <w:t xml:space="preserve"> Enterprise Risk Management Framework Guide to ensure ongoing compliance with the Australian Standard for Risk Management (AS/NZS ISO 31000: 2009) and Western Australian Government requirements </w:t>
      </w:r>
    </w:p>
    <w:p w14:paraId="224A21BF" w14:textId="77777777" w:rsidR="008A0CFB" w:rsidRPr="008A0CFB" w:rsidRDefault="008A0CFB" w:rsidP="008A0CFB">
      <w:pPr>
        <w:pStyle w:val="BulletListLevel1"/>
      </w:pPr>
      <w:r w:rsidRPr="008A0CFB">
        <w:t xml:space="preserve">ensuring relevant ongoing management oversight by the Corporate Executive through regular meetings of the Risk Management Review Group </w:t>
      </w:r>
    </w:p>
    <w:p w14:paraId="0232707D" w14:textId="27C5B182" w:rsidR="008A0CFB" w:rsidRPr="008A0CFB" w:rsidRDefault="00867B75" w:rsidP="008A0CFB">
      <w:pPr>
        <w:pStyle w:val="BulletListLevel1"/>
      </w:pPr>
      <w:r>
        <w:t>bi-</w:t>
      </w:r>
      <w:r w:rsidR="008A0CFB" w:rsidRPr="008A0CFB">
        <w:t>annual reporting of strategic and significant operational risks to the Agency’s Audit and Risk Management Committee and the Board.</w:t>
      </w:r>
    </w:p>
    <w:p w14:paraId="35276D3E" w14:textId="77777777" w:rsidR="00AF108F" w:rsidRDefault="00AF108F" w:rsidP="00AF108F">
      <w:pPr>
        <w:pStyle w:val="Heading2nonumber"/>
        <w:jc w:val="left"/>
      </w:pPr>
      <w:bookmarkStart w:id="532" w:name="_Toc525122078"/>
      <w:r w:rsidRPr="00EA4995">
        <w:t xml:space="preserve">Review of </w:t>
      </w:r>
      <w:r w:rsidR="00034707" w:rsidRPr="00EA4995">
        <w:t>c</w:t>
      </w:r>
      <w:r w:rsidRPr="00EA4995">
        <w:t>orporate policies and procedures</w:t>
      </w:r>
      <w:bookmarkEnd w:id="530"/>
      <w:bookmarkEnd w:id="531"/>
      <w:bookmarkEnd w:id="532"/>
    </w:p>
    <w:p w14:paraId="3A3BACF4" w14:textId="1DBBB36A" w:rsidR="00EB2EDF" w:rsidRDefault="007E4220" w:rsidP="007E4220">
      <w:pPr>
        <w:rPr>
          <w:lang w:eastAsia="en-AU"/>
        </w:rPr>
      </w:pPr>
      <w:bookmarkStart w:id="533" w:name="_Toc430091290"/>
      <w:r>
        <w:rPr>
          <w:lang w:eastAsia="en-AU"/>
        </w:rPr>
        <w:t>The following policies were reviewed in 2017/18:</w:t>
      </w:r>
    </w:p>
    <w:p w14:paraId="504FBABD" w14:textId="36C8786E" w:rsidR="007E4220" w:rsidRDefault="007E4220" w:rsidP="007E4220">
      <w:pPr>
        <w:pStyle w:val="BulletListLevel1"/>
      </w:pPr>
      <w:r w:rsidRPr="00DB40BF">
        <w:t xml:space="preserve">Information Technology (IT) </w:t>
      </w:r>
      <w:r>
        <w:t>Policy Manual</w:t>
      </w:r>
    </w:p>
    <w:p w14:paraId="005422D2" w14:textId="28955D0B" w:rsidR="007E4220" w:rsidRDefault="007E4220" w:rsidP="007E4220">
      <w:pPr>
        <w:pStyle w:val="BulletListLevel1"/>
      </w:pPr>
      <w:r>
        <w:t>Internal Audit Charter</w:t>
      </w:r>
    </w:p>
    <w:p w14:paraId="1B550B0B" w14:textId="1B769436" w:rsidR="007E4220" w:rsidRDefault="007E4220" w:rsidP="007E4220">
      <w:pPr>
        <w:pStyle w:val="BulletListLevel1"/>
      </w:pPr>
      <w:r>
        <w:t>Records Management Policy</w:t>
      </w:r>
    </w:p>
    <w:p w14:paraId="051F43BE" w14:textId="2F209A55" w:rsidR="007E4220" w:rsidRDefault="007E4220" w:rsidP="007E4220">
      <w:pPr>
        <w:pStyle w:val="BulletListLevel1"/>
      </w:pPr>
      <w:r>
        <w:t>Risk Management Policy.</w:t>
      </w:r>
    </w:p>
    <w:p w14:paraId="22F3A4D8" w14:textId="0E65E5DB" w:rsidR="007E4220" w:rsidRDefault="007E4220" w:rsidP="007E4220">
      <w:r>
        <w:t xml:space="preserve">A report on gifts and benefits received was also considered by </w:t>
      </w:r>
      <w:r w:rsidR="001C72A2">
        <w:t xml:space="preserve">the </w:t>
      </w:r>
      <w:r>
        <w:t>Corporate Executive.</w:t>
      </w:r>
    </w:p>
    <w:p w14:paraId="5EB4F045" w14:textId="6EB15FE8" w:rsidR="00641B26" w:rsidRDefault="00641B26" w:rsidP="00641B26">
      <w:pPr>
        <w:pStyle w:val="Heading2nonumber"/>
        <w:jc w:val="left"/>
      </w:pPr>
      <w:bookmarkStart w:id="534" w:name="_Toc525122079"/>
      <w:r>
        <w:t>Project Management Tool</w:t>
      </w:r>
      <w:bookmarkEnd w:id="534"/>
    </w:p>
    <w:p w14:paraId="5C1FB9B1" w14:textId="471781D7" w:rsidR="00641B26" w:rsidRDefault="001209EE" w:rsidP="001209EE">
      <w:r>
        <w:t xml:space="preserve">WorkCover WA has developed a project information capture and reporting solution. </w:t>
      </w:r>
    </w:p>
    <w:p w14:paraId="75BF4DC5" w14:textId="762FABD7" w:rsidR="001209EE" w:rsidRDefault="001209EE" w:rsidP="001209EE">
      <w:r>
        <w:t xml:space="preserve">The solution facilitates the </w:t>
      </w:r>
      <w:r w:rsidR="00784F72">
        <w:t>collection</w:t>
      </w:r>
      <w:r>
        <w:t xml:space="preserve"> and maintenance of project management data in order to: </w:t>
      </w:r>
    </w:p>
    <w:p w14:paraId="7140BF26" w14:textId="6144A72D" w:rsidR="001209EE" w:rsidRPr="006D22F1" w:rsidRDefault="006D22F1" w:rsidP="00784F72">
      <w:pPr>
        <w:pStyle w:val="BulletListLevel1"/>
      </w:pPr>
      <w:r w:rsidRPr="006D22F1">
        <w:t>provide updates on WorkCover WA’s Strategic and Divisional Projects to ensure visibility and oversight</w:t>
      </w:r>
    </w:p>
    <w:p w14:paraId="22141CAB" w14:textId="27D15564" w:rsidR="00784F72" w:rsidRDefault="00784F72" w:rsidP="00784F72">
      <w:pPr>
        <w:pStyle w:val="BulletListLevel1"/>
      </w:pPr>
      <w:r w:rsidRPr="00784F72">
        <w:t xml:space="preserve">support Board and Corporate Executive project reporting requirements </w:t>
      </w:r>
    </w:p>
    <w:p w14:paraId="24C59C7F" w14:textId="3B1D5E89" w:rsidR="00784F72" w:rsidRDefault="00784F72" w:rsidP="00784F72">
      <w:pPr>
        <w:pStyle w:val="BulletListLevel1"/>
      </w:pPr>
      <w:r>
        <w:t>assist with the management of projects</w:t>
      </w:r>
    </w:p>
    <w:p w14:paraId="7DA5A670" w14:textId="2C738468" w:rsidR="00784F72" w:rsidRPr="00784F72" w:rsidRDefault="00784F72" w:rsidP="00784F72">
      <w:pPr>
        <w:pStyle w:val="BulletListLevel1"/>
      </w:pPr>
      <w:r>
        <w:t xml:space="preserve">support the Digital First strategic initiative. </w:t>
      </w:r>
    </w:p>
    <w:p w14:paraId="7EDF6C67" w14:textId="30B02A6A" w:rsidR="0005357E" w:rsidRPr="00EB2EDF" w:rsidRDefault="008F159C" w:rsidP="00EB2EDF">
      <w:pPr>
        <w:pStyle w:val="Heading1nonumber"/>
      </w:pPr>
      <w:bookmarkStart w:id="535" w:name="_Toc525122080"/>
      <w:r>
        <w:t>I</w:t>
      </w:r>
      <w:r w:rsidR="007F7104">
        <w:t xml:space="preserve">nformation </w:t>
      </w:r>
      <w:r>
        <w:t>T</w:t>
      </w:r>
      <w:r w:rsidR="007F7104">
        <w:t>echnology</w:t>
      </w:r>
      <w:r w:rsidR="0005357E">
        <w:t xml:space="preserve"> initiatives</w:t>
      </w:r>
      <w:bookmarkEnd w:id="533"/>
      <w:bookmarkEnd w:id="535"/>
    </w:p>
    <w:p w14:paraId="5C4E97B0" w14:textId="0527BFF3" w:rsidR="0005357E" w:rsidRDefault="0005357E" w:rsidP="0005357E">
      <w:pPr>
        <w:pStyle w:val="Heading2nonumber"/>
      </w:pPr>
      <w:bookmarkStart w:id="536" w:name="_Toc399317017"/>
      <w:bookmarkStart w:id="537" w:name="_Toc426617562"/>
      <w:bookmarkStart w:id="538" w:name="_Toc430091291"/>
      <w:bookmarkStart w:id="539" w:name="_Toc525122081"/>
      <w:r>
        <w:t xml:space="preserve">IT </w:t>
      </w:r>
      <w:r w:rsidR="004E1F0C">
        <w:t xml:space="preserve">Strategic </w:t>
      </w:r>
      <w:r>
        <w:t>Plan</w:t>
      </w:r>
      <w:bookmarkEnd w:id="536"/>
      <w:bookmarkEnd w:id="537"/>
      <w:bookmarkEnd w:id="538"/>
      <w:r w:rsidR="005D15EE">
        <w:t xml:space="preserve"> 2016</w:t>
      </w:r>
      <w:r w:rsidR="004C1B7A">
        <w:t>–</w:t>
      </w:r>
      <w:r w:rsidR="006322B4">
        <w:t>20</w:t>
      </w:r>
      <w:r w:rsidR="005D15EE">
        <w:t>21</w:t>
      </w:r>
      <w:bookmarkEnd w:id="539"/>
    </w:p>
    <w:p w14:paraId="4857CAF3" w14:textId="77777777" w:rsidR="00B03D89" w:rsidRDefault="00B03D89" w:rsidP="00B03D89">
      <w:r>
        <w:t xml:space="preserve">The </w:t>
      </w:r>
      <w:r w:rsidRPr="00325C3F">
        <w:rPr>
          <w:i/>
        </w:rPr>
        <w:t>IT Strategic Plan 2016</w:t>
      </w:r>
      <w:r w:rsidRPr="00325C3F">
        <w:rPr>
          <w:rFonts w:cs="Arial"/>
          <w:i/>
        </w:rPr>
        <w:t>−</w:t>
      </w:r>
      <w:r w:rsidRPr="00325C3F">
        <w:rPr>
          <w:i/>
        </w:rPr>
        <w:t>202</w:t>
      </w:r>
      <w:r>
        <w:rPr>
          <w:i/>
        </w:rPr>
        <w:t>1</w:t>
      </w:r>
      <w:r>
        <w:t xml:space="preserve"> was implemented in May 2016. A further review of the IT Plan was undertaken in October 2016 to more closely align the plan to the Agency’s annual planning and budgeting cycle.</w:t>
      </w:r>
    </w:p>
    <w:p w14:paraId="6B11B8B2" w14:textId="77777777" w:rsidR="00B03D89" w:rsidRDefault="00B03D89" w:rsidP="00B03D89">
      <w:r>
        <w:t xml:space="preserve">The revised </w:t>
      </w:r>
      <w:r w:rsidRPr="00325C3F">
        <w:rPr>
          <w:i/>
        </w:rPr>
        <w:t>IT Plan 2016</w:t>
      </w:r>
      <w:r w:rsidRPr="00325C3F">
        <w:rPr>
          <w:rFonts w:cs="Arial"/>
          <w:i/>
        </w:rPr>
        <w:t>−</w:t>
      </w:r>
      <w:r w:rsidRPr="00325C3F">
        <w:rPr>
          <w:i/>
        </w:rPr>
        <w:t>2021</w:t>
      </w:r>
      <w:r>
        <w:t xml:space="preserve"> incorporates planning, design and analysis for all IT projects. It also features significant business involvement to ensure innovation and organisational change projects are delivered more effectively and continue to align with the overarching Digital First Program. </w:t>
      </w:r>
    </w:p>
    <w:p w14:paraId="21E77E80" w14:textId="724948E6" w:rsidR="00B03D89" w:rsidRDefault="00B03D89" w:rsidP="00B03D89">
      <w:r>
        <w:t xml:space="preserve">The IT Plan is undergoing review concurrently with the Agency’s </w:t>
      </w:r>
      <w:r>
        <w:rPr>
          <w:i/>
        </w:rPr>
        <w:t>Strategic Plan 2018–</w:t>
      </w:r>
      <w:r w:rsidRPr="00325C3F">
        <w:rPr>
          <w:i/>
        </w:rPr>
        <w:t>2021</w:t>
      </w:r>
      <w:r>
        <w:t xml:space="preserve"> to ensure continued alignment to business initiatives and whole of government Information and Communication Technology (ICT) strategy. Key features </w:t>
      </w:r>
      <w:r w:rsidR="002B056A">
        <w:t xml:space="preserve">of the IT Plan </w:t>
      </w:r>
      <w:r>
        <w:t xml:space="preserve">include: </w:t>
      </w:r>
    </w:p>
    <w:p w14:paraId="48ECB576" w14:textId="77777777" w:rsidR="00B03D89" w:rsidRDefault="00B03D89" w:rsidP="00B03D89">
      <w:pPr>
        <w:pStyle w:val="BulletListLevel1"/>
      </w:pPr>
      <w:r>
        <w:t xml:space="preserve">division of projects into workloads that maximise use of available internal resources </w:t>
      </w:r>
    </w:p>
    <w:p w14:paraId="3BFA5C37" w14:textId="2B585DF6" w:rsidR="00B03D89" w:rsidRDefault="002B056A" w:rsidP="00B03D89">
      <w:pPr>
        <w:pStyle w:val="BulletListLevel1"/>
      </w:pPr>
      <w:r>
        <w:t>planning for the transition to</w:t>
      </w:r>
      <w:r w:rsidR="00B03D89">
        <w:t xml:space="preserve"> cloud based services </w:t>
      </w:r>
    </w:p>
    <w:p w14:paraId="0EB0767C" w14:textId="6CC4FF5C" w:rsidR="00B03D89" w:rsidRPr="006D22F1" w:rsidRDefault="00B03D89" w:rsidP="00B03D89">
      <w:pPr>
        <w:pStyle w:val="BulletListLevel1"/>
      </w:pPr>
      <w:r w:rsidRPr="006D22F1">
        <w:t>ongoing technology</w:t>
      </w:r>
      <w:r>
        <w:t xml:space="preserve"> refresh</w:t>
      </w:r>
      <w:r w:rsidR="002B056A">
        <w:t xml:space="preserve"> projects</w:t>
      </w:r>
      <w:r>
        <w:t xml:space="preserve"> </w:t>
      </w:r>
      <w:r w:rsidRPr="006D22F1">
        <w:t xml:space="preserve">to maintain a contemporary application development environment. </w:t>
      </w:r>
    </w:p>
    <w:p w14:paraId="7B625E85" w14:textId="35407D17" w:rsidR="005D15EE" w:rsidRDefault="005D15EE" w:rsidP="005D15EE">
      <w:pPr>
        <w:pStyle w:val="Heading2nonumber"/>
      </w:pPr>
      <w:bookmarkStart w:id="540" w:name="_Toc525122082"/>
      <w:r>
        <w:t>IT projects</w:t>
      </w:r>
      <w:bookmarkEnd w:id="540"/>
    </w:p>
    <w:p w14:paraId="62711148" w14:textId="7E098FD2" w:rsidR="005D15EE" w:rsidRPr="005D15EE" w:rsidRDefault="009E1E55" w:rsidP="005D15EE">
      <w:pPr>
        <w:pStyle w:val="Heading3nonumber"/>
      </w:pPr>
      <w:bookmarkStart w:id="541" w:name="_Toc525122083"/>
      <w:r>
        <w:t>Cloud backup</w:t>
      </w:r>
      <w:bookmarkEnd w:id="541"/>
    </w:p>
    <w:p w14:paraId="6C0F2596" w14:textId="5C897721" w:rsidR="005D15EE" w:rsidRDefault="002D6B29" w:rsidP="002D6B29">
      <w:r>
        <w:t xml:space="preserve">During 2016/17, WorkCover WA undertook a review of current disaster recovery capabilities and recommended that improvements </w:t>
      </w:r>
      <w:r w:rsidR="00AE2D14">
        <w:t>be</w:t>
      </w:r>
      <w:r>
        <w:t xml:space="preserve"> made. The first phase of these improvements was to implement a cloud-based backup solution intended to replace existing backup to tape.</w:t>
      </w:r>
    </w:p>
    <w:p w14:paraId="28A0C1B4" w14:textId="1F721B6F" w:rsidR="002D6B29" w:rsidRDefault="002D6B29" w:rsidP="002D6B29">
      <w:r>
        <w:t>In 2017/18, a cloud-based backup solution was successfully implemented. In accordance with advice iss</w:t>
      </w:r>
      <w:r w:rsidR="00CE2872">
        <w:t>ued by the Office of the Chief Information O</w:t>
      </w:r>
      <w:r>
        <w:t xml:space="preserve">fficer, the backup is hosted by </w:t>
      </w:r>
      <w:r w:rsidR="00785BFA">
        <w:t>an</w:t>
      </w:r>
      <w:r>
        <w:t xml:space="preserve"> approved GovNext service provider.</w:t>
      </w:r>
    </w:p>
    <w:p w14:paraId="745A8733" w14:textId="601BC72F" w:rsidR="002D6B29" w:rsidRPr="002C0154" w:rsidRDefault="002D6B29" w:rsidP="002D6B29">
      <w:r>
        <w:t xml:space="preserve">A follow-on project to </w:t>
      </w:r>
      <w:r w:rsidR="00E62FB6">
        <w:t>scope</w:t>
      </w:r>
      <w:r>
        <w:t xml:space="preserve"> a disaster recovery solution using the cloud backup is planned for next financial year.</w:t>
      </w:r>
    </w:p>
    <w:p w14:paraId="06C6E58F" w14:textId="73946D02" w:rsidR="005D15EE" w:rsidRDefault="00E54227" w:rsidP="005D15EE">
      <w:pPr>
        <w:pStyle w:val="Heading3nonumber"/>
      </w:pPr>
      <w:bookmarkStart w:id="542" w:name="_Toc525122084"/>
      <w:r>
        <w:t>M</w:t>
      </w:r>
      <w:r w:rsidR="00392568">
        <w:t>icrosoft Security A</w:t>
      </w:r>
      <w:r>
        <w:t>udit</w:t>
      </w:r>
      <w:bookmarkEnd w:id="542"/>
    </w:p>
    <w:p w14:paraId="5761BB4D" w14:textId="6F444E69" w:rsidR="001D6046" w:rsidRDefault="00392568" w:rsidP="00392568">
      <w:r>
        <w:t xml:space="preserve">Following advice </w:t>
      </w:r>
      <w:r w:rsidR="001C72A2">
        <w:t>from</w:t>
      </w:r>
      <w:r>
        <w:t xml:space="preserve"> the Office of the Government Chief </w:t>
      </w:r>
      <w:r w:rsidR="00237E41">
        <w:t>I</w:t>
      </w:r>
      <w:r>
        <w:t xml:space="preserve">nformation Officer in June 2017 regarding a global ransomware outbreak, WorkCover WA engaged external experts to conduct a Microsoft Security Audit. The objective of the audit was to identify security risks in </w:t>
      </w:r>
      <w:r w:rsidRPr="00DB40BF">
        <w:t>our IT environment</w:t>
      </w:r>
      <w:r>
        <w:t>.</w:t>
      </w:r>
    </w:p>
    <w:p w14:paraId="358B624C" w14:textId="7F5F870C" w:rsidR="00392568" w:rsidRPr="002C0154" w:rsidRDefault="00392568" w:rsidP="00392568">
      <w:r>
        <w:t>The audit reported that, overall, WorkCover WA’s IT team is working effectively at managing the environment and follows vendor-recommended securi</w:t>
      </w:r>
      <w:r w:rsidR="00CE2872">
        <w:t xml:space="preserve">ty best practice. This ensures </w:t>
      </w:r>
      <w:r>
        <w:t>WorkCover WA’s systems and data are protected against known security threats.</w:t>
      </w:r>
      <w:r w:rsidR="00CE2872">
        <w:t xml:space="preserve"> </w:t>
      </w:r>
      <w:r>
        <w:t>The initiative was complete</w:t>
      </w:r>
      <w:r w:rsidR="002B056A">
        <w:t>d</w:t>
      </w:r>
      <w:r>
        <w:t xml:space="preserve"> and WorkCover WA addressed the </w:t>
      </w:r>
      <w:r w:rsidR="002B056A">
        <w:t xml:space="preserve">minor </w:t>
      </w:r>
      <w:r>
        <w:t>audit recommendations.</w:t>
      </w:r>
    </w:p>
    <w:p w14:paraId="1A2FE0DA" w14:textId="437F1CD3" w:rsidR="000C7A59" w:rsidRDefault="00686201" w:rsidP="004B6C2F">
      <w:pPr>
        <w:pStyle w:val="Heading3nonumber"/>
      </w:pPr>
      <w:bookmarkStart w:id="543" w:name="_Toc525122085"/>
      <w:r>
        <w:t>Phone network upgrade</w:t>
      </w:r>
      <w:bookmarkEnd w:id="543"/>
    </w:p>
    <w:p w14:paraId="7A18C22F" w14:textId="2DAE865A" w:rsidR="004B6C2F" w:rsidRPr="002C0154" w:rsidRDefault="00686201" w:rsidP="00686201">
      <w:pPr>
        <w:rPr>
          <w:rFonts w:cs="Arial"/>
        </w:rPr>
      </w:pPr>
      <w:r>
        <w:t>In 2017/18, WorkCover WA upgraded its phone network to facilitate transition to a cloud-based solution over the next few years. The ongoing program to upgrade to IP handsets is scheduled to be completed by December 2018. The project maximised the current investment in licencing and removed the risks associated with component failure. The solution will ultimately provide a full featured GovNext IP communications platform.</w:t>
      </w:r>
    </w:p>
    <w:p w14:paraId="65AA101C" w14:textId="77777777" w:rsidR="007F6E59" w:rsidRDefault="007F6E59" w:rsidP="004B6C2F">
      <w:pPr>
        <w:sectPr w:rsidR="007F6E59" w:rsidSect="00571B48">
          <w:headerReference w:type="default" r:id="rId30"/>
          <w:pgSz w:w="11906" w:h="16838"/>
          <w:pgMar w:top="1440" w:right="1440" w:bottom="1440" w:left="1440" w:header="709" w:footer="0" w:gutter="0"/>
          <w:cols w:space="708"/>
          <w:docGrid w:linePitch="360"/>
        </w:sectPr>
      </w:pPr>
    </w:p>
    <w:p w14:paraId="3CBA59E3" w14:textId="05A6A219" w:rsidR="0064173F" w:rsidRPr="00AB4A73" w:rsidRDefault="0064173F" w:rsidP="00BB3984">
      <w:pPr>
        <w:pStyle w:val="CoverTitle"/>
        <w:ind w:left="0"/>
      </w:pPr>
      <w:bookmarkStart w:id="544" w:name="_Toc399317021"/>
      <w:bookmarkStart w:id="545" w:name="_Toc450900789"/>
      <w:r w:rsidRPr="00AB4A73">
        <w:t>Section 5: Disclosure</w:t>
      </w:r>
      <w:r w:rsidR="00C466F7" w:rsidRPr="00AB4A73">
        <w:t>s</w:t>
      </w:r>
      <w:r w:rsidR="00197C53">
        <w:t xml:space="preserve"> and legal c</w:t>
      </w:r>
      <w:r w:rsidRPr="00AB4A73">
        <w:t>ompliance</w:t>
      </w:r>
      <w:bookmarkEnd w:id="544"/>
      <w:bookmarkEnd w:id="545"/>
    </w:p>
    <w:p w14:paraId="54173E51" w14:textId="77777777" w:rsidR="00BB6183" w:rsidRDefault="00BB6183" w:rsidP="00E27DE7">
      <w:pPr>
        <w:pStyle w:val="Heading1nonumber"/>
      </w:pPr>
      <w:bookmarkStart w:id="546" w:name="_Toc399317022"/>
      <w:bookmarkStart w:id="547" w:name="_Toc426617563"/>
      <w:bookmarkStart w:id="548" w:name="_Toc450900790"/>
      <w:bookmarkStart w:id="549" w:name="_Toc525122086"/>
      <w:r>
        <w:t>Report on funds management</w:t>
      </w:r>
      <w:bookmarkEnd w:id="546"/>
      <w:bookmarkEnd w:id="547"/>
      <w:bookmarkEnd w:id="548"/>
      <w:bookmarkEnd w:id="549"/>
    </w:p>
    <w:p w14:paraId="1ABE9600" w14:textId="0D046AFF" w:rsidR="00BB6183" w:rsidRDefault="00AA76C0" w:rsidP="00E22526">
      <w:pPr>
        <w:pStyle w:val="Heading2nonumber"/>
        <w:jc w:val="left"/>
      </w:pPr>
      <w:bookmarkStart w:id="550" w:name="_Toc399317023"/>
      <w:bookmarkStart w:id="551" w:name="_Toc426617564"/>
      <w:bookmarkStart w:id="552" w:name="_Toc450900791"/>
      <w:bookmarkStart w:id="553" w:name="_Toc525122087"/>
      <w:r w:rsidRPr="002C5644">
        <w:t xml:space="preserve">Workers’ Compensation </w:t>
      </w:r>
      <w:r w:rsidR="00335D5F">
        <w:t>and</w:t>
      </w:r>
      <w:r w:rsidRPr="002C5644">
        <w:t xml:space="preserve"> Injury Management Trust Account</w:t>
      </w:r>
      <w:bookmarkEnd w:id="550"/>
      <w:bookmarkEnd w:id="551"/>
      <w:bookmarkEnd w:id="552"/>
      <w:bookmarkEnd w:id="553"/>
    </w:p>
    <w:p w14:paraId="0E0553D5" w14:textId="77777777" w:rsidR="00490804" w:rsidRPr="00865CCC" w:rsidRDefault="00490804" w:rsidP="00490804">
      <w:bookmarkStart w:id="554" w:name="_Toc399317024"/>
      <w:bookmarkStart w:id="555" w:name="_Toc426617565"/>
      <w:bookmarkStart w:id="556" w:name="_Toc450900792"/>
      <w:r w:rsidRPr="00865CCC">
        <w:t>The Workers’ Compensation and Injury Management Trust Account is maintained in accordance w</w:t>
      </w:r>
      <w:r w:rsidRPr="00F33898">
        <w:t xml:space="preserve">ith </w:t>
      </w:r>
      <w:r w:rsidRPr="00DB40BF">
        <w:t xml:space="preserve">section 110 of the </w:t>
      </w:r>
      <w:r w:rsidRPr="00DB40BF">
        <w:rPr>
          <w:i/>
          <w:iCs/>
        </w:rPr>
        <w:t>Workers' Compensation and Injury Management Act 1981</w:t>
      </w:r>
      <w:r w:rsidRPr="00DB40BF">
        <w:t xml:space="preserve"> (the Act). </w:t>
      </w:r>
      <w:r w:rsidRPr="00F33898">
        <w:t>W</w:t>
      </w:r>
      <w:r w:rsidRPr="00865CCC">
        <w:t>orkCover WA seeks to optimise returns and security of funds invested for the benefit of the dependants of deceased workers.</w:t>
      </w:r>
    </w:p>
    <w:p w14:paraId="7D6DBD4F" w14:textId="77777777" w:rsidR="00490804" w:rsidRDefault="00490804" w:rsidP="00490804">
      <w:r w:rsidRPr="00865CCC">
        <w:t>Section 218 of the Act empowers an Arbitrator to order compensation to be paid in trust to WorkCover WA when it cannot immediately be paid to a person under a legal disability or the dependants of a deceased worker. These funds are invested in accordance with Treasurer’s guidelines.</w:t>
      </w:r>
    </w:p>
    <w:p w14:paraId="4311C6EE" w14:textId="77777777" w:rsidR="0000700F" w:rsidRPr="001B1144" w:rsidRDefault="0000700F" w:rsidP="0000700F">
      <w:r w:rsidRPr="001B1144">
        <w:t>Investment strategies employed provided an average yield for the 2017/18 year of 2.09 percent for all trust accounts.</w:t>
      </w:r>
    </w:p>
    <w:p w14:paraId="0040279E" w14:textId="1E97B964" w:rsidR="002223B8" w:rsidRDefault="00AA76C0" w:rsidP="00865CCC">
      <w:pPr>
        <w:pStyle w:val="Heading2nonumber"/>
      </w:pPr>
      <w:bookmarkStart w:id="557" w:name="_Toc525122088"/>
      <w:r w:rsidRPr="002C5644">
        <w:t xml:space="preserve">Uninsured </w:t>
      </w:r>
      <w:r w:rsidR="00180DE3" w:rsidRPr="002C5644">
        <w:t>c</w:t>
      </w:r>
      <w:r w:rsidRPr="002C5644">
        <w:t xml:space="preserve">laims </w:t>
      </w:r>
      <w:r w:rsidR="00180DE3" w:rsidRPr="002C5644">
        <w:t>m</w:t>
      </w:r>
      <w:r w:rsidRPr="002C5644">
        <w:t>anagement</w:t>
      </w:r>
      <w:bookmarkStart w:id="558" w:name="_Toc399317025"/>
      <w:bookmarkStart w:id="559" w:name="_Toc426617566"/>
      <w:bookmarkEnd w:id="554"/>
      <w:bookmarkEnd w:id="555"/>
      <w:bookmarkEnd w:id="556"/>
      <w:bookmarkEnd w:id="557"/>
    </w:p>
    <w:p w14:paraId="3376E9BC" w14:textId="25960A3B" w:rsidR="009F2665" w:rsidRPr="003308D6" w:rsidRDefault="009F2665" w:rsidP="009F2665">
      <w:bookmarkStart w:id="560" w:name="_Toc450900793"/>
      <w:r w:rsidRPr="003308D6">
        <w:t xml:space="preserve">WorkCover WA manages specific funds to provide a source of compensation for </w:t>
      </w:r>
      <w:r>
        <w:t xml:space="preserve">injured </w:t>
      </w:r>
      <w:r w:rsidRPr="003308D6">
        <w:t xml:space="preserve">workers of uninsured employers. Funds paid to workers from the General Account </w:t>
      </w:r>
      <w:r w:rsidR="00BB594A">
        <w:t xml:space="preserve">are </w:t>
      </w:r>
      <w:r w:rsidR="00BB594A" w:rsidRPr="003308D6">
        <w:t xml:space="preserve">recovered </w:t>
      </w:r>
      <w:r w:rsidR="00BB594A">
        <w:t xml:space="preserve">where ever possible </w:t>
      </w:r>
      <w:r w:rsidR="00BB594A" w:rsidRPr="003308D6">
        <w:t>from uninsured</w:t>
      </w:r>
      <w:r w:rsidR="00334E3F">
        <w:t xml:space="preserve"> employers</w:t>
      </w:r>
      <w:r w:rsidR="00BB594A" w:rsidRPr="003308D6">
        <w:t>.</w:t>
      </w:r>
    </w:p>
    <w:p w14:paraId="73F1ABF5" w14:textId="409DF83A" w:rsidR="009F2665" w:rsidRPr="002C1F2B" w:rsidRDefault="009F2665" w:rsidP="009F2665">
      <w:pPr>
        <w:rPr>
          <w:color w:val="00B050"/>
        </w:rPr>
      </w:pPr>
      <w:r>
        <w:t>Compliance checks</w:t>
      </w:r>
      <w:r w:rsidRPr="003308D6">
        <w:t xml:space="preserve"> establish an employer’s insurance status to ensure monies released from the General Account are in accordance with the p</w:t>
      </w:r>
      <w:r>
        <w:t xml:space="preserve">rovisions of the Act. </w:t>
      </w:r>
      <w:r w:rsidRPr="00670BD0">
        <w:t xml:space="preserve">This year </w:t>
      </w:r>
      <w:r w:rsidR="001D6D3F">
        <w:t>52</w:t>
      </w:r>
      <w:r w:rsidRPr="00670BD0">
        <w:t xml:space="preserve"> potential claims on the General Account </w:t>
      </w:r>
      <w:r w:rsidRPr="00670BD0">
        <w:rPr>
          <w:iCs/>
        </w:rPr>
        <w:t>were investigated</w:t>
      </w:r>
      <w:r w:rsidRPr="00670BD0">
        <w:t xml:space="preserve"> compared with </w:t>
      </w:r>
      <w:r w:rsidR="001D6D3F">
        <w:t>35</w:t>
      </w:r>
      <w:r w:rsidRPr="00670BD0">
        <w:t xml:space="preserve"> last year.</w:t>
      </w:r>
      <w:r w:rsidRPr="00670BD0">
        <w:rPr>
          <w:i/>
        </w:rPr>
        <w:t xml:space="preserve"> </w:t>
      </w:r>
    </w:p>
    <w:p w14:paraId="195ECDF7" w14:textId="7575055C" w:rsidR="009F2665" w:rsidRPr="00176B2D" w:rsidRDefault="009F2665" w:rsidP="009F2665">
      <w:pPr>
        <w:rPr>
          <w:rFonts w:cs="Arial"/>
          <w:i/>
        </w:rPr>
      </w:pPr>
      <w:r w:rsidRPr="00670BD0">
        <w:t xml:space="preserve">There were </w:t>
      </w:r>
      <w:r w:rsidR="007D77D2">
        <w:t>four</w:t>
      </w:r>
      <w:r w:rsidRPr="00670BD0">
        <w:t xml:space="preserve"> new accepted uninsured claims this financial year </w:t>
      </w:r>
      <w:r w:rsidR="00270ADD">
        <w:t>with</w:t>
      </w:r>
      <w:r w:rsidRPr="00670BD0">
        <w:t xml:space="preserve"> payments from the General Account</w:t>
      </w:r>
      <w:r w:rsidR="001C536C">
        <w:t>,</w:t>
      </w:r>
      <w:r w:rsidRPr="00670BD0">
        <w:t xml:space="preserve"> and </w:t>
      </w:r>
      <w:r w:rsidR="001D6D3F">
        <w:t>35</w:t>
      </w:r>
      <w:r w:rsidRPr="00670BD0">
        <w:t xml:space="preserve"> continuing claims from previous financial years. </w:t>
      </w:r>
      <w:r w:rsidR="0000700F" w:rsidRPr="00004604">
        <w:t>The net cost of new claims was $</w:t>
      </w:r>
      <w:r w:rsidR="001D6D3F">
        <w:t>261,174</w:t>
      </w:r>
      <w:r w:rsidR="0000700F" w:rsidRPr="00004604">
        <w:t xml:space="preserve"> and ongoing claims net costs amounted to </w:t>
      </w:r>
      <w:r w:rsidR="0000700F" w:rsidRPr="00004604">
        <w:rPr>
          <w:rFonts w:cs="Arial"/>
        </w:rPr>
        <w:t>$</w:t>
      </w:r>
      <w:r w:rsidR="001D6D3F">
        <w:t>2,054,356</w:t>
      </w:r>
      <w:r w:rsidR="0000700F" w:rsidRPr="00004604">
        <w:t>.</w:t>
      </w:r>
    </w:p>
    <w:p w14:paraId="57D8386C" w14:textId="77777777" w:rsidR="0000700F" w:rsidRPr="00004604" w:rsidRDefault="0000700F" w:rsidP="0000700F">
      <w:r w:rsidRPr="00004604">
        <w:t>At 30 June 2018, the total outstanding debt from uninsured employers was approximately $2,315,531. Recovery action against these employers is ongoing.</w:t>
      </w:r>
      <w:r w:rsidRPr="00004604">
        <w:rPr>
          <w:i/>
        </w:rPr>
        <w:t xml:space="preserve"> </w:t>
      </w:r>
    </w:p>
    <w:p w14:paraId="3762B18E" w14:textId="03798EC1" w:rsidR="00AA76C0" w:rsidRDefault="009F1C9D" w:rsidP="003308D6">
      <w:pPr>
        <w:pStyle w:val="Heading2nonumber"/>
      </w:pPr>
      <w:bookmarkStart w:id="561" w:name="_Toc525122089"/>
      <w:r>
        <w:t>Employer</w:t>
      </w:r>
      <w:r w:rsidR="00180DE3" w:rsidRPr="002C5644">
        <w:t>s</w:t>
      </w:r>
      <w:r>
        <w:t>’</w:t>
      </w:r>
      <w:r w:rsidR="00AA76C0" w:rsidRPr="002C5644">
        <w:t xml:space="preserve"> </w:t>
      </w:r>
      <w:r w:rsidR="00D56F7B">
        <w:t>I</w:t>
      </w:r>
      <w:r w:rsidR="00AA76C0" w:rsidRPr="002C5644">
        <w:t xml:space="preserve">ndemnity </w:t>
      </w:r>
      <w:r w:rsidR="00D56F7B">
        <w:t>S</w:t>
      </w:r>
      <w:r w:rsidR="00AA76C0" w:rsidRPr="002C5644">
        <w:t xml:space="preserve">upplementation </w:t>
      </w:r>
      <w:r w:rsidR="00D56F7B">
        <w:t>F</w:t>
      </w:r>
      <w:r w:rsidR="00AA76C0" w:rsidRPr="002C5644">
        <w:t>und</w:t>
      </w:r>
      <w:bookmarkEnd w:id="558"/>
      <w:bookmarkEnd w:id="559"/>
      <w:bookmarkEnd w:id="560"/>
      <w:bookmarkEnd w:id="561"/>
      <w:r w:rsidR="00AA76C0">
        <w:tab/>
      </w:r>
    </w:p>
    <w:p w14:paraId="429F6175" w14:textId="77777777" w:rsidR="006A1334" w:rsidRPr="00647168" w:rsidRDefault="006A1334" w:rsidP="006A1334">
      <w:r w:rsidRPr="00647168">
        <w:t xml:space="preserve">The Employers’ Indemnity Supplementation Fund was established under the provisions of the </w:t>
      </w:r>
      <w:r w:rsidRPr="00647168">
        <w:rPr>
          <w:i/>
          <w:iCs/>
        </w:rPr>
        <w:t>Employers’ Indemnity Supplementation Fund Act 1980</w:t>
      </w:r>
      <w:r w:rsidRPr="00647168">
        <w:t xml:space="preserve"> and exists to guard against the collapse of an insurer.</w:t>
      </w:r>
    </w:p>
    <w:p w14:paraId="776AA40F" w14:textId="279C61BE" w:rsidR="006A1334" w:rsidRPr="00647168" w:rsidRDefault="006A1334" w:rsidP="006A1334">
      <w:r w:rsidRPr="00647168">
        <w:t xml:space="preserve">The Employers’ Indemnity Supplementation Fund also pays claims under the </w:t>
      </w:r>
      <w:r w:rsidRPr="00647168">
        <w:rPr>
          <w:i/>
          <w:iCs/>
        </w:rPr>
        <w:t>Waterfront Workers’ (Compensation for Asbestos Related Disease) Act 1986</w:t>
      </w:r>
      <w:r w:rsidRPr="00647168">
        <w:t xml:space="preserve"> and the </w:t>
      </w:r>
      <w:r w:rsidRPr="00647168">
        <w:rPr>
          <w:i/>
          <w:iCs/>
        </w:rPr>
        <w:t>Workers’ Compensation and Injury Management (Acts of Terrorism) Act 2001</w:t>
      </w:r>
      <w:r w:rsidRPr="00647168">
        <w:rPr>
          <w:iCs/>
        </w:rPr>
        <w:t xml:space="preserve"> </w:t>
      </w:r>
      <w:r w:rsidR="004930E9">
        <w:rPr>
          <w:iCs/>
        </w:rPr>
        <w:br/>
      </w:r>
      <w:r w:rsidRPr="00647168">
        <w:rPr>
          <w:iCs/>
        </w:rPr>
        <w:t>(Acts of Terrorism Act)</w:t>
      </w:r>
      <w:r w:rsidRPr="00647168">
        <w:t xml:space="preserve">. </w:t>
      </w:r>
    </w:p>
    <w:p w14:paraId="2832EEE0" w14:textId="77777777" w:rsidR="0000700F" w:rsidRPr="00805C24" w:rsidRDefault="0000700F" w:rsidP="0000700F">
      <w:r>
        <w:t>Payments</w:t>
      </w:r>
      <w:r w:rsidRPr="00805C24">
        <w:t xml:space="preserve"> for claims under the </w:t>
      </w:r>
      <w:r w:rsidRPr="00805C24">
        <w:rPr>
          <w:i/>
          <w:iCs/>
        </w:rPr>
        <w:t>Waterfront Workers’ (Compensation for Asbestos Related Disease) Act 1986</w:t>
      </w:r>
      <w:r w:rsidRPr="00805C24">
        <w:t xml:space="preserve"> for 2017/18 </w:t>
      </w:r>
      <w:r>
        <w:t>were</w:t>
      </w:r>
      <w:r w:rsidRPr="00805C24">
        <w:t xml:space="preserve"> nil. Since its inception (February 1987), a total of $2,800,507 has been paid.</w:t>
      </w:r>
    </w:p>
    <w:p w14:paraId="70E5A6CE" w14:textId="77777777" w:rsidR="0000700F" w:rsidRPr="00805C24" w:rsidRDefault="0000700F" w:rsidP="0000700F">
      <w:r w:rsidRPr="00805C24">
        <w:t xml:space="preserve">Payments for claims under the </w:t>
      </w:r>
      <w:r w:rsidRPr="00805C24">
        <w:rPr>
          <w:iCs/>
        </w:rPr>
        <w:t>Acts of Terrorism Act</w:t>
      </w:r>
      <w:r w:rsidRPr="00805C24">
        <w:t xml:space="preserve"> for 2017/18 were nil.</w:t>
      </w:r>
    </w:p>
    <w:tbl>
      <w:tblPr>
        <w:tblStyle w:val="TableGrid11"/>
        <w:tblW w:w="9464"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34: Claim payments and receipts for Supplementation Fund  "/>
        <w:tblDescription w:val="This table explains the claim payments and receipts for the Supplementation Fund for 2017/18. "/>
      </w:tblPr>
      <w:tblGrid>
        <w:gridCol w:w="3016"/>
        <w:gridCol w:w="2989"/>
        <w:gridCol w:w="3459"/>
      </w:tblGrid>
      <w:tr w:rsidR="00A52BC5" w:rsidRPr="00904C14" w14:paraId="593B63E9" w14:textId="77777777" w:rsidTr="00DB40BF">
        <w:trPr>
          <w:tblHeader/>
        </w:trPr>
        <w:tc>
          <w:tcPr>
            <w:tcW w:w="9464" w:type="dxa"/>
            <w:gridSpan w:val="3"/>
            <w:shd w:val="clear" w:color="auto" w:fill="003F5F"/>
          </w:tcPr>
          <w:p w14:paraId="5C7A41CE" w14:textId="525E9884" w:rsidR="00A52BC5" w:rsidRPr="00904C14" w:rsidRDefault="00A52BC5" w:rsidP="00DB40BF">
            <w:pPr>
              <w:rPr>
                <w:b/>
                <w:bCs/>
              </w:rPr>
            </w:pPr>
            <w:r w:rsidRPr="009E30CA">
              <w:br w:type="page"/>
            </w:r>
            <w:r w:rsidR="00F72C89" w:rsidRPr="00DB40BF">
              <w:rPr>
                <w:b/>
                <w:bCs/>
                <w:color w:val="FFFFFF" w:themeColor="background1"/>
              </w:rPr>
              <w:t xml:space="preserve">Table </w:t>
            </w:r>
            <w:r w:rsidR="00A9187B" w:rsidRPr="00DB40BF">
              <w:rPr>
                <w:b/>
                <w:bCs/>
                <w:color w:val="FFFFFF" w:themeColor="background1"/>
              </w:rPr>
              <w:t>3</w:t>
            </w:r>
            <w:r w:rsidR="00DB40BF" w:rsidRPr="00DB40BF">
              <w:rPr>
                <w:b/>
                <w:bCs/>
                <w:color w:val="FFFFFF" w:themeColor="background1"/>
              </w:rPr>
              <w:t>5</w:t>
            </w:r>
            <w:r w:rsidRPr="00DB40BF">
              <w:rPr>
                <w:b/>
                <w:bCs/>
                <w:color w:val="FFFFFF" w:themeColor="background1"/>
              </w:rPr>
              <w:t xml:space="preserve">: </w:t>
            </w:r>
            <w:r w:rsidRPr="006A1334">
              <w:rPr>
                <w:b/>
                <w:bCs/>
                <w:color w:val="FFFFFF" w:themeColor="background1"/>
              </w:rPr>
              <w:t>Claim payments and receipts for Supplementation Fund</w:t>
            </w:r>
            <w:r w:rsidR="00F54FE5" w:rsidRPr="006A1334">
              <w:rPr>
                <w:b/>
                <w:bCs/>
                <w:color w:val="FFFFFF" w:themeColor="background1"/>
              </w:rPr>
              <w:t xml:space="preserve"> for 2017/18</w:t>
            </w:r>
          </w:p>
        </w:tc>
      </w:tr>
      <w:tr w:rsidR="00A52BC5" w:rsidRPr="00904C14" w14:paraId="08BDB40D" w14:textId="77777777" w:rsidTr="00DB40BF">
        <w:tc>
          <w:tcPr>
            <w:tcW w:w="3016" w:type="dxa"/>
            <w:shd w:val="clear" w:color="auto" w:fill="CEDCE8"/>
            <w:vAlign w:val="center"/>
          </w:tcPr>
          <w:p w14:paraId="5674C6F2" w14:textId="77777777" w:rsidR="00A52BC5" w:rsidRPr="00904C14" w:rsidRDefault="00A52BC5" w:rsidP="006F69A6">
            <w:pPr>
              <w:rPr>
                <w:b/>
                <w:bCs/>
              </w:rPr>
            </w:pPr>
            <w:r w:rsidRPr="00904C14">
              <w:rPr>
                <w:b/>
                <w:bCs/>
              </w:rPr>
              <w:t>Item</w:t>
            </w:r>
          </w:p>
        </w:tc>
        <w:tc>
          <w:tcPr>
            <w:tcW w:w="2989" w:type="dxa"/>
            <w:shd w:val="clear" w:color="auto" w:fill="CEDCE8"/>
            <w:vAlign w:val="center"/>
          </w:tcPr>
          <w:p w14:paraId="590121EE" w14:textId="77777777" w:rsidR="00A52BC5" w:rsidRPr="00904C14" w:rsidRDefault="00A52BC5" w:rsidP="00745D73">
            <w:pPr>
              <w:jc w:val="right"/>
              <w:rPr>
                <w:b/>
                <w:bCs/>
              </w:rPr>
            </w:pPr>
            <w:r w:rsidRPr="00904C14">
              <w:rPr>
                <w:b/>
                <w:bCs/>
              </w:rPr>
              <w:t>HIH Insurance ($)</w:t>
            </w:r>
          </w:p>
        </w:tc>
        <w:tc>
          <w:tcPr>
            <w:tcW w:w="3459" w:type="dxa"/>
            <w:shd w:val="clear" w:color="auto" w:fill="CEDCE8"/>
            <w:vAlign w:val="center"/>
          </w:tcPr>
          <w:p w14:paraId="1B7F9682" w14:textId="141B66F4" w:rsidR="00A52BC5" w:rsidRPr="00904C14" w:rsidRDefault="00A52BC5" w:rsidP="00745D73">
            <w:pPr>
              <w:jc w:val="right"/>
              <w:rPr>
                <w:b/>
                <w:bCs/>
              </w:rPr>
            </w:pPr>
            <w:r w:rsidRPr="00904C14">
              <w:rPr>
                <w:b/>
                <w:bCs/>
              </w:rPr>
              <w:t>Non-HIH Insurance ($)</w:t>
            </w:r>
          </w:p>
        </w:tc>
      </w:tr>
      <w:tr w:rsidR="0000700F" w:rsidRPr="00904C14" w14:paraId="6DC00BAE" w14:textId="77777777" w:rsidTr="00DB40BF">
        <w:tc>
          <w:tcPr>
            <w:tcW w:w="3016" w:type="dxa"/>
            <w:shd w:val="clear" w:color="auto" w:fill="CEDCE8"/>
            <w:vAlign w:val="center"/>
          </w:tcPr>
          <w:p w14:paraId="70B0FA63" w14:textId="77777777" w:rsidR="0000700F" w:rsidRPr="00904C14" w:rsidRDefault="0000700F" w:rsidP="0000700F">
            <w:pPr>
              <w:rPr>
                <w:lang w:val="en-GB"/>
              </w:rPr>
            </w:pPr>
            <w:r w:rsidRPr="00904C14">
              <w:rPr>
                <w:rFonts w:cs="Arial"/>
                <w:color w:val="000000"/>
                <w:lang w:val="en-GB"/>
              </w:rPr>
              <w:t>Value of outstanding claims in Western Australia</w:t>
            </w:r>
          </w:p>
        </w:tc>
        <w:tc>
          <w:tcPr>
            <w:tcW w:w="2989" w:type="dxa"/>
          </w:tcPr>
          <w:p w14:paraId="5082937C" w14:textId="1903C5C5" w:rsidR="0000700F" w:rsidRPr="006A1334" w:rsidRDefault="0000700F" w:rsidP="0000700F">
            <w:pPr>
              <w:jc w:val="right"/>
              <w:rPr>
                <w:color w:val="FF0000"/>
                <w:highlight w:val="yellow"/>
              </w:rPr>
            </w:pPr>
            <w:r w:rsidRPr="00805C24">
              <w:t>633,144</w:t>
            </w:r>
          </w:p>
        </w:tc>
        <w:tc>
          <w:tcPr>
            <w:tcW w:w="3459" w:type="dxa"/>
          </w:tcPr>
          <w:p w14:paraId="3C60EF10" w14:textId="2827784E" w:rsidR="0000700F" w:rsidRPr="006A1334" w:rsidRDefault="0000700F" w:rsidP="0000700F">
            <w:pPr>
              <w:jc w:val="right"/>
              <w:rPr>
                <w:color w:val="FF0000"/>
                <w:highlight w:val="yellow"/>
              </w:rPr>
            </w:pPr>
            <w:r w:rsidRPr="00805C24">
              <w:t>258,862</w:t>
            </w:r>
          </w:p>
        </w:tc>
      </w:tr>
      <w:tr w:rsidR="0000700F" w:rsidRPr="00904C14" w14:paraId="57DFC68E" w14:textId="77777777" w:rsidTr="00DB40BF">
        <w:tc>
          <w:tcPr>
            <w:tcW w:w="3016" w:type="dxa"/>
            <w:shd w:val="clear" w:color="auto" w:fill="CEDCE8"/>
            <w:vAlign w:val="center"/>
          </w:tcPr>
          <w:p w14:paraId="7B8D0E5D" w14:textId="6D549D30" w:rsidR="0000700F" w:rsidRPr="00904C14" w:rsidRDefault="0000700F" w:rsidP="0000700F">
            <w:r w:rsidRPr="00904C14">
              <w:rPr>
                <w:rFonts w:cs="Arial"/>
                <w:color w:val="000000"/>
                <w:lang w:val="en-GB"/>
              </w:rPr>
              <w:t>Received from liquidator</w:t>
            </w:r>
            <w:r>
              <w:rPr>
                <w:rFonts w:cs="Arial"/>
                <w:color w:val="000000"/>
                <w:lang w:val="en-GB"/>
              </w:rPr>
              <w:t>s in 2017/18</w:t>
            </w:r>
          </w:p>
        </w:tc>
        <w:tc>
          <w:tcPr>
            <w:tcW w:w="2989" w:type="dxa"/>
          </w:tcPr>
          <w:p w14:paraId="6D6D053C" w14:textId="45E19A21" w:rsidR="0000700F" w:rsidRPr="006A1334" w:rsidRDefault="0000700F" w:rsidP="0000700F">
            <w:pPr>
              <w:jc w:val="right"/>
              <w:rPr>
                <w:color w:val="FF0000"/>
                <w:highlight w:val="yellow"/>
              </w:rPr>
            </w:pPr>
            <w:r w:rsidRPr="00805C24">
              <w:t>Nil</w:t>
            </w:r>
          </w:p>
        </w:tc>
        <w:tc>
          <w:tcPr>
            <w:tcW w:w="3459" w:type="dxa"/>
            <w:shd w:val="clear" w:color="auto" w:fill="auto"/>
          </w:tcPr>
          <w:p w14:paraId="0A6ECDF4" w14:textId="674E830C" w:rsidR="0000700F" w:rsidRPr="006A1334" w:rsidRDefault="0000700F" w:rsidP="0000700F">
            <w:pPr>
              <w:jc w:val="right"/>
              <w:rPr>
                <w:color w:val="FF0000"/>
                <w:highlight w:val="yellow"/>
              </w:rPr>
            </w:pPr>
            <w:r w:rsidRPr="00805C24">
              <w:t>379</w:t>
            </w:r>
          </w:p>
        </w:tc>
      </w:tr>
      <w:tr w:rsidR="0000700F" w:rsidRPr="00904C14" w14:paraId="28FEC6D6" w14:textId="77777777" w:rsidTr="00DB40BF">
        <w:tc>
          <w:tcPr>
            <w:tcW w:w="3016" w:type="dxa"/>
            <w:shd w:val="clear" w:color="auto" w:fill="CEDCE8"/>
            <w:vAlign w:val="center"/>
          </w:tcPr>
          <w:p w14:paraId="3ED12947" w14:textId="3A19ED50" w:rsidR="0000700F" w:rsidRPr="00904C14" w:rsidRDefault="0000700F" w:rsidP="0000700F">
            <w:r>
              <w:rPr>
                <w:rFonts w:cs="Arial"/>
                <w:color w:val="000000"/>
                <w:lang w:val="en-GB"/>
              </w:rPr>
              <w:t>Claim payments for 2017/18</w:t>
            </w:r>
          </w:p>
        </w:tc>
        <w:tc>
          <w:tcPr>
            <w:tcW w:w="2989" w:type="dxa"/>
          </w:tcPr>
          <w:p w14:paraId="79294DA6" w14:textId="70E46B77" w:rsidR="0000700F" w:rsidRPr="006A1334" w:rsidRDefault="0000700F" w:rsidP="0000700F">
            <w:pPr>
              <w:jc w:val="right"/>
              <w:rPr>
                <w:color w:val="FF0000"/>
                <w:highlight w:val="yellow"/>
              </w:rPr>
            </w:pPr>
            <w:r w:rsidRPr="00805C24">
              <w:t>427,142</w:t>
            </w:r>
          </w:p>
        </w:tc>
        <w:tc>
          <w:tcPr>
            <w:tcW w:w="3459" w:type="dxa"/>
          </w:tcPr>
          <w:p w14:paraId="4094D6BC" w14:textId="246296C8" w:rsidR="0000700F" w:rsidRPr="006A1334" w:rsidRDefault="0000700F" w:rsidP="0000700F">
            <w:pPr>
              <w:jc w:val="right"/>
              <w:rPr>
                <w:color w:val="FF0000"/>
                <w:highlight w:val="yellow"/>
              </w:rPr>
            </w:pPr>
            <w:r w:rsidRPr="00805C24">
              <w:t>267,351</w:t>
            </w:r>
          </w:p>
        </w:tc>
      </w:tr>
    </w:tbl>
    <w:p w14:paraId="5633B85D" w14:textId="005B181C" w:rsidR="00AA76C0" w:rsidRDefault="00AA76C0" w:rsidP="00E27DE7">
      <w:pPr>
        <w:pStyle w:val="Heading2nonumber"/>
      </w:pPr>
      <w:bookmarkStart w:id="562" w:name="_Toc399317026"/>
      <w:bookmarkStart w:id="563" w:name="_Toc426617567"/>
      <w:bookmarkStart w:id="564" w:name="_Toc450900794"/>
      <w:bookmarkStart w:id="565" w:name="_Toc525122090"/>
      <w:r w:rsidRPr="007F7D49">
        <w:t xml:space="preserve">Debts and </w:t>
      </w:r>
      <w:r w:rsidR="00180DE3" w:rsidRPr="007F7D49">
        <w:t>i</w:t>
      </w:r>
      <w:r w:rsidRPr="007F7D49">
        <w:t>nvestments</w:t>
      </w:r>
      <w:bookmarkEnd w:id="562"/>
      <w:bookmarkEnd w:id="563"/>
      <w:bookmarkEnd w:id="564"/>
      <w:bookmarkEnd w:id="565"/>
    </w:p>
    <w:p w14:paraId="13CD05B1" w14:textId="77777777" w:rsidR="0000700F" w:rsidRPr="0051282A" w:rsidRDefault="0000700F" w:rsidP="0000700F">
      <w:r w:rsidRPr="002D5278">
        <w:t xml:space="preserve">At </w:t>
      </w:r>
      <w:r w:rsidRPr="001501C4">
        <w:t xml:space="preserve">30 June 2018, </w:t>
      </w:r>
      <w:r w:rsidRPr="0051282A">
        <w:t>there were 77 outstanding debtors resulting from fines and penalties awarded under the Act, with debts outstanding of $595,522. In 2017/18, the weighted average rate of return on General Account investments was 2.57 percent.</w:t>
      </w:r>
    </w:p>
    <w:p w14:paraId="5B1DCBEF" w14:textId="75938FBC" w:rsidR="00BB3984" w:rsidRPr="00565B4A" w:rsidRDefault="00BB3984" w:rsidP="009220BE">
      <w:pPr>
        <w:rPr>
          <w:color w:val="FF0000"/>
        </w:rPr>
      </w:pPr>
    </w:p>
    <w:tbl>
      <w:tblPr>
        <w:tblStyle w:val="TableGrid11"/>
        <w:tblW w:w="9209"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ook w:val="04A0" w:firstRow="1" w:lastRow="0" w:firstColumn="1" w:lastColumn="0" w:noHBand="0" w:noVBand="1"/>
        <w:tblCaption w:val="Table 36: Actual results vs budget results"/>
        <w:tblDescription w:val="This table compares the budget results against the actual results for 2017/18, including for total revenue, total expenses, total equity, net decrease in cash held and approved full-time equivalent staff level. "/>
      </w:tblPr>
      <w:tblGrid>
        <w:gridCol w:w="4531"/>
        <w:gridCol w:w="1843"/>
        <w:gridCol w:w="1559"/>
        <w:gridCol w:w="1276"/>
      </w:tblGrid>
      <w:tr w:rsidR="009220BE" w:rsidRPr="009E30CA" w14:paraId="577F8538" w14:textId="77777777" w:rsidTr="008F1034">
        <w:trPr>
          <w:tblHeader/>
        </w:trPr>
        <w:tc>
          <w:tcPr>
            <w:tcW w:w="9209" w:type="dxa"/>
            <w:gridSpan w:val="4"/>
            <w:shd w:val="clear" w:color="auto" w:fill="003F5F"/>
          </w:tcPr>
          <w:p w14:paraId="249DDEF8" w14:textId="6262E365" w:rsidR="009220BE" w:rsidRPr="009E30CA" w:rsidRDefault="00F54FE5" w:rsidP="008F1034">
            <w:pPr>
              <w:rPr>
                <w:b/>
                <w:bCs/>
                <w:color w:val="FFFFFF"/>
              </w:rPr>
            </w:pPr>
            <w:r w:rsidRPr="008F1034">
              <w:rPr>
                <w:b/>
                <w:bCs/>
                <w:color w:val="FFFFFF" w:themeColor="background1"/>
              </w:rPr>
              <w:t xml:space="preserve">Table </w:t>
            </w:r>
            <w:r w:rsidR="00A9187B" w:rsidRPr="008F1034">
              <w:rPr>
                <w:b/>
                <w:bCs/>
                <w:color w:val="FFFFFF" w:themeColor="background1"/>
              </w:rPr>
              <w:t>3</w:t>
            </w:r>
            <w:r w:rsidR="008F1034" w:rsidRPr="008F1034">
              <w:rPr>
                <w:b/>
                <w:bCs/>
                <w:color w:val="FFFFFF" w:themeColor="background1"/>
              </w:rPr>
              <w:t>6</w:t>
            </w:r>
            <w:r w:rsidR="009220BE" w:rsidRPr="008F1034">
              <w:rPr>
                <w:b/>
                <w:bCs/>
                <w:color w:val="FFFFFF" w:themeColor="background1"/>
              </w:rPr>
              <w:t>: Actual results vs budget results</w:t>
            </w:r>
          </w:p>
        </w:tc>
      </w:tr>
      <w:tr w:rsidR="009220BE" w:rsidRPr="009E30CA" w14:paraId="3B0DBB1C" w14:textId="77777777" w:rsidTr="008F1034">
        <w:tc>
          <w:tcPr>
            <w:tcW w:w="4531" w:type="dxa"/>
            <w:shd w:val="clear" w:color="auto" w:fill="CEDCE8"/>
            <w:vAlign w:val="center"/>
          </w:tcPr>
          <w:p w14:paraId="522686DD" w14:textId="77777777" w:rsidR="009220BE" w:rsidRPr="00C16F54" w:rsidRDefault="009220BE" w:rsidP="00192AA2">
            <w:pPr>
              <w:rPr>
                <w:b/>
                <w:bCs/>
              </w:rPr>
            </w:pPr>
            <w:r w:rsidRPr="00C16F54">
              <w:rPr>
                <w:b/>
                <w:bCs/>
              </w:rPr>
              <w:t>Item</w:t>
            </w:r>
          </w:p>
        </w:tc>
        <w:tc>
          <w:tcPr>
            <w:tcW w:w="1843" w:type="dxa"/>
            <w:shd w:val="clear" w:color="auto" w:fill="CEDCE8"/>
            <w:vAlign w:val="center"/>
          </w:tcPr>
          <w:p w14:paraId="2B10BE1A" w14:textId="597362E7" w:rsidR="009220BE" w:rsidRPr="00C16F54" w:rsidRDefault="00F54FE5" w:rsidP="00192AA2">
            <w:pPr>
              <w:jc w:val="right"/>
              <w:rPr>
                <w:b/>
                <w:bCs/>
              </w:rPr>
            </w:pPr>
            <w:r>
              <w:rPr>
                <w:b/>
                <w:bCs/>
              </w:rPr>
              <w:t>2017/18</w:t>
            </w:r>
            <w:r w:rsidR="009220BE" w:rsidRPr="00C16F54">
              <w:rPr>
                <w:b/>
                <w:bCs/>
              </w:rPr>
              <w:t xml:space="preserve"> Target </w:t>
            </w:r>
            <w:r w:rsidR="00BB3984">
              <w:rPr>
                <w:b/>
                <w:bCs/>
              </w:rPr>
              <w:br/>
            </w:r>
            <w:r w:rsidR="009220BE" w:rsidRPr="00C16F54">
              <w:rPr>
                <w:b/>
                <w:bCs/>
              </w:rPr>
              <w:t>$000</w:t>
            </w:r>
          </w:p>
        </w:tc>
        <w:tc>
          <w:tcPr>
            <w:tcW w:w="1559" w:type="dxa"/>
            <w:shd w:val="clear" w:color="auto" w:fill="CEDCE8"/>
            <w:vAlign w:val="center"/>
          </w:tcPr>
          <w:p w14:paraId="3C59C1EA" w14:textId="744C2804" w:rsidR="009220BE" w:rsidRPr="00C16F54" w:rsidRDefault="00F54FE5" w:rsidP="00192AA2">
            <w:pPr>
              <w:jc w:val="right"/>
              <w:rPr>
                <w:b/>
                <w:bCs/>
              </w:rPr>
            </w:pPr>
            <w:r>
              <w:rPr>
                <w:b/>
                <w:bCs/>
              </w:rPr>
              <w:t>2017/18</w:t>
            </w:r>
            <w:r w:rsidR="009220BE" w:rsidRPr="00C16F54">
              <w:rPr>
                <w:b/>
                <w:bCs/>
              </w:rPr>
              <w:t xml:space="preserve"> Actual </w:t>
            </w:r>
            <w:r w:rsidR="00BB3984">
              <w:rPr>
                <w:b/>
                <w:bCs/>
              </w:rPr>
              <w:br/>
            </w:r>
            <w:r w:rsidR="009220BE" w:rsidRPr="00C16F54">
              <w:rPr>
                <w:b/>
                <w:bCs/>
              </w:rPr>
              <w:t>$000</w:t>
            </w:r>
          </w:p>
        </w:tc>
        <w:tc>
          <w:tcPr>
            <w:tcW w:w="1276" w:type="dxa"/>
            <w:shd w:val="clear" w:color="auto" w:fill="CEDCE8"/>
          </w:tcPr>
          <w:p w14:paraId="5A70F902" w14:textId="77777777" w:rsidR="009220BE" w:rsidRPr="00C16F54" w:rsidRDefault="009220BE" w:rsidP="00192AA2">
            <w:pPr>
              <w:jc w:val="right"/>
              <w:rPr>
                <w:b/>
                <w:bCs/>
              </w:rPr>
            </w:pPr>
            <w:r w:rsidRPr="00C16F54">
              <w:rPr>
                <w:b/>
                <w:bCs/>
              </w:rPr>
              <w:t>Variation $000</w:t>
            </w:r>
          </w:p>
        </w:tc>
      </w:tr>
      <w:tr w:rsidR="0000700F" w:rsidRPr="009E30CA" w14:paraId="24F05DBA" w14:textId="77777777" w:rsidTr="008F1034">
        <w:tc>
          <w:tcPr>
            <w:tcW w:w="4531" w:type="dxa"/>
            <w:shd w:val="clear" w:color="auto" w:fill="CEDCE8"/>
            <w:vAlign w:val="center"/>
          </w:tcPr>
          <w:p w14:paraId="18D004E7" w14:textId="77777777" w:rsidR="0000700F" w:rsidRPr="00C16F54" w:rsidRDefault="0000700F" w:rsidP="0000700F">
            <w:pPr>
              <w:suppressAutoHyphens/>
              <w:autoSpaceDE w:val="0"/>
              <w:autoSpaceDN w:val="0"/>
              <w:adjustRightInd w:val="0"/>
              <w:spacing w:after="0" w:line="288" w:lineRule="auto"/>
              <w:textAlignment w:val="center"/>
              <w:rPr>
                <w:rFonts w:cs="Arial"/>
                <w:lang w:val="en-GB"/>
              </w:rPr>
            </w:pPr>
            <w:r w:rsidRPr="00C16F54">
              <w:rPr>
                <w:rFonts w:cs="Arial"/>
                <w:lang w:val="en-GB"/>
              </w:rPr>
              <w:t>Total Revenue</w:t>
            </w:r>
            <w:r>
              <w:rPr>
                <w:rFonts w:cs="Arial"/>
                <w:lang w:val="en-GB"/>
              </w:rPr>
              <w:t xml:space="preserve"> </w:t>
            </w:r>
            <w:r w:rsidRPr="00C16F54">
              <w:rPr>
                <w:rFonts w:cs="Arial"/>
                <w:lang w:val="en-GB"/>
              </w:rPr>
              <w:t>(sourced from Statement of Comprehensive Income)</w:t>
            </w:r>
          </w:p>
        </w:tc>
        <w:tc>
          <w:tcPr>
            <w:tcW w:w="1843" w:type="dxa"/>
          </w:tcPr>
          <w:p w14:paraId="7F58E2B0" w14:textId="5369AA66" w:rsidR="0000700F" w:rsidRPr="00214519" w:rsidRDefault="0000700F" w:rsidP="0000700F">
            <w:pPr>
              <w:jc w:val="right"/>
              <w:rPr>
                <w:color w:val="FF0000"/>
                <w:highlight w:val="yellow"/>
              </w:rPr>
            </w:pPr>
            <w:r w:rsidRPr="0051282A">
              <w:t>23,332</w:t>
            </w:r>
          </w:p>
        </w:tc>
        <w:tc>
          <w:tcPr>
            <w:tcW w:w="1559" w:type="dxa"/>
          </w:tcPr>
          <w:p w14:paraId="0FFD72CD" w14:textId="79A0E334" w:rsidR="0000700F" w:rsidRPr="00214519" w:rsidRDefault="0000700F" w:rsidP="0000700F">
            <w:pPr>
              <w:jc w:val="right"/>
              <w:rPr>
                <w:color w:val="FF0000"/>
                <w:highlight w:val="yellow"/>
              </w:rPr>
            </w:pPr>
            <w:r w:rsidRPr="0051282A">
              <w:t>23,225</w:t>
            </w:r>
          </w:p>
        </w:tc>
        <w:tc>
          <w:tcPr>
            <w:tcW w:w="1276" w:type="dxa"/>
          </w:tcPr>
          <w:p w14:paraId="0929D581" w14:textId="29B53AF8" w:rsidR="0000700F" w:rsidRPr="00214519" w:rsidRDefault="0000700F" w:rsidP="0000700F">
            <w:pPr>
              <w:jc w:val="right"/>
              <w:rPr>
                <w:rFonts w:cs="Arial"/>
                <w:bCs/>
                <w:color w:val="FF0000"/>
                <w:highlight w:val="yellow"/>
                <w:lang w:val="en-GB"/>
              </w:rPr>
            </w:pPr>
            <w:r w:rsidRPr="0051282A">
              <w:t>107</w:t>
            </w:r>
          </w:p>
        </w:tc>
      </w:tr>
      <w:tr w:rsidR="0000700F" w:rsidRPr="009E30CA" w14:paraId="7780DC0C" w14:textId="77777777" w:rsidTr="008F1034">
        <w:tc>
          <w:tcPr>
            <w:tcW w:w="4531" w:type="dxa"/>
            <w:shd w:val="clear" w:color="auto" w:fill="CEDCE8"/>
            <w:vAlign w:val="center"/>
          </w:tcPr>
          <w:p w14:paraId="34487453" w14:textId="77777777" w:rsidR="0000700F" w:rsidRPr="00C16F54" w:rsidRDefault="0000700F" w:rsidP="0000700F">
            <w:pPr>
              <w:suppressAutoHyphens/>
              <w:autoSpaceDE w:val="0"/>
              <w:autoSpaceDN w:val="0"/>
              <w:adjustRightInd w:val="0"/>
              <w:spacing w:after="0" w:line="288" w:lineRule="auto"/>
              <w:textAlignment w:val="center"/>
              <w:rPr>
                <w:rFonts w:cs="Arial"/>
                <w:lang w:val="en-GB"/>
              </w:rPr>
            </w:pPr>
            <w:r w:rsidRPr="00C16F54">
              <w:rPr>
                <w:rFonts w:cs="Arial"/>
                <w:lang w:val="en-GB"/>
              </w:rPr>
              <w:t>Total Expenses</w:t>
            </w:r>
            <w:r>
              <w:rPr>
                <w:rFonts w:cs="Arial"/>
                <w:lang w:val="en-GB"/>
              </w:rPr>
              <w:t xml:space="preserve"> </w:t>
            </w:r>
            <w:r w:rsidRPr="00C16F54">
              <w:rPr>
                <w:rFonts w:cs="Arial"/>
                <w:lang w:val="en-GB"/>
              </w:rPr>
              <w:t>(sourced from Statement of Comprehensive Income)</w:t>
            </w:r>
          </w:p>
        </w:tc>
        <w:tc>
          <w:tcPr>
            <w:tcW w:w="1843" w:type="dxa"/>
          </w:tcPr>
          <w:p w14:paraId="5AA36021" w14:textId="391E2CAE" w:rsidR="0000700F" w:rsidRPr="00214519" w:rsidRDefault="0000700F" w:rsidP="0000700F">
            <w:pPr>
              <w:jc w:val="right"/>
              <w:rPr>
                <w:color w:val="FF0000"/>
                <w:highlight w:val="yellow"/>
              </w:rPr>
            </w:pPr>
            <w:r w:rsidRPr="0051282A">
              <w:t>25,062</w:t>
            </w:r>
          </w:p>
        </w:tc>
        <w:tc>
          <w:tcPr>
            <w:tcW w:w="1559" w:type="dxa"/>
          </w:tcPr>
          <w:p w14:paraId="48ABB2DF" w14:textId="305722DF" w:rsidR="0000700F" w:rsidRPr="00214519" w:rsidRDefault="0000700F" w:rsidP="0000700F">
            <w:pPr>
              <w:jc w:val="right"/>
              <w:rPr>
                <w:color w:val="FF0000"/>
                <w:highlight w:val="yellow"/>
              </w:rPr>
            </w:pPr>
            <w:r w:rsidRPr="0051282A">
              <w:t>23,664</w:t>
            </w:r>
          </w:p>
        </w:tc>
        <w:tc>
          <w:tcPr>
            <w:tcW w:w="1276" w:type="dxa"/>
          </w:tcPr>
          <w:p w14:paraId="7DF9E987" w14:textId="007538EA" w:rsidR="0000700F" w:rsidRPr="00214519" w:rsidRDefault="0000700F" w:rsidP="0000700F">
            <w:pPr>
              <w:jc w:val="right"/>
              <w:rPr>
                <w:rFonts w:cs="Arial"/>
                <w:bCs/>
                <w:color w:val="FF0000"/>
                <w:highlight w:val="yellow"/>
                <w:lang w:val="en-GB"/>
              </w:rPr>
            </w:pPr>
            <w:r w:rsidRPr="0051282A">
              <w:t>1,398</w:t>
            </w:r>
          </w:p>
        </w:tc>
      </w:tr>
      <w:tr w:rsidR="0000700F" w:rsidRPr="009E30CA" w14:paraId="41BA5824" w14:textId="77777777" w:rsidTr="008F1034">
        <w:tc>
          <w:tcPr>
            <w:tcW w:w="4531" w:type="dxa"/>
            <w:shd w:val="clear" w:color="auto" w:fill="CEDCE8"/>
            <w:vAlign w:val="center"/>
          </w:tcPr>
          <w:p w14:paraId="2586A9E1" w14:textId="77777777" w:rsidR="0000700F" w:rsidRPr="00C16F54" w:rsidRDefault="0000700F" w:rsidP="0000700F">
            <w:pPr>
              <w:suppressAutoHyphens/>
              <w:autoSpaceDE w:val="0"/>
              <w:autoSpaceDN w:val="0"/>
              <w:adjustRightInd w:val="0"/>
              <w:spacing w:after="0" w:line="288" w:lineRule="auto"/>
              <w:textAlignment w:val="center"/>
              <w:rPr>
                <w:rFonts w:cs="Arial"/>
                <w:lang w:val="en-GB"/>
              </w:rPr>
            </w:pPr>
            <w:r w:rsidRPr="00C16F54">
              <w:rPr>
                <w:rFonts w:cs="Arial"/>
                <w:lang w:val="en-GB"/>
              </w:rPr>
              <w:t>Total Equity</w:t>
            </w:r>
            <w:r>
              <w:rPr>
                <w:rFonts w:cs="Arial"/>
                <w:lang w:val="en-GB"/>
              </w:rPr>
              <w:t xml:space="preserve"> </w:t>
            </w:r>
            <w:r w:rsidRPr="00C16F54">
              <w:rPr>
                <w:rFonts w:cs="Arial"/>
                <w:lang w:val="en-GB"/>
              </w:rPr>
              <w:t>(sourced from Statement of Financial Position)</w:t>
            </w:r>
          </w:p>
        </w:tc>
        <w:tc>
          <w:tcPr>
            <w:tcW w:w="1843" w:type="dxa"/>
          </w:tcPr>
          <w:p w14:paraId="3A2FD768" w14:textId="3F51C579" w:rsidR="0000700F" w:rsidRPr="00214519" w:rsidRDefault="0000700F" w:rsidP="0000700F">
            <w:pPr>
              <w:jc w:val="right"/>
              <w:rPr>
                <w:color w:val="FF0000"/>
                <w:highlight w:val="yellow"/>
              </w:rPr>
            </w:pPr>
            <w:r w:rsidRPr="0051282A">
              <w:t>99,481</w:t>
            </w:r>
          </w:p>
        </w:tc>
        <w:tc>
          <w:tcPr>
            <w:tcW w:w="1559" w:type="dxa"/>
          </w:tcPr>
          <w:p w14:paraId="5867933C" w14:textId="1E8B78BC" w:rsidR="0000700F" w:rsidRPr="00214519" w:rsidRDefault="0000700F" w:rsidP="0000700F">
            <w:pPr>
              <w:jc w:val="right"/>
              <w:rPr>
                <w:color w:val="FF0000"/>
                <w:highlight w:val="yellow"/>
              </w:rPr>
            </w:pPr>
            <w:r w:rsidRPr="0051282A">
              <w:t>102,196</w:t>
            </w:r>
          </w:p>
        </w:tc>
        <w:tc>
          <w:tcPr>
            <w:tcW w:w="1276" w:type="dxa"/>
          </w:tcPr>
          <w:p w14:paraId="18885890" w14:textId="074D608D" w:rsidR="0000700F" w:rsidRPr="00214519" w:rsidRDefault="0000700F" w:rsidP="0000700F">
            <w:pPr>
              <w:jc w:val="right"/>
              <w:rPr>
                <w:rFonts w:cs="Arial"/>
                <w:bCs/>
                <w:color w:val="FF0000"/>
                <w:highlight w:val="yellow"/>
                <w:lang w:val="en-GB"/>
              </w:rPr>
            </w:pPr>
            <w:r w:rsidRPr="0051282A">
              <w:t>(2,715)</w:t>
            </w:r>
          </w:p>
        </w:tc>
      </w:tr>
      <w:tr w:rsidR="0000700F" w:rsidRPr="009E30CA" w14:paraId="3667BF10" w14:textId="77777777" w:rsidTr="008F1034">
        <w:trPr>
          <w:trHeight w:val="792"/>
        </w:trPr>
        <w:tc>
          <w:tcPr>
            <w:tcW w:w="4531" w:type="dxa"/>
            <w:shd w:val="clear" w:color="auto" w:fill="CEDCE8"/>
          </w:tcPr>
          <w:p w14:paraId="24D43007" w14:textId="77777777" w:rsidR="0000700F" w:rsidRPr="00C16F54" w:rsidRDefault="0000700F" w:rsidP="0000700F">
            <w:pPr>
              <w:suppressAutoHyphens/>
              <w:autoSpaceDE w:val="0"/>
              <w:autoSpaceDN w:val="0"/>
              <w:adjustRightInd w:val="0"/>
              <w:spacing w:after="0" w:line="288" w:lineRule="auto"/>
              <w:textAlignment w:val="center"/>
              <w:rPr>
                <w:rFonts w:cs="Arial"/>
                <w:lang w:val="en-GB"/>
              </w:rPr>
            </w:pPr>
            <w:r w:rsidRPr="00C16F54">
              <w:rPr>
                <w:rFonts w:cs="Arial"/>
                <w:lang w:val="en-GB"/>
              </w:rPr>
              <w:t>Net decrease in cash held</w:t>
            </w:r>
          </w:p>
          <w:p w14:paraId="7B4332F0" w14:textId="77777777" w:rsidR="0000700F" w:rsidRPr="00C16F54" w:rsidRDefault="0000700F" w:rsidP="0000700F">
            <w:pPr>
              <w:rPr>
                <w:lang w:val="en-GB"/>
              </w:rPr>
            </w:pPr>
            <w:r w:rsidRPr="00C16F54">
              <w:rPr>
                <w:rFonts w:cs="Arial"/>
                <w:lang w:val="en-GB"/>
              </w:rPr>
              <w:t>(sourced from Statement of Cash Flows)</w:t>
            </w:r>
          </w:p>
        </w:tc>
        <w:tc>
          <w:tcPr>
            <w:tcW w:w="1843" w:type="dxa"/>
          </w:tcPr>
          <w:p w14:paraId="5C061C71" w14:textId="7795882E" w:rsidR="0000700F" w:rsidRPr="00214519" w:rsidRDefault="0000700F" w:rsidP="0000700F">
            <w:pPr>
              <w:jc w:val="right"/>
              <w:rPr>
                <w:color w:val="FF0000"/>
                <w:highlight w:val="yellow"/>
              </w:rPr>
            </w:pPr>
            <w:r w:rsidRPr="0051282A">
              <w:t>529</w:t>
            </w:r>
          </w:p>
        </w:tc>
        <w:tc>
          <w:tcPr>
            <w:tcW w:w="1559" w:type="dxa"/>
          </w:tcPr>
          <w:p w14:paraId="717E139C" w14:textId="2487DBFC" w:rsidR="0000700F" w:rsidRPr="00214519" w:rsidRDefault="0000700F" w:rsidP="0000700F">
            <w:pPr>
              <w:jc w:val="right"/>
              <w:rPr>
                <w:color w:val="FF0000"/>
                <w:highlight w:val="yellow"/>
              </w:rPr>
            </w:pPr>
            <w:r w:rsidRPr="0051282A">
              <w:t>1,540</w:t>
            </w:r>
          </w:p>
        </w:tc>
        <w:tc>
          <w:tcPr>
            <w:tcW w:w="1276" w:type="dxa"/>
          </w:tcPr>
          <w:p w14:paraId="0CC32B7B" w14:textId="5CF9283C" w:rsidR="0000700F" w:rsidRPr="00214519" w:rsidRDefault="0000700F" w:rsidP="0000700F">
            <w:pPr>
              <w:jc w:val="right"/>
              <w:rPr>
                <w:rFonts w:cs="Arial"/>
                <w:bCs/>
                <w:color w:val="FF0000"/>
                <w:highlight w:val="yellow"/>
                <w:lang w:val="en-GB"/>
              </w:rPr>
            </w:pPr>
            <w:r w:rsidRPr="0051282A">
              <w:t>1,011</w:t>
            </w:r>
          </w:p>
        </w:tc>
      </w:tr>
      <w:tr w:rsidR="0000700F" w:rsidRPr="00B54780" w14:paraId="34F2A996" w14:textId="77777777" w:rsidTr="008F1034">
        <w:tc>
          <w:tcPr>
            <w:tcW w:w="4531" w:type="dxa"/>
            <w:shd w:val="clear" w:color="auto" w:fill="CEDCE8"/>
            <w:vAlign w:val="center"/>
          </w:tcPr>
          <w:p w14:paraId="45199730" w14:textId="77777777" w:rsidR="0000700F" w:rsidRPr="00C16F54" w:rsidRDefault="0000700F" w:rsidP="0000700F">
            <w:pPr>
              <w:rPr>
                <w:rFonts w:cs="Arial"/>
                <w:lang w:val="en-GB"/>
              </w:rPr>
            </w:pPr>
            <w:r w:rsidRPr="00C16F54">
              <w:rPr>
                <w:rFonts w:cs="Arial"/>
                <w:lang w:val="en-GB"/>
              </w:rPr>
              <w:t>Approved full-time equivalent (FTE) staff level</w:t>
            </w:r>
          </w:p>
        </w:tc>
        <w:tc>
          <w:tcPr>
            <w:tcW w:w="1843" w:type="dxa"/>
          </w:tcPr>
          <w:p w14:paraId="01C9E621" w14:textId="7C62C826" w:rsidR="0000700F" w:rsidRPr="00214519" w:rsidRDefault="0000700F" w:rsidP="0000700F">
            <w:pPr>
              <w:jc w:val="right"/>
              <w:rPr>
                <w:rFonts w:cs="Arial"/>
                <w:bCs/>
                <w:color w:val="FF0000"/>
                <w:highlight w:val="yellow"/>
                <w:lang w:val="en-GB"/>
              </w:rPr>
            </w:pPr>
            <w:r w:rsidRPr="0051282A">
              <w:t>135.64</w:t>
            </w:r>
          </w:p>
        </w:tc>
        <w:tc>
          <w:tcPr>
            <w:tcW w:w="1559" w:type="dxa"/>
          </w:tcPr>
          <w:p w14:paraId="398E43B9" w14:textId="043ECA23" w:rsidR="0000700F" w:rsidRPr="00214519" w:rsidRDefault="0000700F" w:rsidP="0000700F">
            <w:pPr>
              <w:jc w:val="right"/>
              <w:rPr>
                <w:rFonts w:cs="Arial"/>
                <w:bCs/>
                <w:color w:val="FF0000"/>
                <w:highlight w:val="yellow"/>
                <w:lang w:val="en-GB"/>
              </w:rPr>
            </w:pPr>
            <w:r w:rsidRPr="0051282A">
              <w:t>122</w:t>
            </w:r>
          </w:p>
        </w:tc>
        <w:tc>
          <w:tcPr>
            <w:tcW w:w="1276" w:type="dxa"/>
          </w:tcPr>
          <w:p w14:paraId="21C8F1D8" w14:textId="0310152A" w:rsidR="0000700F" w:rsidRPr="00214519" w:rsidRDefault="0000700F" w:rsidP="0000700F">
            <w:pPr>
              <w:jc w:val="right"/>
              <w:rPr>
                <w:rFonts w:cs="Arial"/>
                <w:bCs/>
                <w:color w:val="FF0000"/>
                <w:highlight w:val="yellow"/>
                <w:lang w:val="en-GB"/>
              </w:rPr>
            </w:pPr>
            <w:r w:rsidRPr="0051282A">
              <w:t>13.64</w:t>
            </w:r>
          </w:p>
        </w:tc>
      </w:tr>
    </w:tbl>
    <w:p w14:paraId="438774A6" w14:textId="66D2AB8C" w:rsidR="00F72B56" w:rsidRPr="00A50832" w:rsidRDefault="009220BE" w:rsidP="005B6DC0">
      <w:pPr>
        <w:pStyle w:val="Heading1nonumber"/>
      </w:pPr>
      <w:r>
        <w:br/>
      </w:r>
      <w:bookmarkStart w:id="566" w:name="_Toc399317027"/>
      <w:bookmarkStart w:id="567" w:name="_Toc426617568"/>
      <w:bookmarkStart w:id="568" w:name="_Toc450900795"/>
      <w:bookmarkStart w:id="569" w:name="_Toc525122091"/>
      <w:r w:rsidR="006B24B7" w:rsidRPr="00A50832">
        <w:t xml:space="preserve">Other </w:t>
      </w:r>
      <w:r w:rsidR="00F72B56" w:rsidRPr="00A50832">
        <w:t>financial disclosures</w:t>
      </w:r>
      <w:bookmarkEnd w:id="566"/>
      <w:bookmarkEnd w:id="567"/>
      <w:bookmarkEnd w:id="568"/>
      <w:bookmarkEnd w:id="569"/>
      <w:r w:rsidR="00F72B56" w:rsidRPr="00A50832">
        <w:t xml:space="preserve"> </w:t>
      </w:r>
    </w:p>
    <w:p w14:paraId="3E92D23B" w14:textId="77777777" w:rsidR="00A1308E" w:rsidRPr="00A50832" w:rsidRDefault="00A1308E" w:rsidP="00E27DE7">
      <w:pPr>
        <w:pStyle w:val="Heading2nonumber"/>
      </w:pPr>
      <w:bookmarkStart w:id="570" w:name="_Toc399317028"/>
      <w:bookmarkStart w:id="571" w:name="_Toc426617569"/>
      <w:bookmarkStart w:id="572" w:name="_Toc450900796"/>
      <w:bookmarkStart w:id="573" w:name="_Toc525122092"/>
      <w:r w:rsidRPr="00A50832">
        <w:t>Employment and industrial relations</w:t>
      </w:r>
      <w:bookmarkEnd w:id="570"/>
      <w:bookmarkEnd w:id="571"/>
      <w:bookmarkEnd w:id="572"/>
      <w:bookmarkEnd w:id="573"/>
      <w:r w:rsidRPr="00A50832">
        <w:t xml:space="preserve"> </w:t>
      </w:r>
    </w:p>
    <w:p w14:paraId="37D7C8BB" w14:textId="5BEA2B19" w:rsidR="00152B41" w:rsidRDefault="00152B41" w:rsidP="00152B41">
      <w:pPr>
        <w:rPr>
          <w:i/>
          <w:iCs/>
        </w:rPr>
      </w:pPr>
      <w:r w:rsidRPr="00997E59">
        <w:t xml:space="preserve">Employees at WorkCover WA are employed under the provisions of the </w:t>
      </w:r>
      <w:r w:rsidRPr="00997E59">
        <w:rPr>
          <w:i/>
          <w:iCs/>
        </w:rPr>
        <w:t>Public Service Award 1992</w:t>
      </w:r>
      <w:r w:rsidRPr="00997E59">
        <w:t xml:space="preserve"> and the </w:t>
      </w:r>
      <w:r w:rsidRPr="00997E59">
        <w:rPr>
          <w:i/>
          <w:iCs/>
        </w:rPr>
        <w:t>Public Service and Government O</w:t>
      </w:r>
      <w:r>
        <w:rPr>
          <w:i/>
          <w:iCs/>
        </w:rPr>
        <w:t>fficers General Agreement 2014.</w:t>
      </w:r>
    </w:p>
    <w:p w14:paraId="2EA35E7E" w14:textId="6752868D" w:rsidR="00C35D3D" w:rsidRPr="00152B41" w:rsidRDefault="00152B41" w:rsidP="0042376D">
      <w:pPr>
        <w:rPr>
          <w:iCs/>
        </w:rPr>
      </w:pPr>
      <w:r>
        <w:rPr>
          <w:iCs/>
        </w:rPr>
        <w:t xml:space="preserve">WorkCover WA’s staffing </w:t>
      </w:r>
      <w:r w:rsidR="00270ADD">
        <w:rPr>
          <w:iCs/>
        </w:rPr>
        <w:t>arrangements</w:t>
      </w:r>
      <w:r>
        <w:rPr>
          <w:iCs/>
        </w:rPr>
        <w:t xml:space="preserve"> at 30 June 2018 compared with previous years is listed in the table below.</w:t>
      </w:r>
    </w:p>
    <w:tbl>
      <w:tblPr>
        <w:tblW w:w="8339"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ayout w:type="fixed"/>
        <w:tblCellMar>
          <w:left w:w="0" w:type="dxa"/>
          <w:right w:w="0" w:type="dxa"/>
        </w:tblCellMar>
        <w:tblLook w:val="00A0" w:firstRow="1" w:lastRow="0" w:firstColumn="1" w:lastColumn="0" w:noHBand="0" w:noVBand="0"/>
        <w:tblCaption w:val="Table 37: WorkCover WA FTE Status"/>
        <w:tblDescription w:val="This table outlines WorkCover WA's staffing arrangement for 2018 and compares it to the previous three years. There has been a gradual decline in the number of Full-Time Equivalent (FTE) staff over the last four years. "/>
      </w:tblPr>
      <w:tblGrid>
        <w:gridCol w:w="2953"/>
        <w:gridCol w:w="1276"/>
        <w:gridCol w:w="1276"/>
        <w:gridCol w:w="1417"/>
        <w:gridCol w:w="1417"/>
      </w:tblGrid>
      <w:tr w:rsidR="00EF5BD2" w:rsidRPr="007B4A5F" w14:paraId="7ED6CA3B" w14:textId="77777777" w:rsidTr="005B6DC0">
        <w:trPr>
          <w:trHeight w:val="789"/>
          <w:tblHeader/>
        </w:trPr>
        <w:tc>
          <w:tcPr>
            <w:tcW w:w="8339" w:type="dxa"/>
            <w:gridSpan w:val="5"/>
            <w:tcBorders>
              <w:top w:val="nil"/>
              <w:left w:val="nil"/>
              <w:bottom w:val="nil"/>
              <w:right w:val="nil"/>
            </w:tcBorders>
            <w:shd w:val="clear" w:color="auto" w:fill="003F5F"/>
            <w:tcMar>
              <w:top w:w="170" w:type="dxa"/>
              <w:left w:w="113" w:type="dxa"/>
              <w:bottom w:w="170" w:type="dxa"/>
              <w:right w:w="113" w:type="dxa"/>
            </w:tcMar>
            <w:vAlign w:val="center"/>
          </w:tcPr>
          <w:p w14:paraId="14B1AA16" w14:textId="26BE5B31" w:rsidR="00EF5BD2" w:rsidRPr="00F84279" w:rsidRDefault="00EF5BD2" w:rsidP="008F1034">
            <w:pPr>
              <w:keepLines w:val="0"/>
              <w:suppressAutoHyphens/>
              <w:autoSpaceDE w:val="0"/>
              <w:autoSpaceDN w:val="0"/>
              <w:adjustRightInd w:val="0"/>
              <w:spacing w:after="0" w:line="288" w:lineRule="auto"/>
              <w:textAlignment w:val="center"/>
              <w:rPr>
                <w:rFonts w:cs="Arial"/>
                <w:b/>
                <w:bCs/>
                <w:color w:val="FFFFFF" w:themeColor="background1"/>
                <w:lang w:val="en-GB" w:eastAsia="en-AU"/>
              </w:rPr>
            </w:pPr>
            <w:r w:rsidRPr="008F1034">
              <w:rPr>
                <w:rFonts w:cs="Arial"/>
                <w:b/>
                <w:bCs/>
                <w:color w:val="FFFFFF" w:themeColor="background1"/>
                <w:szCs w:val="22"/>
                <w:lang w:val="en-GB" w:eastAsia="en-AU"/>
              </w:rPr>
              <w:t xml:space="preserve">Table </w:t>
            </w:r>
            <w:r w:rsidR="00C94625" w:rsidRPr="008F1034">
              <w:rPr>
                <w:rFonts w:cs="Arial"/>
                <w:b/>
                <w:bCs/>
                <w:color w:val="FFFFFF" w:themeColor="background1"/>
                <w:szCs w:val="22"/>
                <w:lang w:val="en-GB" w:eastAsia="en-AU"/>
              </w:rPr>
              <w:t>3</w:t>
            </w:r>
            <w:r w:rsidR="008F1034" w:rsidRPr="008F1034">
              <w:rPr>
                <w:rFonts w:cs="Arial"/>
                <w:b/>
                <w:bCs/>
                <w:color w:val="FFFFFF" w:themeColor="background1"/>
                <w:szCs w:val="22"/>
                <w:lang w:val="en-GB" w:eastAsia="en-AU"/>
              </w:rPr>
              <w:t>7</w:t>
            </w:r>
            <w:r w:rsidRPr="008F1034">
              <w:rPr>
                <w:rFonts w:cs="Arial"/>
                <w:b/>
                <w:bCs/>
                <w:color w:val="FFFFFF" w:themeColor="background1"/>
                <w:szCs w:val="22"/>
                <w:lang w:val="en-GB" w:eastAsia="en-AU"/>
              </w:rPr>
              <w:t xml:space="preserve">: </w:t>
            </w:r>
            <w:r w:rsidR="00616E8C" w:rsidRPr="008F1034">
              <w:rPr>
                <w:rFonts w:cs="Arial"/>
                <w:b/>
                <w:bCs/>
                <w:color w:val="FFFFFF" w:themeColor="background1"/>
                <w:szCs w:val="22"/>
                <w:lang w:val="en-GB" w:eastAsia="en-AU"/>
              </w:rPr>
              <w:t>WorkCover WA</w:t>
            </w:r>
            <w:r w:rsidR="00315338" w:rsidRPr="008F1034">
              <w:rPr>
                <w:rFonts w:cs="Arial"/>
                <w:b/>
                <w:bCs/>
                <w:color w:val="FFFFFF" w:themeColor="background1"/>
                <w:szCs w:val="22"/>
                <w:lang w:val="en-GB" w:eastAsia="en-AU"/>
              </w:rPr>
              <w:t xml:space="preserve"> FTE s</w:t>
            </w:r>
            <w:r w:rsidRPr="008F1034">
              <w:rPr>
                <w:rFonts w:cs="Arial"/>
                <w:b/>
                <w:bCs/>
                <w:color w:val="FFFFFF" w:themeColor="background1"/>
                <w:szCs w:val="22"/>
                <w:lang w:val="en-GB" w:eastAsia="en-AU"/>
              </w:rPr>
              <w:t>tatus</w:t>
            </w:r>
          </w:p>
        </w:tc>
      </w:tr>
      <w:tr w:rsidR="00A91822" w:rsidRPr="007B4A5F" w14:paraId="76721667" w14:textId="77777777" w:rsidTr="008121F9">
        <w:trPr>
          <w:trHeight w:val="15"/>
        </w:trPr>
        <w:tc>
          <w:tcPr>
            <w:tcW w:w="2953" w:type="dxa"/>
            <w:tcBorders>
              <w:top w:val="nil"/>
              <w:left w:val="single" w:sz="4" w:space="0" w:color="9FBCD0"/>
              <w:bottom w:val="single" w:sz="4" w:space="0" w:color="9FBCD0"/>
              <w:right w:val="single" w:sz="4" w:space="0" w:color="9FBCD0"/>
            </w:tcBorders>
            <w:shd w:val="clear" w:color="auto" w:fill="CEDCE8"/>
            <w:tcMar>
              <w:top w:w="170" w:type="dxa"/>
              <w:left w:w="113" w:type="dxa"/>
              <w:bottom w:w="170" w:type="dxa"/>
              <w:right w:w="113" w:type="dxa"/>
            </w:tcMar>
            <w:vAlign w:val="center"/>
          </w:tcPr>
          <w:p w14:paraId="11193B23" w14:textId="77777777" w:rsidR="00A91822" w:rsidRPr="00811853" w:rsidRDefault="00A91822" w:rsidP="00A91822">
            <w:pPr>
              <w:rPr>
                <w:rStyle w:val="Strong"/>
              </w:rPr>
            </w:pPr>
            <w:r w:rsidRPr="00811853">
              <w:rPr>
                <w:rStyle w:val="Strong"/>
              </w:rPr>
              <w:t>Employment type</w:t>
            </w:r>
          </w:p>
        </w:tc>
        <w:tc>
          <w:tcPr>
            <w:tcW w:w="1276" w:type="dxa"/>
            <w:tcBorders>
              <w:top w:val="nil"/>
              <w:left w:val="single" w:sz="4" w:space="0" w:color="9FBCD0"/>
              <w:bottom w:val="single" w:sz="4" w:space="0" w:color="9FBCD0"/>
              <w:right w:val="single" w:sz="4" w:space="0" w:color="9FBCD0"/>
            </w:tcBorders>
            <w:shd w:val="clear" w:color="auto" w:fill="CEDCE8"/>
          </w:tcPr>
          <w:p w14:paraId="0FFE7161" w14:textId="4B76A5CD" w:rsidR="00A91822" w:rsidRPr="00811853" w:rsidRDefault="00F54FE5" w:rsidP="00BB3984">
            <w:pPr>
              <w:ind w:right="113"/>
              <w:jc w:val="right"/>
              <w:rPr>
                <w:rStyle w:val="Strong"/>
              </w:rPr>
            </w:pPr>
            <w:r>
              <w:rPr>
                <w:rStyle w:val="Strong"/>
              </w:rPr>
              <w:t>2015</w:t>
            </w:r>
          </w:p>
        </w:tc>
        <w:tc>
          <w:tcPr>
            <w:tcW w:w="1276" w:type="dxa"/>
            <w:tcBorders>
              <w:top w:val="nil"/>
              <w:left w:val="single" w:sz="4" w:space="0" w:color="9FBCD0"/>
              <w:bottom w:val="single" w:sz="4" w:space="0" w:color="9FBCD0"/>
              <w:right w:val="single" w:sz="4" w:space="0" w:color="9FBCD0"/>
            </w:tcBorders>
            <w:shd w:val="clear" w:color="auto" w:fill="CEDCE8"/>
            <w:tcMar>
              <w:top w:w="170" w:type="dxa"/>
              <w:left w:w="113" w:type="dxa"/>
              <w:bottom w:w="170" w:type="dxa"/>
              <w:right w:w="113" w:type="dxa"/>
            </w:tcMar>
          </w:tcPr>
          <w:p w14:paraId="2F504A8A" w14:textId="62BFBAAF" w:rsidR="00A91822" w:rsidRPr="00811853" w:rsidRDefault="00F54FE5" w:rsidP="00A91822">
            <w:pPr>
              <w:jc w:val="right"/>
              <w:rPr>
                <w:rStyle w:val="Strong"/>
              </w:rPr>
            </w:pPr>
            <w:r>
              <w:rPr>
                <w:rStyle w:val="Strong"/>
              </w:rPr>
              <w:t>2016</w:t>
            </w:r>
          </w:p>
        </w:tc>
        <w:tc>
          <w:tcPr>
            <w:tcW w:w="1417" w:type="dxa"/>
            <w:tcBorders>
              <w:top w:val="nil"/>
              <w:left w:val="single" w:sz="4" w:space="0" w:color="9FBCD0"/>
              <w:bottom w:val="single" w:sz="4" w:space="0" w:color="9FBCD0"/>
              <w:right w:val="single" w:sz="4" w:space="0" w:color="9FBCD0"/>
            </w:tcBorders>
            <w:shd w:val="clear" w:color="auto" w:fill="CEDCE8"/>
          </w:tcPr>
          <w:p w14:paraId="364861BB" w14:textId="223A8B51" w:rsidR="00A91822" w:rsidRPr="00811853" w:rsidRDefault="00F54FE5" w:rsidP="00BB3984">
            <w:pPr>
              <w:ind w:right="113"/>
              <w:jc w:val="right"/>
              <w:rPr>
                <w:rStyle w:val="Strong"/>
              </w:rPr>
            </w:pPr>
            <w:r>
              <w:rPr>
                <w:rStyle w:val="Strong"/>
              </w:rPr>
              <w:t>2017</w:t>
            </w:r>
          </w:p>
        </w:tc>
        <w:tc>
          <w:tcPr>
            <w:tcW w:w="1417" w:type="dxa"/>
            <w:tcBorders>
              <w:top w:val="nil"/>
              <w:left w:val="single" w:sz="4" w:space="0" w:color="9FBCD0"/>
              <w:bottom w:val="single" w:sz="4" w:space="0" w:color="9FBCD0"/>
              <w:right w:val="single" w:sz="4" w:space="0" w:color="9FBCD0"/>
            </w:tcBorders>
            <w:shd w:val="clear" w:color="auto" w:fill="CEDCE8"/>
            <w:vAlign w:val="center"/>
          </w:tcPr>
          <w:p w14:paraId="11DA155C" w14:textId="737AAEF6" w:rsidR="00A91822" w:rsidRPr="00811853" w:rsidRDefault="00F54FE5" w:rsidP="00BB3984">
            <w:pPr>
              <w:ind w:right="112"/>
              <w:jc w:val="right"/>
              <w:rPr>
                <w:rStyle w:val="Strong"/>
              </w:rPr>
            </w:pPr>
            <w:r>
              <w:rPr>
                <w:rStyle w:val="Strong"/>
              </w:rPr>
              <w:t>2018</w:t>
            </w:r>
          </w:p>
        </w:tc>
      </w:tr>
      <w:tr w:rsidR="00A91822" w:rsidRPr="0028351D" w14:paraId="3EEA52DF" w14:textId="77777777" w:rsidTr="008121F9">
        <w:trPr>
          <w:trHeight w:val="60"/>
        </w:trPr>
        <w:tc>
          <w:tcPr>
            <w:tcW w:w="2953"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vAlign w:val="center"/>
          </w:tcPr>
          <w:p w14:paraId="11D25F2A" w14:textId="77777777" w:rsidR="00A91822" w:rsidRPr="00811853" w:rsidRDefault="00A91822" w:rsidP="00A91822">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Full-time permanent</w:t>
            </w:r>
          </w:p>
        </w:tc>
        <w:tc>
          <w:tcPr>
            <w:tcW w:w="1276" w:type="dxa"/>
            <w:tcBorders>
              <w:top w:val="single" w:sz="4" w:space="0" w:color="9FBCD0"/>
              <w:left w:val="single" w:sz="4" w:space="0" w:color="9FBCD0"/>
              <w:bottom w:val="single" w:sz="4" w:space="0" w:color="9FBCD0"/>
              <w:right w:val="single" w:sz="4" w:space="0" w:color="9FBCD0"/>
            </w:tcBorders>
          </w:tcPr>
          <w:p w14:paraId="4E99778B" w14:textId="5EDA4078" w:rsidR="00A91822" w:rsidRPr="00152B41" w:rsidRDefault="00152B41" w:rsidP="00BB3984">
            <w:pPr>
              <w:ind w:right="113"/>
              <w:jc w:val="right"/>
            </w:pPr>
            <w:r w:rsidRPr="00152B41">
              <w:t>112</w:t>
            </w:r>
          </w:p>
        </w:tc>
        <w:tc>
          <w:tcPr>
            <w:tcW w:w="1276"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tcPr>
          <w:p w14:paraId="708BEC8E" w14:textId="37F50282" w:rsidR="00A91822" w:rsidRPr="00152B41" w:rsidRDefault="00152B41" w:rsidP="00A91822">
            <w:pPr>
              <w:jc w:val="right"/>
            </w:pPr>
            <w:r w:rsidRPr="00152B41">
              <w:t>105</w:t>
            </w:r>
          </w:p>
        </w:tc>
        <w:tc>
          <w:tcPr>
            <w:tcW w:w="1417" w:type="dxa"/>
            <w:tcBorders>
              <w:top w:val="single" w:sz="4" w:space="0" w:color="9FBCD0"/>
              <w:left w:val="single" w:sz="4" w:space="0" w:color="9FBCD0"/>
              <w:bottom w:val="single" w:sz="4" w:space="0" w:color="9FBCD0"/>
              <w:right w:val="single" w:sz="4" w:space="0" w:color="9FBCD0"/>
            </w:tcBorders>
          </w:tcPr>
          <w:p w14:paraId="42FEF45A" w14:textId="1141E182" w:rsidR="00A91822" w:rsidRPr="00152B41" w:rsidRDefault="00152B41" w:rsidP="00BB3984">
            <w:pPr>
              <w:ind w:right="113"/>
              <w:jc w:val="right"/>
            </w:pPr>
            <w:r w:rsidRPr="00152B41">
              <w:t>98</w:t>
            </w:r>
          </w:p>
        </w:tc>
        <w:tc>
          <w:tcPr>
            <w:tcW w:w="1417" w:type="dxa"/>
            <w:tcBorders>
              <w:top w:val="single" w:sz="4" w:space="0" w:color="9FBCD0"/>
              <w:left w:val="single" w:sz="4" w:space="0" w:color="9FBCD0"/>
              <w:bottom w:val="single" w:sz="4" w:space="0" w:color="9FBCD0"/>
              <w:right w:val="single" w:sz="4" w:space="0" w:color="9FBCD0"/>
            </w:tcBorders>
            <w:vAlign w:val="center"/>
          </w:tcPr>
          <w:p w14:paraId="49F108C5" w14:textId="1626CF45" w:rsidR="00A91822" w:rsidRPr="004274BF" w:rsidRDefault="004274BF" w:rsidP="00BB3984">
            <w:pPr>
              <w:ind w:right="112"/>
              <w:jc w:val="right"/>
            </w:pPr>
            <w:r w:rsidRPr="004274BF">
              <w:t>95</w:t>
            </w:r>
          </w:p>
        </w:tc>
      </w:tr>
      <w:tr w:rsidR="00382154" w:rsidRPr="0028351D" w14:paraId="33275909" w14:textId="77777777" w:rsidTr="008121F9">
        <w:trPr>
          <w:trHeight w:val="662"/>
        </w:trPr>
        <w:tc>
          <w:tcPr>
            <w:tcW w:w="2953" w:type="dxa"/>
            <w:tcBorders>
              <w:top w:val="single" w:sz="4" w:space="0" w:color="9FBCD0"/>
              <w:left w:val="single" w:sz="4" w:space="0" w:color="9FBCD0"/>
              <w:right w:val="single" w:sz="4" w:space="0" w:color="9FBCD0"/>
            </w:tcBorders>
            <w:tcMar>
              <w:top w:w="113" w:type="dxa"/>
              <w:left w:w="113" w:type="dxa"/>
              <w:bottom w:w="113" w:type="dxa"/>
              <w:right w:w="113" w:type="dxa"/>
            </w:tcMar>
            <w:vAlign w:val="center"/>
          </w:tcPr>
          <w:p w14:paraId="3E79FEA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Full-time contract</w:t>
            </w:r>
          </w:p>
        </w:tc>
        <w:tc>
          <w:tcPr>
            <w:tcW w:w="1276" w:type="dxa"/>
            <w:tcBorders>
              <w:top w:val="single" w:sz="4" w:space="0" w:color="9FBCD0"/>
              <w:left w:val="single" w:sz="4" w:space="0" w:color="9FBCD0"/>
              <w:right w:val="single" w:sz="4" w:space="0" w:color="9FBCD0"/>
            </w:tcBorders>
          </w:tcPr>
          <w:p w14:paraId="692BAECD" w14:textId="7DA744A5" w:rsidR="00382154" w:rsidRPr="00152B41" w:rsidRDefault="00152B41" w:rsidP="00BB3984">
            <w:pPr>
              <w:ind w:right="113"/>
              <w:jc w:val="right"/>
            </w:pPr>
            <w:r w:rsidRPr="00152B41">
              <w:t>10</w:t>
            </w:r>
          </w:p>
        </w:tc>
        <w:tc>
          <w:tcPr>
            <w:tcW w:w="1276" w:type="dxa"/>
            <w:tcBorders>
              <w:top w:val="single" w:sz="4" w:space="0" w:color="9FBCD0"/>
              <w:left w:val="single" w:sz="4" w:space="0" w:color="9FBCD0"/>
              <w:right w:val="single" w:sz="4" w:space="0" w:color="9FBCD0"/>
            </w:tcBorders>
            <w:tcMar>
              <w:top w:w="113" w:type="dxa"/>
              <w:left w:w="113" w:type="dxa"/>
              <w:bottom w:w="113" w:type="dxa"/>
              <w:right w:w="113" w:type="dxa"/>
            </w:tcMar>
          </w:tcPr>
          <w:p w14:paraId="4BDDCFA7" w14:textId="55237D0E" w:rsidR="00382154" w:rsidRPr="00152B41" w:rsidRDefault="00152B41" w:rsidP="00382154">
            <w:pPr>
              <w:jc w:val="right"/>
            </w:pPr>
            <w:r w:rsidRPr="00152B41">
              <w:t>11</w:t>
            </w:r>
          </w:p>
        </w:tc>
        <w:tc>
          <w:tcPr>
            <w:tcW w:w="1417" w:type="dxa"/>
            <w:tcBorders>
              <w:top w:val="single" w:sz="4" w:space="0" w:color="9FBCD0"/>
              <w:left w:val="single" w:sz="4" w:space="0" w:color="9FBCD0"/>
              <w:right w:val="single" w:sz="4" w:space="0" w:color="9FBCD0"/>
            </w:tcBorders>
          </w:tcPr>
          <w:p w14:paraId="17742A10" w14:textId="63CC7666" w:rsidR="00382154" w:rsidRPr="00152B41" w:rsidRDefault="00152B41" w:rsidP="00BB3984">
            <w:pPr>
              <w:ind w:right="113"/>
              <w:jc w:val="right"/>
            </w:pPr>
            <w:r w:rsidRPr="00152B41">
              <w:t>15</w:t>
            </w:r>
          </w:p>
        </w:tc>
        <w:tc>
          <w:tcPr>
            <w:tcW w:w="1417" w:type="dxa"/>
            <w:tcBorders>
              <w:top w:val="single" w:sz="4" w:space="0" w:color="9FBCD0"/>
              <w:left w:val="single" w:sz="4" w:space="0" w:color="9FBCD0"/>
              <w:right w:val="single" w:sz="4" w:space="0" w:color="9FBCD0"/>
            </w:tcBorders>
          </w:tcPr>
          <w:p w14:paraId="5E7E6CF8" w14:textId="5E27828D" w:rsidR="00382154" w:rsidRPr="004274BF" w:rsidRDefault="004274BF" w:rsidP="00BB3984">
            <w:pPr>
              <w:ind w:right="112"/>
              <w:jc w:val="right"/>
            </w:pPr>
            <w:r w:rsidRPr="004274BF">
              <w:t>14</w:t>
            </w:r>
          </w:p>
        </w:tc>
      </w:tr>
      <w:tr w:rsidR="00382154" w:rsidRPr="0028351D" w14:paraId="49ECEA54" w14:textId="77777777" w:rsidTr="008121F9">
        <w:trPr>
          <w:trHeight w:val="60"/>
        </w:trPr>
        <w:tc>
          <w:tcPr>
            <w:tcW w:w="2953" w:type="dxa"/>
            <w:tcBorders>
              <w:left w:val="single" w:sz="4" w:space="0" w:color="9FBCD0"/>
              <w:bottom w:val="single" w:sz="4" w:space="0" w:color="9FBCD0"/>
              <w:right w:val="single" w:sz="4" w:space="0" w:color="9FBCD0"/>
            </w:tcBorders>
            <w:tcMar>
              <w:top w:w="128" w:type="dxa"/>
              <w:left w:w="113" w:type="dxa"/>
              <w:bottom w:w="128" w:type="dxa"/>
              <w:right w:w="113" w:type="dxa"/>
            </w:tcMar>
            <w:vAlign w:val="center"/>
          </w:tcPr>
          <w:p w14:paraId="078F7A2D"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Part-time measured on an FTE basis</w:t>
            </w:r>
          </w:p>
        </w:tc>
        <w:tc>
          <w:tcPr>
            <w:tcW w:w="1276" w:type="dxa"/>
            <w:tcBorders>
              <w:left w:val="single" w:sz="4" w:space="0" w:color="9FBCD0"/>
              <w:bottom w:val="single" w:sz="4" w:space="0" w:color="9FBCD0"/>
              <w:right w:val="single" w:sz="4" w:space="0" w:color="9FBCD0"/>
            </w:tcBorders>
          </w:tcPr>
          <w:p w14:paraId="264EC3E6" w14:textId="5F15A7B7" w:rsidR="00382154" w:rsidRPr="00152B41" w:rsidRDefault="00152B41" w:rsidP="00BB3984">
            <w:pPr>
              <w:ind w:right="113"/>
              <w:jc w:val="right"/>
            </w:pPr>
            <w:r w:rsidRPr="00152B41">
              <w:t>11.2</w:t>
            </w:r>
          </w:p>
        </w:tc>
        <w:tc>
          <w:tcPr>
            <w:tcW w:w="1276" w:type="dxa"/>
            <w:tcBorders>
              <w:left w:val="single" w:sz="4" w:space="0" w:color="9FBCD0"/>
              <w:bottom w:val="single" w:sz="4" w:space="0" w:color="9FBCD0"/>
              <w:right w:val="single" w:sz="4" w:space="0" w:color="9FBCD0"/>
            </w:tcBorders>
            <w:tcMar>
              <w:top w:w="128" w:type="dxa"/>
              <w:left w:w="113" w:type="dxa"/>
              <w:bottom w:w="128" w:type="dxa"/>
              <w:right w:w="113" w:type="dxa"/>
            </w:tcMar>
          </w:tcPr>
          <w:p w14:paraId="36BE2732" w14:textId="153FFB44" w:rsidR="00382154" w:rsidRPr="00152B41" w:rsidRDefault="00152B41" w:rsidP="00382154">
            <w:pPr>
              <w:jc w:val="right"/>
            </w:pPr>
            <w:r w:rsidRPr="00152B41">
              <w:t>16.84</w:t>
            </w:r>
          </w:p>
        </w:tc>
        <w:tc>
          <w:tcPr>
            <w:tcW w:w="1417" w:type="dxa"/>
            <w:tcBorders>
              <w:left w:val="single" w:sz="4" w:space="0" w:color="9FBCD0"/>
              <w:bottom w:val="single" w:sz="4" w:space="0" w:color="9FBCD0"/>
              <w:right w:val="single" w:sz="4" w:space="0" w:color="9FBCD0"/>
            </w:tcBorders>
          </w:tcPr>
          <w:p w14:paraId="37F27E6F" w14:textId="2384C3F5" w:rsidR="00382154" w:rsidRPr="00152B41" w:rsidRDefault="00152B41" w:rsidP="00BB3984">
            <w:pPr>
              <w:ind w:right="113"/>
              <w:jc w:val="right"/>
            </w:pPr>
            <w:r w:rsidRPr="00152B41">
              <w:t>17.28</w:t>
            </w:r>
          </w:p>
        </w:tc>
        <w:tc>
          <w:tcPr>
            <w:tcW w:w="1417" w:type="dxa"/>
            <w:tcBorders>
              <w:left w:val="single" w:sz="4" w:space="0" w:color="9FBCD0"/>
              <w:bottom w:val="single" w:sz="4" w:space="0" w:color="9FBCD0"/>
              <w:right w:val="single" w:sz="4" w:space="0" w:color="9FBCD0"/>
            </w:tcBorders>
          </w:tcPr>
          <w:p w14:paraId="6CE936EC" w14:textId="173E1D46" w:rsidR="00382154" w:rsidRPr="004274BF" w:rsidRDefault="004274BF" w:rsidP="00BB3984">
            <w:pPr>
              <w:ind w:right="112"/>
              <w:jc w:val="right"/>
            </w:pPr>
            <w:r w:rsidRPr="004274BF">
              <w:t>12.98</w:t>
            </w:r>
          </w:p>
        </w:tc>
      </w:tr>
      <w:tr w:rsidR="00382154" w:rsidRPr="0028351D" w14:paraId="184E3E63" w14:textId="77777777" w:rsidTr="008F1034">
        <w:trPr>
          <w:trHeight w:val="60"/>
        </w:trPr>
        <w:tc>
          <w:tcPr>
            <w:tcW w:w="2953" w:type="dxa"/>
            <w:tcBorders>
              <w:top w:val="single" w:sz="4" w:space="0" w:color="9FBCD0"/>
              <w:left w:val="single" w:sz="4" w:space="0" w:color="9FBCD0"/>
              <w:bottom w:val="single" w:sz="4" w:space="0" w:color="9FBCD0"/>
              <w:right w:val="single" w:sz="4" w:space="0" w:color="9FBCD0"/>
            </w:tcBorders>
            <w:shd w:val="clear" w:color="auto" w:fill="CEDCE8"/>
            <w:tcMar>
              <w:top w:w="113" w:type="dxa"/>
              <w:left w:w="113" w:type="dxa"/>
              <w:bottom w:w="113" w:type="dxa"/>
              <w:right w:w="113" w:type="dxa"/>
            </w:tcMar>
            <w:vAlign w:val="center"/>
          </w:tcPr>
          <w:p w14:paraId="20E67641" w14:textId="77777777" w:rsidR="00382154" w:rsidRPr="00811853" w:rsidRDefault="00382154" w:rsidP="00382154">
            <w:pPr>
              <w:rPr>
                <w:rStyle w:val="Strong"/>
              </w:rPr>
            </w:pPr>
            <w:r w:rsidRPr="00811853">
              <w:rPr>
                <w:rStyle w:val="Strong"/>
              </w:rPr>
              <w:t>Total</w:t>
            </w:r>
          </w:p>
        </w:tc>
        <w:tc>
          <w:tcPr>
            <w:tcW w:w="1276" w:type="dxa"/>
            <w:tcBorders>
              <w:top w:val="single" w:sz="4" w:space="0" w:color="9FBCD0"/>
              <w:left w:val="single" w:sz="4" w:space="0" w:color="9FBCD0"/>
              <w:bottom w:val="single" w:sz="4" w:space="0" w:color="9FBCD0"/>
              <w:right w:val="single" w:sz="4" w:space="0" w:color="9FBCD0"/>
            </w:tcBorders>
            <w:shd w:val="clear" w:color="auto" w:fill="CEDCE8"/>
          </w:tcPr>
          <w:p w14:paraId="44535801" w14:textId="599D122D" w:rsidR="00382154" w:rsidRPr="00152B41" w:rsidRDefault="00152B41" w:rsidP="00BB3984">
            <w:pPr>
              <w:ind w:right="113"/>
              <w:jc w:val="right"/>
              <w:rPr>
                <w:rStyle w:val="Strong"/>
                <w:b w:val="0"/>
              </w:rPr>
            </w:pPr>
            <w:r w:rsidRPr="00152B41">
              <w:rPr>
                <w:rStyle w:val="Strong"/>
                <w:b w:val="0"/>
              </w:rPr>
              <w:t>134.2</w:t>
            </w:r>
          </w:p>
        </w:tc>
        <w:tc>
          <w:tcPr>
            <w:tcW w:w="1276" w:type="dxa"/>
            <w:tcBorders>
              <w:top w:val="single" w:sz="4" w:space="0" w:color="9FBCD0"/>
              <w:left w:val="single" w:sz="4" w:space="0" w:color="9FBCD0"/>
              <w:bottom w:val="single" w:sz="4" w:space="0" w:color="9FBCD0"/>
              <w:right w:val="single" w:sz="4" w:space="0" w:color="9FBCD0"/>
            </w:tcBorders>
            <w:shd w:val="clear" w:color="auto" w:fill="CEDCE8"/>
            <w:tcMar>
              <w:top w:w="113" w:type="dxa"/>
              <w:left w:w="113" w:type="dxa"/>
              <w:bottom w:w="113" w:type="dxa"/>
              <w:right w:w="113" w:type="dxa"/>
            </w:tcMar>
          </w:tcPr>
          <w:p w14:paraId="4C6407A3" w14:textId="768DA731" w:rsidR="00382154" w:rsidRPr="00152B41" w:rsidRDefault="00152B41" w:rsidP="00382154">
            <w:pPr>
              <w:jc w:val="right"/>
              <w:rPr>
                <w:rStyle w:val="Strong"/>
                <w:b w:val="0"/>
              </w:rPr>
            </w:pPr>
            <w:r w:rsidRPr="00152B41">
              <w:rPr>
                <w:rStyle w:val="Strong"/>
                <w:b w:val="0"/>
              </w:rPr>
              <w:t>132.84</w:t>
            </w:r>
          </w:p>
        </w:tc>
        <w:tc>
          <w:tcPr>
            <w:tcW w:w="1417" w:type="dxa"/>
            <w:tcBorders>
              <w:top w:val="single" w:sz="4" w:space="0" w:color="9FBCD0"/>
              <w:left w:val="single" w:sz="4" w:space="0" w:color="9FBCD0"/>
              <w:bottom w:val="single" w:sz="4" w:space="0" w:color="9FBCD0"/>
              <w:right w:val="single" w:sz="4" w:space="0" w:color="9FBCD0"/>
            </w:tcBorders>
            <w:shd w:val="clear" w:color="auto" w:fill="CEDCE8"/>
          </w:tcPr>
          <w:p w14:paraId="3485D9EC" w14:textId="2B69C52A" w:rsidR="00382154" w:rsidRPr="00152B41" w:rsidRDefault="00152B41" w:rsidP="00BB3984">
            <w:pPr>
              <w:ind w:right="113"/>
              <w:jc w:val="right"/>
              <w:rPr>
                <w:rStyle w:val="Strong"/>
                <w:b w:val="0"/>
              </w:rPr>
            </w:pPr>
            <w:r w:rsidRPr="00152B41">
              <w:rPr>
                <w:rStyle w:val="Strong"/>
                <w:b w:val="0"/>
              </w:rPr>
              <w:t>130.28</w:t>
            </w:r>
          </w:p>
        </w:tc>
        <w:tc>
          <w:tcPr>
            <w:tcW w:w="1417" w:type="dxa"/>
            <w:tcBorders>
              <w:top w:val="single" w:sz="4" w:space="0" w:color="9FBCD0"/>
              <w:left w:val="single" w:sz="4" w:space="0" w:color="9FBCD0"/>
              <w:bottom w:val="single" w:sz="4" w:space="0" w:color="9FBCD0"/>
              <w:right w:val="single" w:sz="4" w:space="0" w:color="9FBCD0"/>
            </w:tcBorders>
            <w:shd w:val="clear" w:color="auto" w:fill="CEDCE8"/>
          </w:tcPr>
          <w:p w14:paraId="0E06072F" w14:textId="21B32D6A" w:rsidR="00382154" w:rsidRPr="004274BF" w:rsidRDefault="004274BF" w:rsidP="00BB3984">
            <w:pPr>
              <w:ind w:right="112"/>
              <w:jc w:val="right"/>
              <w:rPr>
                <w:rStyle w:val="Strong"/>
                <w:b w:val="0"/>
              </w:rPr>
            </w:pPr>
            <w:r w:rsidRPr="004274BF">
              <w:rPr>
                <w:rStyle w:val="Strong"/>
                <w:b w:val="0"/>
              </w:rPr>
              <w:t>121.98</w:t>
            </w:r>
          </w:p>
        </w:tc>
      </w:tr>
      <w:tr w:rsidR="00382154" w:rsidRPr="0028351D" w14:paraId="1667F001" w14:textId="77777777" w:rsidTr="008121F9">
        <w:trPr>
          <w:trHeight w:val="395"/>
        </w:trPr>
        <w:tc>
          <w:tcPr>
            <w:tcW w:w="2953"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vAlign w:val="center"/>
          </w:tcPr>
          <w:p w14:paraId="0CBC2B2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on secondment</w:t>
            </w:r>
          </w:p>
        </w:tc>
        <w:tc>
          <w:tcPr>
            <w:tcW w:w="1276" w:type="dxa"/>
            <w:tcBorders>
              <w:top w:val="single" w:sz="4" w:space="0" w:color="9FBCD0"/>
              <w:left w:val="single" w:sz="4" w:space="0" w:color="9FBCD0"/>
              <w:bottom w:val="single" w:sz="4" w:space="0" w:color="9FBCD0"/>
              <w:right w:val="single" w:sz="4" w:space="0" w:color="9FBCD0"/>
            </w:tcBorders>
          </w:tcPr>
          <w:p w14:paraId="29D0C3E0" w14:textId="6C3F99F2" w:rsidR="00382154" w:rsidRPr="00152B41" w:rsidRDefault="00152B41" w:rsidP="00BB3984">
            <w:pPr>
              <w:ind w:right="113"/>
              <w:jc w:val="right"/>
            </w:pPr>
            <w:r w:rsidRPr="00152B41">
              <w:t>5</w:t>
            </w:r>
          </w:p>
        </w:tc>
        <w:tc>
          <w:tcPr>
            <w:tcW w:w="1276"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tcPr>
          <w:p w14:paraId="48F72524" w14:textId="642FAE70" w:rsidR="00382154" w:rsidRPr="00152B41" w:rsidRDefault="00152B41" w:rsidP="00382154">
            <w:pPr>
              <w:jc w:val="right"/>
            </w:pPr>
            <w:r w:rsidRPr="00152B41">
              <w:t>2</w:t>
            </w:r>
          </w:p>
        </w:tc>
        <w:tc>
          <w:tcPr>
            <w:tcW w:w="1417" w:type="dxa"/>
            <w:tcBorders>
              <w:top w:val="single" w:sz="4" w:space="0" w:color="9FBCD0"/>
              <w:left w:val="single" w:sz="4" w:space="0" w:color="9FBCD0"/>
              <w:bottom w:val="single" w:sz="4" w:space="0" w:color="9FBCD0"/>
              <w:right w:val="single" w:sz="4" w:space="0" w:color="9FBCD0"/>
            </w:tcBorders>
          </w:tcPr>
          <w:p w14:paraId="4C58BBD5" w14:textId="0C91054B" w:rsidR="00382154" w:rsidRPr="00152B41" w:rsidRDefault="00152B41" w:rsidP="00BB3984">
            <w:pPr>
              <w:ind w:right="113"/>
              <w:jc w:val="right"/>
            </w:pPr>
            <w:r w:rsidRPr="00152B41">
              <w:t>4</w:t>
            </w:r>
          </w:p>
        </w:tc>
        <w:tc>
          <w:tcPr>
            <w:tcW w:w="1417" w:type="dxa"/>
            <w:tcBorders>
              <w:top w:val="single" w:sz="4" w:space="0" w:color="9FBCD0"/>
              <w:left w:val="single" w:sz="4" w:space="0" w:color="9FBCD0"/>
              <w:bottom w:val="single" w:sz="4" w:space="0" w:color="9FBCD0"/>
              <w:right w:val="single" w:sz="4" w:space="0" w:color="9FBCD0"/>
            </w:tcBorders>
          </w:tcPr>
          <w:p w14:paraId="032AA77C" w14:textId="03C52948" w:rsidR="00382154" w:rsidRPr="004274BF" w:rsidRDefault="004274BF" w:rsidP="00BB3984">
            <w:pPr>
              <w:ind w:right="112"/>
              <w:jc w:val="right"/>
            </w:pPr>
            <w:r w:rsidRPr="004274BF">
              <w:t>4</w:t>
            </w:r>
          </w:p>
        </w:tc>
      </w:tr>
      <w:tr w:rsidR="00382154" w:rsidRPr="0028351D" w14:paraId="7887AF5A" w14:textId="77777777" w:rsidTr="008121F9">
        <w:trPr>
          <w:trHeight w:val="307"/>
        </w:trPr>
        <w:tc>
          <w:tcPr>
            <w:tcW w:w="2953"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vAlign w:val="center"/>
          </w:tcPr>
          <w:p w14:paraId="2C6F136F"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on traineeship</w:t>
            </w:r>
          </w:p>
        </w:tc>
        <w:tc>
          <w:tcPr>
            <w:tcW w:w="1276" w:type="dxa"/>
            <w:tcBorders>
              <w:top w:val="single" w:sz="4" w:space="0" w:color="9FBCD0"/>
              <w:left w:val="single" w:sz="4" w:space="0" w:color="9FBCD0"/>
              <w:bottom w:val="single" w:sz="4" w:space="0" w:color="9FBCD0"/>
              <w:right w:val="single" w:sz="4" w:space="0" w:color="9FBCD0"/>
            </w:tcBorders>
          </w:tcPr>
          <w:p w14:paraId="3C49553A" w14:textId="295F0F83" w:rsidR="00382154" w:rsidRPr="00152B41" w:rsidRDefault="00152B41" w:rsidP="00BB3984">
            <w:pPr>
              <w:ind w:right="113"/>
              <w:jc w:val="right"/>
            </w:pPr>
            <w:r w:rsidRPr="00152B41">
              <w:t>2</w:t>
            </w:r>
          </w:p>
        </w:tc>
        <w:tc>
          <w:tcPr>
            <w:tcW w:w="1276" w:type="dxa"/>
            <w:tcBorders>
              <w:top w:val="single" w:sz="4" w:space="0" w:color="9FBCD0"/>
              <w:left w:val="single" w:sz="4" w:space="0" w:color="9FBCD0"/>
              <w:bottom w:val="single" w:sz="4" w:space="0" w:color="9FBCD0"/>
              <w:right w:val="single" w:sz="4" w:space="0" w:color="9FBCD0"/>
            </w:tcBorders>
            <w:tcMar>
              <w:top w:w="113" w:type="dxa"/>
              <w:left w:w="113" w:type="dxa"/>
              <w:bottom w:w="113" w:type="dxa"/>
              <w:right w:w="113" w:type="dxa"/>
            </w:tcMar>
          </w:tcPr>
          <w:p w14:paraId="64576BFB" w14:textId="1F021041" w:rsidR="00382154" w:rsidRPr="00152B41" w:rsidRDefault="00152B41" w:rsidP="00382154">
            <w:pPr>
              <w:jc w:val="right"/>
            </w:pPr>
            <w:r w:rsidRPr="00152B41">
              <w:t>1</w:t>
            </w:r>
          </w:p>
        </w:tc>
        <w:tc>
          <w:tcPr>
            <w:tcW w:w="1417" w:type="dxa"/>
            <w:tcBorders>
              <w:top w:val="single" w:sz="4" w:space="0" w:color="9FBCD0"/>
              <w:left w:val="single" w:sz="4" w:space="0" w:color="9FBCD0"/>
              <w:bottom w:val="single" w:sz="4" w:space="0" w:color="9FBCD0"/>
              <w:right w:val="single" w:sz="4" w:space="0" w:color="9FBCD0"/>
            </w:tcBorders>
          </w:tcPr>
          <w:p w14:paraId="08D67B31" w14:textId="15B3BDCC" w:rsidR="00382154" w:rsidRPr="00152B41" w:rsidRDefault="00152B41" w:rsidP="00BB3984">
            <w:pPr>
              <w:ind w:right="113"/>
              <w:jc w:val="right"/>
            </w:pPr>
            <w:r w:rsidRPr="00152B41">
              <w:t>1</w:t>
            </w:r>
          </w:p>
        </w:tc>
        <w:tc>
          <w:tcPr>
            <w:tcW w:w="1417" w:type="dxa"/>
            <w:tcBorders>
              <w:top w:val="single" w:sz="4" w:space="0" w:color="9FBCD0"/>
              <w:left w:val="single" w:sz="4" w:space="0" w:color="9FBCD0"/>
              <w:bottom w:val="single" w:sz="4" w:space="0" w:color="9FBCD0"/>
              <w:right w:val="single" w:sz="4" w:space="0" w:color="9FBCD0"/>
            </w:tcBorders>
          </w:tcPr>
          <w:p w14:paraId="2740B5B5" w14:textId="0D7B5970" w:rsidR="00382154" w:rsidRPr="004274BF" w:rsidRDefault="004274BF" w:rsidP="00BB3984">
            <w:pPr>
              <w:ind w:right="112"/>
              <w:jc w:val="right"/>
            </w:pPr>
            <w:r w:rsidRPr="004274BF">
              <w:t>0</w:t>
            </w:r>
          </w:p>
        </w:tc>
      </w:tr>
      <w:tr w:rsidR="00382154" w:rsidRPr="0028351D" w14:paraId="2B7F29EC" w14:textId="77777777" w:rsidTr="008121F9">
        <w:trPr>
          <w:trHeight w:val="32"/>
        </w:trPr>
        <w:tc>
          <w:tcPr>
            <w:tcW w:w="2953" w:type="dxa"/>
            <w:tcBorders>
              <w:top w:val="single" w:sz="4" w:space="0" w:color="9FBCD0"/>
              <w:left w:val="single" w:sz="4" w:space="0" w:color="9FBCD0"/>
              <w:right w:val="single" w:sz="4" w:space="0" w:color="9FBCD0"/>
            </w:tcBorders>
            <w:tcMar>
              <w:top w:w="113" w:type="dxa"/>
              <w:left w:w="113" w:type="dxa"/>
              <w:bottom w:w="113" w:type="dxa"/>
              <w:right w:w="113" w:type="dxa"/>
            </w:tcMar>
            <w:vAlign w:val="center"/>
          </w:tcPr>
          <w:p w14:paraId="085EFE4B" w14:textId="77777777" w:rsidR="00382154" w:rsidRPr="00811853" w:rsidRDefault="00382154" w:rsidP="00382154">
            <w:pPr>
              <w:keepLines w:val="0"/>
              <w:suppressAutoHyphens/>
              <w:autoSpaceDE w:val="0"/>
              <w:autoSpaceDN w:val="0"/>
              <w:adjustRightInd w:val="0"/>
              <w:spacing w:after="0" w:line="240" w:lineRule="auto"/>
              <w:contextualSpacing/>
              <w:textAlignment w:val="center"/>
              <w:rPr>
                <w:rFonts w:cs="Arial"/>
                <w:lang w:val="en-GB" w:eastAsia="en-AU"/>
              </w:rPr>
            </w:pPr>
            <w:r w:rsidRPr="00811853">
              <w:rPr>
                <w:rFonts w:cs="Arial"/>
                <w:szCs w:val="22"/>
                <w:lang w:val="en-GB" w:eastAsia="en-AU"/>
              </w:rPr>
              <w:t>Staff in Graduate Program</w:t>
            </w:r>
          </w:p>
        </w:tc>
        <w:tc>
          <w:tcPr>
            <w:tcW w:w="1276" w:type="dxa"/>
            <w:tcBorders>
              <w:top w:val="single" w:sz="4" w:space="0" w:color="9FBCD0"/>
              <w:left w:val="single" w:sz="4" w:space="0" w:color="9FBCD0"/>
              <w:right w:val="single" w:sz="4" w:space="0" w:color="9FBCD0"/>
            </w:tcBorders>
          </w:tcPr>
          <w:p w14:paraId="3F4E3A9E" w14:textId="277F4E1F" w:rsidR="00382154" w:rsidRPr="00152B41" w:rsidRDefault="00152B41" w:rsidP="00BB3984">
            <w:pPr>
              <w:ind w:right="113"/>
              <w:jc w:val="right"/>
            </w:pPr>
            <w:r w:rsidRPr="00152B41">
              <w:t>0</w:t>
            </w:r>
          </w:p>
        </w:tc>
        <w:tc>
          <w:tcPr>
            <w:tcW w:w="1276" w:type="dxa"/>
            <w:tcBorders>
              <w:top w:val="single" w:sz="4" w:space="0" w:color="9FBCD0"/>
              <w:left w:val="single" w:sz="4" w:space="0" w:color="9FBCD0"/>
              <w:right w:val="single" w:sz="4" w:space="0" w:color="9FBCD0"/>
            </w:tcBorders>
            <w:tcMar>
              <w:top w:w="113" w:type="dxa"/>
              <w:left w:w="113" w:type="dxa"/>
              <w:bottom w:w="113" w:type="dxa"/>
              <w:right w:w="113" w:type="dxa"/>
            </w:tcMar>
          </w:tcPr>
          <w:p w14:paraId="372BA228" w14:textId="3701A3F6" w:rsidR="00382154" w:rsidRPr="00152B41" w:rsidRDefault="00152B41" w:rsidP="00382154">
            <w:pPr>
              <w:jc w:val="right"/>
            </w:pPr>
            <w:r w:rsidRPr="00152B41">
              <w:t>1</w:t>
            </w:r>
          </w:p>
        </w:tc>
        <w:tc>
          <w:tcPr>
            <w:tcW w:w="1417" w:type="dxa"/>
            <w:tcBorders>
              <w:top w:val="single" w:sz="4" w:space="0" w:color="9FBCD0"/>
              <w:left w:val="single" w:sz="4" w:space="0" w:color="9FBCD0"/>
              <w:right w:val="single" w:sz="4" w:space="0" w:color="9FBCD0"/>
            </w:tcBorders>
          </w:tcPr>
          <w:p w14:paraId="1FF89B72" w14:textId="5C81805E" w:rsidR="00382154" w:rsidRPr="00152B41" w:rsidRDefault="00152B41" w:rsidP="00BB3984">
            <w:pPr>
              <w:ind w:right="113"/>
              <w:jc w:val="right"/>
            </w:pPr>
            <w:r w:rsidRPr="00152B41">
              <w:t>2</w:t>
            </w:r>
          </w:p>
        </w:tc>
        <w:tc>
          <w:tcPr>
            <w:tcW w:w="1417" w:type="dxa"/>
            <w:tcBorders>
              <w:top w:val="single" w:sz="4" w:space="0" w:color="9FBCD0"/>
              <w:left w:val="single" w:sz="4" w:space="0" w:color="9FBCD0"/>
              <w:right w:val="single" w:sz="4" w:space="0" w:color="9FBCD0"/>
            </w:tcBorders>
          </w:tcPr>
          <w:p w14:paraId="1F701FC2" w14:textId="63998019" w:rsidR="00382154" w:rsidRPr="004274BF" w:rsidRDefault="004274BF" w:rsidP="00BB3984">
            <w:pPr>
              <w:ind w:right="112"/>
              <w:jc w:val="right"/>
            </w:pPr>
            <w:r w:rsidRPr="004274BF">
              <w:t>1</w:t>
            </w:r>
          </w:p>
        </w:tc>
      </w:tr>
    </w:tbl>
    <w:p w14:paraId="3080233A" w14:textId="577E3B0B" w:rsidR="00152B41" w:rsidRDefault="00152B41">
      <w:pPr>
        <w:keepLines w:val="0"/>
        <w:spacing w:after="0" w:line="240" w:lineRule="auto"/>
        <w:rPr>
          <w:rStyle w:val="Emphasis"/>
          <w:rFonts w:eastAsiaTheme="majorEastAsia" w:cs="Arial"/>
          <w:b/>
          <w:bCs/>
          <w:i w:val="0"/>
          <w:color w:val="205352"/>
          <w:sz w:val="30"/>
          <w:szCs w:val="30"/>
        </w:rPr>
      </w:pPr>
      <w:bookmarkStart w:id="574" w:name="_Toc399317029"/>
      <w:bookmarkStart w:id="575" w:name="_Toc426617570"/>
      <w:bookmarkStart w:id="576" w:name="_Toc450900797"/>
    </w:p>
    <w:p w14:paraId="48781169" w14:textId="1DDDB12C" w:rsidR="00C266EA" w:rsidRPr="00A50832" w:rsidRDefault="00375B8E" w:rsidP="005A4B04">
      <w:pPr>
        <w:pStyle w:val="Heading2nonumber"/>
        <w:jc w:val="left"/>
        <w:rPr>
          <w:rStyle w:val="Emphasis"/>
          <w:rFonts w:cs="Arial"/>
          <w:i w:val="0"/>
          <w:iCs/>
          <w:color w:val="205352"/>
          <w:sz w:val="30"/>
        </w:rPr>
      </w:pPr>
      <w:bookmarkStart w:id="577" w:name="_Toc525122093"/>
      <w:r w:rsidRPr="00A50832">
        <w:rPr>
          <w:rStyle w:val="Emphasis"/>
          <w:rFonts w:cs="Arial"/>
          <w:i w:val="0"/>
          <w:iCs/>
          <w:color w:val="205352"/>
          <w:sz w:val="30"/>
        </w:rPr>
        <w:t xml:space="preserve">Internal </w:t>
      </w:r>
      <w:r w:rsidR="00180DE3" w:rsidRPr="00A50832">
        <w:rPr>
          <w:rStyle w:val="Emphasis"/>
          <w:rFonts w:cs="Arial"/>
          <w:i w:val="0"/>
          <w:iCs/>
          <w:color w:val="205352"/>
          <w:sz w:val="30"/>
        </w:rPr>
        <w:t>w</w:t>
      </w:r>
      <w:r w:rsidRPr="00A50832">
        <w:rPr>
          <w:rStyle w:val="Emphasis"/>
          <w:rFonts w:cs="Arial"/>
          <w:i w:val="0"/>
          <w:iCs/>
          <w:color w:val="205352"/>
          <w:sz w:val="30"/>
        </w:rPr>
        <w:t>orkers</w:t>
      </w:r>
      <w:r w:rsidR="001916CE" w:rsidRPr="00A50832">
        <w:rPr>
          <w:rStyle w:val="Emphasis"/>
          <w:rFonts w:cs="Arial"/>
          <w:i w:val="0"/>
          <w:iCs/>
          <w:color w:val="205352"/>
          <w:sz w:val="30"/>
        </w:rPr>
        <w:t>’</w:t>
      </w:r>
      <w:r w:rsidRPr="00A50832">
        <w:rPr>
          <w:rStyle w:val="Emphasis"/>
          <w:rFonts w:cs="Arial"/>
          <w:i w:val="0"/>
          <w:iCs/>
          <w:color w:val="205352"/>
          <w:sz w:val="30"/>
        </w:rPr>
        <w:t xml:space="preserve"> </w:t>
      </w:r>
      <w:r w:rsidR="00180DE3" w:rsidRPr="00A50832">
        <w:rPr>
          <w:rStyle w:val="Emphasis"/>
          <w:rFonts w:cs="Arial"/>
          <w:i w:val="0"/>
          <w:iCs/>
          <w:color w:val="205352"/>
          <w:sz w:val="30"/>
        </w:rPr>
        <w:t>c</w:t>
      </w:r>
      <w:r w:rsidRPr="00A50832">
        <w:rPr>
          <w:rStyle w:val="Emphasis"/>
          <w:rFonts w:cs="Arial"/>
          <w:i w:val="0"/>
          <w:iCs/>
          <w:color w:val="205352"/>
          <w:sz w:val="30"/>
        </w:rPr>
        <w:t>ompensation</w:t>
      </w:r>
      <w:bookmarkEnd w:id="574"/>
      <w:bookmarkEnd w:id="575"/>
      <w:bookmarkEnd w:id="576"/>
      <w:r w:rsidR="00426212">
        <w:rPr>
          <w:rStyle w:val="Emphasis"/>
          <w:rFonts w:cs="Arial"/>
          <w:i w:val="0"/>
          <w:iCs/>
          <w:color w:val="205352"/>
          <w:sz w:val="30"/>
        </w:rPr>
        <w:t xml:space="preserve"> claims</w:t>
      </w:r>
      <w:bookmarkEnd w:id="577"/>
      <w:r w:rsidRPr="00A50832">
        <w:rPr>
          <w:rStyle w:val="Emphasis"/>
          <w:rFonts w:cs="Arial"/>
          <w:i w:val="0"/>
          <w:iCs/>
          <w:color w:val="205352"/>
          <w:sz w:val="30"/>
        </w:rPr>
        <w:t xml:space="preserve"> </w:t>
      </w:r>
    </w:p>
    <w:p w14:paraId="495782A9" w14:textId="3DC179D5" w:rsidR="005D1E6A" w:rsidRPr="00F54FE5" w:rsidRDefault="00EB5925" w:rsidP="00152B41">
      <w:bookmarkStart w:id="578" w:name="_Toc399317030"/>
      <w:bookmarkStart w:id="579" w:name="_Toc426617571"/>
      <w:bookmarkStart w:id="580" w:name="_Toc450900798"/>
      <w:r>
        <w:t xml:space="preserve">There was one </w:t>
      </w:r>
      <w:r w:rsidR="00152B41">
        <w:t>workers’ compensation claim made by</w:t>
      </w:r>
      <w:r>
        <w:t xml:space="preserve"> a</w:t>
      </w:r>
      <w:r w:rsidR="00152B41">
        <w:t xml:space="preserve"> WorkCover WA staff</w:t>
      </w:r>
      <w:r>
        <w:t xml:space="preserve"> member </w:t>
      </w:r>
      <w:r w:rsidR="00152B41">
        <w:t>in 2017/18.</w:t>
      </w:r>
      <w:r>
        <w:t xml:space="preserve"> This claim was for a minor injury and did not result in time off work. </w:t>
      </w:r>
    </w:p>
    <w:p w14:paraId="6AECE195" w14:textId="77777777" w:rsidR="00316E3A" w:rsidRPr="00A50832" w:rsidRDefault="00316E3A" w:rsidP="00E27DE7">
      <w:pPr>
        <w:pStyle w:val="Heading2nonumber"/>
      </w:pPr>
      <w:bookmarkStart w:id="581" w:name="_Toc525122094"/>
      <w:r w:rsidRPr="00A50832">
        <w:t>Board remuneration</w:t>
      </w:r>
      <w:bookmarkEnd w:id="578"/>
      <w:bookmarkEnd w:id="579"/>
      <w:bookmarkEnd w:id="580"/>
      <w:bookmarkEnd w:id="581"/>
      <w:r w:rsidRPr="00A50832">
        <w:t xml:space="preserve"> </w:t>
      </w:r>
    </w:p>
    <w:p w14:paraId="69A70A11" w14:textId="362551B5" w:rsidR="00E00F11" w:rsidRPr="000D3E3B" w:rsidRDefault="00E00F11" w:rsidP="00E00F11">
      <w:pPr>
        <w:rPr>
          <w:color w:val="FFFFFF" w:themeColor="background1"/>
        </w:rPr>
      </w:pPr>
      <w:r w:rsidRPr="001252DA">
        <w:t>In accordance with the Act, the Chairman and Board members are paid such fees and allowances as may be fixed by the Minister on the recommendation of the Minister for Public Sector Management. In accordance with government policy, Board members who are public service officers are not entitled to payment.</w:t>
      </w:r>
    </w:p>
    <w:tbl>
      <w:tblPr>
        <w:tblStyle w:val="TableGrid"/>
        <w:tblW w:w="9209"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38: WorkCover WA Board remuneration"/>
        <w:tblDescription w:val="This table outlines the remuneration of the WorkCover WA Board Members. "/>
      </w:tblPr>
      <w:tblGrid>
        <w:gridCol w:w="1951"/>
        <w:gridCol w:w="1559"/>
        <w:gridCol w:w="1872"/>
        <w:gridCol w:w="1701"/>
        <w:gridCol w:w="2126"/>
      </w:tblGrid>
      <w:tr w:rsidR="00560169" w14:paraId="44F24BE8" w14:textId="77777777" w:rsidTr="005B6DC0">
        <w:trPr>
          <w:tblHeader/>
        </w:trPr>
        <w:tc>
          <w:tcPr>
            <w:tcW w:w="9209" w:type="dxa"/>
            <w:gridSpan w:val="5"/>
            <w:shd w:val="clear" w:color="auto" w:fill="003F5F"/>
            <w:vAlign w:val="center"/>
          </w:tcPr>
          <w:p w14:paraId="66256DCD" w14:textId="285DD56B" w:rsidR="00560169" w:rsidRPr="00D31603" w:rsidRDefault="00560169" w:rsidP="005B6DC0">
            <w:pPr>
              <w:rPr>
                <w:rStyle w:val="Strong"/>
                <w:color w:val="FFFFFF" w:themeColor="background1"/>
              </w:rPr>
            </w:pPr>
            <w:r w:rsidRPr="008F1034">
              <w:rPr>
                <w:rStyle w:val="Strong"/>
                <w:color w:val="FFFFFF" w:themeColor="background1"/>
              </w:rPr>
              <w:t xml:space="preserve">Table </w:t>
            </w:r>
            <w:r w:rsidR="00C94625" w:rsidRPr="008F1034">
              <w:rPr>
                <w:rStyle w:val="Strong"/>
                <w:color w:val="FFFFFF" w:themeColor="background1"/>
              </w:rPr>
              <w:t>3</w:t>
            </w:r>
            <w:r w:rsidR="008F1034" w:rsidRPr="008F1034">
              <w:rPr>
                <w:rStyle w:val="Strong"/>
                <w:color w:val="FFFFFF" w:themeColor="background1"/>
              </w:rPr>
              <w:t>8</w:t>
            </w:r>
            <w:r w:rsidRPr="008F1034">
              <w:rPr>
                <w:rStyle w:val="Strong"/>
                <w:color w:val="FFFFFF" w:themeColor="background1"/>
              </w:rPr>
              <w:t xml:space="preserve">: </w:t>
            </w:r>
            <w:r w:rsidR="00616E8C" w:rsidRPr="008F1034">
              <w:rPr>
                <w:rStyle w:val="Strong"/>
                <w:color w:val="FFFFFF" w:themeColor="background1"/>
              </w:rPr>
              <w:t>WorkCover </w:t>
            </w:r>
            <w:r w:rsidR="00616E8C" w:rsidRPr="00E00F11">
              <w:rPr>
                <w:rStyle w:val="Strong"/>
                <w:color w:val="FFFFFF" w:themeColor="background1"/>
              </w:rPr>
              <w:t>WA</w:t>
            </w:r>
            <w:r w:rsidRPr="00E00F11">
              <w:rPr>
                <w:rStyle w:val="Strong"/>
                <w:color w:val="FFFFFF" w:themeColor="background1"/>
              </w:rPr>
              <w:t xml:space="preserve"> Board remuneration</w:t>
            </w:r>
          </w:p>
        </w:tc>
      </w:tr>
      <w:tr w:rsidR="00560169" w14:paraId="0F8285FE" w14:textId="77777777" w:rsidTr="008F1034">
        <w:tc>
          <w:tcPr>
            <w:tcW w:w="1951" w:type="dxa"/>
            <w:shd w:val="clear" w:color="auto" w:fill="CEDCE8"/>
          </w:tcPr>
          <w:p w14:paraId="1E56D57B" w14:textId="77777777" w:rsidR="00560169" w:rsidRPr="00444570" w:rsidRDefault="00560169" w:rsidP="00E76895">
            <w:pPr>
              <w:rPr>
                <w:rStyle w:val="Strong"/>
              </w:rPr>
            </w:pPr>
            <w:r w:rsidRPr="00444570">
              <w:rPr>
                <w:rStyle w:val="Strong"/>
              </w:rPr>
              <w:t>Position</w:t>
            </w:r>
          </w:p>
        </w:tc>
        <w:tc>
          <w:tcPr>
            <w:tcW w:w="1559" w:type="dxa"/>
            <w:shd w:val="clear" w:color="auto" w:fill="CEDCE8"/>
          </w:tcPr>
          <w:p w14:paraId="04488D21" w14:textId="77777777" w:rsidR="00560169" w:rsidRPr="00444570" w:rsidRDefault="00560169" w:rsidP="00E76895">
            <w:pPr>
              <w:rPr>
                <w:rStyle w:val="Strong"/>
              </w:rPr>
            </w:pPr>
            <w:r w:rsidRPr="00444570">
              <w:rPr>
                <w:rStyle w:val="Strong"/>
              </w:rPr>
              <w:t>Name</w:t>
            </w:r>
          </w:p>
        </w:tc>
        <w:tc>
          <w:tcPr>
            <w:tcW w:w="1872" w:type="dxa"/>
            <w:shd w:val="clear" w:color="auto" w:fill="CEDCE8"/>
          </w:tcPr>
          <w:p w14:paraId="6E5ADC5D" w14:textId="77777777" w:rsidR="00560169" w:rsidRPr="00444570" w:rsidRDefault="00560169" w:rsidP="00E76895">
            <w:pPr>
              <w:rPr>
                <w:rStyle w:val="Strong"/>
              </w:rPr>
            </w:pPr>
            <w:r w:rsidRPr="00444570">
              <w:rPr>
                <w:rStyle w:val="Strong"/>
              </w:rPr>
              <w:t>Type of remuneration</w:t>
            </w:r>
          </w:p>
        </w:tc>
        <w:tc>
          <w:tcPr>
            <w:tcW w:w="1701" w:type="dxa"/>
            <w:shd w:val="clear" w:color="auto" w:fill="CEDCE8"/>
          </w:tcPr>
          <w:p w14:paraId="2EC4D086" w14:textId="77777777" w:rsidR="00560169" w:rsidRPr="00444570" w:rsidRDefault="00560169" w:rsidP="00E76895">
            <w:pPr>
              <w:rPr>
                <w:rStyle w:val="Strong"/>
              </w:rPr>
            </w:pPr>
            <w:r w:rsidRPr="00444570">
              <w:rPr>
                <w:rStyle w:val="Strong"/>
              </w:rPr>
              <w:t>Period of membership</w:t>
            </w:r>
          </w:p>
        </w:tc>
        <w:tc>
          <w:tcPr>
            <w:tcW w:w="2126" w:type="dxa"/>
            <w:shd w:val="clear" w:color="auto" w:fill="CEDCE8"/>
          </w:tcPr>
          <w:p w14:paraId="4F807E85" w14:textId="4095EB18" w:rsidR="00560169" w:rsidRPr="00444570" w:rsidRDefault="00560169" w:rsidP="00E76895">
            <w:pPr>
              <w:rPr>
                <w:rStyle w:val="Strong"/>
              </w:rPr>
            </w:pPr>
            <w:r w:rsidRPr="00444570">
              <w:rPr>
                <w:rStyle w:val="Strong"/>
              </w:rPr>
              <w:t>Gross/actual remuneration</w:t>
            </w:r>
            <w:r w:rsidR="004E3BD5">
              <w:rPr>
                <w:rStyle w:val="Strong"/>
              </w:rPr>
              <w:br/>
              <w:t>(including superannuation)</w:t>
            </w:r>
          </w:p>
        </w:tc>
      </w:tr>
      <w:tr w:rsidR="009D4E90" w:rsidRPr="00C55E98" w14:paraId="16059952" w14:textId="77777777" w:rsidTr="008F1034">
        <w:trPr>
          <w:trHeight w:val="798"/>
        </w:trPr>
        <w:tc>
          <w:tcPr>
            <w:tcW w:w="1951" w:type="dxa"/>
            <w:shd w:val="clear" w:color="auto" w:fill="CEDCE8"/>
          </w:tcPr>
          <w:p w14:paraId="1D5B144D" w14:textId="77777777" w:rsidR="009D4E90" w:rsidRPr="00E840CE" w:rsidRDefault="009D4E90" w:rsidP="009D4E90">
            <w:r w:rsidRPr="00E840CE">
              <w:t>Chairman</w:t>
            </w:r>
          </w:p>
        </w:tc>
        <w:tc>
          <w:tcPr>
            <w:tcW w:w="1559" w:type="dxa"/>
          </w:tcPr>
          <w:p w14:paraId="4A269C33" w14:textId="74B2BCCC" w:rsidR="009D4E90" w:rsidRPr="00E840CE" w:rsidRDefault="00023BFD" w:rsidP="001B5B66">
            <w:r>
              <w:t>Greg Joyce</w:t>
            </w:r>
          </w:p>
        </w:tc>
        <w:tc>
          <w:tcPr>
            <w:tcW w:w="1872" w:type="dxa"/>
          </w:tcPr>
          <w:p w14:paraId="46431C48" w14:textId="270E5FFC" w:rsidR="009D4E90" w:rsidRPr="00E840CE" w:rsidRDefault="00023BFD" w:rsidP="001B5B66">
            <w:r>
              <w:t>Board payment</w:t>
            </w:r>
          </w:p>
        </w:tc>
        <w:tc>
          <w:tcPr>
            <w:tcW w:w="1701" w:type="dxa"/>
          </w:tcPr>
          <w:p w14:paraId="17A0C223" w14:textId="59540094" w:rsidR="009D4E90" w:rsidRPr="00E840CE" w:rsidRDefault="00023BFD" w:rsidP="001B5B66">
            <w:r>
              <w:t>01/07/17 to 30/06/18</w:t>
            </w:r>
          </w:p>
        </w:tc>
        <w:tc>
          <w:tcPr>
            <w:tcW w:w="2126" w:type="dxa"/>
          </w:tcPr>
          <w:p w14:paraId="0D44733D" w14:textId="6C07FFA1" w:rsidR="009D4E90" w:rsidRPr="00A558CA" w:rsidRDefault="00023BFD" w:rsidP="004E3BD5">
            <w:pPr>
              <w:jc w:val="right"/>
            </w:pPr>
            <w:r w:rsidRPr="00A558CA">
              <w:t>$34,091</w:t>
            </w:r>
          </w:p>
        </w:tc>
      </w:tr>
      <w:tr w:rsidR="00AB42AA" w:rsidRPr="00C55E98" w14:paraId="467C2992" w14:textId="77777777" w:rsidTr="008F1034">
        <w:trPr>
          <w:trHeight w:val="798"/>
        </w:trPr>
        <w:tc>
          <w:tcPr>
            <w:tcW w:w="1951" w:type="dxa"/>
            <w:shd w:val="clear" w:color="auto" w:fill="CEDCE8"/>
          </w:tcPr>
          <w:p w14:paraId="380C0DA0" w14:textId="2A759C98" w:rsidR="00AB42AA" w:rsidRPr="00E840CE" w:rsidRDefault="00AB42AA" w:rsidP="009D4E90">
            <w:r>
              <w:t>Member</w:t>
            </w:r>
          </w:p>
        </w:tc>
        <w:tc>
          <w:tcPr>
            <w:tcW w:w="1559" w:type="dxa"/>
          </w:tcPr>
          <w:p w14:paraId="417372D0" w14:textId="27266FEF" w:rsidR="00AB42AA" w:rsidRPr="00E840CE" w:rsidRDefault="00023BFD" w:rsidP="001B5B66">
            <w:r>
              <w:t>Chris White</w:t>
            </w:r>
          </w:p>
        </w:tc>
        <w:tc>
          <w:tcPr>
            <w:tcW w:w="1872" w:type="dxa"/>
          </w:tcPr>
          <w:p w14:paraId="05087E8A" w14:textId="4769DFD7" w:rsidR="00AB42AA" w:rsidRPr="00E840CE" w:rsidRDefault="00023BFD" w:rsidP="001B5B66">
            <w:r>
              <w:t>N/A – Public Servant</w:t>
            </w:r>
          </w:p>
        </w:tc>
        <w:tc>
          <w:tcPr>
            <w:tcW w:w="1701" w:type="dxa"/>
          </w:tcPr>
          <w:p w14:paraId="31EB39F8" w14:textId="4663AA66" w:rsidR="00AB42AA" w:rsidRPr="00E840CE" w:rsidRDefault="00023BFD" w:rsidP="001B5B66">
            <w:r>
              <w:t>Virtue of Office</w:t>
            </w:r>
          </w:p>
        </w:tc>
        <w:tc>
          <w:tcPr>
            <w:tcW w:w="2126" w:type="dxa"/>
          </w:tcPr>
          <w:p w14:paraId="281B9DA9" w14:textId="788CE318" w:rsidR="00AB42AA" w:rsidRPr="00A558CA" w:rsidRDefault="00023BFD" w:rsidP="001B5B66">
            <w:pPr>
              <w:jc w:val="right"/>
            </w:pPr>
            <w:r w:rsidRPr="00A558CA">
              <w:t>Nil</w:t>
            </w:r>
          </w:p>
        </w:tc>
      </w:tr>
      <w:tr w:rsidR="00AB42AA" w:rsidRPr="00C55E98" w14:paraId="73846F67" w14:textId="77777777" w:rsidTr="008F1034">
        <w:trPr>
          <w:trHeight w:val="798"/>
        </w:trPr>
        <w:tc>
          <w:tcPr>
            <w:tcW w:w="1951" w:type="dxa"/>
            <w:shd w:val="clear" w:color="auto" w:fill="CEDCE8"/>
          </w:tcPr>
          <w:p w14:paraId="367E3A01" w14:textId="08F36788" w:rsidR="00AB42AA" w:rsidRPr="00E840CE" w:rsidRDefault="00AB42AA" w:rsidP="009D4E90">
            <w:r>
              <w:t>Member</w:t>
            </w:r>
          </w:p>
        </w:tc>
        <w:tc>
          <w:tcPr>
            <w:tcW w:w="1559" w:type="dxa"/>
          </w:tcPr>
          <w:p w14:paraId="2383FC53" w14:textId="4FF0F9F7" w:rsidR="00AB42AA" w:rsidRPr="00E840CE" w:rsidRDefault="00023BFD" w:rsidP="001B5B66">
            <w:r>
              <w:t>David Smith</w:t>
            </w:r>
          </w:p>
        </w:tc>
        <w:tc>
          <w:tcPr>
            <w:tcW w:w="1872" w:type="dxa"/>
          </w:tcPr>
          <w:p w14:paraId="1973CC54" w14:textId="410BADF1" w:rsidR="00AB42AA" w:rsidRPr="00E840CE" w:rsidRDefault="00023BFD" w:rsidP="001B5B66">
            <w:r>
              <w:t>N/A – Public Servant</w:t>
            </w:r>
          </w:p>
        </w:tc>
        <w:tc>
          <w:tcPr>
            <w:tcW w:w="1701" w:type="dxa"/>
          </w:tcPr>
          <w:p w14:paraId="0A7273A2" w14:textId="4EAEC029" w:rsidR="00AB42AA" w:rsidRPr="00E840CE" w:rsidRDefault="00023BFD" w:rsidP="001B5B66">
            <w:r>
              <w:t>Virtue of Office</w:t>
            </w:r>
          </w:p>
        </w:tc>
        <w:tc>
          <w:tcPr>
            <w:tcW w:w="2126" w:type="dxa"/>
          </w:tcPr>
          <w:p w14:paraId="63CABB68" w14:textId="3F48F0F2" w:rsidR="00AB42AA" w:rsidRPr="00A558CA" w:rsidRDefault="00023BFD" w:rsidP="001B5B66">
            <w:pPr>
              <w:jc w:val="right"/>
            </w:pPr>
            <w:r w:rsidRPr="00A558CA">
              <w:t>Nil</w:t>
            </w:r>
          </w:p>
        </w:tc>
      </w:tr>
      <w:tr w:rsidR="00E00F11" w:rsidRPr="00C55E98" w14:paraId="380BE3A3" w14:textId="77777777" w:rsidTr="008F1034">
        <w:trPr>
          <w:trHeight w:val="798"/>
        </w:trPr>
        <w:tc>
          <w:tcPr>
            <w:tcW w:w="1951" w:type="dxa"/>
            <w:shd w:val="clear" w:color="auto" w:fill="CEDCE8"/>
          </w:tcPr>
          <w:p w14:paraId="131C4EE0" w14:textId="444966E5" w:rsidR="00E00F11" w:rsidRDefault="00023BFD" w:rsidP="009D4E90">
            <w:r>
              <w:t>Member</w:t>
            </w:r>
          </w:p>
        </w:tc>
        <w:tc>
          <w:tcPr>
            <w:tcW w:w="1559" w:type="dxa"/>
          </w:tcPr>
          <w:p w14:paraId="400AA305" w14:textId="4EFD3057" w:rsidR="00E00F11" w:rsidRPr="00E840CE" w:rsidRDefault="00023BFD" w:rsidP="001B5B66">
            <w:r>
              <w:t>Steven Burns</w:t>
            </w:r>
          </w:p>
        </w:tc>
        <w:tc>
          <w:tcPr>
            <w:tcW w:w="1872" w:type="dxa"/>
          </w:tcPr>
          <w:p w14:paraId="731CC0C5" w14:textId="6E302CCD" w:rsidR="00E00F11" w:rsidRPr="00E840CE" w:rsidRDefault="00023BFD" w:rsidP="001B5B66">
            <w:r>
              <w:t>Board payment</w:t>
            </w:r>
          </w:p>
        </w:tc>
        <w:tc>
          <w:tcPr>
            <w:tcW w:w="1701" w:type="dxa"/>
          </w:tcPr>
          <w:p w14:paraId="311C2A1F" w14:textId="0DAF11A1" w:rsidR="00E00F11" w:rsidRPr="00E840CE" w:rsidRDefault="00023BFD" w:rsidP="001B5B66">
            <w:r>
              <w:t>01/07/17 to 30/06/18</w:t>
            </w:r>
          </w:p>
        </w:tc>
        <w:tc>
          <w:tcPr>
            <w:tcW w:w="2126" w:type="dxa"/>
          </w:tcPr>
          <w:p w14:paraId="2088B81D" w14:textId="07B03EED" w:rsidR="00E00F11" w:rsidRPr="00A558CA" w:rsidRDefault="00023BFD" w:rsidP="001B5B66">
            <w:pPr>
              <w:jc w:val="right"/>
            </w:pPr>
            <w:r w:rsidRPr="00A558CA">
              <w:t>$17,821</w:t>
            </w:r>
          </w:p>
        </w:tc>
      </w:tr>
      <w:tr w:rsidR="00023BFD" w:rsidRPr="00C55E98" w14:paraId="11C40397" w14:textId="77777777" w:rsidTr="008F1034">
        <w:trPr>
          <w:trHeight w:val="798"/>
        </w:trPr>
        <w:tc>
          <w:tcPr>
            <w:tcW w:w="1951" w:type="dxa"/>
            <w:shd w:val="clear" w:color="auto" w:fill="CEDCE8"/>
          </w:tcPr>
          <w:p w14:paraId="0B80A680" w14:textId="407E85F8" w:rsidR="00023BFD" w:rsidRDefault="00023BFD" w:rsidP="009D4E90">
            <w:r>
              <w:t>Member</w:t>
            </w:r>
          </w:p>
        </w:tc>
        <w:tc>
          <w:tcPr>
            <w:tcW w:w="1559" w:type="dxa"/>
          </w:tcPr>
          <w:p w14:paraId="61802F86" w14:textId="189654AC" w:rsidR="00023BFD" w:rsidRPr="00E840CE" w:rsidRDefault="00023BFD" w:rsidP="001B5B66">
            <w:r>
              <w:t>Warren Edwardes</w:t>
            </w:r>
          </w:p>
        </w:tc>
        <w:tc>
          <w:tcPr>
            <w:tcW w:w="1872" w:type="dxa"/>
          </w:tcPr>
          <w:p w14:paraId="0DAC1C46" w14:textId="661D32A3" w:rsidR="00023BFD" w:rsidRPr="00E840CE" w:rsidRDefault="00023BFD" w:rsidP="001B5B66">
            <w:r>
              <w:t>Board payment</w:t>
            </w:r>
          </w:p>
        </w:tc>
        <w:tc>
          <w:tcPr>
            <w:tcW w:w="1701" w:type="dxa"/>
          </w:tcPr>
          <w:p w14:paraId="1EC54ED2" w14:textId="1B2597E6" w:rsidR="00023BFD" w:rsidRPr="00E840CE" w:rsidRDefault="00023BFD" w:rsidP="001B5B66">
            <w:r>
              <w:t>01/07/17 to 30/06/18</w:t>
            </w:r>
          </w:p>
        </w:tc>
        <w:tc>
          <w:tcPr>
            <w:tcW w:w="2126" w:type="dxa"/>
          </w:tcPr>
          <w:p w14:paraId="126D9A45" w14:textId="5163D3DC" w:rsidR="00023BFD" w:rsidRPr="00A558CA" w:rsidRDefault="00023BFD" w:rsidP="001B5B66">
            <w:pPr>
              <w:jc w:val="right"/>
            </w:pPr>
            <w:r w:rsidRPr="00A558CA">
              <w:t>$17,821</w:t>
            </w:r>
          </w:p>
        </w:tc>
      </w:tr>
      <w:tr w:rsidR="00023BFD" w:rsidRPr="00C55E98" w14:paraId="5245E9C5" w14:textId="77777777" w:rsidTr="008F1034">
        <w:trPr>
          <w:trHeight w:val="798"/>
        </w:trPr>
        <w:tc>
          <w:tcPr>
            <w:tcW w:w="1951" w:type="dxa"/>
            <w:shd w:val="clear" w:color="auto" w:fill="CEDCE8"/>
          </w:tcPr>
          <w:p w14:paraId="4D8EC158" w14:textId="7DC3880B" w:rsidR="00023BFD" w:rsidRDefault="00023BFD" w:rsidP="009D4E90">
            <w:r>
              <w:t>Member</w:t>
            </w:r>
          </w:p>
        </w:tc>
        <w:tc>
          <w:tcPr>
            <w:tcW w:w="1559" w:type="dxa"/>
          </w:tcPr>
          <w:p w14:paraId="789C2502" w14:textId="51470821" w:rsidR="00023BFD" w:rsidRPr="00E840CE" w:rsidRDefault="00023BFD" w:rsidP="001B5B66">
            <w:r>
              <w:t>Owen Whittle</w:t>
            </w:r>
          </w:p>
        </w:tc>
        <w:tc>
          <w:tcPr>
            <w:tcW w:w="1872" w:type="dxa"/>
          </w:tcPr>
          <w:p w14:paraId="1944A7FA" w14:textId="6CD9DE20" w:rsidR="00023BFD" w:rsidRPr="00E840CE" w:rsidRDefault="00023BFD" w:rsidP="001B5B66">
            <w:r>
              <w:t>Board payment</w:t>
            </w:r>
          </w:p>
        </w:tc>
        <w:tc>
          <w:tcPr>
            <w:tcW w:w="1701" w:type="dxa"/>
          </w:tcPr>
          <w:p w14:paraId="79ECEB2C" w14:textId="7521D8FD" w:rsidR="00023BFD" w:rsidRPr="00E840CE" w:rsidRDefault="00023BFD" w:rsidP="001B5B66">
            <w:r>
              <w:t>01/07/17 to 30/06/18</w:t>
            </w:r>
          </w:p>
        </w:tc>
        <w:tc>
          <w:tcPr>
            <w:tcW w:w="2126" w:type="dxa"/>
          </w:tcPr>
          <w:p w14:paraId="1106F085" w14:textId="6DA5E986" w:rsidR="00023BFD" w:rsidRPr="00A558CA" w:rsidRDefault="00023BFD" w:rsidP="001B5B66">
            <w:pPr>
              <w:jc w:val="right"/>
            </w:pPr>
            <w:r w:rsidRPr="00A558CA">
              <w:t>$17,821</w:t>
            </w:r>
          </w:p>
        </w:tc>
      </w:tr>
      <w:tr w:rsidR="00023BFD" w:rsidRPr="00C55E98" w14:paraId="1A5E1359" w14:textId="77777777" w:rsidTr="008F1034">
        <w:trPr>
          <w:trHeight w:val="798"/>
        </w:trPr>
        <w:tc>
          <w:tcPr>
            <w:tcW w:w="1951" w:type="dxa"/>
            <w:shd w:val="clear" w:color="auto" w:fill="CEDCE8"/>
          </w:tcPr>
          <w:p w14:paraId="06E7EF15" w14:textId="10FCA38E" w:rsidR="00023BFD" w:rsidRDefault="00023BFD" w:rsidP="009D4E90">
            <w:r>
              <w:t>Member</w:t>
            </w:r>
          </w:p>
        </w:tc>
        <w:tc>
          <w:tcPr>
            <w:tcW w:w="1559" w:type="dxa"/>
          </w:tcPr>
          <w:p w14:paraId="0ACBA990" w14:textId="56C39A86" w:rsidR="00023BFD" w:rsidRPr="00E840CE" w:rsidRDefault="00023BFD" w:rsidP="001B5B66">
            <w:r>
              <w:t>Victoria Wilmot</w:t>
            </w:r>
          </w:p>
        </w:tc>
        <w:tc>
          <w:tcPr>
            <w:tcW w:w="1872" w:type="dxa"/>
          </w:tcPr>
          <w:p w14:paraId="42349DE1" w14:textId="290BD85B" w:rsidR="00023BFD" w:rsidRPr="00E840CE" w:rsidRDefault="00023BFD" w:rsidP="001B5B66">
            <w:r>
              <w:t>Board payment</w:t>
            </w:r>
          </w:p>
        </w:tc>
        <w:tc>
          <w:tcPr>
            <w:tcW w:w="1701" w:type="dxa"/>
          </w:tcPr>
          <w:p w14:paraId="77998CCA" w14:textId="5B9C5A15" w:rsidR="00023BFD" w:rsidRPr="00E840CE" w:rsidRDefault="00023BFD" w:rsidP="001B5B66">
            <w:r>
              <w:t>01/07/17 to 30/06/18</w:t>
            </w:r>
          </w:p>
        </w:tc>
        <w:tc>
          <w:tcPr>
            <w:tcW w:w="2126" w:type="dxa"/>
          </w:tcPr>
          <w:p w14:paraId="58BB093B" w14:textId="6A00B157" w:rsidR="00023BFD" w:rsidRPr="00A558CA" w:rsidRDefault="00023BFD" w:rsidP="001B5B66">
            <w:pPr>
              <w:jc w:val="right"/>
            </w:pPr>
            <w:r w:rsidRPr="00A558CA">
              <w:t>$17,821</w:t>
            </w:r>
          </w:p>
        </w:tc>
      </w:tr>
      <w:tr w:rsidR="00C97E73" w:rsidRPr="00C97E73" w14:paraId="400CEE73" w14:textId="77777777" w:rsidTr="008F1034">
        <w:tc>
          <w:tcPr>
            <w:tcW w:w="7083" w:type="dxa"/>
            <w:gridSpan w:val="4"/>
            <w:shd w:val="clear" w:color="auto" w:fill="003F5F"/>
          </w:tcPr>
          <w:p w14:paraId="3A06DC07" w14:textId="0F69C908" w:rsidR="00560169" w:rsidRPr="00E840CE" w:rsidRDefault="00FC0DF0" w:rsidP="00FC0DF0">
            <w:pPr>
              <w:rPr>
                <w:rStyle w:val="Strong"/>
                <w:color w:val="FFFFFF" w:themeColor="background1"/>
              </w:rPr>
            </w:pPr>
            <w:r w:rsidRPr="00E840CE">
              <w:rPr>
                <w:rStyle w:val="Strong"/>
                <w:color w:val="FFFFFF" w:themeColor="background1"/>
              </w:rPr>
              <w:t>Total</w:t>
            </w:r>
          </w:p>
        </w:tc>
        <w:tc>
          <w:tcPr>
            <w:tcW w:w="2126" w:type="dxa"/>
            <w:shd w:val="clear" w:color="auto" w:fill="003F5F"/>
          </w:tcPr>
          <w:p w14:paraId="3433BE01" w14:textId="22D6AC92" w:rsidR="00560169" w:rsidRPr="00C97E73" w:rsidRDefault="00023BFD" w:rsidP="00F54FE5">
            <w:pPr>
              <w:jc w:val="right"/>
              <w:rPr>
                <w:rStyle w:val="Strong"/>
                <w:color w:val="FFFFFF" w:themeColor="background1"/>
              </w:rPr>
            </w:pPr>
            <w:r w:rsidRPr="00C97E73">
              <w:rPr>
                <w:rStyle w:val="Strong"/>
                <w:color w:val="FFFFFF" w:themeColor="background1"/>
              </w:rPr>
              <w:t>$105,375</w:t>
            </w:r>
          </w:p>
        </w:tc>
      </w:tr>
    </w:tbl>
    <w:p w14:paraId="4B24938F" w14:textId="23312DCB" w:rsidR="00316E3A" w:rsidRPr="00A50832" w:rsidRDefault="00316E3A" w:rsidP="00E27DE7">
      <w:pPr>
        <w:pStyle w:val="Heading2nonumber"/>
      </w:pPr>
      <w:bookmarkStart w:id="582" w:name="_Toc399317031"/>
      <w:bookmarkStart w:id="583" w:name="_Toc426617572"/>
      <w:bookmarkStart w:id="584" w:name="_Toc450900799"/>
      <w:bookmarkStart w:id="585" w:name="_Toc525122095"/>
      <w:r w:rsidRPr="00A50832">
        <w:t>Directors’ and officers’ liability insurance</w:t>
      </w:r>
      <w:bookmarkEnd w:id="582"/>
      <w:bookmarkEnd w:id="583"/>
      <w:bookmarkEnd w:id="584"/>
      <w:bookmarkEnd w:id="585"/>
      <w:r w:rsidRPr="00A50832">
        <w:t xml:space="preserve"> </w:t>
      </w:r>
    </w:p>
    <w:p w14:paraId="75EE503E" w14:textId="2E6B1E02" w:rsidR="00023BFD" w:rsidRPr="009035EE" w:rsidRDefault="00023BFD" w:rsidP="00023BFD">
      <w:pPr>
        <w:rPr>
          <w:szCs w:val="22"/>
          <w:lang w:eastAsia="en-AU"/>
        </w:rPr>
      </w:pPr>
      <w:bookmarkStart w:id="586" w:name="_Toc426617573"/>
      <w:bookmarkStart w:id="587" w:name="_Toc450900800"/>
      <w:r w:rsidRPr="009035EE">
        <w:t xml:space="preserve">Directors’ and officers’ liability insurance covers the personal liability for damages and defence costs of insured persons in the event action is taken against them for </w:t>
      </w:r>
      <w:r>
        <w:t>a breach</w:t>
      </w:r>
      <w:r w:rsidRPr="009035EE">
        <w:t xml:space="preserve"> of duty. WorkCover WA holds a directors’ and officers’ liability insurance policy covering the members of the former Workers’ Compensation and Rehabilitation Commission and WorkCover WA Board members. The policy is placed through the State Government’s insurer and is renewed annually. </w:t>
      </w:r>
    </w:p>
    <w:p w14:paraId="30E013D0" w14:textId="14D4E24C" w:rsidR="00F7336E" w:rsidRDefault="00560169" w:rsidP="00944575">
      <w:pPr>
        <w:pStyle w:val="Heading2nonumber"/>
      </w:pPr>
      <w:bookmarkStart w:id="588" w:name="_Toc525122096"/>
      <w:r w:rsidRPr="006D6C62">
        <w:t>Committee remuneration</w:t>
      </w:r>
      <w:bookmarkEnd w:id="586"/>
      <w:bookmarkEnd w:id="587"/>
      <w:bookmarkEnd w:id="588"/>
      <w:r w:rsidRPr="006D6C62">
        <w:t xml:space="preserve"> </w:t>
      </w:r>
    </w:p>
    <w:p w14:paraId="24B9B14E" w14:textId="77777777" w:rsidR="001A424B" w:rsidRDefault="001A424B" w:rsidP="001A424B">
      <w:pPr>
        <w:pStyle w:val="Heading3nonumber"/>
      </w:pPr>
      <w:bookmarkStart w:id="589" w:name="_Toc525122097"/>
      <w:bookmarkStart w:id="590" w:name="_Toc426617574"/>
      <w:bookmarkStart w:id="591" w:name="_Toc450900801"/>
      <w:bookmarkStart w:id="592" w:name="_Toc462145961"/>
      <w:r>
        <w:t>Audit and Risk Management Committee</w:t>
      </w:r>
      <w:bookmarkEnd w:id="589"/>
    </w:p>
    <w:p w14:paraId="64B6E4E2" w14:textId="77777777" w:rsidR="00F17533" w:rsidRPr="001A424B" w:rsidRDefault="00F17533" w:rsidP="00F17533">
      <w:pPr>
        <w:rPr>
          <w:lang w:val="en-GB"/>
        </w:rPr>
      </w:pPr>
      <w:r w:rsidRPr="00582D0D">
        <w:rPr>
          <w:lang w:val="en-GB"/>
        </w:rPr>
        <w:t>As members of the Audit and Risk Management Committee are either members of the Board or employed in the public sector, no remuneration is paid to members</w:t>
      </w:r>
      <w:r>
        <w:rPr>
          <w:lang w:val="en-GB"/>
        </w:rPr>
        <w:t>.</w:t>
      </w:r>
    </w:p>
    <w:p w14:paraId="3DD808EF" w14:textId="77777777" w:rsidR="00134ED8" w:rsidRDefault="00134ED8" w:rsidP="008F1034">
      <w:pPr>
        <w:pStyle w:val="Heading3nonumber"/>
      </w:pPr>
      <w:bookmarkStart w:id="593" w:name="_Toc525122098"/>
      <w:r w:rsidRPr="00134ED8">
        <w:t>Costs Committee</w:t>
      </w:r>
      <w:bookmarkEnd w:id="590"/>
      <w:bookmarkEnd w:id="591"/>
      <w:bookmarkEnd w:id="592"/>
      <w:bookmarkEnd w:id="593"/>
    </w:p>
    <w:p w14:paraId="091B115B" w14:textId="77777777" w:rsidR="0023244C" w:rsidRDefault="00F17533" w:rsidP="0023244C">
      <w:r>
        <w:t>T</w:t>
      </w:r>
      <w:r w:rsidRPr="00186544">
        <w:t>he Costs</w:t>
      </w:r>
      <w:r>
        <w:t xml:space="preserve"> Committee did not meet in 2017/18.</w:t>
      </w:r>
      <w:bookmarkStart w:id="594" w:name="_Toc426617575"/>
      <w:bookmarkStart w:id="595" w:name="_Toc450900802"/>
    </w:p>
    <w:p w14:paraId="47A65497" w14:textId="6E758435" w:rsidR="00134ED8" w:rsidRDefault="00E76895" w:rsidP="0023244C">
      <w:pPr>
        <w:pStyle w:val="Heading3nonumber"/>
      </w:pPr>
      <w:bookmarkStart w:id="596" w:name="_Toc525122099"/>
      <w:r w:rsidRPr="0095759A">
        <w:t>Medical Committee</w:t>
      </w:r>
      <w:bookmarkEnd w:id="594"/>
      <w:bookmarkEnd w:id="595"/>
      <w:bookmarkEnd w:id="596"/>
    </w:p>
    <w:p w14:paraId="453FCC93" w14:textId="42E0446F" w:rsidR="00254F16" w:rsidRPr="00F47496" w:rsidRDefault="00254F16" w:rsidP="00254F16">
      <w:r>
        <w:t>T</w:t>
      </w:r>
      <w:r w:rsidRPr="00186544">
        <w:t xml:space="preserve">he </w:t>
      </w:r>
      <w:r>
        <w:t>Medical Committee did not meet in 2017/18.</w:t>
      </w:r>
      <w:r w:rsidR="001C536C">
        <w:t xml:space="preserve"> The role and functions of the Medical Committee are being reviewed as part of the rewrite of the legislation and as such, the Committee was suspended in </w:t>
      </w:r>
      <w:r w:rsidR="00785BFA">
        <w:t>August</w:t>
      </w:r>
      <w:r w:rsidR="001C536C">
        <w:t xml:space="preserve"> 2017. </w:t>
      </w:r>
    </w:p>
    <w:p w14:paraId="724421E4" w14:textId="441550F9" w:rsidR="00B95A79" w:rsidRPr="005B6DC0" w:rsidRDefault="009C0E3B" w:rsidP="005B6DC0">
      <w:pPr>
        <w:pStyle w:val="Heading2nonumber"/>
        <w:rPr>
          <w:color w:val="205352"/>
        </w:rPr>
      </w:pPr>
      <w:bookmarkStart w:id="597" w:name="_Toc399317032"/>
      <w:bookmarkStart w:id="598" w:name="_Toc426617576"/>
      <w:bookmarkStart w:id="599" w:name="_Toc450900803"/>
      <w:r>
        <w:br w:type="page"/>
      </w:r>
      <w:bookmarkStart w:id="600" w:name="_Toc525122100"/>
      <w:r w:rsidR="00B95A79" w:rsidRPr="00A50832">
        <w:t>Capital works projects</w:t>
      </w:r>
      <w:bookmarkEnd w:id="597"/>
      <w:bookmarkEnd w:id="598"/>
      <w:bookmarkEnd w:id="599"/>
      <w:bookmarkEnd w:id="600"/>
      <w:r w:rsidR="00B95A79">
        <w:t xml:space="preserve"> </w:t>
      </w:r>
    </w:p>
    <w:p w14:paraId="3BB6FAD5" w14:textId="75C18442" w:rsidR="009C0E3B" w:rsidRPr="00EB6F91" w:rsidRDefault="00616E8C" w:rsidP="001A4B16">
      <w:r>
        <w:t>WorkCover WA</w:t>
      </w:r>
      <w:r w:rsidR="006F296F">
        <w:t>’s expenditure on capital works for 201</w:t>
      </w:r>
      <w:r w:rsidR="00F54FE5">
        <w:t>7</w:t>
      </w:r>
      <w:r w:rsidR="006F296F">
        <w:t>/1</w:t>
      </w:r>
      <w:r w:rsidR="00F54FE5">
        <w:t>8</w:t>
      </w:r>
      <w:r w:rsidR="006F296F">
        <w:t xml:space="preserve"> is </w:t>
      </w:r>
      <w:r w:rsidR="00EE5406">
        <w:t>outlined</w:t>
      </w:r>
      <w:r w:rsidR="006F296F">
        <w:t xml:space="preserve"> in the table below.</w:t>
      </w:r>
    </w:p>
    <w:tbl>
      <w:tblPr>
        <w:tblW w:w="9044"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39: 2017/18 Expenditure"/>
        <w:tblDescription w:val="This table outlines WorkCover WA's expenditure for capital works projects in 2017/18. "/>
      </w:tblPr>
      <w:tblGrid>
        <w:gridCol w:w="5812"/>
        <w:gridCol w:w="1559"/>
        <w:gridCol w:w="1673"/>
      </w:tblGrid>
      <w:tr w:rsidR="009220BE" w:rsidRPr="0044251E" w14:paraId="17A70AD8" w14:textId="77777777" w:rsidTr="008F1034">
        <w:trPr>
          <w:trHeight w:val="312"/>
        </w:trPr>
        <w:tc>
          <w:tcPr>
            <w:tcW w:w="9044" w:type="dxa"/>
            <w:gridSpan w:val="3"/>
            <w:shd w:val="clear" w:color="auto" w:fill="003F5F"/>
            <w:tcMar>
              <w:top w:w="170" w:type="dxa"/>
              <w:left w:w="113" w:type="dxa"/>
              <w:bottom w:w="170" w:type="dxa"/>
              <w:right w:w="113" w:type="dxa"/>
            </w:tcMar>
            <w:vAlign w:val="center"/>
          </w:tcPr>
          <w:p w14:paraId="51BE96AB" w14:textId="75CCED42" w:rsidR="009220BE" w:rsidRPr="0044251E" w:rsidRDefault="00F54FE5" w:rsidP="008F1034">
            <w:pPr>
              <w:rPr>
                <w:rStyle w:val="Strong"/>
              </w:rPr>
            </w:pPr>
            <w:bookmarkStart w:id="601" w:name="_Toc399317033"/>
            <w:r w:rsidRPr="008F1034">
              <w:rPr>
                <w:rStyle w:val="Strong"/>
                <w:color w:val="FFFFFF" w:themeColor="background1"/>
              </w:rPr>
              <w:t xml:space="preserve">Table </w:t>
            </w:r>
            <w:r w:rsidR="00C94625" w:rsidRPr="008F1034">
              <w:rPr>
                <w:rStyle w:val="Strong"/>
                <w:color w:val="FFFFFF" w:themeColor="background1"/>
              </w:rPr>
              <w:t>3</w:t>
            </w:r>
            <w:r w:rsidR="008F1034" w:rsidRPr="008F1034">
              <w:rPr>
                <w:rStyle w:val="Strong"/>
                <w:color w:val="FFFFFF" w:themeColor="background1"/>
              </w:rPr>
              <w:t>9</w:t>
            </w:r>
            <w:r w:rsidRPr="008F1034">
              <w:rPr>
                <w:rStyle w:val="Strong"/>
                <w:color w:val="FFFFFF" w:themeColor="background1"/>
              </w:rPr>
              <w:t xml:space="preserve">: </w:t>
            </w:r>
            <w:r w:rsidRPr="00783C86">
              <w:rPr>
                <w:rStyle w:val="Strong"/>
                <w:color w:val="FFFFFF" w:themeColor="background1"/>
              </w:rPr>
              <w:t>2017/18</w:t>
            </w:r>
            <w:r w:rsidR="009220BE" w:rsidRPr="00783C86">
              <w:rPr>
                <w:rStyle w:val="Strong"/>
                <w:color w:val="FFFFFF" w:themeColor="background1"/>
              </w:rPr>
              <w:t xml:space="preserve"> Expenditures </w:t>
            </w:r>
          </w:p>
        </w:tc>
      </w:tr>
      <w:tr w:rsidR="009220BE" w:rsidRPr="0044251E" w14:paraId="2D7F9965" w14:textId="77777777" w:rsidTr="004930E9">
        <w:trPr>
          <w:trHeight w:val="652"/>
        </w:trPr>
        <w:tc>
          <w:tcPr>
            <w:tcW w:w="5812" w:type="dxa"/>
            <w:shd w:val="clear" w:color="auto" w:fill="CEDCE8"/>
            <w:tcMar>
              <w:top w:w="170" w:type="dxa"/>
              <w:left w:w="113" w:type="dxa"/>
              <w:bottom w:w="170" w:type="dxa"/>
              <w:right w:w="113" w:type="dxa"/>
            </w:tcMar>
            <w:vAlign w:val="center"/>
          </w:tcPr>
          <w:p w14:paraId="7E57C972" w14:textId="116FE14A" w:rsidR="009220BE" w:rsidRPr="0044251E" w:rsidRDefault="006E3508" w:rsidP="004930E9">
            <w:pPr>
              <w:rPr>
                <w:rStyle w:val="Strong"/>
              </w:rPr>
            </w:pPr>
            <w:r>
              <w:rPr>
                <w:rStyle w:val="Strong"/>
              </w:rPr>
              <w:t>Capital works p</w:t>
            </w:r>
            <w:r w:rsidR="009220BE" w:rsidRPr="0044251E">
              <w:rPr>
                <w:rStyle w:val="Strong"/>
              </w:rPr>
              <w:t>roject</w:t>
            </w:r>
            <w:r>
              <w:rPr>
                <w:rStyle w:val="Strong"/>
              </w:rPr>
              <w:t>s</w:t>
            </w:r>
          </w:p>
        </w:tc>
        <w:tc>
          <w:tcPr>
            <w:tcW w:w="1559" w:type="dxa"/>
            <w:shd w:val="clear" w:color="auto" w:fill="CEDCE8"/>
            <w:tcMar>
              <w:top w:w="170" w:type="dxa"/>
              <w:left w:w="113" w:type="dxa"/>
              <w:bottom w:w="170" w:type="dxa"/>
              <w:right w:w="113" w:type="dxa"/>
            </w:tcMar>
          </w:tcPr>
          <w:p w14:paraId="08D81779" w14:textId="76BE2A91" w:rsidR="009220BE" w:rsidRPr="0044251E" w:rsidRDefault="009220BE" w:rsidP="001D6D3F">
            <w:pPr>
              <w:jc w:val="right"/>
              <w:rPr>
                <w:rStyle w:val="Strong"/>
              </w:rPr>
            </w:pPr>
            <w:r w:rsidRPr="0044251E">
              <w:rPr>
                <w:rStyle w:val="Strong"/>
              </w:rPr>
              <w:t>Total spent</w:t>
            </w:r>
            <w:r>
              <w:rPr>
                <w:rStyle w:val="Strong"/>
              </w:rPr>
              <w:br/>
            </w:r>
            <w:r w:rsidRPr="0044251E">
              <w:rPr>
                <w:rStyle w:val="Strong"/>
              </w:rPr>
              <w:t>$000</w:t>
            </w:r>
          </w:p>
        </w:tc>
        <w:tc>
          <w:tcPr>
            <w:tcW w:w="1673" w:type="dxa"/>
            <w:shd w:val="clear" w:color="auto" w:fill="CEDCE8"/>
            <w:tcMar>
              <w:top w:w="170" w:type="dxa"/>
              <w:left w:w="113" w:type="dxa"/>
              <w:bottom w:w="170" w:type="dxa"/>
              <w:right w:w="113" w:type="dxa"/>
            </w:tcMar>
          </w:tcPr>
          <w:p w14:paraId="65093693" w14:textId="7873E293" w:rsidR="009220BE" w:rsidRPr="0044251E" w:rsidRDefault="009220BE" w:rsidP="001D6D3F">
            <w:pPr>
              <w:jc w:val="right"/>
              <w:rPr>
                <w:rStyle w:val="Strong"/>
              </w:rPr>
            </w:pPr>
            <w:r w:rsidRPr="0044251E">
              <w:rPr>
                <w:rStyle w:val="Strong"/>
              </w:rPr>
              <w:t>YTD</w:t>
            </w:r>
            <w:r>
              <w:rPr>
                <w:rStyle w:val="Strong"/>
              </w:rPr>
              <w:br/>
            </w:r>
            <w:r w:rsidRPr="0044251E">
              <w:rPr>
                <w:rStyle w:val="Strong"/>
              </w:rPr>
              <w:t>$000</w:t>
            </w:r>
          </w:p>
        </w:tc>
      </w:tr>
      <w:tr w:rsidR="0000700F" w:rsidRPr="00786E5D" w14:paraId="71A2BE17" w14:textId="77777777" w:rsidTr="008F1034">
        <w:trPr>
          <w:trHeight w:val="60"/>
        </w:trPr>
        <w:tc>
          <w:tcPr>
            <w:tcW w:w="5812" w:type="dxa"/>
            <w:shd w:val="clear" w:color="auto" w:fill="CEDCE8"/>
            <w:tcMar>
              <w:top w:w="113" w:type="dxa"/>
              <w:left w:w="113" w:type="dxa"/>
              <w:bottom w:w="113" w:type="dxa"/>
              <w:right w:w="113" w:type="dxa"/>
            </w:tcMar>
            <w:vAlign w:val="center"/>
          </w:tcPr>
          <w:p w14:paraId="132C7210" w14:textId="0306E957" w:rsidR="0000700F" w:rsidRPr="00783C86" w:rsidRDefault="0000700F" w:rsidP="0000700F">
            <w:pPr>
              <w:rPr>
                <w:color w:val="FF0000"/>
                <w:highlight w:val="yellow"/>
                <w:lang w:val="en-GB" w:eastAsia="en-AU"/>
              </w:rPr>
            </w:pPr>
            <w:r w:rsidRPr="00763357">
              <w:rPr>
                <w:lang w:val="en-GB" w:eastAsia="en-AU"/>
              </w:rPr>
              <w:t>Online Insurer Services Project – R</w:t>
            </w:r>
            <w:r>
              <w:rPr>
                <w:lang w:val="en-GB" w:eastAsia="en-AU"/>
              </w:rPr>
              <w:t xml:space="preserve">egulatory </w:t>
            </w:r>
            <w:r w:rsidRPr="00763357">
              <w:rPr>
                <w:lang w:val="en-GB" w:eastAsia="en-AU"/>
              </w:rPr>
              <w:t>S</w:t>
            </w:r>
            <w:r>
              <w:rPr>
                <w:lang w:val="en-GB" w:eastAsia="en-AU"/>
              </w:rPr>
              <w:t>ervices</w:t>
            </w:r>
          </w:p>
        </w:tc>
        <w:tc>
          <w:tcPr>
            <w:tcW w:w="1559" w:type="dxa"/>
            <w:tcMar>
              <w:top w:w="113" w:type="dxa"/>
              <w:left w:w="113" w:type="dxa"/>
              <w:bottom w:w="113" w:type="dxa"/>
              <w:right w:w="113" w:type="dxa"/>
            </w:tcMar>
          </w:tcPr>
          <w:p w14:paraId="2B209666" w14:textId="19287771" w:rsidR="0000700F" w:rsidRPr="00783C86" w:rsidRDefault="0000700F" w:rsidP="0000700F">
            <w:pPr>
              <w:jc w:val="right"/>
              <w:rPr>
                <w:color w:val="FF0000"/>
                <w:highlight w:val="yellow"/>
                <w:lang w:val="en-GB" w:eastAsia="en-AU"/>
              </w:rPr>
            </w:pPr>
            <w:r w:rsidRPr="00763357">
              <w:rPr>
                <w:lang w:val="en-GB" w:eastAsia="en-AU"/>
              </w:rPr>
              <w:t>592</w:t>
            </w:r>
          </w:p>
        </w:tc>
        <w:tc>
          <w:tcPr>
            <w:tcW w:w="1673" w:type="dxa"/>
            <w:shd w:val="clear" w:color="AD9600" w:fill="auto"/>
            <w:tcMar>
              <w:top w:w="113" w:type="dxa"/>
              <w:left w:w="113" w:type="dxa"/>
              <w:bottom w:w="113" w:type="dxa"/>
              <w:right w:w="113" w:type="dxa"/>
            </w:tcMar>
          </w:tcPr>
          <w:p w14:paraId="1C367E94" w14:textId="4529AEDC" w:rsidR="0000700F" w:rsidRPr="00783C86" w:rsidRDefault="0000700F" w:rsidP="0000700F">
            <w:pPr>
              <w:jc w:val="right"/>
              <w:rPr>
                <w:color w:val="FF0000"/>
                <w:highlight w:val="yellow"/>
                <w:lang w:val="en-GB" w:eastAsia="en-AU"/>
              </w:rPr>
            </w:pPr>
            <w:r w:rsidRPr="00763357">
              <w:rPr>
                <w:lang w:val="en-GB" w:eastAsia="en-AU"/>
              </w:rPr>
              <w:t>592</w:t>
            </w:r>
          </w:p>
        </w:tc>
      </w:tr>
    </w:tbl>
    <w:p w14:paraId="239BCDC0" w14:textId="77777777" w:rsidR="00A375C0" w:rsidRDefault="00A375C0" w:rsidP="00A375C0"/>
    <w:p w14:paraId="1227F175" w14:textId="77777777" w:rsidR="00A375C0" w:rsidRDefault="00A375C0" w:rsidP="009A00C6">
      <w:pPr>
        <w:pStyle w:val="Heading2nonumber"/>
      </w:pPr>
      <w:bookmarkStart w:id="602" w:name="_Toc426617577"/>
      <w:bookmarkStart w:id="603" w:name="_Toc450900804"/>
      <w:bookmarkStart w:id="604" w:name="_Toc525122101"/>
      <w:r w:rsidRPr="00A50832">
        <w:t>Advertising</w:t>
      </w:r>
      <w:bookmarkEnd w:id="602"/>
      <w:bookmarkEnd w:id="603"/>
      <w:bookmarkEnd w:id="604"/>
    </w:p>
    <w:p w14:paraId="2F71118C" w14:textId="77777777" w:rsidR="0000700F" w:rsidRPr="0093696C" w:rsidRDefault="0000700F" w:rsidP="0000700F">
      <w:pPr>
        <w:jc w:val="both"/>
        <w:rPr>
          <w:szCs w:val="22"/>
        </w:rPr>
      </w:pPr>
      <w:r w:rsidRPr="00C45321">
        <w:rPr>
          <w:szCs w:val="22"/>
        </w:rPr>
        <w:t xml:space="preserve">Section 175ZE of the </w:t>
      </w:r>
      <w:r w:rsidRPr="00C45321">
        <w:rPr>
          <w:rFonts w:cs="Arial"/>
          <w:i/>
          <w:szCs w:val="22"/>
        </w:rPr>
        <w:t>Electoral Act 1907</w:t>
      </w:r>
      <w:r w:rsidRPr="00C45321">
        <w:rPr>
          <w:szCs w:val="22"/>
        </w:rPr>
        <w:t xml:space="preserve"> requires the publication of the details of certain classes of expenditure in an Agency’s annual report. Expenditure during 201</w:t>
      </w:r>
      <w:r>
        <w:rPr>
          <w:szCs w:val="22"/>
        </w:rPr>
        <w:t>7</w:t>
      </w:r>
      <w:r w:rsidRPr="00C45321">
        <w:rPr>
          <w:szCs w:val="22"/>
        </w:rPr>
        <w:t>/1</w:t>
      </w:r>
      <w:r>
        <w:rPr>
          <w:szCs w:val="22"/>
        </w:rPr>
        <w:t>8</w:t>
      </w:r>
      <w:r w:rsidRPr="00C45321">
        <w:rPr>
          <w:szCs w:val="22"/>
        </w:rPr>
        <w:t xml:space="preserve"> included </w:t>
      </w:r>
      <w:r w:rsidRPr="0000700F">
        <w:rPr>
          <w:szCs w:val="22"/>
        </w:rPr>
        <w:t xml:space="preserve">advertising for job vacancies, promoting public awareness for </w:t>
      </w:r>
      <w:r w:rsidRPr="0000700F">
        <w:rPr>
          <w:i/>
          <w:szCs w:val="22"/>
        </w:rPr>
        <w:t>Workers’ Compensation and Injury Management Act</w:t>
      </w:r>
      <w:r w:rsidRPr="0000700F">
        <w:rPr>
          <w:szCs w:val="22"/>
        </w:rPr>
        <w:t xml:space="preserve"> and conducting surveys. </w:t>
      </w:r>
      <w:r w:rsidRPr="00C45321">
        <w:rPr>
          <w:szCs w:val="22"/>
        </w:rPr>
        <w:t>Below is a statement of expenditure for the 201</w:t>
      </w:r>
      <w:r>
        <w:rPr>
          <w:szCs w:val="22"/>
        </w:rPr>
        <w:t>7/18</w:t>
      </w:r>
      <w:r w:rsidRPr="00C45321">
        <w:rPr>
          <w:szCs w:val="22"/>
        </w:rPr>
        <w:t xml:space="preserve"> financial year.</w:t>
      </w:r>
    </w:p>
    <w:tbl>
      <w:tblPr>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40: Advertising expenditure"/>
        <w:tblDescription w:val="This table outlines WorkCover WA's expenditure on advertising in 2017/18. "/>
      </w:tblPr>
      <w:tblGrid>
        <w:gridCol w:w="2442"/>
        <w:gridCol w:w="3087"/>
        <w:gridCol w:w="3402"/>
      </w:tblGrid>
      <w:tr w:rsidR="009220BE" w:rsidRPr="00344478" w14:paraId="0FA7E728" w14:textId="77777777" w:rsidTr="008F1034">
        <w:trPr>
          <w:trHeight w:val="60"/>
          <w:tblHeader/>
        </w:trPr>
        <w:tc>
          <w:tcPr>
            <w:tcW w:w="8931" w:type="dxa"/>
            <w:gridSpan w:val="3"/>
            <w:shd w:val="clear" w:color="auto" w:fill="003F5F"/>
            <w:tcMar>
              <w:top w:w="170" w:type="dxa"/>
              <w:left w:w="113" w:type="dxa"/>
              <w:bottom w:w="170" w:type="dxa"/>
              <w:right w:w="113" w:type="dxa"/>
            </w:tcMar>
          </w:tcPr>
          <w:p w14:paraId="472FCBBD" w14:textId="6A563549" w:rsidR="009220BE" w:rsidRPr="00344478" w:rsidRDefault="00F54FE5" w:rsidP="008F1034">
            <w:pPr>
              <w:rPr>
                <w:rStyle w:val="Strong"/>
                <w:color w:val="FFFFFF" w:themeColor="background1"/>
              </w:rPr>
            </w:pPr>
            <w:r w:rsidRPr="008F1034">
              <w:rPr>
                <w:rStyle w:val="Strong"/>
                <w:color w:val="FFFFFF" w:themeColor="background1"/>
              </w:rPr>
              <w:t xml:space="preserve">Table </w:t>
            </w:r>
            <w:r w:rsidR="008F1034" w:rsidRPr="008F1034">
              <w:rPr>
                <w:rStyle w:val="Strong"/>
                <w:color w:val="FFFFFF" w:themeColor="background1"/>
              </w:rPr>
              <w:t>40</w:t>
            </w:r>
            <w:r w:rsidRPr="008F1034">
              <w:rPr>
                <w:rStyle w:val="Strong"/>
                <w:color w:val="FFFFFF" w:themeColor="background1"/>
              </w:rPr>
              <w:t>: 2017</w:t>
            </w:r>
            <w:r w:rsidR="009220BE" w:rsidRPr="008F1034">
              <w:rPr>
                <w:rStyle w:val="Strong"/>
                <w:color w:val="FFFFFF" w:themeColor="background1"/>
              </w:rPr>
              <w:t>/</w:t>
            </w:r>
            <w:r w:rsidRPr="008F1034">
              <w:rPr>
                <w:rStyle w:val="Strong"/>
                <w:color w:val="FFFFFF" w:themeColor="background1"/>
              </w:rPr>
              <w:t>18</w:t>
            </w:r>
            <w:r w:rsidR="009220BE" w:rsidRPr="008F1034">
              <w:rPr>
                <w:rStyle w:val="Strong"/>
                <w:color w:val="FFFFFF" w:themeColor="background1"/>
              </w:rPr>
              <w:t xml:space="preserve"> </w:t>
            </w:r>
            <w:r w:rsidR="009220BE" w:rsidRPr="00A63458">
              <w:rPr>
                <w:rStyle w:val="Strong"/>
                <w:color w:val="FFFFFF" w:themeColor="background1"/>
              </w:rPr>
              <w:t xml:space="preserve">Advertising expenditure </w:t>
            </w:r>
          </w:p>
        </w:tc>
      </w:tr>
      <w:tr w:rsidR="0000700F" w:rsidRPr="00F47F2C" w14:paraId="27BB46CC" w14:textId="77777777" w:rsidTr="004930E9">
        <w:trPr>
          <w:trHeight w:val="984"/>
        </w:trPr>
        <w:tc>
          <w:tcPr>
            <w:tcW w:w="2442" w:type="dxa"/>
            <w:shd w:val="clear" w:color="auto" w:fill="CEDCE8"/>
            <w:tcMar>
              <w:top w:w="170" w:type="dxa"/>
              <w:left w:w="113" w:type="dxa"/>
              <w:bottom w:w="170" w:type="dxa"/>
              <w:right w:w="113" w:type="dxa"/>
            </w:tcMar>
            <w:vAlign w:val="center"/>
          </w:tcPr>
          <w:p w14:paraId="375BA6AC" w14:textId="1EE09A72" w:rsidR="0000700F" w:rsidRPr="00F47F2C" w:rsidRDefault="0000700F" w:rsidP="004930E9">
            <w:pPr>
              <w:rPr>
                <w:rStyle w:val="Strong"/>
              </w:rPr>
            </w:pPr>
            <w:r w:rsidRPr="00F47F2C">
              <w:rPr>
                <w:rStyle w:val="Strong"/>
              </w:rPr>
              <w:t>Type</w:t>
            </w:r>
          </w:p>
        </w:tc>
        <w:tc>
          <w:tcPr>
            <w:tcW w:w="3087" w:type="dxa"/>
            <w:shd w:val="clear" w:color="auto" w:fill="CEDCE8"/>
            <w:tcMar>
              <w:top w:w="170" w:type="dxa"/>
              <w:left w:w="113" w:type="dxa"/>
              <w:bottom w:w="170" w:type="dxa"/>
              <w:right w:w="113" w:type="dxa"/>
            </w:tcMar>
            <w:vAlign w:val="center"/>
          </w:tcPr>
          <w:p w14:paraId="5215F6B7" w14:textId="57766618" w:rsidR="0000700F" w:rsidRPr="00F47F2C" w:rsidRDefault="0000700F" w:rsidP="004930E9">
            <w:pPr>
              <w:rPr>
                <w:rStyle w:val="Strong"/>
              </w:rPr>
            </w:pPr>
            <w:r w:rsidRPr="00F47F2C">
              <w:rPr>
                <w:rStyle w:val="Strong"/>
              </w:rPr>
              <w:t>Organisation</w:t>
            </w:r>
          </w:p>
        </w:tc>
        <w:tc>
          <w:tcPr>
            <w:tcW w:w="3402" w:type="dxa"/>
            <w:shd w:val="clear" w:color="auto" w:fill="CEDCE8"/>
            <w:tcMar>
              <w:top w:w="170" w:type="dxa"/>
              <w:left w:w="113" w:type="dxa"/>
              <w:bottom w:w="170" w:type="dxa"/>
              <w:right w:w="113" w:type="dxa"/>
            </w:tcMar>
            <w:vAlign w:val="center"/>
          </w:tcPr>
          <w:p w14:paraId="10545F3C" w14:textId="77777777" w:rsidR="0000700F" w:rsidRDefault="0000700F" w:rsidP="004930E9">
            <w:pPr>
              <w:rPr>
                <w:rStyle w:val="Strong"/>
              </w:rPr>
            </w:pPr>
            <w:r>
              <w:rPr>
                <w:rStyle w:val="Strong"/>
              </w:rPr>
              <w:t>2017/18</w:t>
            </w:r>
            <w:r w:rsidRPr="00F47F2C">
              <w:rPr>
                <w:rStyle w:val="Strong"/>
              </w:rPr>
              <w:t xml:space="preserve"> Expenditure</w:t>
            </w:r>
          </w:p>
          <w:p w14:paraId="2FA6A957" w14:textId="0FD64DE7" w:rsidR="0000700F" w:rsidRPr="00F47F2C" w:rsidRDefault="0000700F" w:rsidP="004930E9">
            <w:pPr>
              <w:rPr>
                <w:rStyle w:val="Strong"/>
              </w:rPr>
            </w:pPr>
            <w:r>
              <w:rPr>
                <w:rStyle w:val="Strong"/>
              </w:rPr>
              <w:t>Including GST</w:t>
            </w:r>
            <w:r w:rsidRPr="00F47F2C">
              <w:rPr>
                <w:rStyle w:val="Strong"/>
              </w:rPr>
              <w:t xml:space="preserve"> ($)</w:t>
            </w:r>
          </w:p>
        </w:tc>
      </w:tr>
      <w:tr w:rsidR="0000700F" w:rsidRPr="00343281" w14:paraId="4FCDCFA6" w14:textId="77777777" w:rsidTr="008F1034">
        <w:trPr>
          <w:trHeight w:val="696"/>
        </w:trPr>
        <w:tc>
          <w:tcPr>
            <w:tcW w:w="2442" w:type="dxa"/>
            <w:shd w:val="clear" w:color="auto" w:fill="CEDCE8"/>
            <w:tcMar>
              <w:top w:w="113" w:type="dxa"/>
              <w:left w:w="113" w:type="dxa"/>
              <w:bottom w:w="113" w:type="dxa"/>
              <w:right w:w="113" w:type="dxa"/>
            </w:tcMar>
          </w:tcPr>
          <w:p w14:paraId="5697D1EE" w14:textId="19E6BC72" w:rsidR="0000700F" w:rsidRPr="00F47F2C" w:rsidRDefault="0000700F" w:rsidP="0000700F">
            <w:pPr>
              <w:rPr>
                <w:highlight w:val="yellow"/>
              </w:rPr>
            </w:pPr>
            <w:r w:rsidRPr="00F47F2C">
              <w:t>Advertising agencies</w:t>
            </w:r>
          </w:p>
        </w:tc>
        <w:tc>
          <w:tcPr>
            <w:tcW w:w="3087" w:type="dxa"/>
            <w:tcMar>
              <w:top w:w="113" w:type="dxa"/>
              <w:left w:w="113" w:type="dxa"/>
              <w:bottom w:w="113" w:type="dxa"/>
              <w:right w:w="113" w:type="dxa"/>
            </w:tcMar>
          </w:tcPr>
          <w:p w14:paraId="195D7ECA" w14:textId="53DCDE0B" w:rsidR="0000700F" w:rsidRPr="000B3656" w:rsidRDefault="0000700F" w:rsidP="0000700F">
            <w:pPr>
              <w:rPr>
                <w:color w:val="FF0000"/>
                <w:highlight w:val="yellow"/>
              </w:rPr>
            </w:pPr>
            <w:r w:rsidRPr="005A7DC3">
              <w:t>AdCorp Australia Limited</w:t>
            </w:r>
          </w:p>
        </w:tc>
        <w:tc>
          <w:tcPr>
            <w:tcW w:w="3402" w:type="dxa"/>
            <w:shd w:val="clear" w:color="AD9600" w:fill="auto"/>
            <w:tcMar>
              <w:top w:w="113" w:type="dxa"/>
              <w:left w:w="113" w:type="dxa"/>
              <w:bottom w:w="113" w:type="dxa"/>
              <w:right w:w="113" w:type="dxa"/>
            </w:tcMar>
          </w:tcPr>
          <w:p w14:paraId="32D5D15E" w14:textId="204DB7E8" w:rsidR="0000700F" w:rsidRPr="000B3656" w:rsidRDefault="0000700F" w:rsidP="0000700F">
            <w:pPr>
              <w:jc w:val="right"/>
              <w:rPr>
                <w:color w:val="FF0000"/>
                <w:highlight w:val="yellow"/>
              </w:rPr>
            </w:pPr>
            <w:r w:rsidRPr="005A7DC3">
              <w:t>6,011</w:t>
            </w:r>
          </w:p>
        </w:tc>
      </w:tr>
      <w:tr w:rsidR="0000700F" w:rsidRPr="00343281" w14:paraId="11817155" w14:textId="77777777" w:rsidTr="008F1034">
        <w:trPr>
          <w:trHeight w:val="60"/>
        </w:trPr>
        <w:tc>
          <w:tcPr>
            <w:tcW w:w="2442" w:type="dxa"/>
            <w:shd w:val="clear" w:color="auto" w:fill="CEDCE8"/>
            <w:tcMar>
              <w:top w:w="128" w:type="dxa"/>
              <w:left w:w="113" w:type="dxa"/>
              <w:bottom w:w="128" w:type="dxa"/>
              <w:right w:w="113" w:type="dxa"/>
            </w:tcMar>
          </w:tcPr>
          <w:p w14:paraId="25A3FE9B" w14:textId="524DB34E" w:rsidR="0000700F" w:rsidRPr="00F47F2C" w:rsidRDefault="0000700F" w:rsidP="0000700F">
            <w:pPr>
              <w:rPr>
                <w:highlight w:val="yellow"/>
              </w:rPr>
            </w:pPr>
            <w:r w:rsidRPr="00F47F2C">
              <w:t>Direct mail organisations</w:t>
            </w:r>
          </w:p>
        </w:tc>
        <w:tc>
          <w:tcPr>
            <w:tcW w:w="3087" w:type="dxa"/>
            <w:tcMar>
              <w:top w:w="128" w:type="dxa"/>
              <w:left w:w="113" w:type="dxa"/>
              <w:bottom w:w="128" w:type="dxa"/>
              <w:right w:w="113" w:type="dxa"/>
            </w:tcMar>
          </w:tcPr>
          <w:p w14:paraId="214615A6" w14:textId="77777777" w:rsidR="0000700F" w:rsidRPr="005A7DC3" w:rsidRDefault="0000700F" w:rsidP="0000700F">
            <w:r w:rsidRPr="005A7DC3">
              <w:t>Quickmail</w:t>
            </w:r>
          </w:p>
          <w:p w14:paraId="6F4F7072" w14:textId="18B955FA" w:rsidR="0000700F" w:rsidRPr="000B3656" w:rsidRDefault="0000700F" w:rsidP="0000700F">
            <w:pPr>
              <w:rPr>
                <w:color w:val="FF0000"/>
                <w:highlight w:val="yellow"/>
              </w:rPr>
            </w:pPr>
            <w:r w:rsidRPr="005A7DC3">
              <w:t>Campaign Monitor</w:t>
            </w:r>
          </w:p>
        </w:tc>
        <w:tc>
          <w:tcPr>
            <w:tcW w:w="3402" w:type="dxa"/>
            <w:shd w:val="clear" w:color="AD9600" w:fill="auto"/>
            <w:tcMar>
              <w:top w:w="128" w:type="dxa"/>
              <w:left w:w="113" w:type="dxa"/>
              <w:bottom w:w="128" w:type="dxa"/>
              <w:right w:w="113" w:type="dxa"/>
            </w:tcMar>
          </w:tcPr>
          <w:p w14:paraId="1847E379" w14:textId="77777777" w:rsidR="0000700F" w:rsidRPr="005A7DC3" w:rsidRDefault="0000700F" w:rsidP="0000700F">
            <w:pPr>
              <w:jc w:val="right"/>
            </w:pPr>
            <w:r w:rsidRPr="005A7DC3">
              <w:t>348</w:t>
            </w:r>
          </w:p>
          <w:p w14:paraId="0716D1F6" w14:textId="18EE4D56" w:rsidR="0000700F" w:rsidRPr="000B3656" w:rsidRDefault="0000700F" w:rsidP="0000700F">
            <w:pPr>
              <w:jc w:val="right"/>
              <w:rPr>
                <w:color w:val="FF0000"/>
                <w:highlight w:val="yellow"/>
              </w:rPr>
            </w:pPr>
            <w:r w:rsidRPr="005A7DC3">
              <w:t>497</w:t>
            </w:r>
          </w:p>
        </w:tc>
      </w:tr>
      <w:tr w:rsidR="0000700F" w:rsidRPr="00343281" w14:paraId="18C1756C" w14:textId="77777777" w:rsidTr="008F1034">
        <w:trPr>
          <w:trHeight w:val="60"/>
        </w:trPr>
        <w:tc>
          <w:tcPr>
            <w:tcW w:w="2442" w:type="dxa"/>
            <w:shd w:val="clear" w:color="auto" w:fill="CEDCE8"/>
            <w:tcMar>
              <w:top w:w="113" w:type="dxa"/>
              <w:left w:w="113" w:type="dxa"/>
              <w:bottom w:w="113" w:type="dxa"/>
              <w:right w:w="113" w:type="dxa"/>
            </w:tcMar>
          </w:tcPr>
          <w:p w14:paraId="2DE58EBD" w14:textId="347A79B7" w:rsidR="0000700F" w:rsidRPr="00F47F2C" w:rsidRDefault="0000700F" w:rsidP="0000700F">
            <w:pPr>
              <w:rPr>
                <w:highlight w:val="yellow"/>
              </w:rPr>
            </w:pPr>
            <w:r w:rsidRPr="00F47F2C">
              <w:t>Market research organisations</w:t>
            </w:r>
          </w:p>
        </w:tc>
        <w:tc>
          <w:tcPr>
            <w:tcW w:w="3087" w:type="dxa"/>
            <w:tcMar>
              <w:top w:w="113" w:type="dxa"/>
              <w:left w:w="113" w:type="dxa"/>
              <w:bottom w:w="113" w:type="dxa"/>
              <w:right w:w="113" w:type="dxa"/>
            </w:tcMar>
          </w:tcPr>
          <w:p w14:paraId="5AA1BFBA" w14:textId="588B76BF" w:rsidR="0000700F" w:rsidRPr="000B3656" w:rsidRDefault="0000700F" w:rsidP="0000700F">
            <w:pPr>
              <w:rPr>
                <w:color w:val="FF0000"/>
                <w:highlight w:val="yellow"/>
              </w:rPr>
            </w:pPr>
            <w:r w:rsidRPr="005A7DC3">
              <w:t>Survey Monkey</w:t>
            </w:r>
          </w:p>
        </w:tc>
        <w:tc>
          <w:tcPr>
            <w:tcW w:w="3402" w:type="dxa"/>
            <w:shd w:val="clear" w:color="AD9600" w:fill="auto"/>
            <w:tcMar>
              <w:top w:w="113" w:type="dxa"/>
              <w:left w:w="113" w:type="dxa"/>
              <w:bottom w:w="113" w:type="dxa"/>
              <w:right w:w="113" w:type="dxa"/>
            </w:tcMar>
          </w:tcPr>
          <w:p w14:paraId="0A451EF6" w14:textId="27D6B0F1" w:rsidR="0000700F" w:rsidRPr="000B3656" w:rsidRDefault="0000700F" w:rsidP="0000700F">
            <w:pPr>
              <w:jc w:val="right"/>
              <w:rPr>
                <w:color w:val="FF0000"/>
                <w:highlight w:val="yellow"/>
              </w:rPr>
            </w:pPr>
            <w:r w:rsidRPr="005A7DC3">
              <w:t>612</w:t>
            </w:r>
          </w:p>
        </w:tc>
      </w:tr>
      <w:tr w:rsidR="0000700F" w:rsidRPr="00343281" w14:paraId="4F1D861B" w14:textId="77777777" w:rsidTr="008F1034">
        <w:trPr>
          <w:trHeight w:val="60"/>
        </w:trPr>
        <w:tc>
          <w:tcPr>
            <w:tcW w:w="2442" w:type="dxa"/>
            <w:shd w:val="clear" w:color="auto" w:fill="CEDCE8"/>
            <w:tcMar>
              <w:top w:w="113" w:type="dxa"/>
              <w:left w:w="113" w:type="dxa"/>
              <w:bottom w:w="113" w:type="dxa"/>
              <w:right w:w="113" w:type="dxa"/>
            </w:tcMar>
          </w:tcPr>
          <w:p w14:paraId="50C27099" w14:textId="545B23AD" w:rsidR="0000700F" w:rsidRPr="00F47F2C" w:rsidRDefault="0000700F" w:rsidP="0000700F">
            <w:pPr>
              <w:rPr>
                <w:highlight w:val="yellow"/>
              </w:rPr>
            </w:pPr>
            <w:r w:rsidRPr="00F47F2C">
              <w:t>Media advertising organisations</w:t>
            </w:r>
          </w:p>
        </w:tc>
        <w:tc>
          <w:tcPr>
            <w:tcW w:w="3087" w:type="dxa"/>
            <w:tcMar>
              <w:top w:w="113" w:type="dxa"/>
              <w:left w:w="113" w:type="dxa"/>
              <w:bottom w:w="113" w:type="dxa"/>
              <w:right w:w="113" w:type="dxa"/>
            </w:tcMar>
          </w:tcPr>
          <w:p w14:paraId="5D8A7DA4" w14:textId="77777777" w:rsidR="0000700F" w:rsidRPr="005A7DC3" w:rsidRDefault="0000700F" w:rsidP="0000700F">
            <w:pPr>
              <w:keepLines w:val="0"/>
              <w:spacing w:after="0" w:line="240" w:lineRule="auto"/>
            </w:pPr>
            <w:r w:rsidRPr="005A7DC3">
              <w:t>Careerhub Pty Ltd</w:t>
            </w:r>
          </w:p>
          <w:p w14:paraId="2502D392" w14:textId="77777777" w:rsidR="0000700F" w:rsidRPr="005A7DC3" w:rsidRDefault="0000700F" w:rsidP="0000700F">
            <w:pPr>
              <w:keepLines w:val="0"/>
              <w:spacing w:after="0" w:line="240" w:lineRule="auto"/>
              <w:rPr>
                <w:rFonts w:ascii="Myriad Pro" w:hAnsi="Myriad Pro" w:cs="Arial"/>
                <w:sz w:val="22"/>
                <w:szCs w:val="22"/>
                <w:lang w:eastAsia="en-AU"/>
              </w:rPr>
            </w:pPr>
          </w:p>
          <w:p w14:paraId="787B5D74" w14:textId="77777777" w:rsidR="0000700F" w:rsidRPr="005A7DC3" w:rsidRDefault="0000700F" w:rsidP="0000700F">
            <w:r w:rsidRPr="005A7DC3">
              <w:t>Australia Car Wash Association</w:t>
            </w:r>
          </w:p>
          <w:p w14:paraId="36274108" w14:textId="2FBD2E0B" w:rsidR="0000700F" w:rsidRPr="000B3656" w:rsidRDefault="0000700F" w:rsidP="0000700F">
            <w:pPr>
              <w:rPr>
                <w:color w:val="FF0000"/>
                <w:highlight w:val="yellow"/>
              </w:rPr>
            </w:pPr>
            <w:r w:rsidRPr="005A7DC3">
              <w:t>Facebook</w:t>
            </w:r>
          </w:p>
        </w:tc>
        <w:tc>
          <w:tcPr>
            <w:tcW w:w="3402" w:type="dxa"/>
            <w:shd w:val="clear" w:color="AD9600" w:fill="auto"/>
            <w:tcMar>
              <w:top w:w="113" w:type="dxa"/>
              <w:left w:w="113" w:type="dxa"/>
              <w:bottom w:w="113" w:type="dxa"/>
              <w:right w:w="113" w:type="dxa"/>
            </w:tcMar>
          </w:tcPr>
          <w:p w14:paraId="0AED50E8" w14:textId="77777777" w:rsidR="0000700F" w:rsidRPr="005A7DC3" w:rsidRDefault="0000700F" w:rsidP="0000700F">
            <w:pPr>
              <w:jc w:val="right"/>
            </w:pPr>
            <w:r w:rsidRPr="005A7DC3">
              <w:t>180</w:t>
            </w:r>
          </w:p>
          <w:p w14:paraId="4D458582" w14:textId="77777777" w:rsidR="0000700F" w:rsidRPr="005A7DC3" w:rsidRDefault="0000700F" w:rsidP="0000700F">
            <w:pPr>
              <w:jc w:val="right"/>
            </w:pPr>
            <w:r w:rsidRPr="005A7DC3">
              <w:t>250</w:t>
            </w:r>
          </w:p>
          <w:p w14:paraId="662FB41C" w14:textId="1D03B898" w:rsidR="0000700F" w:rsidRPr="000B3656" w:rsidRDefault="00D41E23" w:rsidP="0000700F">
            <w:pPr>
              <w:jc w:val="right"/>
              <w:rPr>
                <w:color w:val="FF0000"/>
                <w:highlight w:val="yellow"/>
              </w:rPr>
            </w:pPr>
            <w:r>
              <w:br/>
            </w:r>
            <w:r w:rsidR="0000700F" w:rsidRPr="005A7DC3">
              <w:t>19</w:t>
            </w:r>
          </w:p>
        </w:tc>
      </w:tr>
      <w:tr w:rsidR="0000700F" w:rsidRPr="00343281" w14:paraId="2A956B01" w14:textId="77777777" w:rsidTr="008F1034">
        <w:trPr>
          <w:trHeight w:val="60"/>
        </w:trPr>
        <w:tc>
          <w:tcPr>
            <w:tcW w:w="2442" w:type="dxa"/>
            <w:shd w:val="clear" w:color="auto" w:fill="CEDCE8"/>
            <w:tcMar>
              <w:top w:w="113" w:type="dxa"/>
              <w:left w:w="113" w:type="dxa"/>
              <w:bottom w:w="113" w:type="dxa"/>
              <w:right w:w="113" w:type="dxa"/>
            </w:tcMar>
          </w:tcPr>
          <w:p w14:paraId="3AAE9299" w14:textId="448D0C62" w:rsidR="0000700F" w:rsidRPr="00F47F2C" w:rsidRDefault="0000700F" w:rsidP="0000700F">
            <w:pPr>
              <w:rPr>
                <w:highlight w:val="yellow"/>
              </w:rPr>
            </w:pPr>
            <w:r w:rsidRPr="00F47F2C">
              <w:t>Polling organisations</w:t>
            </w:r>
          </w:p>
        </w:tc>
        <w:tc>
          <w:tcPr>
            <w:tcW w:w="3087" w:type="dxa"/>
            <w:tcMar>
              <w:top w:w="113" w:type="dxa"/>
              <w:left w:w="113" w:type="dxa"/>
              <w:bottom w:w="113" w:type="dxa"/>
              <w:right w:w="113" w:type="dxa"/>
            </w:tcMar>
          </w:tcPr>
          <w:p w14:paraId="563ADAC9" w14:textId="70968E2C" w:rsidR="0000700F" w:rsidRPr="000B3656" w:rsidRDefault="0000700F" w:rsidP="0000700F">
            <w:pPr>
              <w:rPr>
                <w:color w:val="FF0000"/>
                <w:highlight w:val="yellow"/>
              </w:rPr>
            </w:pPr>
            <w:r w:rsidRPr="005A7DC3">
              <w:t>Not applicable</w:t>
            </w:r>
          </w:p>
        </w:tc>
        <w:tc>
          <w:tcPr>
            <w:tcW w:w="3402" w:type="dxa"/>
            <w:shd w:val="clear" w:color="AD9600" w:fill="auto"/>
            <w:tcMar>
              <w:top w:w="113" w:type="dxa"/>
              <w:left w:w="113" w:type="dxa"/>
              <w:bottom w:w="113" w:type="dxa"/>
              <w:right w:w="113" w:type="dxa"/>
            </w:tcMar>
          </w:tcPr>
          <w:p w14:paraId="2AE83DBE" w14:textId="56A5D204" w:rsidR="0000700F" w:rsidRPr="000B3656" w:rsidRDefault="0000700F" w:rsidP="0000700F">
            <w:pPr>
              <w:jc w:val="right"/>
              <w:rPr>
                <w:color w:val="FF0000"/>
                <w:highlight w:val="yellow"/>
              </w:rPr>
            </w:pPr>
            <w:r w:rsidRPr="005A7DC3">
              <w:t>Nil</w:t>
            </w:r>
          </w:p>
        </w:tc>
      </w:tr>
      <w:tr w:rsidR="009220BE" w:rsidRPr="00343281" w14:paraId="00F1D14C" w14:textId="77777777" w:rsidTr="008F1034">
        <w:trPr>
          <w:trHeight w:val="60"/>
        </w:trPr>
        <w:tc>
          <w:tcPr>
            <w:tcW w:w="5529" w:type="dxa"/>
            <w:gridSpan w:val="2"/>
            <w:shd w:val="clear" w:color="auto" w:fill="003F5F"/>
            <w:tcMar>
              <w:top w:w="113" w:type="dxa"/>
              <w:left w:w="113" w:type="dxa"/>
              <w:bottom w:w="113" w:type="dxa"/>
              <w:right w:w="113" w:type="dxa"/>
            </w:tcMar>
          </w:tcPr>
          <w:p w14:paraId="4136DC0E" w14:textId="77777777" w:rsidR="009220BE" w:rsidRPr="00F54FE5" w:rsidRDefault="009220BE" w:rsidP="00192AA2">
            <w:pPr>
              <w:jc w:val="right"/>
              <w:rPr>
                <w:rStyle w:val="Strong"/>
                <w:color w:val="FF0000"/>
              </w:rPr>
            </w:pPr>
            <w:r w:rsidRPr="000B3656">
              <w:rPr>
                <w:rStyle w:val="Strong"/>
                <w:color w:val="FFFFFF" w:themeColor="background1"/>
              </w:rPr>
              <w:t>Total</w:t>
            </w:r>
          </w:p>
        </w:tc>
        <w:tc>
          <w:tcPr>
            <w:tcW w:w="3402" w:type="dxa"/>
            <w:shd w:val="clear" w:color="auto" w:fill="003F5F"/>
            <w:tcMar>
              <w:top w:w="113" w:type="dxa"/>
              <w:left w:w="113" w:type="dxa"/>
              <w:bottom w:w="113" w:type="dxa"/>
              <w:right w:w="113" w:type="dxa"/>
            </w:tcMar>
          </w:tcPr>
          <w:p w14:paraId="70A4E4FE" w14:textId="2899877E" w:rsidR="009220BE" w:rsidRPr="00F54FE5" w:rsidRDefault="0000700F" w:rsidP="001D6D3F">
            <w:pPr>
              <w:jc w:val="right"/>
              <w:rPr>
                <w:rStyle w:val="Strong"/>
                <w:color w:val="FF0000"/>
              </w:rPr>
            </w:pPr>
            <w:r w:rsidRPr="005A7DC3">
              <w:rPr>
                <w:rStyle w:val="Strong"/>
              </w:rPr>
              <w:t>7,91</w:t>
            </w:r>
            <w:r w:rsidR="001D6D3F">
              <w:rPr>
                <w:rStyle w:val="Strong"/>
              </w:rPr>
              <w:t>7</w:t>
            </w:r>
          </w:p>
        </w:tc>
      </w:tr>
    </w:tbl>
    <w:p w14:paraId="2297B937" w14:textId="437BA9B9" w:rsidR="000A01A0" w:rsidRDefault="00E1320F" w:rsidP="000A01A0">
      <w:pPr>
        <w:pStyle w:val="Heading2nonumber"/>
      </w:pPr>
      <w:bookmarkStart w:id="605" w:name="_Toc525122102"/>
      <w:bookmarkStart w:id="606" w:name="_Toc426617578"/>
      <w:bookmarkStart w:id="607" w:name="_Toc450900805"/>
      <w:r>
        <w:t>Annual e</w:t>
      </w:r>
      <w:r w:rsidR="000A01A0">
        <w:t>stimates</w:t>
      </w:r>
      <w:bookmarkEnd w:id="605"/>
      <w:r w:rsidR="000A01A0">
        <w:t xml:space="preserve"> </w:t>
      </w:r>
    </w:p>
    <w:p w14:paraId="484B2545" w14:textId="77777777" w:rsidR="001252DA" w:rsidRDefault="00DC6665" w:rsidP="00DC6665">
      <w:r w:rsidRPr="007417F5">
        <w:t xml:space="preserve">In accordance with </w:t>
      </w:r>
      <w:r w:rsidRPr="00C31872">
        <w:rPr>
          <w:i/>
        </w:rPr>
        <w:t>Treasurer's Instruction</w:t>
      </w:r>
      <w:r w:rsidRPr="007417F5">
        <w:t xml:space="preserve"> 953, statutory authorities not operating as divisions of the Consolidated Account are required to include annual estimates for the current financial year in the annual report of the preceding year. The following estimates have been submitted and approved by the Minister for C</w:t>
      </w:r>
      <w:r>
        <w:t>ommerce and Industrial Relations for 2018</w:t>
      </w:r>
      <w:r w:rsidRPr="007417F5">
        <w:t>/1</w:t>
      </w:r>
      <w:r>
        <w:t>9</w:t>
      </w:r>
      <w:r w:rsidRPr="007417F5">
        <w:t>.</w:t>
      </w:r>
    </w:p>
    <w:tbl>
      <w:tblPr>
        <w:tblW w:w="5000" w:type="pct"/>
        <w:tblLook w:val="04A0" w:firstRow="1" w:lastRow="0" w:firstColumn="1" w:lastColumn="0" w:noHBand="0" w:noVBand="1"/>
      </w:tblPr>
      <w:tblGrid>
        <w:gridCol w:w="5922"/>
        <w:gridCol w:w="1567"/>
        <w:gridCol w:w="1537"/>
      </w:tblGrid>
      <w:tr w:rsidR="0000700F" w:rsidRPr="00B94D34" w14:paraId="6F03D7CE" w14:textId="77777777" w:rsidTr="0000700F">
        <w:trPr>
          <w:trHeight w:val="1152"/>
        </w:trPr>
        <w:tc>
          <w:tcPr>
            <w:tcW w:w="5000" w:type="pct"/>
            <w:gridSpan w:val="3"/>
            <w:tcBorders>
              <w:top w:val="nil"/>
              <w:left w:val="nil"/>
              <w:bottom w:val="nil"/>
              <w:right w:val="nil"/>
            </w:tcBorders>
            <w:shd w:val="clear" w:color="auto" w:fill="auto"/>
          </w:tcPr>
          <w:p w14:paraId="1FE3536A" w14:textId="77777777" w:rsidR="0000700F" w:rsidRPr="00B94D34" w:rsidRDefault="0000700F" w:rsidP="0000700F">
            <w:pPr>
              <w:keepLines w:val="0"/>
              <w:spacing w:after="0" w:line="240" w:lineRule="auto"/>
              <w:jc w:val="both"/>
              <w:rPr>
                <w:rFonts w:cs="Arial"/>
                <w:sz w:val="20"/>
                <w:szCs w:val="20"/>
                <w:lang w:eastAsia="en-AU"/>
              </w:rPr>
            </w:pPr>
          </w:p>
        </w:tc>
      </w:tr>
      <w:tr w:rsidR="0000700F" w:rsidRPr="00B94D34" w14:paraId="45D835FF" w14:textId="77777777" w:rsidTr="0000700F">
        <w:trPr>
          <w:trHeight w:val="323"/>
        </w:trPr>
        <w:tc>
          <w:tcPr>
            <w:tcW w:w="3369" w:type="pct"/>
            <w:tcBorders>
              <w:top w:val="nil"/>
              <w:left w:val="nil"/>
              <w:bottom w:val="nil"/>
              <w:right w:val="nil"/>
            </w:tcBorders>
            <w:shd w:val="clear" w:color="auto" w:fill="auto"/>
            <w:noWrap/>
            <w:vAlign w:val="bottom"/>
            <w:hideMark/>
          </w:tcPr>
          <w:p w14:paraId="017AF2ED" w14:textId="77777777" w:rsidR="0000700F" w:rsidRPr="00B94D34" w:rsidRDefault="0000700F" w:rsidP="0000700F">
            <w:pPr>
              <w:keepLines w:val="0"/>
              <w:spacing w:after="0" w:line="240" w:lineRule="auto"/>
              <w:jc w:val="both"/>
              <w:rPr>
                <w:rFonts w:cs="Arial"/>
                <w:sz w:val="20"/>
                <w:szCs w:val="20"/>
                <w:lang w:eastAsia="en-AU"/>
              </w:rPr>
            </w:pPr>
          </w:p>
        </w:tc>
        <w:tc>
          <w:tcPr>
            <w:tcW w:w="783" w:type="pct"/>
            <w:tcBorders>
              <w:top w:val="nil"/>
              <w:left w:val="nil"/>
              <w:bottom w:val="nil"/>
              <w:right w:val="nil"/>
            </w:tcBorders>
            <w:shd w:val="clear" w:color="auto" w:fill="auto"/>
            <w:noWrap/>
            <w:vAlign w:val="bottom"/>
            <w:hideMark/>
          </w:tcPr>
          <w:p w14:paraId="64C60F97"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2018</w:t>
            </w:r>
          </w:p>
        </w:tc>
        <w:tc>
          <w:tcPr>
            <w:tcW w:w="847" w:type="pct"/>
            <w:tcBorders>
              <w:top w:val="nil"/>
              <w:left w:val="nil"/>
              <w:bottom w:val="nil"/>
              <w:right w:val="nil"/>
            </w:tcBorders>
            <w:shd w:val="clear" w:color="auto" w:fill="auto"/>
            <w:noWrap/>
            <w:vAlign w:val="bottom"/>
            <w:hideMark/>
          </w:tcPr>
          <w:p w14:paraId="1D50F51E"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2019</w:t>
            </w:r>
          </w:p>
        </w:tc>
      </w:tr>
      <w:tr w:rsidR="0000700F" w:rsidRPr="00B94D34" w14:paraId="267F51FD" w14:textId="77777777" w:rsidTr="0000700F">
        <w:trPr>
          <w:trHeight w:val="330"/>
        </w:trPr>
        <w:tc>
          <w:tcPr>
            <w:tcW w:w="3369" w:type="pct"/>
            <w:tcBorders>
              <w:top w:val="nil"/>
              <w:left w:val="nil"/>
              <w:bottom w:val="nil"/>
              <w:right w:val="nil"/>
            </w:tcBorders>
            <w:shd w:val="clear" w:color="auto" w:fill="auto"/>
            <w:noWrap/>
            <w:vAlign w:val="bottom"/>
            <w:hideMark/>
          </w:tcPr>
          <w:p w14:paraId="129C5706" w14:textId="77777777" w:rsidR="0000700F" w:rsidRPr="00B94D34" w:rsidRDefault="0000700F" w:rsidP="0000700F">
            <w:pPr>
              <w:keepLines w:val="0"/>
              <w:spacing w:after="0" w:line="240" w:lineRule="auto"/>
              <w:jc w:val="right"/>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12C33D6D" w14:textId="2B18F00F"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c>
          <w:tcPr>
            <w:tcW w:w="847" w:type="pct"/>
            <w:tcBorders>
              <w:top w:val="nil"/>
              <w:left w:val="nil"/>
              <w:bottom w:val="nil"/>
              <w:right w:val="nil"/>
            </w:tcBorders>
            <w:shd w:val="clear" w:color="auto" w:fill="auto"/>
            <w:noWrap/>
            <w:vAlign w:val="bottom"/>
            <w:hideMark/>
          </w:tcPr>
          <w:p w14:paraId="67183392"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r>
      <w:tr w:rsidR="0000700F" w:rsidRPr="00B94D34" w14:paraId="176F7EBA" w14:textId="77777777" w:rsidTr="0000700F">
        <w:trPr>
          <w:trHeight w:val="300"/>
        </w:trPr>
        <w:tc>
          <w:tcPr>
            <w:tcW w:w="3369" w:type="pct"/>
            <w:tcBorders>
              <w:top w:val="nil"/>
              <w:left w:val="nil"/>
              <w:bottom w:val="nil"/>
              <w:right w:val="nil"/>
            </w:tcBorders>
            <w:shd w:val="clear" w:color="auto" w:fill="auto"/>
            <w:noWrap/>
            <w:vAlign w:val="bottom"/>
            <w:hideMark/>
          </w:tcPr>
          <w:p w14:paraId="7D792A9A" w14:textId="77777777" w:rsidR="0000700F" w:rsidRPr="00B94D34" w:rsidRDefault="0000700F" w:rsidP="0000700F">
            <w:pPr>
              <w:keepLines w:val="0"/>
              <w:spacing w:after="0" w:line="240" w:lineRule="auto"/>
              <w:rPr>
                <w:rFonts w:cs="Arial"/>
                <w:b/>
                <w:bCs/>
                <w:sz w:val="20"/>
                <w:szCs w:val="20"/>
                <w:lang w:eastAsia="en-AU"/>
              </w:rPr>
            </w:pPr>
            <w:r w:rsidRPr="00B94D34">
              <w:rPr>
                <w:rFonts w:cs="Arial"/>
                <w:b/>
                <w:bCs/>
                <w:sz w:val="20"/>
                <w:szCs w:val="20"/>
                <w:lang w:eastAsia="en-AU"/>
              </w:rPr>
              <w:t>STATEMENT OF COMPREHENSIVE INCOME</w:t>
            </w:r>
          </w:p>
        </w:tc>
        <w:tc>
          <w:tcPr>
            <w:tcW w:w="783" w:type="pct"/>
            <w:tcBorders>
              <w:top w:val="nil"/>
              <w:left w:val="nil"/>
              <w:bottom w:val="nil"/>
              <w:right w:val="nil"/>
            </w:tcBorders>
            <w:shd w:val="clear" w:color="auto" w:fill="auto"/>
            <w:noWrap/>
            <w:vAlign w:val="bottom"/>
            <w:hideMark/>
          </w:tcPr>
          <w:p w14:paraId="2C645207" w14:textId="77777777" w:rsidR="0000700F" w:rsidRPr="00B94D34" w:rsidRDefault="0000700F" w:rsidP="0000700F">
            <w:pPr>
              <w:keepLines w:val="0"/>
              <w:spacing w:after="0" w:line="240" w:lineRule="auto"/>
              <w:rPr>
                <w:rFonts w:cs="Arial"/>
                <w:b/>
                <w:bCs/>
                <w:sz w:val="20"/>
                <w:szCs w:val="20"/>
                <w:lang w:eastAsia="en-AU"/>
              </w:rPr>
            </w:pPr>
          </w:p>
        </w:tc>
        <w:tc>
          <w:tcPr>
            <w:tcW w:w="847" w:type="pct"/>
            <w:tcBorders>
              <w:top w:val="nil"/>
              <w:left w:val="nil"/>
              <w:bottom w:val="nil"/>
              <w:right w:val="nil"/>
            </w:tcBorders>
            <w:shd w:val="clear" w:color="auto" w:fill="auto"/>
            <w:noWrap/>
            <w:vAlign w:val="bottom"/>
            <w:hideMark/>
          </w:tcPr>
          <w:p w14:paraId="1FABA897"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1FE70977" w14:textId="77777777" w:rsidTr="0000700F">
        <w:trPr>
          <w:trHeight w:val="300"/>
        </w:trPr>
        <w:tc>
          <w:tcPr>
            <w:tcW w:w="3369" w:type="pct"/>
            <w:tcBorders>
              <w:top w:val="nil"/>
              <w:left w:val="nil"/>
              <w:bottom w:val="nil"/>
              <w:right w:val="nil"/>
            </w:tcBorders>
            <w:shd w:val="clear" w:color="auto" w:fill="auto"/>
            <w:noWrap/>
            <w:vAlign w:val="bottom"/>
            <w:hideMark/>
          </w:tcPr>
          <w:p w14:paraId="2B5D5F31"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783" w:type="pct"/>
            <w:tcBorders>
              <w:top w:val="nil"/>
              <w:left w:val="nil"/>
              <w:bottom w:val="nil"/>
              <w:right w:val="nil"/>
            </w:tcBorders>
            <w:shd w:val="clear" w:color="auto" w:fill="auto"/>
            <w:noWrap/>
            <w:vAlign w:val="bottom"/>
            <w:hideMark/>
          </w:tcPr>
          <w:p w14:paraId="3819A86D"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4B5F3E54"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34189316" w14:textId="77777777" w:rsidTr="0000700F">
        <w:trPr>
          <w:trHeight w:val="300"/>
        </w:trPr>
        <w:tc>
          <w:tcPr>
            <w:tcW w:w="3369" w:type="pct"/>
            <w:tcBorders>
              <w:top w:val="nil"/>
              <w:left w:val="nil"/>
              <w:bottom w:val="nil"/>
              <w:right w:val="nil"/>
            </w:tcBorders>
            <w:shd w:val="clear" w:color="auto" w:fill="auto"/>
            <w:noWrap/>
            <w:vAlign w:val="bottom"/>
            <w:hideMark/>
          </w:tcPr>
          <w:p w14:paraId="7D62D1C0"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INCOME</w:t>
            </w:r>
          </w:p>
        </w:tc>
        <w:tc>
          <w:tcPr>
            <w:tcW w:w="783" w:type="pct"/>
            <w:tcBorders>
              <w:top w:val="nil"/>
              <w:left w:val="nil"/>
              <w:bottom w:val="nil"/>
              <w:right w:val="nil"/>
            </w:tcBorders>
            <w:shd w:val="clear" w:color="auto" w:fill="auto"/>
            <w:noWrap/>
            <w:vAlign w:val="bottom"/>
            <w:hideMark/>
          </w:tcPr>
          <w:p w14:paraId="5315A371"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002C071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0223CD1D" w14:textId="77777777" w:rsidTr="0000700F">
        <w:trPr>
          <w:trHeight w:val="300"/>
        </w:trPr>
        <w:tc>
          <w:tcPr>
            <w:tcW w:w="3369" w:type="pct"/>
            <w:tcBorders>
              <w:top w:val="nil"/>
              <w:left w:val="nil"/>
              <w:bottom w:val="nil"/>
              <w:right w:val="nil"/>
            </w:tcBorders>
            <w:shd w:val="clear" w:color="auto" w:fill="auto"/>
            <w:noWrap/>
            <w:vAlign w:val="bottom"/>
            <w:hideMark/>
          </w:tcPr>
          <w:p w14:paraId="2DCF8065"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Revenue</w:t>
            </w:r>
          </w:p>
        </w:tc>
        <w:tc>
          <w:tcPr>
            <w:tcW w:w="783" w:type="pct"/>
            <w:tcBorders>
              <w:top w:val="nil"/>
              <w:left w:val="nil"/>
              <w:bottom w:val="nil"/>
              <w:right w:val="nil"/>
            </w:tcBorders>
            <w:shd w:val="clear" w:color="auto" w:fill="auto"/>
            <w:noWrap/>
            <w:vAlign w:val="bottom"/>
            <w:hideMark/>
          </w:tcPr>
          <w:p w14:paraId="0C7D7CE9"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452D9E6E"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6C4EA98" w14:textId="77777777" w:rsidTr="0000700F">
        <w:trPr>
          <w:trHeight w:val="300"/>
        </w:trPr>
        <w:tc>
          <w:tcPr>
            <w:tcW w:w="3369" w:type="pct"/>
            <w:tcBorders>
              <w:top w:val="nil"/>
              <w:left w:val="nil"/>
              <w:bottom w:val="nil"/>
              <w:right w:val="nil"/>
            </w:tcBorders>
            <w:shd w:val="clear" w:color="auto" w:fill="auto"/>
            <w:noWrap/>
            <w:vAlign w:val="bottom"/>
            <w:hideMark/>
          </w:tcPr>
          <w:p w14:paraId="32807B4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Insurer contributions</w:t>
            </w:r>
          </w:p>
        </w:tc>
        <w:tc>
          <w:tcPr>
            <w:tcW w:w="783" w:type="pct"/>
            <w:tcBorders>
              <w:top w:val="nil"/>
              <w:left w:val="nil"/>
              <w:bottom w:val="nil"/>
              <w:right w:val="nil"/>
            </w:tcBorders>
            <w:shd w:val="clear" w:color="auto" w:fill="auto"/>
            <w:noWrap/>
            <w:vAlign w:val="bottom"/>
            <w:hideMark/>
          </w:tcPr>
          <w:p w14:paraId="0605E695"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19,883 </w:t>
            </w:r>
          </w:p>
        </w:tc>
        <w:tc>
          <w:tcPr>
            <w:tcW w:w="847" w:type="pct"/>
            <w:tcBorders>
              <w:top w:val="nil"/>
              <w:left w:val="nil"/>
              <w:bottom w:val="nil"/>
              <w:right w:val="nil"/>
            </w:tcBorders>
            <w:shd w:val="clear" w:color="auto" w:fill="auto"/>
            <w:noWrap/>
            <w:vAlign w:val="bottom"/>
            <w:hideMark/>
          </w:tcPr>
          <w:p w14:paraId="2B6B8473"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17,392 </w:t>
            </w:r>
          </w:p>
        </w:tc>
      </w:tr>
      <w:tr w:rsidR="0000700F" w:rsidRPr="00B94D34" w14:paraId="58B36FED" w14:textId="77777777" w:rsidTr="0000700F">
        <w:trPr>
          <w:trHeight w:val="300"/>
        </w:trPr>
        <w:tc>
          <w:tcPr>
            <w:tcW w:w="3369" w:type="pct"/>
            <w:tcBorders>
              <w:top w:val="nil"/>
              <w:left w:val="nil"/>
              <w:bottom w:val="nil"/>
              <w:right w:val="nil"/>
            </w:tcBorders>
            <w:shd w:val="clear" w:color="auto" w:fill="auto"/>
            <w:noWrap/>
            <w:vAlign w:val="bottom"/>
            <w:hideMark/>
          </w:tcPr>
          <w:p w14:paraId="5B68B99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Interest revenue</w:t>
            </w:r>
          </w:p>
        </w:tc>
        <w:tc>
          <w:tcPr>
            <w:tcW w:w="783" w:type="pct"/>
            <w:tcBorders>
              <w:top w:val="nil"/>
              <w:left w:val="nil"/>
              <w:bottom w:val="nil"/>
              <w:right w:val="nil"/>
            </w:tcBorders>
            <w:shd w:val="clear" w:color="auto" w:fill="auto"/>
            <w:noWrap/>
            <w:vAlign w:val="bottom"/>
            <w:hideMark/>
          </w:tcPr>
          <w:p w14:paraId="5BA58131"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2,411 </w:t>
            </w:r>
          </w:p>
        </w:tc>
        <w:tc>
          <w:tcPr>
            <w:tcW w:w="847" w:type="pct"/>
            <w:tcBorders>
              <w:top w:val="nil"/>
              <w:left w:val="nil"/>
              <w:bottom w:val="nil"/>
              <w:right w:val="nil"/>
            </w:tcBorders>
            <w:shd w:val="clear" w:color="auto" w:fill="auto"/>
            <w:noWrap/>
            <w:vAlign w:val="bottom"/>
            <w:hideMark/>
          </w:tcPr>
          <w:p w14:paraId="775A27BD"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2,261 </w:t>
            </w:r>
          </w:p>
        </w:tc>
      </w:tr>
      <w:tr w:rsidR="0000700F" w:rsidRPr="00B94D34" w14:paraId="5711D0B1" w14:textId="77777777" w:rsidTr="0000700F">
        <w:trPr>
          <w:trHeight w:val="300"/>
        </w:trPr>
        <w:tc>
          <w:tcPr>
            <w:tcW w:w="3369" w:type="pct"/>
            <w:tcBorders>
              <w:top w:val="nil"/>
              <w:left w:val="nil"/>
              <w:bottom w:val="nil"/>
              <w:right w:val="nil"/>
            </w:tcBorders>
            <w:shd w:val="clear" w:color="auto" w:fill="auto"/>
            <w:noWrap/>
            <w:vAlign w:val="bottom"/>
            <w:hideMark/>
          </w:tcPr>
          <w:p w14:paraId="76D9B11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Other revenue</w:t>
            </w:r>
          </w:p>
        </w:tc>
        <w:tc>
          <w:tcPr>
            <w:tcW w:w="783" w:type="pct"/>
            <w:tcBorders>
              <w:top w:val="nil"/>
              <w:left w:val="nil"/>
              <w:bottom w:val="nil"/>
              <w:right w:val="nil"/>
            </w:tcBorders>
            <w:shd w:val="clear" w:color="auto" w:fill="auto"/>
            <w:noWrap/>
            <w:vAlign w:val="bottom"/>
            <w:hideMark/>
          </w:tcPr>
          <w:p w14:paraId="186B789A" w14:textId="45BE5AB7" w:rsidR="0000700F" w:rsidRPr="00B94D34" w:rsidRDefault="0000700F" w:rsidP="001D6D3F">
            <w:pPr>
              <w:keepLines w:val="0"/>
              <w:spacing w:after="0" w:line="240" w:lineRule="auto"/>
              <w:jc w:val="center"/>
              <w:rPr>
                <w:rFonts w:cs="Arial"/>
                <w:sz w:val="18"/>
                <w:szCs w:val="18"/>
                <w:lang w:eastAsia="en-AU"/>
              </w:rPr>
            </w:pPr>
            <w:r w:rsidRPr="00B94D34">
              <w:rPr>
                <w:rFonts w:cs="Arial"/>
                <w:sz w:val="18"/>
                <w:szCs w:val="18"/>
                <w:lang w:eastAsia="en-AU"/>
              </w:rPr>
              <w:t xml:space="preserve">              </w:t>
            </w:r>
            <w:r w:rsidR="001D6D3F">
              <w:rPr>
                <w:rFonts w:cs="Arial"/>
                <w:sz w:val="18"/>
                <w:szCs w:val="18"/>
                <w:lang w:eastAsia="en-AU"/>
              </w:rPr>
              <w:t>1,038</w:t>
            </w:r>
            <w:r w:rsidRPr="00B94D34">
              <w:rPr>
                <w:rFonts w:cs="Arial"/>
                <w:sz w:val="18"/>
                <w:szCs w:val="18"/>
                <w:lang w:eastAsia="en-AU"/>
              </w:rPr>
              <w:t xml:space="preserve"> </w:t>
            </w:r>
          </w:p>
        </w:tc>
        <w:tc>
          <w:tcPr>
            <w:tcW w:w="847" w:type="pct"/>
            <w:tcBorders>
              <w:top w:val="nil"/>
              <w:left w:val="nil"/>
              <w:bottom w:val="nil"/>
              <w:right w:val="nil"/>
            </w:tcBorders>
            <w:shd w:val="clear" w:color="auto" w:fill="auto"/>
            <w:noWrap/>
            <w:vAlign w:val="bottom"/>
            <w:hideMark/>
          </w:tcPr>
          <w:p w14:paraId="6DFE7D1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1,966 </w:t>
            </w:r>
          </w:p>
        </w:tc>
      </w:tr>
      <w:tr w:rsidR="0000700F" w:rsidRPr="00B94D34" w14:paraId="4C1DBB58" w14:textId="77777777" w:rsidTr="0000700F">
        <w:trPr>
          <w:trHeight w:val="300"/>
        </w:trPr>
        <w:tc>
          <w:tcPr>
            <w:tcW w:w="3369" w:type="pct"/>
            <w:tcBorders>
              <w:top w:val="nil"/>
              <w:left w:val="nil"/>
              <w:bottom w:val="nil"/>
              <w:right w:val="nil"/>
            </w:tcBorders>
            <w:shd w:val="clear" w:color="auto" w:fill="auto"/>
            <w:noWrap/>
            <w:vAlign w:val="bottom"/>
            <w:hideMark/>
          </w:tcPr>
          <w:p w14:paraId="6180018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Employers' Indemnity Supplementation Fund</w:t>
            </w:r>
          </w:p>
        </w:tc>
        <w:tc>
          <w:tcPr>
            <w:tcW w:w="783" w:type="pct"/>
            <w:tcBorders>
              <w:top w:val="nil"/>
              <w:left w:val="nil"/>
              <w:bottom w:val="nil"/>
              <w:right w:val="nil"/>
            </w:tcBorders>
            <w:shd w:val="clear" w:color="auto" w:fill="auto"/>
            <w:noWrap/>
            <w:vAlign w:val="bottom"/>
            <w:hideMark/>
          </w:tcPr>
          <w:p w14:paraId="06C748C0"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263EA3C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30BEB285" w14:textId="77777777" w:rsidTr="0000700F">
        <w:trPr>
          <w:trHeight w:val="300"/>
        </w:trPr>
        <w:tc>
          <w:tcPr>
            <w:tcW w:w="3369" w:type="pct"/>
            <w:tcBorders>
              <w:top w:val="nil"/>
              <w:left w:val="nil"/>
              <w:bottom w:val="nil"/>
              <w:right w:val="nil"/>
            </w:tcBorders>
            <w:shd w:val="clear" w:color="auto" w:fill="auto"/>
            <w:noWrap/>
            <w:vAlign w:val="bottom"/>
            <w:hideMark/>
          </w:tcPr>
          <w:p w14:paraId="2BA905B2"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Revenue</w:t>
            </w:r>
          </w:p>
        </w:tc>
        <w:tc>
          <w:tcPr>
            <w:tcW w:w="783" w:type="pct"/>
            <w:tcBorders>
              <w:top w:val="single" w:sz="4" w:space="0" w:color="auto"/>
              <w:left w:val="nil"/>
              <w:bottom w:val="single" w:sz="4" w:space="0" w:color="auto"/>
              <w:right w:val="nil"/>
            </w:tcBorders>
            <w:shd w:val="clear" w:color="auto" w:fill="auto"/>
            <w:noWrap/>
            <w:vAlign w:val="bottom"/>
            <w:hideMark/>
          </w:tcPr>
          <w:p w14:paraId="0E4C58A1" w14:textId="023C3703" w:rsidR="0000700F" w:rsidRPr="00B94D34" w:rsidRDefault="0000700F" w:rsidP="001D6D3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w:t>
            </w:r>
            <w:r w:rsidR="001D6D3F">
              <w:rPr>
                <w:rFonts w:cs="Arial"/>
                <w:b/>
                <w:bCs/>
                <w:sz w:val="18"/>
                <w:szCs w:val="18"/>
                <w:lang w:eastAsia="en-AU"/>
              </w:rPr>
              <w:t>23,332</w:t>
            </w:r>
            <w:r w:rsidRPr="00B94D34">
              <w:rPr>
                <w:rFonts w:cs="Arial"/>
                <w:b/>
                <w:bCs/>
                <w:sz w:val="18"/>
                <w:szCs w:val="18"/>
                <w:lang w:eastAsia="en-AU"/>
              </w:rPr>
              <w:t xml:space="preserve"> </w:t>
            </w:r>
          </w:p>
        </w:tc>
        <w:tc>
          <w:tcPr>
            <w:tcW w:w="847" w:type="pct"/>
            <w:tcBorders>
              <w:top w:val="single" w:sz="4" w:space="0" w:color="auto"/>
              <w:left w:val="nil"/>
              <w:bottom w:val="single" w:sz="4" w:space="0" w:color="auto"/>
              <w:right w:val="nil"/>
            </w:tcBorders>
            <w:shd w:val="clear" w:color="auto" w:fill="auto"/>
            <w:noWrap/>
            <w:vAlign w:val="bottom"/>
            <w:hideMark/>
          </w:tcPr>
          <w:p w14:paraId="21F0DF99"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21,619 </w:t>
            </w:r>
          </w:p>
        </w:tc>
      </w:tr>
      <w:tr w:rsidR="0000700F" w:rsidRPr="00B94D34" w14:paraId="109CA62A" w14:textId="77777777" w:rsidTr="0000700F">
        <w:trPr>
          <w:trHeight w:val="300"/>
        </w:trPr>
        <w:tc>
          <w:tcPr>
            <w:tcW w:w="3369" w:type="pct"/>
            <w:tcBorders>
              <w:top w:val="nil"/>
              <w:left w:val="nil"/>
              <w:bottom w:val="nil"/>
              <w:right w:val="nil"/>
            </w:tcBorders>
            <w:shd w:val="clear" w:color="auto" w:fill="auto"/>
            <w:noWrap/>
            <w:vAlign w:val="bottom"/>
            <w:hideMark/>
          </w:tcPr>
          <w:p w14:paraId="1ED36C2A"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2FE9448D"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22F79F07"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289CD8D7" w14:textId="77777777" w:rsidTr="0000700F">
        <w:trPr>
          <w:trHeight w:val="300"/>
        </w:trPr>
        <w:tc>
          <w:tcPr>
            <w:tcW w:w="3369" w:type="pct"/>
            <w:tcBorders>
              <w:top w:val="nil"/>
              <w:left w:val="nil"/>
              <w:bottom w:val="nil"/>
              <w:right w:val="nil"/>
            </w:tcBorders>
            <w:shd w:val="clear" w:color="auto" w:fill="auto"/>
            <w:noWrap/>
            <w:vAlign w:val="bottom"/>
            <w:hideMark/>
          </w:tcPr>
          <w:p w14:paraId="649F4BD5"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Gains</w:t>
            </w:r>
          </w:p>
        </w:tc>
        <w:tc>
          <w:tcPr>
            <w:tcW w:w="783" w:type="pct"/>
            <w:tcBorders>
              <w:top w:val="nil"/>
              <w:left w:val="nil"/>
              <w:bottom w:val="nil"/>
              <w:right w:val="nil"/>
            </w:tcBorders>
            <w:shd w:val="clear" w:color="auto" w:fill="auto"/>
            <w:noWrap/>
            <w:vAlign w:val="bottom"/>
            <w:hideMark/>
          </w:tcPr>
          <w:p w14:paraId="4E2D1B85"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3385A1CC"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38F361C1" w14:textId="77777777" w:rsidTr="0000700F">
        <w:trPr>
          <w:trHeight w:val="300"/>
        </w:trPr>
        <w:tc>
          <w:tcPr>
            <w:tcW w:w="3369" w:type="pct"/>
            <w:tcBorders>
              <w:top w:val="nil"/>
              <w:left w:val="nil"/>
              <w:bottom w:val="nil"/>
              <w:right w:val="nil"/>
            </w:tcBorders>
            <w:shd w:val="clear" w:color="auto" w:fill="auto"/>
            <w:noWrap/>
            <w:vAlign w:val="bottom"/>
            <w:hideMark/>
          </w:tcPr>
          <w:p w14:paraId="24377FC2"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Decrease in claims liability</w:t>
            </w:r>
          </w:p>
        </w:tc>
        <w:tc>
          <w:tcPr>
            <w:tcW w:w="783" w:type="pct"/>
            <w:tcBorders>
              <w:top w:val="nil"/>
              <w:left w:val="nil"/>
              <w:bottom w:val="nil"/>
              <w:right w:val="nil"/>
            </w:tcBorders>
            <w:shd w:val="clear" w:color="auto" w:fill="auto"/>
            <w:noWrap/>
            <w:vAlign w:val="bottom"/>
            <w:hideMark/>
          </w:tcPr>
          <w:p w14:paraId="002CEC2E" w14:textId="3800EA52" w:rsidR="0000700F" w:rsidRPr="00B94D34" w:rsidRDefault="0000700F" w:rsidP="001D6D3F">
            <w:pPr>
              <w:keepLines w:val="0"/>
              <w:spacing w:after="0" w:line="240" w:lineRule="auto"/>
              <w:jc w:val="center"/>
              <w:rPr>
                <w:rFonts w:cs="Arial"/>
                <w:sz w:val="18"/>
                <w:szCs w:val="18"/>
                <w:lang w:eastAsia="en-AU"/>
              </w:rPr>
            </w:pPr>
            <w:r w:rsidRPr="00B94D34">
              <w:rPr>
                <w:rFonts w:cs="Arial"/>
                <w:sz w:val="18"/>
                <w:szCs w:val="18"/>
                <w:lang w:eastAsia="en-AU"/>
              </w:rPr>
              <w:t xml:space="preserve">                  </w:t>
            </w:r>
            <w:r w:rsidR="001D6D3F">
              <w:rPr>
                <w:rFonts w:cs="Arial"/>
                <w:sz w:val="18"/>
                <w:szCs w:val="18"/>
                <w:lang w:eastAsia="en-AU"/>
              </w:rPr>
              <w:t>1,840</w:t>
            </w:r>
            <w:r w:rsidRPr="00B94D34">
              <w:rPr>
                <w:rFonts w:cs="Arial"/>
                <w:sz w:val="18"/>
                <w:szCs w:val="18"/>
                <w:lang w:eastAsia="en-AU"/>
              </w:rPr>
              <w:t xml:space="preserve">   </w:t>
            </w:r>
          </w:p>
        </w:tc>
        <w:tc>
          <w:tcPr>
            <w:tcW w:w="847" w:type="pct"/>
            <w:tcBorders>
              <w:top w:val="nil"/>
              <w:left w:val="nil"/>
              <w:bottom w:val="nil"/>
              <w:right w:val="nil"/>
            </w:tcBorders>
            <w:shd w:val="clear" w:color="auto" w:fill="auto"/>
            <w:noWrap/>
            <w:vAlign w:val="bottom"/>
            <w:hideMark/>
          </w:tcPr>
          <w:p w14:paraId="566D44C0"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49FE3576" w14:textId="77777777" w:rsidTr="0000700F">
        <w:trPr>
          <w:trHeight w:val="300"/>
        </w:trPr>
        <w:tc>
          <w:tcPr>
            <w:tcW w:w="3369" w:type="pct"/>
            <w:tcBorders>
              <w:top w:val="nil"/>
              <w:left w:val="nil"/>
              <w:bottom w:val="nil"/>
              <w:right w:val="nil"/>
            </w:tcBorders>
            <w:shd w:val="clear" w:color="auto" w:fill="auto"/>
            <w:noWrap/>
            <w:vAlign w:val="bottom"/>
            <w:hideMark/>
          </w:tcPr>
          <w:p w14:paraId="6BF9EF78"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Gains</w:t>
            </w:r>
          </w:p>
        </w:tc>
        <w:tc>
          <w:tcPr>
            <w:tcW w:w="783" w:type="pct"/>
            <w:tcBorders>
              <w:top w:val="single" w:sz="4" w:space="0" w:color="auto"/>
              <w:left w:val="nil"/>
              <w:bottom w:val="single" w:sz="4" w:space="0" w:color="auto"/>
              <w:right w:val="nil"/>
            </w:tcBorders>
            <w:shd w:val="clear" w:color="auto" w:fill="auto"/>
            <w:noWrap/>
            <w:vAlign w:val="bottom"/>
            <w:hideMark/>
          </w:tcPr>
          <w:p w14:paraId="6E64BDEF" w14:textId="02E12623" w:rsidR="0000700F" w:rsidRPr="001D6D3F" w:rsidRDefault="001D6D3F" w:rsidP="001D6D3F">
            <w:pPr>
              <w:keepLines w:val="0"/>
              <w:spacing w:after="0" w:line="240" w:lineRule="auto"/>
              <w:jc w:val="right"/>
              <w:rPr>
                <w:rFonts w:cs="Arial"/>
                <w:b/>
                <w:bCs/>
                <w:sz w:val="18"/>
                <w:szCs w:val="18"/>
                <w:lang w:eastAsia="en-AU"/>
              </w:rPr>
            </w:pPr>
            <w:r w:rsidRPr="001D6D3F">
              <w:rPr>
                <w:rFonts w:cs="Arial"/>
                <w:b/>
                <w:bCs/>
                <w:sz w:val="18"/>
                <w:szCs w:val="18"/>
                <w:lang w:eastAsia="en-AU"/>
              </w:rPr>
              <w:t>1,840</w:t>
            </w:r>
            <w:r w:rsidR="0000700F" w:rsidRPr="001D6D3F">
              <w:rPr>
                <w:rFonts w:cs="Arial"/>
                <w:b/>
                <w:bCs/>
                <w:sz w:val="18"/>
                <w:szCs w:val="18"/>
                <w:lang w:eastAsia="en-AU"/>
              </w:rPr>
              <w:t xml:space="preserve">   </w:t>
            </w:r>
          </w:p>
        </w:tc>
        <w:tc>
          <w:tcPr>
            <w:tcW w:w="847" w:type="pct"/>
            <w:tcBorders>
              <w:top w:val="single" w:sz="4" w:space="0" w:color="auto"/>
              <w:left w:val="nil"/>
              <w:bottom w:val="single" w:sz="4" w:space="0" w:color="auto"/>
              <w:right w:val="nil"/>
            </w:tcBorders>
            <w:shd w:val="clear" w:color="auto" w:fill="auto"/>
            <w:noWrap/>
            <w:vAlign w:val="bottom"/>
            <w:hideMark/>
          </w:tcPr>
          <w:p w14:paraId="29D77708"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   </w:t>
            </w:r>
          </w:p>
        </w:tc>
      </w:tr>
      <w:tr w:rsidR="0000700F" w:rsidRPr="00B94D34" w14:paraId="45DD7499" w14:textId="77777777" w:rsidTr="0000700F">
        <w:trPr>
          <w:trHeight w:val="300"/>
        </w:trPr>
        <w:tc>
          <w:tcPr>
            <w:tcW w:w="3369" w:type="pct"/>
            <w:tcBorders>
              <w:top w:val="nil"/>
              <w:left w:val="nil"/>
              <w:bottom w:val="nil"/>
              <w:right w:val="nil"/>
            </w:tcBorders>
            <w:shd w:val="clear" w:color="auto" w:fill="auto"/>
            <w:noWrap/>
            <w:vAlign w:val="bottom"/>
            <w:hideMark/>
          </w:tcPr>
          <w:p w14:paraId="3855DB9D"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50D6F784"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61E268DB"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D5B04E0" w14:textId="77777777" w:rsidTr="0000700F">
        <w:trPr>
          <w:trHeight w:val="300"/>
        </w:trPr>
        <w:tc>
          <w:tcPr>
            <w:tcW w:w="3369" w:type="pct"/>
            <w:tcBorders>
              <w:top w:val="nil"/>
              <w:left w:val="nil"/>
              <w:bottom w:val="nil"/>
              <w:right w:val="nil"/>
            </w:tcBorders>
            <w:shd w:val="clear" w:color="auto" w:fill="auto"/>
            <w:noWrap/>
            <w:vAlign w:val="bottom"/>
            <w:hideMark/>
          </w:tcPr>
          <w:p w14:paraId="5BCEDFA8"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Income</w:t>
            </w:r>
          </w:p>
        </w:tc>
        <w:tc>
          <w:tcPr>
            <w:tcW w:w="783" w:type="pct"/>
            <w:tcBorders>
              <w:top w:val="single" w:sz="4" w:space="0" w:color="auto"/>
              <w:left w:val="nil"/>
              <w:bottom w:val="single" w:sz="4" w:space="0" w:color="auto"/>
              <w:right w:val="nil"/>
            </w:tcBorders>
            <w:shd w:val="clear" w:color="auto" w:fill="auto"/>
            <w:noWrap/>
            <w:vAlign w:val="bottom"/>
            <w:hideMark/>
          </w:tcPr>
          <w:p w14:paraId="2A671436"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25,172 </w:t>
            </w:r>
          </w:p>
        </w:tc>
        <w:tc>
          <w:tcPr>
            <w:tcW w:w="847" w:type="pct"/>
            <w:tcBorders>
              <w:top w:val="single" w:sz="4" w:space="0" w:color="auto"/>
              <w:left w:val="nil"/>
              <w:bottom w:val="single" w:sz="4" w:space="0" w:color="auto"/>
              <w:right w:val="nil"/>
            </w:tcBorders>
            <w:shd w:val="clear" w:color="auto" w:fill="auto"/>
            <w:noWrap/>
            <w:vAlign w:val="bottom"/>
            <w:hideMark/>
          </w:tcPr>
          <w:p w14:paraId="4F7F2FD6"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21,619 </w:t>
            </w:r>
          </w:p>
        </w:tc>
      </w:tr>
      <w:tr w:rsidR="0000700F" w:rsidRPr="00B94D34" w14:paraId="35F2C457" w14:textId="77777777" w:rsidTr="0000700F">
        <w:trPr>
          <w:trHeight w:val="300"/>
        </w:trPr>
        <w:tc>
          <w:tcPr>
            <w:tcW w:w="3369" w:type="pct"/>
            <w:tcBorders>
              <w:top w:val="nil"/>
              <w:left w:val="nil"/>
              <w:bottom w:val="nil"/>
              <w:right w:val="nil"/>
            </w:tcBorders>
            <w:shd w:val="clear" w:color="auto" w:fill="auto"/>
            <w:noWrap/>
            <w:vAlign w:val="bottom"/>
            <w:hideMark/>
          </w:tcPr>
          <w:p w14:paraId="07D6E0F1"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59802FAD"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25B1ED8B"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765AFF25" w14:textId="77777777" w:rsidTr="0000700F">
        <w:trPr>
          <w:trHeight w:val="300"/>
        </w:trPr>
        <w:tc>
          <w:tcPr>
            <w:tcW w:w="3369" w:type="pct"/>
            <w:tcBorders>
              <w:top w:val="nil"/>
              <w:left w:val="nil"/>
              <w:bottom w:val="nil"/>
              <w:right w:val="nil"/>
            </w:tcBorders>
            <w:shd w:val="clear" w:color="auto" w:fill="auto"/>
            <w:noWrap/>
            <w:vAlign w:val="bottom"/>
            <w:hideMark/>
          </w:tcPr>
          <w:p w14:paraId="3D630516"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EXPENSES</w:t>
            </w:r>
          </w:p>
        </w:tc>
        <w:tc>
          <w:tcPr>
            <w:tcW w:w="783" w:type="pct"/>
            <w:tcBorders>
              <w:top w:val="nil"/>
              <w:left w:val="nil"/>
              <w:bottom w:val="nil"/>
              <w:right w:val="nil"/>
            </w:tcBorders>
            <w:shd w:val="clear" w:color="auto" w:fill="auto"/>
            <w:noWrap/>
            <w:vAlign w:val="bottom"/>
            <w:hideMark/>
          </w:tcPr>
          <w:p w14:paraId="1AC701C6"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5F9BC82B"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78D99D60" w14:textId="77777777" w:rsidTr="0000700F">
        <w:trPr>
          <w:trHeight w:val="300"/>
        </w:trPr>
        <w:tc>
          <w:tcPr>
            <w:tcW w:w="3369" w:type="pct"/>
            <w:tcBorders>
              <w:top w:val="nil"/>
              <w:left w:val="nil"/>
              <w:bottom w:val="nil"/>
              <w:right w:val="nil"/>
            </w:tcBorders>
            <w:shd w:val="clear" w:color="auto" w:fill="auto"/>
            <w:noWrap/>
            <w:vAlign w:val="bottom"/>
            <w:hideMark/>
          </w:tcPr>
          <w:p w14:paraId="1BFB335E"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Expenses </w:t>
            </w:r>
          </w:p>
        </w:tc>
        <w:tc>
          <w:tcPr>
            <w:tcW w:w="783" w:type="pct"/>
            <w:tcBorders>
              <w:top w:val="nil"/>
              <w:left w:val="nil"/>
              <w:bottom w:val="nil"/>
              <w:right w:val="nil"/>
            </w:tcBorders>
            <w:shd w:val="clear" w:color="auto" w:fill="auto"/>
            <w:noWrap/>
            <w:vAlign w:val="bottom"/>
            <w:hideMark/>
          </w:tcPr>
          <w:p w14:paraId="0EEE599E"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68F0CC47"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774FA68" w14:textId="77777777" w:rsidTr="0000700F">
        <w:trPr>
          <w:trHeight w:val="300"/>
        </w:trPr>
        <w:tc>
          <w:tcPr>
            <w:tcW w:w="3369" w:type="pct"/>
            <w:tcBorders>
              <w:top w:val="nil"/>
              <w:left w:val="nil"/>
              <w:bottom w:val="nil"/>
              <w:right w:val="nil"/>
            </w:tcBorders>
            <w:shd w:val="clear" w:color="auto" w:fill="auto"/>
            <w:noWrap/>
            <w:vAlign w:val="bottom"/>
            <w:hideMark/>
          </w:tcPr>
          <w:p w14:paraId="4F77670E"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Employee benefits expense</w:t>
            </w:r>
          </w:p>
        </w:tc>
        <w:tc>
          <w:tcPr>
            <w:tcW w:w="783" w:type="pct"/>
            <w:tcBorders>
              <w:top w:val="nil"/>
              <w:left w:val="nil"/>
              <w:bottom w:val="nil"/>
              <w:right w:val="nil"/>
            </w:tcBorders>
            <w:shd w:val="clear" w:color="auto" w:fill="auto"/>
            <w:noWrap/>
            <w:vAlign w:val="bottom"/>
            <w:hideMark/>
          </w:tcPr>
          <w:p w14:paraId="32B9759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16,691 </w:t>
            </w:r>
          </w:p>
        </w:tc>
        <w:tc>
          <w:tcPr>
            <w:tcW w:w="847" w:type="pct"/>
            <w:tcBorders>
              <w:top w:val="nil"/>
              <w:left w:val="nil"/>
              <w:bottom w:val="nil"/>
              <w:right w:val="nil"/>
            </w:tcBorders>
            <w:shd w:val="clear" w:color="auto" w:fill="auto"/>
            <w:noWrap/>
            <w:vAlign w:val="bottom"/>
            <w:hideMark/>
          </w:tcPr>
          <w:p w14:paraId="0FE175E8"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14,479 </w:t>
            </w:r>
          </w:p>
        </w:tc>
      </w:tr>
      <w:tr w:rsidR="0000700F" w:rsidRPr="00B94D34" w14:paraId="51FBF533" w14:textId="77777777" w:rsidTr="0000700F">
        <w:trPr>
          <w:trHeight w:val="300"/>
        </w:trPr>
        <w:tc>
          <w:tcPr>
            <w:tcW w:w="3369" w:type="pct"/>
            <w:tcBorders>
              <w:top w:val="nil"/>
              <w:left w:val="nil"/>
              <w:bottom w:val="nil"/>
              <w:right w:val="nil"/>
            </w:tcBorders>
            <w:shd w:val="clear" w:color="auto" w:fill="auto"/>
            <w:noWrap/>
            <w:vAlign w:val="bottom"/>
            <w:hideMark/>
          </w:tcPr>
          <w:p w14:paraId="3DB7394E"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Supplies and services</w:t>
            </w:r>
          </w:p>
        </w:tc>
        <w:tc>
          <w:tcPr>
            <w:tcW w:w="783" w:type="pct"/>
            <w:tcBorders>
              <w:top w:val="nil"/>
              <w:left w:val="nil"/>
              <w:bottom w:val="nil"/>
              <w:right w:val="nil"/>
            </w:tcBorders>
            <w:shd w:val="clear" w:color="auto" w:fill="auto"/>
            <w:noWrap/>
            <w:vAlign w:val="bottom"/>
            <w:hideMark/>
          </w:tcPr>
          <w:p w14:paraId="391E30C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3,200 </w:t>
            </w:r>
          </w:p>
        </w:tc>
        <w:tc>
          <w:tcPr>
            <w:tcW w:w="847" w:type="pct"/>
            <w:tcBorders>
              <w:top w:val="nil"/>
              <w:left w:val="nil"/>
              <w:bottom w:val="nil"/>
              <w:right w:val="nil"/>
            </w:tcBorders>
            <w:shd w:val="clear" w:color="auto" w:fill="auto"/>
            <w:noWrap/>
            <w:vAlign w:val="bottom"/>
            <w:hideMark/>
          </w:tcPr>
          <w:p w14:paraId="56428BD9"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2,864 </w:t>
            </w:r>
          </w:p>
        </w:tc>
      </w:tr>
      <w:tr w:rsidR="0000700F" w:rsidRPr="00B94D34" w14:paraId="31ECA5FC" w14:textId="77777777" w:rsidTr="0000700F">
        <w:trPr>
          <w:trHeight w:val="300"/>
        </w:trPr>
        <w:tc>
          <w:tcPr>
            <w:tcW w:w="3369" w:type="pct"/>
            <w:tcBorders>
              <w:top w:val="nil"/>
              <w:left w:val="nil"/>
              <w:bottom w:val="nil"/>
              <w:right w:val="nil"/>
            </w:tcBorders>
            <w:shd w:val="clear" w:color="auto" w:fill="auto"/>
            <w:noWrap/>
            <w:vAlign w:val="bottom"/>
            <w:hideMark/>
          </w:tcPr>
          <w:p w14:paraId="49FA788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Depreciation and amortisation expense</w:t>
            </w:r>
          </w:p>
        </w:tc>
        <w:tc>
          <w:tcPr>
            <w:tcW w:w="783" w:type="pct"/>
            <w:tcBorders>
              <w:top w:val="nil"/>
              <w:left w:val="nil"/>
              <w:bottom w:val="nil"/>
              <w:right w:val="nil"/>
            </w:tcBorders>
            <w:shd w:val="clear" w:color="auto" w:fill="auto"/>
            <w:noWrap/>
            <w:vAlign w:val="bottom"/>
            <w:hideMark/>
          </w:tcPr>
          <w:p w14:paraId="28EF769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1,042 </w:t>
            </w:r>
          </w:p>
        </w:tc>
        <w:tc>
          <w:tcPr>
            <w:tcW w:w="847" w:type="pct"/>
            <w:tcBorders>
              <w:top w:val="nil"/>
              <w:left w:val="nil"/>
              <w:bottom w:val="nil"/>
              <w:right w:val="nil"/>
            </w:tcBorders>
            <w:shd w:val="clear" w:color="auto" w:fill="auto"/>
            <w:noWrap/>
            <w:vAlign w:val="bottom"/>
            <w:hideMark/>
          </w:tcPr>
          <w:p w14:paraId="05A54FA2"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1,139 </w:t>
            </w:r>
          </w:p>
        </w:tc>
      </w:tr>
      <w:tr w:rsidR="0000700F" w:rsidRPr="00B94D34" w14:paraId="47382A1D" w14:textId="77777777" w:rsidTr="0000700F">
        <w:trPr>
          <w:trHeight w:val="300"/>
        </w:trPr>
        <w:tc>
          <w:tcPr>
            <w:tcW w:w="3369" w:type="pct"/>
            <w:tcBorders>
              <w:top w:val="nil"/>
              <w:left w:val="nil"/>
              <w:bottom w:val="nil"/>
              <w:right w:val="nil"/>
            </w:tcBorders>
            <w:shd w:val="clear" w:color="auto" w:fill="auto"/>
            <w:noWrap/>
            <w:vAlign w:val="bottom"/>
            <w:hideMark/>
          </w:tcPr>
          <w:p w14:paraId="5EA88DD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Accommodation expenses</w:t>
            </w:r>
          </w:p>
        </w:tc>
        <w:tc>
          <w:tcPr>
            <w:tcW w:w="783" w:type="pct"/>
            <w:tcBorders>
              <w:top w:val="nil"/>
              <w:left w:val="nil"/>
              <w:bottom w:val="nil"/>
              <w:right w:val="nil"/>
            </w:tcBorders>
            <w:shd w:val="clear" w:color="auto" w:fill="auto"/>
            <w:noWrap/>
            <w:vAlign w:val="bottom"/>
            <w:hideMark/>
          </w:tcPr>
          <w:p w14:paraId="03571E8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557 </w:t>
            </w:r>
          </w:p>
        </w:tc>
        <w:tc>
          <w:tcPr>
            <w:tcW w:w="847" w:type="pct"/>
            <w:tcBorders>
              <w:top w:val="nil"/>
              <w:left w:val="nil"/>
              <w:bottom w:val="nil"/>
              <w:right w:val="nil"/>
            </w:tcBorders>
            <w:shd w:val="clear" w:color="auto" w:fill="auto"/>
            <w:noWrap/>
            <w:vAlign w:val="bottom"/>
            <w:hideMark/>
          </w:tcPr>
          <w:p w14:paraId="403B8A5F"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506 </w:t>
            </w:r>
          </w:p>
        </w:tc>
      </w:tr>
      <w:tr w:rsidR="0000700F" w:rsidRPr="00B94D34" w14:paraId="20C6AE11" w14:textId="77777777" w:rsidTr="0000700F">
        <w:trPr>
          <w:trHeight w:val="300"/>
        </w:trPr>
        <w:tc>
          <w:tcPr>
            <w:tcW w:w="3369" w:type="pct"/>
            <w:tcBorders>
              <w:top w:val="nil"/>
              <w:left w:val="nil"/>
              <w:bottom w:val="nil"/>
              <w:right w:val="nil"/>
            </w:tcBorders>
            <w:shd w:val="clear" w:color="auto" w:fill="auto"/>
            <w:noWrap/>
            <w:vAlign w:val="bottom"/>
            <w:hideMark/>
          </w:tcPr>
          <w:p w14:paraId="50B47EF0"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Grants and subsidies</w:t>
            </w:r>
          </w:p>
        </w:tc>
        <w:tc>
          <w:tcPr>
            <w:tcW w:w="783" w:type="pct"/>
            <w:tcBorders>
              <w:top w:val="nil"/>
              <w:left w:val="nil"/>
              <w:bottom w:val="nil"/>
              <w:right w:val="nil"/>
            </w:tcBorders>
            <w:shd w:val="clear" w:color="auto" w:fill="auto"/>
            <w:noWrap/>
            <w:vAlign w:val="bottom"/>
            <w:hideMark/>
          </w:tcPr>
          <w:p w14:paraId="3776A650"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 </w:t>
            </w:r>
          </w:p>
        </w:tc>
        <w:tc>
          <w:tcPr>
            <w:tcW w:w="847" w:type="pct"/>
            <w:tcBorders>
              <w:top w:val="nil"/>
              <w:left w:val="nil"/>
              <w:bottom w:val="nil"/>
              <w:right w:val="nil"/>
            </w:tcBorders>
            <w:shd w:val="clear" w:color="auto" w:fill="auto"/>
            <w:noWrap/>
            <w:vAlign w:val="bottom"/>
            <w:hideMark/>
          </w:tcPr>
          <w:p w14:paraId="5DD71ED5"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 </w:t>
            </w:r>
          </w:p>
        </w:tc>
      </w:tr>
      <w:tr w:rsidR="0000700F" w:rsidRPr="00B94D34" w14:paraId="1049A2FB" w14:textId="77777777" w:rsidTr="0000700F">
        <w:trPr>
          <w:trHeight w:val="300"/>
        </w:trPr>
        <w:tc>
          <w:tcPr>
            <w:tcW w:w="3369" w:type="pct"/>
            <w:tcBorders>
              <w:top w:val="nil"/>
              <w:left w:val="nil"/>
              <w:bottom w:val="nil"/>
              <w:right w:val="nil"/>
            </w:tcBorders>
            <w:shd w:val="clear" w:color="auto" w:fill="auto"/>
            <w:noWrap/>
            <w:vAlign w:val="bottom"/>
            <w:hideMark/>
          </w:tcPr>
          <w:p w14:paraId="0110901B"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Claims expense</w:t>
            </w:r>
          </w:p>
        </w:tc>
        <w:tc>
          <w:tcPr>
            <w:tcW w:w="783" w:type="pct"/>
            <w:tcBorders>
              <w:top w:val="nil"/>
              <w:left w:val="nil"/>
              <w:bottom w:val="nil"/>
              <w:right w:val="nil"/>
            </w:tcBorders>
            <w:shd w:val="clear" w:color="auto" w:fill="auto"/>
            <w:noWrap/>
            <w:vAlign w:val="bottom"/>
            <w:hideMark/>
          </w:tcPr>
          <w:p w14:paraId="73750BAF"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1,788 </w:t>
            </w:r>
          </w:p>
        </w:tc>
        <w:tc>
          <w:tcPr>
            <w:tcW w:w="847" w:type="pct"/>
            <w:tcBorders>
              <w:top w:val="nil"/>
              <w:left w:val="nil"/>
              <w:bottom w:val="nil"/>
              <w:right w:val="nil"/>
            </w:tcBorders>
            <w:shd w:val="clear" w:color="auto" w:fill="auto"/>
            <w:noWrap/>
            <w:vAlign w:val="bottom"/>
            <w:hideMark/>
          </w:tcPr>
          <w:p w14:paraId="6C4E3B6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1,827 </w:t>
            </w:r>
          </w:p>
        </w:tc>
      </w:tr>
      <w:tr w:rsidR="0000700F" w:rsidRPr="00B94D34" w14:paraId="17C96DCF" w14:textId="77777777" w:rsidTr="0000700F">
        <w:trPr>
          <w:trHeight w:val="300"/>
        </w:trPr>
        <w:tc>
          <w:tcPr>
            <w:tcW w:w="3369" w:type="pct"/>
            <w:tcBorders>
              <w:top w:val="nil"/>
              <w:left w:val="nil"/>
              <w:bottom w:val="nil"/>
              <w:right w:val="nil"/>
            </w:tcBorders>
            <w:shd w:val="clear" w:color="auto" w:fill="auto"/>
            <w:noWrap/>
            <w:vAlign w:val="bottom"/>
            <w:hideMark/>
          </w:tcPr>
          <w:p w14:paraId="73FE3273"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Loss on disposal of non-current assets</w:t>
            </w:r>
          </w:p>
        </w:tc>
        <w:tc>
          <w:tcPr>
            <w:tcW w:w="783" w:type="pct"/>
            <w:tcBorders>
              <w:top w:val="nil"/>
              <w:left w:val="nil"/>
              <w:bottom w:val="nil"/>
              <w:right w:val="nil"/>
            </w:tcBorders>
            <w:shd w:val="clear" w:color="auto" w:fill="auto"/>
            <w:noWrap/>
            <w:vAlign w:val="bottom"/>
            <w:hideMark/>
          </w:tcPr>
          <w:p w14:paraId="79E2599D"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7B94D55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4B8BC1A8" w14:textId="77777777" w:rsidTr="0000700F">
        <w:trPr>
          <w:trHeight w:val="300"/>
        </w:trPr>
        <w:tc>
          <w:tcPr>
            <w:tcW w:w="3369" w:type="pct"/>
            <w:tcBorders>
              <w:top w:val="nil"/>
              <w:left w:val="nil"/>
              <w:bottom w:val="nil"/>
              <w:right w:val="nil"/>
            </w:tcBorders>
            <w:shd w:val="clear" w:color="auto" w:fill="auto"/>
            <w:noWrap/>
            <w:vAlign w:val="bottom"/>
            <w:hideMark/>
          </w:tcPr>
          <w:p w14:paraId="258653C6"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Other expenses </w:t>
            </w:r>
          </w:p>
        </w:tc>
        <w:tc>
          <w:tcPr>
            <w:tcW w:w="783" w:type="pct"/>
            <w:tcBorders>
              <w:top w:val="nil"/>
              <w:left w:val="nil"/>
              <w:bottom w:val="nil"/>
              <w:right w:val="nil"/>
            </w:tcBorders>
            <w:shd w:val="clear" w:color="auto" w:fill="auto"/>
            <w:noWrap/>
            <w:vAlign w:val="bottom"/>
            <w:hideMark/>
          </w:tcPr>
          <w:p w14:paraId="2D48A7E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1,734 </w:t>
            </w:r>
          </w:p>
        </w:tc>
        <w:tc>
          <w:tcPr>
            <w:tcW w:w="847" w:type="pct"/>
            <w:tcBorders>
              <w:top w:val="nil"/>
              <w:left w:val="nil"/>
              <w:bottom w:val="nil"/>
              <w:right w:val="nil"/>
            </w:tcBorders>
            <w:shd w:val="clear" w:color="auto" w:fill="auto"/>
            <w:noWrap/>
            <w:vAlign w:val="bottom"/>
            <w:hideMark/>
          </w:tcPr>
          <w:p w14:paraId="575DFBA5"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1,643 </w:t>
            </w:r>
          </w:p>
        </w:tc>
      </w:tr>
      <w:tr w:rsidR="0000700F" w:rsidRPr="00B94D34" w14:paraId="22602D72" w14:textId="77777777" w:rsidTr="0000700F">
        <w:trPr>
          <w:trHeight w:val="300"/>
        </w:trPr>
        <w:tc>
          <w:tcPr>
            <w:tcW w:w="3369" w:type="pct"/>
            <w:tcBorders>
              <w:top w:val="nil"/>
              <w:left w:val="nil"/>
              <w:bottom w:val="nil"/>
              <w:right w:val="nil"/>
            </w:tcBorders>
            <w:shd w:val="clear" w:color="auto" w:fill="auto"/>
            <w:noWrap/>
            <w:vAlign w:val="bottom"/>
            <w:hideMark/>
          </w:tcPr>
          <w:p w14:paraId="4B912645"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Total Expenses </w:t>
            </w:r>
          </w:p>
        </w:tc>
        <w:tc>
          <w:tcPr>
            <w:tcW w:w="783" w:type="pct"/>
            <w:tcBorders>
              <w:top w:val="single" w:sz="4" w:space="0" w:color="auto"/>
              <w:left w:val="nil"/>
              <w:bottom w:val="single" w:sz="4" w:space="0" w:color="auto"/>
              <w:right w:val="nil"/>
            </w:tcBorders>
            <w:shd w:val="clear" w:color="auto" w:fill="auto"/>
            <w:noWrap/>
            <w:vAlign w:val="bottom"/>
            <w:hideMark/>
          </w:tcPr>
          <w:p w14:paraId="1A75EF8C"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25,062 </w:t>
            </w:r>
          </w:p>
        </w:tc>
        <w:tc>
          <w:tcPr>
            <w:tcW w:w="847" w:type="pct"/>
            <w:tcBorders>
              <w:top w:val="single" w:sz="4" w:space="0" w:color="auto"/>
              <w:left w:val="nil"/>
              <w:bottom w:val="single" w:sz="4" w:space="0" w:color="auto"/>
              <w:right w:val="nil"/>
            </w:tcBorders>
            <w:shd w:val="clear" w:color="auto" w:fill="auto"/>
            <w:noWrap/>
            <w:vAlign w:val="bottom"/>
            <w:hideMark/>
          </w:tcPr>
          <w:p w14:paraId="39739677"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22,508 </w:t>
            </w:r>
          </w:p>
        </w:tc>
      </w:tr>
      <w:tr w:rsidR="0000700F" w:rsidRPr="00B94D34" w14:paraId="5F5F8D50" w14:textId="77777777" w:rsidTr="0000700F">
        <w:trPr>
          <w:trHeight w:val="300"/>
        </w:trPr>
        <w:tc>
          <w:tcPr>
            <w:tcW w:w="3369" w:type="pct"/>
            <w:tcBorders>
              <w:top w:val="nil"/>
              <w:left w:val="nil"/>
              <w:bottom w:val="nil"/>
              <w:right w:val="nil"/>
            </w:tcBorders>
            <w:shd w:val="clear" w:color="auto" w:fill="auto"/>
            <w:noWrap/>
            <w:vAlign w:val="bottom"/>
            <w:hideMark/>
          </w:tcPr>
          <w:p w14:paraId="5EBC3C90"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766C4B75"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3397BDF7"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0C4480FA" w14:textId="77777777" w:rsidTr="0000700F">
        <w:trPr>
          <w:trHeight w:val="300"/>
        </w:trPr>
        <w:tc>
          <w:tcPr>
            <w:tcW w:w="3369" w:type="pct"/>
            <w:tcBorders>
              <w:top w:val="nil"/>
              <w:left w:val="nil"/>
              <w:bottom w:val="nil"/>
              <w:right w:val="nil"/>
            </w:tcBorders>
            <w:shd w:val="clear" w:color="auto" w:fill="auto"/>
            <w:noWrap/>
            <w:vAlign w:val="bottom"/>
            <w:hideMark/>
          </w:tcPr>
          <w:p w14:paraId="6FBD1512" w14:textId="0A3BFDBD" w:rsidR="0000700F" w:rsidRPr="00B94D34" w:rsidRDefault="0000700F" w:rsidP="009E4116">
            <w:pPr>
              <w:keepLines w:val="0"/>
              <w:spacing w:after="0" w:line="240" w:lineRule="auto"/>
              <w:rPr>
                <w:rFonts w:cs="Arial"/>
                <w:sz w:val="18"/>
                <w:szCs w:val="18"/>
                <w:lang w:eastAsia="en-AU"/>
              </w:rPr>
            </w:pPr>
            <w:r w:rsidRPr="00B94D34">
              <w:rPr>
                <w:rFonts w:cs="Arial"/>
                <w:sz w:val="18"/>
                <w:szCs w:val="18"/>
                <w:lang w:eastAsia="en-AU"/>
              </w:rPr>
              <w:t>Profit/(Loss) before grants and subsidies from State Government</w:t>
            </w:r>
          </w:p>
        </w:tc>
        <w:tc>
          <w:tcPr>
            <w:tcW w:w="783" w:type="pct"/>
            <w:tcBorders>
              <w:top w:val="nil"/>
              <w:left w:val="nil"/>
              <w:bottom w:val="nil"/>
              <w:right w:val="nil"/>
            </w:tcBorders>
            <w:shd w:val="clear" w:color="auto" w:fill="auto"/>
            <w:noWrap/>
            <w:vAlign w:val="bottom"/>
            <w:hideMark/>
          </w:tcPr>
          <w:p w14:paraId="43DE39AB"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110 </w:t>
            </w:r>
          </w:p>
        </w:tc>
        <w:tc>
          <w:tcPr>
            <w:tcW w:w="847" w:type="pct"/>
            <w:tcBorders>
              <w:top w:val="nil"/>
              <w:left w:val="nil"/>
              <w:bottom w:val="nil"/>
              <w:right w:val="nil"/>
            </w:tcBorders>
            <w:shd w:val="clear" w:color="auto" w:fill="auto"/>
            <w:noWrap/>
            <w:vAlign w:val="bottom"/>
            <w:hideMark/>
          </w:tcPr>
          <w:p w14:paraId="3F571EC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(889)</w:t>
            </w:r>
          </w:p>
        </w:tc>
      </w:tr>
      <w:tr w:rsidR="0000700F" w:rsidRPr="00B94D34" w14:paraId="527AA2F4" w14:textId="77777777" w:rsidTr="0000700F">
        <w:trPr>
          <w:trHeight w:val="300"/>
        </w:trPr>
        <w:tc>
          <w:tcPr>
            <w:tcW w:w="3369" w:type="pct"/>
            <w:tcBorders>
              <w:top w:val="nil"/>
              <w:left w:val="nil"/>
              <w:bottom w:val="nil"/>
              <w:right w:val="nil"/>
            </w:tcBorders>
            <w:shd w:val="clear" w:color="auto" w:fill="auto"/>
            <w:noWrap/>
            <w:vAlign w:val="bottom"/>
            <w:hideMark/>
          </w:tcPr>
          <w:p w14:paraId="3B14B1A4"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Services received free of charge</w:t>
            </w:r>
          </w:p>
        </w:tc>
        <w:tc>
          <w:tcPr>
            <w:tcW w:w="783" w:type="pct"/>
            <w:tcBorders>
              <w:top w:val="nil"/>
              <w:left w:val="nil"/>
              <w:bottom w:val="nil"/>
              <w:right w:val="nil"/>
            </w:tcBorders>
            <w:shd w:val="clear" w:color="auto" w:fill="auto"/>
            <w:noWrap/>
            <w:vAlign w:val="bottom"/>
            <w:hideMark/>
          </w:tcPr>
          <w:p w14:paraId="23EFAA9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170 </w:t>
            </w:r>
          </w:p>
        </w:tc>
        <w:tc>
          <w:tcPr>
            <w:tcW w:w="847" w:type="pct"/>
            <w:tcBorders>
              <w:top w:val="nil"/>
              <w:left w:val="nil"/>
              <w:bottom w:val="nil"/>
              <w:right w:val="nil"/>
            </w:tcBorders>
            <w:shd w:val="clear" w:color="auto" w:fill="auto"/>
            <w:noWrap/>
            <w:vAlign w:val="bottom"/>
            <w:hideMark/>
          </w:tcPr>
          <w:p w14:paraId="3C70E7D5"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170 </w:t>
            </w:r>
          </w:p>
        </w:tc>
      </w:tr>
      <w:tr w:rsidR="0000700F" w:rsidRPr="00B94D34" w14:paraId="212FCC2E" w14:textId="77777777" w:rsidTr="0000700F">
        <w:trPr>
          <w:trHeight w:val="300"/>
        </w:trPr>
        <w:tc>
          <w:tcPr>
            <w:tcW w:w="3369" w:type="pct"/>
            <w:tcBorders>
              <w:top w:val="nil"/>
              <w:left w:val="nil"/>
              <w:bottom w:val="nil"/>
              <w:right w:val="nil"/>
            </w:tcBorders>
            <w:shd w:val="clear" w:color="auto" w:fill="auto"/>
            <w:noWrap/>
            <w:vAlign w:val="bottom"/>
            <w:hideMark/>
          </w:tcPr>
          <w:p w14:paraId="45CA5CE8" w14:textId="77777777" w:rsidR="0000700F" w:rsidRPr="00B94D34" w:rsidRDefault="0000700F" w:rsidP="0000700F">
            <w:pPr>
              <w:keepLines w:val="0"/>
              <w:spacing w:after="0" w:line="240" w:lineRule="auto"/>
              <w:jc w:val="center"/>
              <w:rPr>
                <w:rFonts w:cs="Arial"/>
                <w:sz w:val="18"/>
                <w:szCs w:val="18"/>
                <w:lang w:eastAsia="en-AU"/>
              </w:rPr>
            </w:pPr>
          </w:p>
        </w:tc>
        <w:tc>
          <w:tcPr>
            <w:tcW w:w="783" w:type="pct"/>
            <w:tcBorders>
              <w:top w:val="nil"/>
              <w:left w:val="nil"/>
              <w:bottom w:val="nil"/>
              <w:right w:val="nil"/>
            </w:tcBorders>
            <w:shd w:val="clear" w:color="auto" w:fill="auto"/>
            <w:noWrap/>
            <w:vAlign w:val="bottom"/>
            <w:hideMark/>
          </w:tcPr>
          <w:p w14:paraId="7F5B0A31"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62A2F8CD"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0BC0CCCD" w14:textId="77777777" w:rsidTr="0000700F">
        <w:trPr>
          <w:trHeight w:val="315"/>
        </w:trPr>
        <w:tc>
          <w:tcPr>
            <w:tcW w:w="3369" w:type="pct"/>
            <w:tcBorders>
              <w:top w:val="nil"/>
              <w:left w:val="nil"/>
              <w:bottom w:val="nil"/>
              <w:right w:val="nil"/>
            </w:tcBorders>
            <w:shd w:val="clear" w:color="auto" w:fill="auto"/>
            <w:noWrap/>
            <w:vAlign w:val="bottom"/>
            <w:hideMark/>
          </w:tcPr>
          <w:p w14:paraId="41B8D647" w14:textId="3A81FF19" w:rsidR="0000700F" w:rsidRPr="00B94D34" w:rsidRDefault="0000700F" w:rsidP="009E4116">
            <w:pPr>
              <w:keepLines w:val="0"/>
              <w:spacing w:after="0" w:line="240" w:lineRule="auto"/>
              <w:rPr>
                <w:rFonts w:cs="Arial"/>
                <w:b/>
                <w:bCs/>
                <w:sz w:val="18"/>
                <w:szCs w:val="18"/>
                <w:lang w:eastAsia="en-AU"/>
              </w:rPr>
            </w:pPr>
            <w:r w:rsidRPr="00B94D34">
              <w:rPr>
                <w:rFonts w:cs="Arial"/>
                <w:b/>
                <w:bCs/>
                <w:sz w:val="18"/>
                <w:szCs w:val="18"/>
                <w:lang w:eastAsia="en-AU"/>
              </w:rPr>
              <w:t>Profit/(Loss) for the period</w:t>
            </w:r>
          </w:p>
        </w:tc>
        <w:tc>
          <w:tcPr>
            <w:tcW w:w="783" w:type="pct"/>
            <w:tcBorders>
              <w:top w:val="single" w:sz="4" w:space="0" w:color="auto"/>
              <w:left w:val="nil"/>
              <w:bottom w:val="double" w:sz="6" w:space="0" w:color="auto"/>
              <w:right w:val="nil"/>
            </w:tcBorders>
            <w:shd w:val="clear" w:color="auto" w:fill="auto"/>
            <w:noWrap/>
            <w:vAlign w:val="bottom"/>
            <w:hideMark/>
          </w:tcPr>
          <w:p w14:paraId="6B014C44"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280 </w:t>
            </w:r>
          </w:p>
        </w:tc>
        <w:tc>
          <w:tcPr>
            <w:tcW w:w="847" w:type="pct"/>
            <w:tcBorders>
              <w:top w:val="single" w:sz="4" w:space="0" w:color="auto"/>
              <w:left w:val="nil"/>
              <w:bottom w:val="double" w:sz="6" w:space="0" w:color="auto"/>
              <w:right w:val="nil"/>
            </w:tcBorders>
            <w:shd w:val="clear" w:color="auto" w:fill="auto"/>
            <w:noWrap/>
            <w:vAlign w:val="bottom"/>
            <w:hideMark/>
          </w:tcPr>
          <w:p w14:paraId="2BD7AAD1"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(719)</w:t>
            </w:r>
          </w:p>
        </w:tc>
      </w:tr>
      <w:tr w:rsidR="0000700F" w:rsidRPr="00B94D34" w14:paraId="6E90FD39" w14:textId="77777777" w:rsidTr="0000700F">
        <w:trPr>
          <w:trHeight w:val="315"/>
        </w:trPr>
        <w:tc>
          <w:tcPr>
            <w:tcW w:w="3369" w:type="pct"/>
            <w:tcBorders>
              <w:top w:val="nil"/>
              <w:left w:val="nil"/>
              <w:bottom w:val="nil"/>
              <w:right w:val="nil"/>
            </w:tcBorders>
            <w:shd w:val="clear" w:color="auto" w:fill="auto"/>
            <w:noWrap/>
            <w:vAlign w:val="bottom"/>
            <w:hideMark/>
          </w:tcPr>
          <w:p w14:paraId="7E7D82C6"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300EEFE0"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48152749"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7236271" w14:textId="77777777" w:rsidTr="0000700F">
        <w:trPr>
          <w:trHeight w:val="300"/>
        </w:trPr>
        <w:tc>
          <w:tcPr>
            <w:tcW w:w="3369" w:type="pct"/>
            <w:tcBorders>
              <w:top w:val="nil"/>
              <w:left w:val="nil"/>
              <w:bottom w:val="nil"/>
              <w:right w:val="nil"/>
            </w:tcBorders>
            <w:shd w:val="clear" w:color="auto" w:fill="auto"/>
            <w:noWrap/>
            <w:vAlign w:val="bottom"/>
            <w:hideMark/>
          </w:tcPr>
          <w:p w14:paraId="4B4F6E84"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c>
          <w:tcPr>
            <w:tcW w:w="783" w:type="pct"/>
            <w:tcBorders>
              <w:top w:val="nil"/>
              <w:left w:val="nil"/>
              <w:bottom w:val="nil"/>
              <w:right w:val="nil"/>
            </w:tcBorders>
            <w:shd w:val="clear" w:color="auto" w:fill="auto"/>
            <w:noWrap/>
            <w:vAlign w:val="bottom"/>
            <w:hideMark/>
          </w:tcPr>
          <w:p w14:paraId="414F8CB4"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2018</w:t>
            </w:r>
          </w:p>
        </w:tc>
        <w:tc>
          <w:tcPr>
            <w:tcW w:w="847" w:type="pct"/>
            <w:tcBorders>
              <w:top w:val="nil"/>
              <w:left w:val="nil"/>
              <w:bottom w:val="nil"/>
              <w:right w:val="nil"/>
            </w:tcBorders>
            <w:shd w:val="clear" w:color="auto" w:fill="auto"/>
            <w:noWrap/>
            <w:vAlign w:val="bottom"/>
            <w:hideMark/>
          </w:tcPr>
          <w:p w14:paraId="23D5AB8F"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2019</w:t>
            </w:r>
          </w:p>
        </w:tc>
      </w:tr>
      <w:tr w:rsidR="0000700F" w:rsidRPr="00B94D34" w14:paraId="3065B436" w14:textId="77777777" w:rsidTr="0000700F">
        <w:trPr>
          <w:trHeight w:val="300"/>
        </w:trPr>
        <w:tc>
          <w:tcPr>
            <w:tcW w:w="3369" w:type="pct"/>
            <w:tcBorders>
              <w:top w:val="nil"/>
              <w:left w:val="nil"/>
              <w:bottom w:val="nil"/>
              <w:right w:val="nil"/>
            </w:tcBorders>
            <w:shd w:val="clear" w:color="auto" w:fill="auto"/>
            <w:noWrap/>
            <w:vAlign w:val="bottom"/>
            <w:hideMark/>
          </w:tcPr>
          <w:p w14:paraId="03846C8F" w14:textId="77777777" w:rsidR="0000700F" w:rsidRPr="00B94D34" w:rsidRDefault="0000700F" w:rsidP="0000700F">
            <w:pPr>
              <w:keepLines w:val="0"/>
              <w:spacing w:after="0" w:line="240" w:lineRule="auto"/>
              <w:jc w:val="right"/>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0A4565D2"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c>
          <w:tcPr>
            <w:tcW w:w="847" w:type="pct"/>
            <w:tcBorders>
              <w:top w:val="nil"/>
              <w:left w:val="nil"/>
              <w:bottom w:val="nil"/>
              <w:right w:val="nil"/>
            </w:tcBorders>
            <w:shd w:val="clear" w:color="auto" w:fill="auto"/>
            <w:noWrap/>
            <w:vAlign w:val="bottom"/>
            <w:hideMark/>
          </w:tcPr>
          <w:p w14:paraId="235FE1C9"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r>
      <w:tr w:rsidR="0000700F" w:rsidRPr="00B94D34" w14:paraId="4736C957" w14:textId="77777777" w:rsidTr="0000700F">
        <w:trPr>
          <w:trHeight w:val="255"/>
        </w:trPr>
        <w:tc>
          <w:tcPr>
            <w:tcW w:w="3369" w:type="pct"/>
            <w:tcBorders>
              <w:top w:val="nil"/>
              <w:left w:val="nil"/>
              <w:bottom w:val="nil"/>
              <w:right w:val="nil"/>
            </w:tcBorders>
            <w:shd w:val="clear" w:color="auto" w:fill="auto"/>
            <w:noWrap/>
            <w:vAlign w:val="bottom"/>
            <w:hideMark/>
          </w:tcPr>
          <w:p w14:paraId="48BF4D70" w14:textId="77777777" w:rsidR="0000700F" w:rsidRPr="00B94D34" w:rsidRDefault="0000700F" w:rsidP="0000700F">
            <w:pPr>
              <w:keepLines w:val="0"/>
              <w:spacing w:after="0" w:line="240" w:lineRule="auto"/>
              <w:rPr>
                <w:rFonts w:cs="Arial"/>
                <w:b/>
                <w:bCs/>
                <w:sz w:val="20"/>
                <w:szCs w:val="20"/>
                <w:lang w:eastAsia="en-AU"/>
              </w:rPr>
            </w:pPr>
            <w:r w:rsidRPr="00B94D34">
              <w:rPr>
                <w:rFonts w:cs="Arial"/>
                <w:b/>
                <w:bCs/>
                <w:sz w:val="20"/>
                <w:szCs w:val="20"/>
                <w:lang w:eastAsia="en-AU"/>
              </w:rPr>
              <w:t>STATEMENT OF FINANCIAL POSITION</w:t>
            </w:r>
          </w:p>
        </w:tc>
        <w:tc>
          <w:tcPr>
            <w:tcW w:w="783" w:type="pct"/>
            <w:tcBorders>
              <w:top w:val="nil"/>
              <w:left w:val="nil"/>
              <w:bottom w:val="nil"/>
              <w:right w:val="nil"/>
            </w:tcBorders>
            <w:shd w:val="clear" w:color="auto" w:fill="auto"/>
            <w:noWrap/>
            <w:vAlign w:val="bottom"/>
            <w:hideMark/>
          </w:tcPr>
          <w:p w14:paraId="6E0AA903" w14:textId="77777777" w:rsidR="0000700F" w:rsidRPr="00B94D34" w:rsidRDefault="0000700F" w:rsidP="0000700F">
            <w:pPr>
              <w:keepLines w:val="0"/>
              <w:spacing w:after="0" w:line="240" w:lineRule="auto"/>
              <w:rPr>
                <w:rFonts w:cs="Arial"/>
                <w:b/>
                <w:bCs/>
                <w:sz w:val="20"/>
                <w:szCs w:val="20"/>
                <w:lang w:eastAsia="en-AU"/>
              </w:rPr>
            </w:pPr>
          </w:p>
        </w:tc>
        <w:tc>
          <w:tcPr>
            <w:tcW w:w="847" w:type="pct"/>
            <w:tcBorders>
              <w:top w:val="nil"/>
              <w:left w:val="nil"/>
              <w:bottom w:val="nil"/>
              <w:right w:val="nil"/>
            </w:tcBorders>
            <w:shd w:val="clear" w:color="auto" w:fill="auto"/>
            <w:noWrap/>
            <w:vAlign w:val="bottom"/>
            <w:hideMark/>
          </w:tcPr>
          <w:p w14:paraId="2A02C470"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235B2F9" w14:textId="77777777" w:rsidTr="0000700F">
        <w:trPr>
          <w:trHeight w:val="315"/>
        </w:trPr>
        <w:tc>
          <w:tcPr>
            <w:tcW w:w="3369" w:type="pct"/>
            <w:tcBorders>
              <w:top w:val="nil"/>
              <w:left w:val="nil"/>
              <w:bottom w:val="nil"/>
              <w:right w:val="nil"/>
            </w:tcBorders>
            <w:shd w:val="clear" w:color="auto" w:fill="auto"/>
            <w:noWrap/>
            <w:vAlign w:val="bottom"/>
            <w:hideMark/>
          </w:tcPr>
          <w:p w14:paraId="1BD6E17B"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783" w:type="pct"/>
            <w:tcBorders>
              <w:top w:val="nil"/>
              <w:left w:val="nil"/>
              <w:bottom w:val="nil"/>
              <w:right w:val="nil"/>
            </w:tcBorders>
            <w:shd w:val="clear" w:color="auto" w:fill="auto"/>
            <w:noWrap/>
            <w:vAlign w:val="bottom"/>
            <w:hideMark/>
          </w:tcPr>
          <w:p w14:paraId="1D94DB1E"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72A6C08C"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31596369" w14:textId="77777777" w:rsidTr="0000700F">
        <w:trPr>
          <w:trHeight w:val="255"/>
        </w:trPr>
        <w:tc>
          <w:tcPr>
            <w:tcW w:w="3369" w:type="pct"/>
            <w:tcBorders>
              <w:top w:val="nil"/>
              <w:left w:val="nil"/>
              <w:bottom w:val="nil"/>
              <w:right w:val="nil"/>
            </w:tcBorders>
            <w:shd w:val="clear" w:color="auto" w:fill="auto"/>
            <w:noWrap/>
            <w:vAlign w:val="bottom"/>
            <w:hideMark/>
          </w:tcPr>
          <w:p w14:paraId="611FB486"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ASSETS</w:t>
            </w:r>
          </w:p>
        </w:tc>
        <w:tc>
          <w:tcPr>
            <w:tcW w:w="783" w:type="pct"/>
            <w:tcBorders>
              <w:top w:val="nil"/>
              <w:left w:val="nil"/>
              <w:bottom w:val="nil"/>
              <w:right w:val="nil"/>
            </w:tcBorders>
            <w:shd w:val="clear" w:color="auto" w:fill="auto"/>
            <w:noWrap/>
            <w:vAlign w:val="bottom"/>
            <w:hideMark/>
          </w:tcPr>
          <w:p w14:paraId="185D701F"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53A30DE8"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76BBE085" w14:textId="77777777" w:rsidTr="0000700F">
        <w:trPr>
          <w:trHeight w:val="255"/>
        </w:trPr>
        <w:tc>
          <w:tcPr>
            <w:tcW w:w="3369" w:type="pct"/>
            <w:tcBorders>
              <w:top w:val="nil"/>
              <w:left w:val="nil"/>
              <w:bottom w:val="nil"/>
              <w:right w:val="nil"/>
            </w:tcBorders>
            <w:shd w:val="clear" w:color="auto" w:fill="auto"/>
            <w:noWrap/>
            <w:vAlign w:val="bottom"/>
            <w:hideMark/>
          </w:tcPr>
          <w:p w14:paraId="4D477CB9"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Current Assets</w:t>
            </w:r>
          </w:p>
        </w:tc>
        <w:tc>
          <w:tcPr>
            <w:tcW w:w="783" w:type="pct"/>
            <w:tcBorders>
              <w:top w:val="nil"/>
              <w:left w:val="nil"/>
              <w:bottom w:val="nil"/>
              <w:right w:val="nil"/>
            </w:tcBorders>
            <w:shd w:val="clear" w:color="auto" w:fill="auto"/>
            <w:noWrap/>
            <w:vAlign w:val="bottom"/>
            <w:hideMark/>
          </w:tcPr>
          <w:p w14:paraId="4A88AD48"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786C8875"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7099A7DB" w14:textId="77777777" w:rsidTr="0000700F">
        <w:trPr>
          <w:trHeight w:val="255"/>
        </w:trPr>
        <w:tc>
          <w:tcPr>
            <w:tcW w:w="3369" w:type="pct"/>
            <w:tcBorders>
              <w:top w:val="nil"/>
              <w:left w:val="nil"/>
              <w:bottom w:val="nil"/>
              <w:right w:val="nil"/>
            </w:tcBorders>
            <w:shd w:val="clear" w:color="auto" w:fill="auto"/>
            <w:noWrap/>
            <w:vAlign w:val="bottom"/>
            <w:hideMark/>
          </w:tcPr>
          <w:p w14:paraId="20A13D70"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Cash and cash equivalents</w:t>
            </w:r>
          </w:p>
        </w:tc>
        <w:tc>
          <w:tcPr>
            <w:tcW w:w="783" w:type="pct"/>
            <w:tcBorders>
              <w:top w:val="nil"/>
              <w:left w:val="nil"/>
              <w:bottom w:val="nil"/>
              <w:right w:val="nil"/>
            </w:tcBorders>
            <w:shd w:val="clear" w:color="auto" w:fill="auto"/>
            <w:noWrap/>
            <w:vAlign w:val="bottom"/>
            <w:hideMark/>
          </w:tcPr>
          <w:p w14:paraId="64BEB38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3,185 </w:t>
            </w:r>
          </w:p>
        </w:tc>
        <w:tc>
          <w:tcPr>
            <w:tcW w:w="847" w:type="pct"/>
            <w:tcBorders>
              <w:top w:val="nil"/>
              <w:left w:val="nil"/>
              <w:bottom w:val="nil"/>
              <w:right w:val="nil"/>
            </w:tcBorders>
            <w:shd w:val="clear" w:color="auto" w:fill="auto"/>
            <w:noWrap/>
            <w:vAlign w:val="bottom"/>
            <w:hideMark/>
          </w:tcPr>
          <w:p w14:paraId="02FAF51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2,920 </w:t>
            </w:r>
          </w:p>
        </w:tc>
      </w:tr>
      <w:tr w:rsidR="0000700F" w:rsidRPr="00B94D34" w14:paraId="2BBCCD54" w14:textId="77777777" w:rsidTr="0000700F">
        <w:trPr>
          <w:trHeight w:val="255"/>
        </w:trPr>
        <w:tc>
          <w:tcPr>
            <w:tcW w:w="3369" w:type="pct"/>
            <w:tcBorders>
              <w:top w:val="nil"/>
              <w:left w:val="nil"/>
              <w:bottom w:val="nil"/>
              <w:right w:val="nil"/>
            </w:tcBorders>
            <w:shd w:val="clear" w:color="auto" w:fill="auto"/>
            <w:noWrap/>
            <w:vAlign w:val="bottom"/>
            <w:hideMark/>
          </w:tcPr>
          <w:p w14:paraId="51C96C5A"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Restricted cash and cash equivalents</w:t>
            </w:r>
          </w:p>
        </w:tc>
        <w:tc>
          <w:tcPr>
            <w:tcW w:w="783" w:type="pct"/>
            <w:tcBorders>
              <w:top w:val="nil"/>
              <w:left w:val="nil"/>
              <w:bottom w:val="nil"/>
              <w:right w:val="nil"/>
            </w:tcBorders>
            <w:shd w:val="clear" w:color="auto" w:fill="auto"/>
            <w:noWrap/>
            <w:vAlign w:val="bottom"/>
            <w:hideMark/>
          </w:tcPr>
          <w:p w14:paraId="374EA9E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85,615 </w:t>
            </w:r>
          </w:p>
        </w:tc>
        <w:tc>
          <w:tcPr>
            <w:tcW w:w="847" w:type="pct"/>
            <w:tcBorders>
              <w:top w:val="nil"/>
              <w:left w:val="nil"/>
              <w:bottom w:val="nil"/>
              <w:right w:val="nil"/>
            </w:tcBorders>
            <w:shd w:val="clear" w:color="auto" w:fill="auto"/>
            <w:noWrap/>
            <w:vAlign w:val="bottom"/>
            <w:hideMark/>
          </w:tcPr>
          <w:p w14:paraId="5FD93B1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87,175 </w:t>
            </w:r>
          </w:p>
        </w:tc>
      </w:tr>
      <w:tr w:rsidR="0000700F" w:rsidRPr="00B94D34" w14:paraId="3805D7D1" w14:textId="77777777" w:rsidTr="0000700F">
        <w:trPr>
          <w:trHeight w:val="255"/>
        </w:trPr>
        <w:tc>
          <w:tcPr>
            <w:tcW w:w="3369" w:type="pct"/>
            <w:tcBorders>
              <w:top w:val="nil"/>
              <w:left w:val="nil"/>
              <w:bottom w:val="nil"/>
              <w:right w:val="nil"/>
            </w:tcBorders>
            <w:shd w:val="clear" w:color="auto" w:fill="auto"/>
            <w:noWrap/>
            <w:vAlign w:val="bottom"/>
            <w:hideMark/>
          </w:tcPr>
          <w:p w14:paraId="051DDF8B"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Receivables</w:t>
            </w:r>
          </w:p>
        </w:tc>
        <w:tc>
          <w:tcPr>
            <w:tcW w:w="783" w:type="pct"/>
            <w:tcBorders>
              <w:top w:val="nil"/>
              <w:left w:val="nil"/>
              <w:bottom w:val="nil"/>
              <w:right w:val="nil"/>
            </w:tcBorders>
            <w:shd w:val="clear" w:color="auto" w:fill="auto"/>
            <w:noWrap/>
            <w:vAlign w:val="bottom"/>
            <w:hideMark/>
          </w:tcPr>
          <w:p w14:paraId="66158AA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1,097 </w:t>
            </w:r>
          </w:p>
        </w:tc>
        <w:tc>
          <w:tcPr>
            <w:tcW w:w="847" w:type="pct"/>
            <w:tcBorders>
              <w:top w:val="nil"/>
              <w:left w:val="nil"/>
              <w:bottom w:val="nil"/>
              <w:right w:val="nil"/>
            </w:tcBorders>
            <w:shd w:val="clear" w:color="auto" w:fill="auto"/>
            <w:noWrap/>
            <w:vAlign w:val="bottom"/>
            <w:hideMark/>
          </w:tcPr>
          <w:p w14:paraId="6375C4A5"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1,024 </w:t>
            </w:r>
          </w:p>
        </w:tc>
      </w:tr>
      <w:tr w:rsidR="0000700F" w:rsidRPr="00B94D34" w14:paraId="57E1E9F1" w14:textId="77777777" w:rsidTr="0000700F">
        <w:trPr>
          <w:trHeight w:val="255"/>
        </w:trPr>
        <w:tc>
          <w:tcPr>
            <w:tcW w:w="3369" w:type="pct"/>
            <w:tcBorders>
              <w:top w:val="nil"/>
              <w:left w:val="nil"/>
              <w:bottom w:val="nil"/>
              <w:right w:val="nil"/>
            </w:tcBorders>
            <w:shd w:val="clear" w:color="auto" w:fill="auto"/>
            <w:noWrap/>
            <w:vAlign w:val="bottom"/>
            <w:hideMark/>
          </w:tcPr>
          <w:p w14:paraId="533539A7"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Other financial assets</w:t>
            </w:r>
          </w:p>
        </w:tc>
        <w:tc>
          <w:tcPr>
            <w:tcW w:w="783" w:type="pct"/>
            <w:tcBorders>
              <w:top w:val="nil"/>
              <w:left w:val="nil"/>
              <w:bottom w:val="nil"/>
              <w:right w:val="nil"/>
            </w:tcBorders>
            <w:shd w:val="clear" w:color="auto" w:fill="auto"/>
            <w:noWrap/>
            <w:vAlign w:val="bottom"/>
            <w:hideMark/>
          </w:tcPr>
          <w:p w14:paraId="3BF19582"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18,999 </w:t>
            </w:r>
          </w:p>
        </w:tc>
        <w:tc>
          <w:tcPr>
            <w:tcW w:w="847" w:type="pct"/>
            <w:tcBorders>
              <w:top w:val="nil"/>
              <w:left w:val="nil"/>
              <w:bottom w:val="nil"/>
              <w:right w:val="nil"/>
            </w:tcBorders>
            <w:shd w:val="clear" w:color="auto" w:fill="auto"/>
            <w:noWrap/>
            <w:vAlign w:val="bottom"/>
            <w:hideMark/>
          </w:tcPr>
          <w:p w14:paraId="3E016DE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20,530 </w:t>
            </w:r>
          </w:p>
        </w:tc>
      </w:tr>
      <w:tr w:rsidR="0000700F" w:rsidRPr="00B94D34" w14:paraId="146E41F2" w14:textId="77777777" w:rsidTr="0000700F">
        <w:trPr>
          <w:trHeight w:val="255"/>
        </w:trPr>
        <w:tc>
          <w:tcPr>
            <w:tcW w:w="3369" w:type="pct"/>
            <w:tcBorders>
              <w:top w:val="nil"/>
              <w:left w:val="nil"/>
              <w:bottom w:val="nil"/>
              <w:right w:val="nil"/>
            </w:tcBorders>
            <w:shd w:val="clear" w:color="auto" w:fill="auto"/>
            <w:noWrap/>
            <w:vAlign w:val="bottom"/>
            <w:hideMark/>
          </w:tcPr>
          <w:p w14:paraId="10D8B724"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Current Assets</w:t>
            </w:r>
          </w:p>
        </w:tc>
        <w:tc>
          <w:tcPr>
            <w:tcW w:w="783" w:type="pct"/>
            <w:tcBorders>
              <w:top w:val="single" w:sz="4" w:space="0" w:color="auto"/>
              <w:left w:val="nil"/>
              <w:bottom w:val="single" w:sz="4" w:space="0" w:color="auto"/>
              <w:right w:val="nil"/>
            </w:tcBorders>
            <w:shd w:val="clear" w:color="auto" w:fill="auto"/>
            <w:noWrap/>
            <w:vAlign w:val="bottom"/>
            <w:hideMark/>
          </w:tcPr>
          <w:p w14:paraId="64F6ABD4"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108,896 </w:t>
            </w:r>
          </w:p>
        </w:tc>
        <w:tc>
          <w:tcPr>
            <w:tcW w:w="847" w:type="pct"/>
            <w:tcBorders>
              <w:top w:val="single" w:sz="4" w:space="0" w:color="auto"/>
              <w:left w:val="nil"/>
              <w:bottom w:val="single" w:sz="4" w:space="0" w:color="auto"/>
              <w:right w:val="nil"/>
            </w:tcBorders>
            <w:shd w:val="clear" w:color="auto" w:fill="auto"/>
            <w:noWrap/>
            <w:vAlign w:val="bottom"/>
            <w:hideMark/>
          </w:tcPr>
          <w:p w14:paraId="662AD65B"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111,649 </w:t>
            </w:r>
          </w:p>
        </w:tc>
      </w:tr>
      <w:tr w:rsidR="0000700F" w:rsidRPr="00B94D34" w14:paraId="76D40327" w14:textId="77777777" w:rsidTr="0000700F">
        <w:trPr>
          <w:trHeight w:val="255"/>
        </w:trPr>
        <w:tc>
          <w:tcPr>
            <w:tcW w:w="3369" w:type="pct"/>
            <w:tcBorders>
              <w:top w:val="nil"/>
              <w:left w:val="nil"/>
              <w:bottom w:val="nil"/>
              <w:right w:val="nil"/>
            </w:tcBorders>
            <w:shd w:val="clear" w:color="auto" w:fill="auto"/>
            <w:noWrap/>
            <w:vAlign w:val="bottom"/>
            <w:hideMark/>
          </w:tcPr>
          <w:p w14:paraId="64E48F11"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2F517B2F"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63EF8527"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F224012" w14:textId="77777777" w:rsidTr="0000700F">
        <w:trPr>
          <w:trHeight w:val="255"/>
        </w:trPr>
        <w:tc>
          <w:tcPr>
            <w:tcW w:w="3369" w:type="pct"/>
            <w:tcBorders>
              <w:top w:val="nil"/>
              <w:left w:val="nil"/>
              <w:bottom w:val="nil"/>
              <w:right w:val="nil"/>
            </w:tcBorders>
            <w:shd w:val="clear" w:color="auto" w:fill="auto"/>
            <w:noWrap/>
            <w:vAlign w:val="bottom"/>
            <w:hideMark/>
          </w:tcPr>
          <w:p w14:paraId="3E89F524"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Non-Current Assets</w:t>
            </w:r>
          </w:p>
        </w:tc>
        <w:tc>
          <w:tcPr>
            <w:tcW w:w="783" w:type="pct"/>
            <w:tcBorders>
              <w:top w:val="nil"/>
              <w:left w:val="nil"/>
              <w:bottom w:val="nil"/>
              <w:right w:val="nil"/>
            </w:tcBorders>
            <w:shd w:val="clear" w:color="auto" w:fill="auto"/>
            <w:noWrap/>
            <w:vAlign w:val="bottom"/>
            <w:hideMark/>
          </w:tcPr>
          <w:p w14:paraId="4D8E373A"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63E97B0B"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6562448" w14:textId="77777777" w:rsidTr="0000700F">
        <w:trPr>
          <w:trHeight w:val="255"/>
        </w:trPr>
        <w:tc>
          <w:tcPr>
            <w:tcW w:w="3369" w:type="pct"/>
            <w:tcBorders>
              <w:top w:val="nil"/>
              <w:left w:val="nil"/>
              <w:bottom w:val="nil"/>
              <w:right w:val="nil"/>
            </w:tcBorders>
            <w:shd w:val="clear" w:color="auto" w:fill="auto"/>
            <w:noWrap/>
            <w:vAlign w:val="bottom"/>
            <w:hideMark/>
          </w:tcPr>
          <w:p w14:paraId="3000BBA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Property, plant, equipment &amp; vehicles</w:t>
            </w:r>
          </w:p>
        </w:tc>
        <w:tc>
          <w:tcPr>
            <w:tcW w:w="783" w:type="pct"/>
            <w:tcBorders>
              <w:top w:val="nil"/>
              <w:left w:val="nil"/>
              <w:bottom w:val="nil"/>
              <w:right w:val="nil"/>
            </w:tcBorders>
            <w:shd w:val="clear" w:color="auto" w:fill="auto"/>
            <w:noWrap/>
            <w:vAlign w:val="bottom"/>
            <w:hideMark/>
          </w:tcPr>
          <w:p w14:paraId="272C73C0"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19,624 </w:t>
            </w:r>
          </w:p>
        </w:tc>
        <w:tc>
          <w:tcPr>
            <w:tcW w:w="847" w:type="pct"/>
            <w:tcBorders>
              <w:top w:val="nil"/>
              <w:left w:val="nil"/>
              <w:bottom w:val="nil"/>
              <w:right w:val="nil"/>
            </w:tcBorders>
            <w:shd w:val="clear" w:color="auto" w:fill="auto"/>
            <w:noWrap/>
            <w:vAlign w:val="bottom"/>
            <w:hideMark/>
          </w:tcPr>
          <w:p w14:paraId="6F61646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17,436 </w:t>
            </w:r>
          </w:p>
        </w:tc>
      </w:tr>
      <w:tr w:rsidR="0000700F" w:rsidRPr="00B94D34" w14:paraId="63378EB6" w14:textId="77777777" w:rsidTr="0000700F">
        <w:trPr>
          <w:trHeight w:val="255"/>
        </w:trPr>
        <w:tc>
          <w:tcPr>
            <w:tcW w:w="3369" w:type="pct"/>
            <w:tcBorders>
              <w:top w:val="nil"/>
              <w:left w:val="nil"/>
              <w:bottom w:val="nil"/>
              <w:right w:val="nil"/>
            </w:tcBorders>
            <w:shd w:val="clear" w:color="auto" w:fill="auto"/>
            <w:noWrap/>
            <w:vAlign w:val="bottom"/>
            <w:hideMark/>
          </w:tcPr>
          <w:p w14:paraId="31BA95AE"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Intangible assets</w:t>
            </w:r>
          </w:p>
        </w:tc>
        <w:tc>
          <w:tcPr>
            <w:tcW w:w="783" w:type="pct"/>
            <w:tcBorders>
              <w:top w:val="nil"/>
              <w:left w:val="nil"/>
              <w:bottom w:val="nil"/>
              <w:right w:val="nil"/>
            </w:tcBorders>
            <w:shd w:val="clear" w:color="auto" w:fill="auto"/>
            <w:noWrap/>
            <w:vAlign w:val="bottom"/>
            <w:hideMark/>
          </w:tcPr>
          <w:p w14:paraId="5E0CFE8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2,134 </w:t>
            </w:r>
          </w:p>
        </w:tc>
        <w:tc>
          <w:tcPr>
            <w:tcW w:w="847" w:type="pct"/>
            <w:tcBorders>
              <w:top w:val="nil"/>
              <w:left w:val="nil"/>
              <w:bottom w:val="nil"/>
              <w:right w:val="nil"/>
            </w:tcBorders>
            <w:shd w:val="clear" w:color="auto" w:fill="auto"/>
            <w:noWrap/>
            <w:vAlign w:val="bottom"/>
            <w:hideMark/>
          </w:tcPr>
          <w:p w14:paraId="338DD52B"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2,348 </w:t>
            </w:r>
          </w:p>
        </w:tc>
      </w:tr>
      <w:tr w:rsidR="0000700F" w:rsidRPr="00B94D34" w14:paraId="197D978C" w14:textId="77777777" w:rsidTr="0000700F">
        <w:trPr>
          <w:trHeight w:val="255"/>
        </w:trPr>
        <w:tc>
          <w:tcPr>
            <w:tcW w:w="3369" w:type="pct"/>
            <w:tcBorders>
              <w:top w:val="nil"/>
              <w:left w:val="nil"/>
              <w:bottom w:val="nil"/>
              <w:right w:val="nil"/>
            </w:tcBorders>
            <w:shd w:val="clear" w:color="auto" w:fill="auto"/>
            <w:noWrap/>
            <w:vAlign w:val="bottom"/>
            <w:hideMark/>
          </w:tcPr>
          <w:p w14:paraId="656ACFE1" w14:textId="77777777" w:rsidR="0000700F" w:rsidRPr="00B94D34" w:rsidRDefault="0000700F" w:rsidP="0000700F">
            <w:pPr>
              <w:keepLines w:val="0"/>
              <w:spacing w:after="0" w:line="240" w:lineRule="auto"/>
              <w:jc w:val="center"/>
              <w:rPr>
                <w:rFonts w:cs="Arial"/>
                <w:sz w:val="18"/>
                <w:szCs w:val="18"/>
                <w:lang w:eastAsia="en-AU"/>
              </w:rPr>
            </w:pPr>
          </w:p>
        </w:tc>
        <w:tc>
          <w:tcPr>
            <w:tcW w:w="783" w:type="pct"/>
            <w:tcBorders>
              <w:top w:val="nil"/>
              <w:left w:val="nil"/>
              <w:bottom w:val="nil"/>
              <w:right w:val="nil"/>
            </w:tcBorders>
            <w:shd w:val="clear" w:color="auto" w:fill="auto"/>
            <w:noWrap/>
            <w:vAlign w:val="bottom"/>
            <w:hideMark/>
          </w:tcPr>
          <w:p w14:paraId="4DB5DCEE"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54E96968"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48783E6" w14:textId="77777777" w:rsidTr="0000700F">
        <w:trPr>
          <w:trHeight w:val="255"/>
        </w:trPr>
        <w:tc>
          <w:tcPr>
            <w:tcW w:w="3369" w:type="pct"/>
            <w:tcBorders>
              <w:top w:val="nil"/>
              <w:left w:val="nil"/>
              <w:bottom w:val="nil"/>
              <w:right w:val="nil"/>
            </w:tcBorders>
            <w:shd w:val="clear" w:color="auto" w:fill="auto"/>
            <w:noWrap/>
            <w:vAlign w:val="bottom"/>
            <w:hideMark/>
          </w:tcPr>
          <w:p w14:paraId="022B8465"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Non-Current Assets</w:t>
            </w:r>
          </w:p>
        </w:tc>
        <w:tc>
          <w:tcPr>
            <w:tcW w:w="783" w:type="pct"/>
            <w:tcBorders>
              <w:top w:val="single" w:sz="4" w:space="0" w:color="auto"/>
              <w:left w:val="nil"/>
              <w:bottom w:val="single" w:sz="4" w:space="0" w:color="auto"/>
              <w:right w:val="nil"/>
            </w:tcBorders>
            <w:shd w:val="clear" w:color="auto" w:fill="auto"/>
            <w:noWrap/>
            <w:vAlign w:val="bottom"/>
            <w:hideMark/>
          </w:tcPr>
          <w:p w14:paraId="5A82C273"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21,758 </w:t>
            </w:r>
          </w:p>
        </w:tc>
        <w:tc>
          <w:tcPr>
            <w:tcW w:w="847" w:type="pct"/>
            <w:tcBorders>
              <w:top w:val="single" w:sz="4" w:space="0" w:color="auto"/>
              <w:left w:val="nil"/>
              <w:bottom w:val="single" w:sz="4" w:space="0" w:color="auto"/>
              <w:right w:val="nil"/>
            </w:tcBorders>
            <w:shd w:val="clear" w:color="auto" w:fill="auto"/>
            <w:noWrap/>
            <w:vAlign w:val="bottom"/>
            <w:hideMark/>
          </w:tcPr>
          <w:p w14:paraId="656A929D"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19,784 </w:t>
            </w:r>
          </w:p>
        </w:tc>
      </w:tr>
      <w:tr w:rsidR="0000700F" w:rsidRPr="00B94D34" w14:paraId="00BBACD2" w14:textId="77777777" w:rsidTr="0000700F">
        <w:trPr>
          <w:trHeight w:val="255"/>
        </w:trPr>
        <w:tc>
          <w:tcPr>
            <w:tcW w:w="3369" w:type="pct"/>
            <w:tcBorders>
              <w:top w:val="nil"/>
              <w:left w:val="nil"/>
              <w:bottom w:val="nil"/>
              <w:right w:val="nil"/>
            </w:tcBorders>
            <w:shd w:val="clear" w:color="auto" w:fill="auto"/>
            <w:noWrap/>
            <w:vAlign w:val="bottom"/>
            <w:hideMark/>
          </w:tcPr>
          <w:p w14:paraId="1DDBF9DB"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1B0CFE3C"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5C81F5B3"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C2D9810" w14:textId="77777777" w:rsidTr="0000700F">
        <w:trPr>
          <w:trHeight w:val="270"/>
        </w:trPr>
        <w:tc>
          <w:tcPr>
            <w:tcW w:w="3369" w:type="pct"/>
            <w:tcBorders>
              <w:top w:val="nil"/>
              <w:left w:val="nil"/>
              <w:bottom w:val="nil"/>
              <w:right w:val="nil"/>
            </w:tcBorders>
            <w:shd w:val="clear" w:color="auto" w:fill="auto"/>
            <w:noWrap/>
            <w:vAlign w:val="bottom"/>
            <w:hideMark/>
          </w:tcPr>
          <w:p w14:paraId="3AE1B122"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Assets</w:t>
            </w:r>
          </w:p>
        </w:tc>
        <w:tc>
          <w:tcPr>
            <w:tcW w:w="783" w:type="pct"/>
            <w:tcBorders>
              <w:top w:val="single" w:sz="4" w:space="0" w:color="auto"/>
              <w:left w:val="nil"/>
              <w:bottom w:val="double" w:sz="6" w:space="0" w:color="auto"/>
              <w:right w:val="nil"/>
            </w:tcBorders>
            <w:shd w:val="clear" w:color="auto" w:fill="auto"/>
            <w:noWrap/>
            <w:vAlign w:val="bottom"/>
            <w:hideMark/>
          </w:tcPr>
          <w:p w14:paraId="7F552BB5"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130,654 </w:t>
            </w:r>
          </w:p>
        </w:tc>
        <w:tc>
          <w:tcPr>
            <w:tcW w:w="847" w:type="pct"/>
            <w:tcBorders>
              <w:top w:val="single" w:sz="4" w:space="0" w:color="auto"/>
              <w:left w:val="nil"/>
              <w:bottom w:val="double" w:sz="6" w:space="0" w:color="auto"/>
              <w:right w:val="nil"/>
            </w:tcBorders>
            <w:shd w:val="clear" w:color="auto" w:fill="auto"/>
            <w:noWrap/>
            <w:vAlign w:val="bottom"/>
            <w:hideMark/>
          </w:tcPr>
          <w:p w14:paraId="017AB991"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131,433 </w:t>
            </w:r>
          </w:p>
        </w:tc>
      </w:tr>
      <w:tr w:rsidR="0000700F" w:rsidRPr="00B94D34" w14:paraId="71B3F932" w14:textId="77777777" w:rsidTr="0000700F">
        <w:trPr>
          <w:trHeight w:val="270"/>
        </w:trPr>
        <w:tc>
          <w:tcPr>
            <w:tcW w:w="3369" w:type="pct"/>
            <w:tcBorders>
              <w:top w:val="nil"/>
              <w:left w:val="nil"/>
              <w:bottom w:val="nil"/>
              <w:right w:val="nil"/>
            </w:tcBorders>
            <w:shd w:val="clear" w:color="auto" w:fill="auto"/>
            <w:noWrap/>
            <w:vAlign w:val="bottom"/>
            <w:hideMark/>
          </w:tcPr>
          <w:p w14:paraId="5C2F73FB"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23814525"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31465191"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1EEAF65" w14:textId="77777777" w:rsidTr="0000700F">
        <w:trPr>
          <w:trHeight w:val="255"/>
        </w:trPr>
        <w:tc>
          <w:tcPr>
            <w:tcW w:w="3369" w:type="pct"/>
            <w:tcBorders>
              <w:top w:val="nil"/>
              <w:left w:val="nil"/>
              <w:bottom w:val="nil"/>
              <w:right w:val="nil"/>
            </w:tcBorders>
            <w:shd w:val="clear" w:color="auto" w:fill="auto"/>
            <w:noWrap/>
            <w:vAlign w:val="bottom"/>
            <w:hideMark/>
          </w:tcPr>
          <w:p w14:paraId="206BE4FB"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LIABILITIES</w:t>
            </w:r>
          </w:p>
        </w:tc>
        <w:tc>
          <w:tcPr>
            <w:tcW w:w="783" w:type="pct"/>
            <w:tcBorders>
              <w:top w:val="nil"/>
              <w:left w:val="nil"/>
              <w:bottom w:val="nil"/>
              <w:right w:val="nil"/>
            </w:tcBorders>
            <w:shd w:val="clear" w:color="auto" w:fill="auto"/>
            <w:noWrap/>
            <w:vAlign w:val="bottom"/>
            <w:hideMark/>
          </w:tcPr>
          <w:p w14:paraId="663C47B9"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31987C8B"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3F3B14E8" w14:textId="77777777" w:rsidTr="0000700F">
        <w:trPr>
          <w:trHeight w:val="255"/>
        </w:trPr>
        <w:tc>
          <w:tcPr>
            <w:tcW w:w="3369" w:type="pct"/>
            <w:tcBorders>
              <w:top w:val="nil"/>
              <w:left w:val="nil"/>
              <w:bottom w:val="nil"/>
              <w:right w:val="nil"/>
            </w:tcBorders>
            <w:shd w:val="clear" w:color="auto" w:fill="auto"/>
            <w:noWrap/>
            <w:vAlign w:val="bottom"/>
            <w:hideMark/>
          </w:tcPr>
          <w:p w14:paraId="7CCB99CB"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Current Liabilities</w:t>
            </w:r>
          </w:p>
        </w:tc>
        <w:tc>
          <w:tcPr>
            <w:tcW w:w="783" w:type="pct"/>
            <w:tcBorders>
              <w:top w:val="nil"/>
              <w:left w:val="nil"/>
              <w:bottom w:val="nil"/>
              <w:right w:val="nil"/>
            </w:tcBorders>
            <w:shd w:val="clear" w:color="auto" w:fill="auto"/>
            <w:noWrap/>
            <w:vAlign w:val="bottom"/>
            <w:hideMark/>
          </w:tcPr>
          <w:p w14:paraId="29D7F45D"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5CC651C0"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67B7B8EE" w14:textId="77777777" w:rsidTr="0000700F">
        <w:trPr>
          <w:trHeight w:val="255"/>
        </w:trPr>
        <w:tc>
          <w:tcPr>
            <w:tcW w:w="3369" w:type="pct"/>
            <w:tcBorders>
              <w:top w:val="nil"/>
              <w:left w:val="nil"/>
              <w:bottom w:val="nil"/>
              <w:right w:val="nil"/>
            </w:tcBorders>
            <w:shd w:val="clear" w:color="auto" w:fill="auto"/>
            <w:noWrap/>
            <w:vAlign w:val="bottom"/>
            <w:hideMark/>
          </w:tcPr>
          <w:p w14:paraId="589DE02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Payables </w:t>
            </w:r>
          </w:p>
        </w:tc>
        <w:tc>
          <w:tcPr>
            <w:tcW w:w="783" w:type="pct"/>
            <w:tcBorders>
              <w:top w:val="nil"/>
              <w:left w:val="nil"/>
              <w:bottom w:val="nil"/>
              <w:right w:val="nil"/>
            </w:tcBorders>
            <w:shd w:val="clear" w:color="auto" w:fill="auto"/>
            <w:noWrap/>
            <w:vAlign w:val="bottom"/>
            <w:hideMark/>
          </w:tcPr>
          <w:p w14:paraId="3BADD44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2,675 </w:t>
            </w:r>
          </w:p>
        </w:tc>
        <w:tc>
          <w:tcPr>
            <w:tcW w:w="847" w:type="pct"/>
            <w:tcBorders>
              <w:top w:val="nil"/>
              <w:left w:val="nil"/>
              <w:bottom w:val="nil"/>
              <w:right w:val="nil"/>
            </w:tcBorders>
            <w:shd w:val="clear" w:color="auto" w:fill="auto"/>
            <w:noWrap/>
            <w:vAlign w:val="bottom"/>
            <w:hideMark/>
          </w:tcPr>
          <w:p w14:paraId="16B6390F"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1,751 </w:t>
            </w:r>
          </w:p>
        </w:tc>
      </w:tr>
      <w:tr w:rsidR="0000700F" w:rsidRPr="00B94D34" w14:paraId="3E93BAF3" w14:textId="77777777" w:rsidTr="0000700F">
        <w:trPr>
          <w:trHeight w:val="255"/>
        </w:trPr>
        <w:tc>
          <w:tcPr>
            <w:tcW w:w="3369" w:type="pct"/>
            <w:tcBorders>
              <w:top w:val="nil"/>
              <w:left w:val="nil"/>
              <w:bottom w:val="nil"/>
              <w:right w:val="nil"/>
            </w:tcBorders>
            <w:shd w:val="clear" w:color="auto" w:fill="auto"/>
            <w:noWrap/>
            <w:vAlign w:val="bottom"/>
            <w:hideMark/>
          </w:tcPr>
          <w:p w14:paraId="0E3E836A"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Provisions</w:t>
            </w:r>
          </w:p>
        </w:tc>
        <w:tc>
          <w:tcPr>
            <w:tcW w:w="783" w:type="pct"/>
            <w:tcBorders>
              <w:top w:val="nil"/>
              <w:left w:val="nil"/>
              <w:bottom w:val="nil"/>
              <w:right w:val="nil"/>
            </w:tcBorders>
            <w:shd w:val="clear" w:color="auto" w:fill="auto"/>
            <w:noWrap/>
            <w:vAlign w:val="bottom"/>
            <w:hideMark/>
          </w:tcPr>
          <w:p w14:paraId="0F44442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4,533 </w:t>
            </w:r>
          </w:p>
        </w:tc>
        <w:tc>
          <w:tcPr>
            <w:tcW w:w="847" w:type="pct"/>
            <w:tcBorders>
              <w:top w:val="nil"/>
              <w:left w:val="nil"/>
              <w:bottom w:val="nil"/>
              <w:right w:val="nil"/>
            </w:tcBorders>
            <w:shd w:val="clear" w:color="auto" w:fill="auto"/>
            <w:noWrap/>
            <w:vAlign w:val="bottom"/>
            <w:hideMark/>
          </w:tcPr>
          <w:p w14:paraId="48F6C942"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4,458 </w:t>
            </w:r>
          </w:p>
        </w:tc>
      </w:tr>
      <w:tr w:rsidR="0000700F" w:rsidRPr="00B94D34" w14:paraId="4D001C95" w14:textId="77777777" w:rsidTr="0000700F">
        <w:trPr>
          <w:trHeight w:val="255"/>
        </w:trPr>
        <w:tc>
          <w:tcPr>
            <w:tcW w:w="3369" w:type="pct"/>
            <w:tcBorders>
              <w:top w:val="nil"/>
              <w:left w:val="nil"/>
              <w:bottom w:val="nil"/>
              <w:right w:val="nil"/>
            </w:tcBorders>
            <w:shd w:val="clear" w:color="auto" w:fill="auto"/>
            <w:noWrap/>
            <w:vAlign w:val="bottom"/>
            <w:hideMark/>
          </w:tcPr>
          <w:p w14:paraId="4477CB2D"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Current Liabilities</w:t>
            </w:r>
          </w:p>
        </w:tc>
        <w:tc>
          <w:tcPr>
            <w:tcW w:w="783" w:type="pct"/>
            <w:tcBorders>
              <w:top w:val="single" w:sz="4" w:space="0" w:color="auto"/>
              <w:left w:val="nil"/>
              <w:bottom w:val="single" w:sz="4" w:space="0" w:color="auto"/>
              <w:right w:val="nil"/>
            </w:tcBorders>
            <w:shd w:val="clear" w:color="auto" w:fill="auto"/>
            <w:noWrap/>
            <w:vAlign w:val="bottom"/>
            <w:hideMark/>
          </w:tcPr>
          <w:p w14:paraId="42BA6174"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7,208 </w:t>
            </w:r>
          </w:p>
        </w:tc>
        <w:tc>
          <w:tcPr>
            <w:tcW w:w="847" w:type="pct"/>
            <w:tcBorders>
              <w:top w:val="single" w:sz="4" w:space="0" w:color="auto"/>
              <w:left w:val="nil"/>
              <w:bottom w:val="single" w:sz="4" w:space="0" w:color="auto"/>
              <w:right w:val="nil"/>
            </w:tcBorders>
            <w:shd w:val="clear" w:color="auto" w:fill="auto"/>
            <w:noWrap/>
            <w:vAlign w:val="bottom"/>
            <w:hideMark/>
          </w:tcPr>
          <w:p w14:paraId="03396C65"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6,209 </w:t>
            </w:r>
          </w:p>
        </w:tc>
      </w:tr>
      <w:tr w:rsidR="0000700F" w:rsidRPr="00B94D34" w14:paraId="3F585D87" w14:textId="77777777" w:rsidTr="0000700F">
        <w:trPr>
          <w:trHeight w:val="255"/>
        </w:trPr>
        <w:tc>
          <w:tcPr>
            <w:tcW w:w="3369" w:type="pct"/>
            <w:tcBorders>
              <w:top w:val="nil"/>
              <w:left w:val="nil"/>
              <w:bottom w:val="nil"/>
              <w:right w:val="nil"/>
            </w:tcBorders>
            <w:shd w:val="clear" w:color="auto" w:fill="auto"/>
            <w:noWrap/>
            <w:vAlign w:val="bottom"/>
            <w:hideMark/>
          </w:tcPr>
          <w:p w14:paraId="18555B52"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1D9D2571"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30B232EC"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4B0AEC9" w14:textId="77777777" w:rsidTr="0000700F">
        <w:trPr>
          <w:trHeight w:val="255"/>
        </w:trPr>
        <w:tc>
          <w:tcPr>
            <w:tcW w:w="3369" w:type="pct"/>
            <w:tcBorders>
              <w:top w:val="nil"/>
              <w:left w:val="nil"/>
              <w:bottom w:val="nil"/>
              <w:right w:val="nil"/>
            </w:tcBorders>
            <w:shd w:val="clear" w:color="auto" w:fill="auto"/>
            <w:noWrap/>
            <w:vAlign w:val="bottom"/>
            <w:hideMark/>
          </w:tcPr>
          <w:p w14:paraId="3C08DD0F"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Non-Current Liabilities</w:t>
            </w:r>
          </w:p>
        </w:tc>
        <w:tc>
          <w:tcPr>
            <w:tcW w:w="783" w:type="pct"/>
            <w:tcBorders>
              <w:top w:val="nil"/>
              <w:left w:val="nil"/>
              <w:bottom w:val="nil"/>
              <w:right w:val="nil"/>
            </w:tcBorders>
            <w:shd w:val="clear" w:color="auto" w:fill="auto"/>
            <w:noWrap/>
            <w:vAlign w:val="bottom"/>
            <w:hideMark/>
          </w:tcPr>
          <w:p w14:paraId="3B155A32"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3D32108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6C76B0CA" w14:textId="77777777" w:rsidTr="0000700F">
        <w:trPr>
          <w:trHeight w:val="255"/>
        </w:trPr>
        <w:tc>
          <w:tcPr>
            <w:tcW w:w="3369" w:type="pct"/>
            <w:tcBorders>
              <w:top w:val="nil"/>
              <w:left w:val="nil"/>
              <w:bottom w:val="nil"/>
              <w:right w:val="nil"/>
            </w:tcBorders>
            <w:shd w:val="clear" w:color="auto" w:fill="auto"/>
            <w:noWrap/>
            <w:vAlign w:val="bottom"/>
            <w:hideMark/>
          </w:tcPr>
          <w:p w14:paraId="492E212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Provisions</w:t>
            </w:r>
          </w:p>
        </w:tc>
        <w:tc>
          <w:tcPr>
            <w:tcW w:w="783" w:type="pct"/>
            <w:tcBorders>
              <w:top w:val="nil"/>
              <w:left w:val="nil"/>
              <w:bottom w:val="nil"/>
              <w:right w:val="nil"/>
            </w:tcBorders>
            <w:shd w:val="clear" w:color="auto" w:fill="auto"/>
            <w:noWrap/>
            <w:vAlign w:val="bottom"/>
            <w:hideMark/>
          </w:tcPr>
          <w:p w14:paraId="09BA774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23,965 </w:t>
            </w:r>
          </w:p>
        </w:tc>
        <w:tc>
          <w:tcPr>
            <w:tcW w:w="847" w:type="pct"/>
            <w:tcBorders>
              <w:top w:val="nil"/>
              <w:left w:val="nil"/>
              <w:bottom w:val="nil"/>
              <w:right w:val="nil"/>
            </w:tcBorders>
            <w:shd w:val="clear" w:color="auto" w:fill="auto"/>
            <w:noWrap/>
            <w:vAlign w:val="bottom"/>
            <w:hideMark/>
          </w:tcPr>
          <w:p w14:paraId="517E119E"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20,601 </w:t>
            </w:r>
          </w:p>
        </w:tc>
      </w:tr>
      <w:tr w:rsidR="0000700F" w:rsidRPr="00B94D34" w14:paraId="1CFB4CAD" w14:textId="77777777" w:rsidTr="0000700F">
        <w:trPr>
          <w:trHeight w:val="255"/>
        </w:trPr>
        <w:tc>
          <w:tcPr>
            <w:tcW w:w="3369" w:type="pct"/>
            <w:tcBorders>
              <w:top w:val="nil"/>
              <w:left w:val="nil"/>
              <w:bottom w:val="nil"/>
              <w:right w:val="nil"/>
            </w:tcBorders>
            <w:shd w:val="clear" w:color="auto" w:fill="auto"/>
            <w:noWrap/>
            <w:vAlign w:val="bottom"/>
            <w:hideMark/>
          </w:tcPr>
          <w:p w14:paraId="20691FC9"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Non-Current Liabilities</w:t>
            </w:r>
          </w:p>
        </w:tc>
        <w:tc>
          <w:tcPr>
            <w:tcW w:w="783" w:type="pct"/>
            <w:tcBorders>
              <w:top w:val="single" w:sz="4" w:space="0" w:color="auto"/>
              <w:left w:val="nil"/>
              <w:bottom w:val="single" w:sz="4" w:space="0" w:color="auto"/>
              <w:right w:val="nil"/>
            </w:tcBorders>
            <w:shd w:val="clear" w:color="auto" w:fill="auto"/>
            <w:noWrap/>
            <w:vAlign w:val="bottom"/>
            <w:hideMark/>
          </w:tcPr>
          <w:p w14:paraId="7BF512CB"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23,965 </w:t>
            </w:r>
          </w:p>
        </w:tc>
        <w:tc>
          <w:tcPr>
            <w:tcW w:w="847" w:type="pct"/>
            <w:tcBorders>
              <w:top w:val="single" w:sz="4" w:space="0" w:color="auto"/>
              <w:left w:val="nil"/>
              <w:bottom w:val="single" w:sz="4" w:space="0" w:color="auto"/>
              <w:right w:val="nil"/>
            </w:tcBorders>
            <w:shd w:val="clear" w:color="auto" w:fill="auto"/>
            <w:noWrap/>
            <w:vAlign w:val="bottom"/>
            <w:hideMark/>
          </w:tcPr>
          <w:p w14:paraId="03DEFF78"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20,601 </w:t>
            </w:r>
          </w:p>
        </w:tc>
      </w:tr>
      <w:tr w:rsidR="0000700F" w:rsidRPr="00B94D34" w14:paraId="058DDAB3" w14:textId="77777777" w:rsidTr="0000700F">
        <w:trPr>
          <w:trHeight w:val="255"/>
        </w:trPr>
        <w:tc>
          <w:tcPr>
            <w:tcW w:w="3369" w:type="pct"/>
            <w:tcBorders>
              <w:top w:val="nil"/>
              <w:left w:val="nil"/>
              <w:bottom w:val="nil"/>
              <w:right w:val="nil"/>
            </w:tcBorders>
            <w:shd w:val="clear" w:color="auto" w:fill="auto"/>
            <w:noWrap/>
            <w:vAlign w:val="bottom"/>
            <w:hideMark/>
          </w:tcPr>
          <w:p w14:paraId="6FB95785"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345F7EE1"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4E93576D"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9E03335" w14:textId="77777777" w:rsidTr="0000700F">
        <w:trPr>
          <w:trHeight w:val="255"/>
        </w:trPr>
        <w:tc>
          <w:tcPr>
            <w:tcW w:w="3369" w:type="pct"/>
            <w:tcBorders>
              <w:top w:val="nil"/>
              <w:left w:val="nil"/>
              <w:bottom w:val="nil"/>
              <w:right w:val="nil"/>
            </w:tcBorders>
            <w:shd w:val="clear" w:color="auto" w:fill="auto"/>
            <w:noWrap/>
            <w:vAlign w:val="bottom"/>
            <w:hideMark/>
          </w:tcPr>
          <w:p w14:paraId="2E0BC04C"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Liabilities</w:t>
            </w:r>
          </w:p>
        </w:tc>
        <w:tc>
          <w:tcPr>
            <w:tcW w:w="783" w:type="pct"/>
            <w:tcBorders>
              <w:top w:val="single" w:sz="4" w:space="0" w:color="auto"/>
              <w:left w:val="nil"/>
              <w:bottom w:val="single" w:sz="4" w:space="0" w:color="auto"/>
              <w:right w:val="nil"/>
            </w:tcBorders>
            <w:shd w:val="clear" w:color="auto" w:fill="auto"/>
            <w:noWrap/>
            <w:vAlign w:val="bottom"/>
            <w:hideMark/>
          </w:tcPr>
          <w:p w14:paraId="13DCF117"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31,173 </w:t>
            </w:r>
          </w:p>
        </w:tc>
        <w:tc>
          <w:tcPr>
            <w:tcW w:w="847" w:type="pct"/>
            <w:tcBorders>
              <w:top w:val="single" w:sz="4" w:space="0" w:color="auto"/>
              <w:left w:val="nil"/>
              <w:bottom w:val="single" w:sz="4" w:space="0" w:color="auto"/>
              <w:right w:val="nil"/>
            </w:tcBorders>
            <w:shd w:val="clear" w:color="auto" w:fill="auto"/>
            <w:noWrap/>
            <w:vAlign w:val="bottom"/>
            <w:hideMark/>
          </w:tcPr>
          <w:p w14:paraId="1E19ABCA"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26,810 </w:t>
            </w:r>
          </w:p>
        </w:tc>
      </w:tr>
      <w:tr w:rsidR="0000700F" w:rsidRPr="00B94D34" w14:paraId="26B45EFE" w14:textId="77777777" w:rsidTr="0000700F">
        <w:trPr>
          <w:trHeight w:val="255"/>
        </w:trPr>
        <w:tc>
          <w:tcPr>
            <w:tcW w:w="3369" w:type="pct"/>
            <w:tcBorders>
              <w:top w:val="nil"/>
              <w:left w:val="nil"/>
              <w:bottom w:val="nil"/>
              <w:right w:val="nil"/>
            </w:tcBorders>
            <w:shd w:val="clear" w:color="auto" w:fill="auto"/>
            <w:noWrap/>
            <w:vAlign w:val="bottom"/>
            <w:hideMark/>
          </w:tcPr>
          <w:p w14:paraId="09195565"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2BEDAEB4"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5853ECE8"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3410C9BC" w14:textId="77777777" w:rsidTr="0000700F">
        <w:trPr>
          <w:trHeight w:val="270"/>
        </w:trPr>
        <w:tc>
          <w:tcPr>
            <w:tcW w:w="3369" w:type="pct"/>
            <w:tcBorders>
              <w:top w:val="nil"/>
              <w:left w:val="nil"/>
              <w:bottom w:val="nil"/>
              <w:right w:val="nil"/>
            </w:tcBorders>
            <w:shd w:val="clear" w:color="auto" w:fill="auto"/>
            <w:noWrap/>
            <w:vAlign w:val="bottom"/>
            <w:hideMark/>
          </w:tcPr>
          <w:p w14:paraId="70AD0086"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NET ASSETS</w:t>
            </w:r>
          </w:p>
        </w:tc>
        <w:tc>
          <w:tcPr>
            <w:tcW w:w="783" w:type="pct"/>
            <w:tcBorders>
              <w:top w:val="single" w:sz="4" w:space="0" w:color="auto"/>
              <w:left w:val="nil"/>
              <w:bottom w:val="double" w:sz="6" w:space="0" w:color="auto"/>
              <w:right w:val="nil"/>
            </w:tcBorders>
            <w:shd w:val="clear" w:color="auto" w:fill="auto"/>
            <w:noWrap/>
            <w:vAlign w:val="bottom"/>
            <w:hideMark/>
          </w:tcPr>
          <w:p w14:paraId="37FA151C"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99,481 </w:t>
            </w:r>
          </w:p>
        </w:tc>
        <w:tc>
          <w:tcPr>
            <w:tcW w:w="847" w:type="pct"/>
            <w:tcBorders>
              <w:top w:val="single" w:sz="4" w:space="0" w:color="auto"/>
              <w:left w:val="nil"/>
              <w:bottom w:val="double" w:sz="6" w:space="0" w:color="auto"/>
              <w:right w:val="nil"/>
            </w:tcBorders>
            <w:shd w:val="clear" w:color="auto" w:fill="auto"/>
            <w:noWrap/>
            <w:vAlign w:val="bottom"/>
            <w:hideMark/>
          </w:tcPr>
          <w:p w14:paraId="1008938A"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104,623 </w:t>
            </w:r>
          </w:p>
        </w:tc>
      </w:tr>
      <w:tr w:rsidR="0000700F" w:rsidRPr="00B94D34" w14:paraId="47AB8F98" w14:textId="77777777" w:rsidTr="0000700F">
        <w:trPr>
          <w:trHeight w:val="270"/>
        </w:trPr>
        <w:tc>
          <w:tcPr>
            <w:tcW w:w="3369" w:type="pct"/>
            <w:tcBorders>
              <w:top w:val="nil"/>
              <w:left w:val="nil"/>
              <w:bottom w:val="nil"/>
              <w:right w:val="nil"/>
            </w:tcBorders>
            <w:shd w:val="clear" w:color="auto" w:fill="auto"/>
            <w:noWrap/>
            <w:vAlign w:val="bottom"/>
            <w:hideMark/>
          </w:tcPr>
          <w:p w14:paraId="0317F868"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49A16FB8"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5147B9B1"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586C4BC8" w14:textId="77777777" w:rsidTr="0000700F">
        <w:trPr>
          <w:trHeight w:val="255"/>
        </w:trPr>
        <w:tc>
          <w:tcPr>
            <w:tcW w:w="3369" w:type="pct"/>
            <w:tcBorders>
              <w:top w:val="nil"/>
              <w:left w:val="nil"/>
              <w:bottom w:val="nil"/>
              <w:right w:val="nil"/>
            </w:tcBorders>
            <w:shd w:val="clear" w:color="auto" w:fill="auto"/>
            <w:noWrap/>
            <w:vAlign w:val="bottom"/>
            <w:hideMark/>
          </w:tcPr>
          <w:p w14:paraId="1BB0A153"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EQUITY</w:t>
            </w:r>
          </w:p>
        </w:tc>
        <w:tc>
          <w:tcPr>
            <w:tcW w:w="783" w:type="pct"/>
            <w:tcBorders>
              <w:top w:val="nil"/>
              <w:left w:val="nil"/>
              <w:bottom w:val="nil"/>
              <w:right w:val="nil"/>
            </w:tcBorders>
            <w:shd w:val="clear" w:color="auto" w:fill="auto"/>
            <w:noWrap/>
            <w:vAlign w:val="bottom"/>
            <w:hideMark/>
          </w:tcPr>
          <w:p w14:paraId="62299E3B"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71A8164C"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74BFD33A" w14:textId="77777777" w:rsidTr="0000700F">
        <w:trPr>
          <w:trHeight w:val="255"/>
        </w:trPr>
        <w:tc>
          <w:tcPr>
            <w:tcW w:w="3369" w:type="pct"/>
            <w:tcBorders>
              <w:top w:val="nil"/>
              <w:left w:val="nil"/>
              <w:bottom w:val="nil"/>
              <w:right w:val="nil"/>
            </w:tcBorders>
            <w:shd w:val="clear" w:color="auto" w:fill="auto"/>
            <w:noWrap/>
            <w:vAlign w:val="bottom"/>
            <w:hideMark/>
          </w:tcPr>
          <w:p w14:paraId="4DA4205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Reserves</w:t>
            </w:r>
          </w:p>
        </w:tc>
        <w:tc>
          <w:tcPr>
            <w:tcW w:w="783" w:type="pct"/>
            <w:tcBorders>
              <w:top w:val="nil"/>
              <w:left w:val="nil"/>
              <w:bottom w:val="nil"/>
              <w:right w:val="nil"/>
            </w:tcBorders>
            <w:shd w:val="clear" w:color="auto" w:fill="auto"/>
            <w:noWrap/>
            <w:vAlign w:val="bottom"/>
            <w:hideMark/>
          </w:tcPr>
          <w:p w14:paraId="2C792D3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16,190 </w:t>
            </w:r>
          </w:p>
        </w:tc>
        <w:tc>
          <w:tcPr>
            <w:tcW w:w="847" w:type="pct"/>
            <w:tcBorders>
              <w:top w:val="nil"/>
              <w:left w:val="nil"/>
              <w:bottom w:val="nil"/>
              <w:right w:val="nil"/>
            </w:tcBorders>
            <w:shd w:val="clear" w:color="auto" w:fill="auto"/>
            <w:noWrap/>
            <w:vAlign w:val="bottom"/>
            <w:hideMark/>
          </w:tcPr>
          <w:p w14:paraId="3FC7F2F1"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14,363 </w:t>
            </w:r>
          </w:p>
        </w:tc>
      </w:tr>
      <w:tr w:rsidR="0000700F" w:rsidRPr="00B94D34" w14:paraId="6CB4D65B" w14:textId="77777777" w:rsidTr="0000700F">
        <w:trPr>
          <w:trHeight w:val="255"/>
        </w:trPr>
        <w:tc>
          <w:tcPr>
            <w:tcW w:w="3369" w:type="pct"/>
            <w:tcBorders>
              <w:top w:val="nil"/>
              <w:left w:val="nil"/>
              <w:bottom w:val="nil"/>
              <w:right w:val="nil"/>
            </w:tcBorders>
            <w:shd w:val="clear" w:color="auto" w:fill="auto"/>
            <w:noWrap/>
            <w:vAlign w:val="bottom"/>
            <w:hideMark/>
          </w:tcPr>
          <w:p w14:paraId="7E174370"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Retained earnings</w:t>
            </w:r>
          </w:p>
        </w:tc>
        <w:tc>
          <w:tcPr>
            <w:tcW w:w="783" w:type="pct"/>
            <w:tcBorders>
              <w:top w:val="nil"/>
              <w:left w:val="nil"/>
              <w:bottom w:val="nil"/>
              <w:right w:val="nil"/>
            </w:tcBorders>
            <w:shd w:val="clear" w:color="auto" w:fill="auto"/>
            <w:noWrap/>
            <w:vAlign w:val="bottom"/>
            <w:hideMark/>
          </w:tcPr>
          <w:p w14:paraId="5D832B21"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83,291 </w:t>
            </w:r>
          </w:p>
        </w:tc>
        <w:tc>
          <w:tcPr>
            <w:tcW w:w="847" w:type="pct"/>
            <w:tcBorders>
              <w:top w:val="nil"/>
              <w:left w:val="nil"/>
              <w:bottom w:val="nil"/>
              <w:right w:val="nil"/>
            </w:tcBorders>
            <w:shd w:val="clear" w:color="auto" w:fill="auto"/>
            <w:noWrap/>
            <w:vAlign w:val="bottom"/>
            <w:hideMark/>
          </w:tcPr>
          <w:p w14:paraId="0C1A6C2E"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90,260 </w:t>
            </w:r>
          </w:p>
        </w:tc>
      </w:tr>
      <w:tr w:rsidR="0000700F" w:rsidRPr="00B94D34" w14:paraId="6DD6896C" w14:textId="77777777" w:rsidTr="0000700F">
        <w:trPr>
          <w:trHeight w:val="270"/>
        </w:trPr>
        <w:tc>
          <w:tcPr>
            <w:tcW w:w="3369" w:type="pct"/>
            <w:tcBorders>
              <w:top w:val="nil"/>
              <w:left w:val="nil"/>
              <w:bottom w:val="nil"/>
              <w:right w:val="nil"/>
            </w:tcBorders>
            <w:shd w:val="clear" w:color="auto" w:fill="auto"/>
            <w:noWrap/>
            <w:vAlign w:val="bottom"/>
            <w:hideMark/>
          </w:tcPr>
          <w:p w14:paraId="7090635B"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Total Equity</w:t>
            </w:r>
          </w:p>
        </w:tc>
        <w:tc>
          <w:tcPr>
            <w:tcW w:w="783" w:type="pct"/>
            <w:tcBorders>
              <w:top w:val="single" w:sz="4" w:space="0" w:color="auto"/>
              <w:left w:val="nil"/>
              <w:bottom w:val="double" w:sz="6" w:space="0" w:color="auto"/>
              <w:right w:val="nil"/>
            </w:tcBorders>
            <w:shd w:val="clear" w:color="auto" w:fill="auto"/>
            <w:noWrap/>
            <w:vAlign w:val="bottom"/>
            <w:hideMark/>
          </w:tcPr>
          <w:p w14:paraId="6E409577"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99,481 </w:t>
            </w:r>
          </w:p>
        </w:tc>
        <w:tc>
          <w:tcPr>
            <w:tcW w:w="847" w:type="pct"/>
            <w:tcBorders>
              <w:top w:val="single" w:sz="4" w:space="0" w:color="auto"/>
              <w:left w:val="nil"/>
              <w:bottom w:val="double" w:sz="6" w:space="0" w:color="auto"/>
              <w:right w:val="nil"/>
            </w:tcBorders>
            <w:shd w:val="clear" w:color="auto" w:fill="auto"/>
            <w:noWrap/>
            <w:vAlign w:val="bottom"/>
            <w:hideMark/>
          </w:tcPr>
          <w:p w14:paraId="3EB2D65D" w14:textId="77777777" w:rsidR="0000700F" w:rsidRPr="00B94D34" w:rsidRDefault="0000700F" w:rsidP="0000700F">
            <w:pPr>
              <w:keepLines w:val="0"/>
              <w:spacing w:after="0" w:line="240" w:lineRule="auto"/>
              <w:jc w:val="center"/>
              <w:rPr>
                <w:rFonts w:cs="Arial"/>
                <w:b/>
                <w:bCs/>
                <w:sz w:val="18"/>
                <w:szCs w:val="18"/>
                <w:lang w:eastAsia="en-AU"/>
              </w:rPr>
            </w:pPr>
            <w:r w:rsidRPr="00B94D34">
              <w:rPr>
                <w:rFonts w:cs="Arial"/>
                <w:b/>
                <w:bCs/>
                <w:sz w:val="18"/>
                <w:szCs w:val="18"/>
                <w:lang w:eastAsia="en-AU"/>
              </w:rPr>
              <w:t xml:space="preserve">            104,623 </w:t>
            </w:r>
          </w:p>
        </w:tc>
      </w:tr>
      <w:tr w:rsidR="0000700F" w:rsidRPr="00B94D34" w14:paraId="5CAB6CF5" w14:textId="77777777" w:rsidTr="0000700F">
        <w:trPr>
          <w:trHeight w:val="270"/>
        </w:trPr>
        <w:tc>
          <w:tcPr>
            <w:tcW w:w="3369" w:type="pct"/>
            <w:tcBorders>
              <w:top w:val="nil"/>
              <w:left w:val="nil"/>
              <w:bottom w:val="nil"/>
              <w:right w:val="nil"/>
            </w:tcBorders>
            <w:shd w:val="clear" w:color="auto" w:fill="auto"/>
            <w:noWrap/>
            <w:vAlign w:val="bottom"/>
            <w:hideMark/>
          </w:tcPr>
          <w:p w14:paraId="5A62D3B1" w14:textId="77777777" w:rsidR="0000700F" w:rsidRPr="00B94D34" w:rsidRDefault="0000700F" w:rsidP="0000700F">
            <w:pPr>
              <w:keepLines w:val="0"/>
              <w:spacing w:after="0" w:line="240" w:lineRule="auto"/>
              <w:jc w:val="center"/>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1C601707"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2D60265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9E41B81" w14:textId="77777777" w:rsidTr="0000700F">
        <w:trPr>
          <w:trHeight w:val="255"/>
        </w:trPr>
        <w:tc>
          <w:tcPr>
            <w:tcW w:w="3369" w:type="pct"/>
            <w:tcBorders>
              <w:top w:val="nil"/>
              <w:left w:val="nil"/>
              <w:bottom w:val="nil"/>
              <w:right w:val="nil"/>
            </w:tcBorders>
            <w:shd w:val="clear" w:color="auto" w:fill="auto"/>
            <w:noWrap/>
            <w:vAlign w:val="bottom"/>
            <w:hideMark/>
          </w:tcPr>
          <w:p w14:paraId="377FEA4A"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c>
          <w:tcPr>
            <w:tcW w:w="783" w:type="pct"/>
            <w:tcBorders>
              <w:top w:val="nil"/>
              <w:left w:val="nil"/>
              <w:bottom w:val="nil"/>
              <w:right w:val="nil"/>
            </w:tcBorders>
            <w:shd w:val="clear" w:color="auto" w:fill="auto"/>
            <w:noWrap/>
            <w:vAlign w:val="bottom"/>
            <w:hideMark/>
          </w:tcPr>
          <w:p w14:paraId="414BF951"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2018</w:t>
            </w:r>
          </w:p>
        </w:tc>
        <w:tc>
          <w:tcPr>
            <w:tcW w:w="847" w:type="pct"/>
            <w:tcBorders>
              <w:top w:val="nil"/>
              <w:left w:val="nil"/>
              <w:bottom w:val="nil"/>
              <w:right w:val="nil"/>
            </w:tcBorders>
            <w:shd w:val="clear" w:color="auto" w:fill="auto"/>
            <w:noWrap/>
            <w:vAlign w:val="bottom"/>
            <w:hideMark/>
          </w:tcPr>
          <w:p w14:paraId="1AA86980"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2019</w:t>
            </w:r>
          </w:p>
        </w:tc>
      </w:tr>
      <w:tr w:rsidR="0000700F" w:rsidRPr="00B94D34" w14:paraId="16B319E8" w14:textId="77777777" w:rsidTr="0000700F">
        <w:trPr>
          <w:trHeight w:val="255"/>
        </w:trPr>
        <w:tc>
          <w:tcPr>
            <w:tcW w:w="3369" w:type="pct"/>
            <w:tcBorders>
              <w:top w:val="nil"/>
              <w:left w:val="nil"/>
              <w:bottom w:val="nil"/>
              <w:right w:val="nil"/>
            </w:tcBorders>
            <w:shd w:val="clear" w:color="auto" w:fill="auto"/>
            <w:noWrap/>
            <w:vAlign w:val="bottom"/>
            <w:hideMark/>
          </w:tcPr>
          <w:p w14:paraId="4F00130E" w14:textId="77777777" w:rsidR="0000700F" w:rsidRPr="00B94D34" w:rsidRDefault="0000700F" w:rsidP="0000700F">
            <w:pPr>
              <w:keepLines w:val="0"/>
              <w:spacing w:after="0" w:line="240" w:lineRule="auto"/>
              <w:jc w:val="right"/>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50E7EF34"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c>
          <w:tcPr>
            <w:tcW w:w="847" w:type="pct"/>
            <w:tcBorders>
              <w:top w:val="nil"/>
              <w:left w:val="nil"/>
              <w:bottom w:val="nil"/>
              <w:right w:val="nil"/>
            </w:tcBorders>
            <w:shd w:val="clear" w:color="auto" w:fill="auto"/>
            <w:noWrap/>
            <w:vAlign w:val="bottom"/>
            <w:hideMark/>
          </w:tcPr>
          <w:p w14:paraId="6CD0860A" w14:textId="77777777" w:rsidR="0000700F" w:rsidRPr="00B94D34" w:rsidRDefault="0000700F" w:rsidP="0000700F">
            <w:pPr>
              <w:keepLines w:val="0"/>
              <w:spacing w:after="0" w:line="240" w:lineRule="auto"/>
              <w:jc w:val="right"/>
              <w:rPr>
                <w:rFonts w:cs="Arial"/>
                <w:b/>
                <w:bCs/>
                <w:sz w:val="18"/>
                <w:szCs w:val="18"/>
                <w:lang w:eastAsia="en-AU"/>
              </w:rPr>
            </w:pPr>
            <w:r w:rsidRPr="00B94D34">
              <w:rPr>
                <w:rFonts w:cs="Arial"/>
                <w:b/>
                <w:bCs/>
                <w:sz w:val="18"/>
                <w:szCs w:val="18"/>
                <w:lang w:eastAsia="en-AU"/>
              </w:rPr>
              <w:t>$000</w:t>
            </w:r>
          </w:p>
        </w:tc>
      </w:tr>
      <w:tr w:rsidR="0000700F" w:rsidRPr="00B94D34" w14:paraId="15FA5C76" w14:textId="77777777" w:rsidTr="0000700F">
        <w:trPr>
          <w:trHeight w:val="255"/>
        </w:trPr>
        <w:tc>
          <w:tcPr>
            <w:tcW w:w="3369" w:type="pct"/>
            <w:tcBorders>
              <w:top w:val="nil"/>
              <w:left w:val="nil"/>
              <w:bottom w:val="nil"/>
              <w:right w:val="nil"/>
            </w:tcBorders>
            <w:shd w:val="clear" w:color="auto" w:fill="auto"/>
            <w:noWrap/>
            <w:vAlign w:val="bottom"/>
            <w:hideMark/>
          </w:tcPr>
          <w:p w14:paraId="6FF59EE3" w14:textId="77777777" w:rsidR="0000700F" w:rsidRPr="00B94D34" w:rsidRDefault="0000700F" w:rsidP="0000700F">
            <w:pPr>
              <w:keepLines w:val="0"/>
              <w:spacing w:after="0" w:line="240" w:lineRule="auto"/>
              <w:jc w:val="right"/>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3CDD60DA"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13D964BD"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37560EB6" w14:textId="77777777" w:rsidTr="0000700F">
        <w:trPr>
          <w:trHeight w:val="255"/>
        </w:trPr>
        <w:tc>
          <w:tcPr>
            <w:tcW w:w="3369" w:type="pct"/>
            <w:tcBorders>
              <w:top w:val="nil"/>
              <w:left w:val="nil"/>
              <w:bottom w:val="nil"/>
              <w:right w:val="nil"/>
            </w:tcBorders>
            <w:shd w:val="clear" w:color="auto" w:fill="auto"/>
            <w:noWrap/>
            <w:vAlign w:val="bottom"/>
            <w:hideMark/>
          </w:tcPr>
          <w:p w14:paraId="40B9DE61" w14:textId="77777777" w:rsidR="0000700F" w:rsidRPr="00B94D34" w:rsidRDefault="0000700F" w:rsidP="0000700F">
            <w:pPr>
              <w:keepLines w:val="0"/>
              <w:spacing w:after="0" w:line="240" w:lineRule="auto"/>
              <w:rPr>
                <w:rFonts w:cs="Arial"/>
                <w:b/>
                <w:bCs/>
                <w:sz w:val="20"/>
                <w:szCs w:val="20"/>
                <w:lang w:eastAsia="en-AU"/>
              </w:rPr>
            </w:pPr>
            <w:r w:rsidRPr="00B94D34">
              <w:rPr>
                <w:rFonts w:cs="Arial"/>
                <w:b/>
                <w:bCs/>
                <w:sz w:val="20"/>
                <w:szCs w:val="20"/>
                <w:lang w:eastAsia="en-AU"/>
              </w:rPr>
              <w:t>STATEMENT OF CASH FLOWS</w:t>
            </w:r>
          </w:p>
        </w:tc>
        <w:tc>
          <w:tcPr>
            <w:tcW w:w="783" w:type="pct"/>
            <w:tcBorders>
              <w:top w:val="nil"/>
              <w:left w:val="nil"/>
              <w:bottom w:val="nil"/>
              <w:right w:val="nil"/>
            </w:tcBorders>
            <w:shd w:val="clear" w:color="auto" w:fill="auto"/>
            <w:noWrap/>
            <w:vAlign w:val="bottom"/>
            <w:hideMark/>
          </w:tcPr>
          <w:p w14:paraId="3594FBF7" w14:textId="77777777" w:rsidR="0000700F" w:rsidRPr="00B94D34" w:rsidRDefault="0000700F" w:rsidP="0000700F">
            <w:pPr>
              <w:keepLines w:val="0"/>
              <w:spacing w:after="0" w:line="240" w:lineRule="auto"/>
              <w:rPr>
                <w:rFonts w:cs="Arial"/>
                <w:b/>
                <w:bCs/>
                <w:sz w:val="20"/>
                <w:szCs w:val="20"/>
                <w:lang w:eastAsia="en-AU"/>
              </w:rPr>
            </w:pPr>
          </w:p>
        </w:tc>
        <w:tc>
          <w:tcPr>
            <w:tcW w:w="847" w:type="pct"/>
            <w:tcBorders>
              <w:top w:val="nil"/>
              <w:left w:val="nil"/>
              <w:bottom w:val="nil"/>
              <w:right w:val="nil"/>
            </w:tcBorders>
            <w:shd w:val="clear" w:color="auto" w:fill="auto"/>
            <w:noWrap/>
            <w:vAlign w:val="bottom"/>
            <w:hideMark/>
          </w:tcPr>
          <w:p w14:paraId="2F930C92"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2F5D02C" w14:textId="77777777" w:rsidTr="0000700F">
        <w:trPr>
          <w:trHeight w:val="255"/>
        </w:trPr>
        <w:tc>
          <w:tcPr>
            <w:tcW w:w="3369" w:type="pct"/>
            <w:tcBorders>
              <w:top w:val="nil"/>
              <w:left w:val="nil"/>
              <w:bottom w:val="nil"/>
              <w:right w:val="nil"/>
            </w:tcBorders>
            <w:shd w:val="clear" w:color="auto" w:fill="auto"/>
            <w:noWrap/>
            <w:vAlign w:val="bottom"/>
            <w:hideMark/>
          </w:tcPr>
          <w:p w14:paraId="7B7F3581"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783" w:type="pct"/>
            <w:tcBorders>
              <w:top w:val="nil"/>
              <w:left w:val="nil"/>
              <w:bottom w:val="nil"/>
              <w:right w:val="nil"/>
            </w:tcBorders>
            <w:shd w:val="clear" w:color="auto" w:fill="auto"/>
            <w:noWrap/>
            <w:vAlign w:val="bottom"/>
            <w:hideMark/>
          </w:tcPr>
          <w:p w14:paraId="5A348A73"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2CB04FE5"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359AA043" w14:textId="77777777" w:rsidTr="0000700F">
        <w:trPr>
          <w:trHeight w:val="255"/>
        </w:trPr>
        <w:tc>
          <w:tcPr>
            <w:tcW w:w="3369" w:type="pct"/>
            <w:tcBorders>
              <w:top w:val="nil"/>
              <w:left w:val="nil"/>
              <w:bottom w:val="nil"/>
              <w:right w:val="nil"/>
            </w:tcBorders>
            <w:shd w:val="clear" w:color="auto" w:fill="auto"/>
            <w:noWrap/>
            <w:vAlign w:val="bottom"/>
            <w:hideMark/>
          </w:tcPr>
          <w:p w14:paraId="2B3FE281"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CASH FLOWS FROM OPERATING ACTIVITIES</w:t>
            </w:r>
          </w:p>
        </w:tc>
        <w:tc>
          <w:tcPr>
            <w:tcW w:w="783" w:type="pct"/>
            <w:tcBorders>
              <w:top w:val="nil"/>
              <w:left w:val="nil"/>
              <w:bottom w:val="nil"/>
              <w:right w:val="nil"/>
            </w:tcBorders>
            <w:shd w:val="clear" w:color="auto" w:fill="auto"/>
            <w:noWrap/>
            <w:vAlign w:val="bottom"/>
            <w:hideMark/>
          </w:tcPr>
          <w:p w14:paraId="4CE14362"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78E2F33F"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2196A36A" w14:textId="77777777" w:rsidTr="0000700F">
        <w:trPr>
          <w:trHeight w:val="255"/>
        </w:trPr>
        <w:tc>
          <w:tcPr>
            <w:tcW w:w="3369" w:type="pct"/>
            <w:tcBorders>
              <w:top w:val="nil"/>
              <w:left w:val="nil"/>
              <w:bottom w:val="nil"/>
              <w:right w:val="nil"/>
            </w:tcBorders>
            <w:shd w:val="clear" w:color="auto" w:fill="auto"/>
            <w:noWrap/>
            <w:vAlign w:val="bottom"/>
            <w:hideMark/>
          </w:tcPr>
          <w:p w14:paraId="0803053B"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Receipts</w:t>
            </w:r>
          </w:p>
        </w:tc>
        <w:tc>
          <w:tcPr>
            <w:tcW w:w="783" w:type="pct"/>
            <w:tcBorders>
              <w:top w:val="nil"/>
              <w:left w:val="nil"/>
              <w:bottom w:val="nil"/>
              <w:right w:val="nil"/>
            </w:tcBorders>
            <w:shd w:val="clear" w:color="auto" w:fill="auto"/>
            <w:noWrap/>
            <w:vAlign w:val="bottom"/>
            <w:hideMark/>
          </w:tcPr>
          <w:p w14:paraId="76EC6892"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66749575"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6F6037A" w14:textId="77777777" w:rsidTr="0000700F">
        <w:trPr>
          <w:trHeight w:val="255"/>
        </w:trPr>
        <w:tc>
          <w:tcPr>
            <w:tcW w:w="3369" w:type="pct"/>
            <w:tcBorders>
              <w:top w:val="nil"/>
              <w:left w:val="nil"/>
              <w:bottom w:val="nil"/>
              <w:right w:val="nil"/>
            </w:tcBorders>
            <w:shd w:val="clear" w:color="auto" w:fill="auto"/>
            <w:noWrap/>
            <w:vAlign w:val="bottom"/>
            <w:hideMark/>
          </w:tcPr>
          <w:p w14:paraId="2B07E14A"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Supplementation Fund receipts</w:t>
            </w:r>
          </w:p>
        </w:tc>
        <w:tc>
          <w:tcPr>
            <w:tcW w:w="783" w:type="pct"/>
            <w:tcBorders>
              <w:top w:val="nil"/>
              <w:left w:val="nil"/>
              <w:bottom w:val="nil"/>
              <w:right w:val="nil"/>
            </w:tcBorders>
            <w:shd w:val="clear" w:color="auto" w:fill="auto"/>
            <w:noWrap/>
            <w:vAlign w:val="bottom"/>
            <w:hideMark/>
          </w:tcPr>
          <w:p w14:paraId="685AAE2B"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79D8A31A"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1CBA2072" w14:textId="77777777" w:rsidTr="0000700F">
        <w:trPr>
          <w:trHeight w:val="255"/>
        </w:trPr>
        <w:tc>
          <w:tcPr>
            <w:tcW w:w="3369" w:type="pct"/>
            <w:tcBorders>
              <w:top w:val="nil"/>
              <w:left w:val="nil"/>
              <w:bottom w:val="nil"/>
              <w:right w:val="nil"/>
            </w:tcBorders>
            <w:shd w:val="clear" w:color="auto" w:fill="auto"/>
            <w:noWrap/>
            <w:vAlign w:val="bottom"/>
            <w:hideMark/>
          </w:tcPr>
          <w:p w14:paraId="26F00982"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Insurer contributions</w:t>
            </w:r>
          </w:p>
        </w:tc>
        <w:tc>
          <w:tcPr>
            <w:tcW w:w="783" w:type="pct"/>
            <w:tcBorders>
              <w:top w:val="nil"/>
              <w:left w:val="nil"/>
              <w:bottom w:val="nil"/>
              <w:right w:val="nil"/>
            </w:tcBorders>
            <w:shd w:val="clear" w:color="auto" w:fill="auto"/>
            <w:noWrap/>
            <w:vAlign w:val="bottom"/>
            <w:hideMark/>
          </w:tcPr>
          <w:p w14:paraId="61A97DD1"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19,883 </w:t>
            </w:r>
          </w:p>
        </w:tc>
        <w:tc>
          <w:tcPr>
            <w:tcW w:w="847" w:type="pct"/>
            <w:tcBorders>
              <w:top w:val="nil"/>
              <w:left w:val="nil"/>
              <w:bottom w:val="nil"/>
              <w:right w:val="nil"/>
            </w:tcBorders>
            <w:shd w:val="clear" w:color="auto" w:fill="auto"/>
            <w:noWrap/>
            <w:vAlign w:val="bottom"/>
            <w:hideMark/>
          </w:tcPr>
          <w:p w14:paraId="3E4CA09B"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17,392 </w:t>
            </w:r>
          </w:p>
        </w:tc>
      </w:tr>
      <w:tr w:rsidR="0000700F" w:rsidRPr="00B94D34" w14:paraId="57D6E9AD" w14:textId="77777777" w:rsidTr="0000700F">
        <w:trPr>
          <w:trHeight w:val="255"/>
        </w:trPr>
        <w:tc>
          <w:tcPr>
            <w:tcW w:w="3369" w:type="pct"/>
            <w:tcBorders>
              <w:top w:val="nil"/>
              <w:left w:val="nil"/>
              <w:bottom w:val="nil"/>
              <w:right w:val="nil"/>
            </w:tcBorders>
            <w:shd w:val="clear" w:color="auto" w:fill="auto"/>
            <w:noWrap/>
            <w:vAlign w:val="bottom"/>
            <w:hideMark/>
          </w:tcPr>
          <w:p w14:paraId="2B7B697E"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Provision of services</w:t>
            </w:r>
          </w:p>
        </w:tc>
        <w:tc>
          <w:tcPr>
            <w:tcW w:w="783" w:type="pct"/>
            <w:tcBorders>
              <w:top w:val="nil"/>
              <w:left w:val="nil"/>
              <w:bottom w:val="nil"/>
              <w:right w:val="nil"/>
            </w:tcBorders>
            <w:shd w:val="clear" w:color="auto" w:fill="auto"/>
            <w:noWrap/>
            <w:vAlign w:val="bottom"/>
            <w:hideMark/>
          </w:tcPr>
          <w:p w14:paraId="388AC37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14 </w:t>
            </w:r>
          </w:p>
        </w:tc>
        <w:tc>
          <w:tcPr>
            <w:tcW w:w="847" w:type="pct"/>
            <w:tcBorders>
              <w:top w:val="nil"/>
              <w:left w:val="nil"/>
              <w:bottom w:val="nil"/>
              <w:right w:val="nil"/>
            </w:tcBorders>
            <w:shd w:val="clear" w:color="auto" w:fill="auto"/>
            <w:noWrap/>
            <w:vAlign w:val="bottom"/>
            <w:hideMark/>
          </w:tcPr>
          <w:p w14:paraId="3E798B0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11 </w:t>
            </w:r>
          </w:p>
        </w:tc>
      </w:tr>
      <w:tr w:rsidR="0000700F" w:rsidRPr="00B94D34" w14:paraId="4EF14B3C" w14:textId="77777777" w:rsidTr="0000700F">
        <w:trPr>
          <w:trHeight w:val="255"/>
        </w:trPr>
        <w:tc>
          <w:tcPr>
            <w:tcW w:w="3369" w:type="pct"/>
            <w:tcBorders>
              <w:top w:val="nil"/>
              <w:left w:val="nil"/>
              <w:bottom w:val="nil"/>
              <w:right w:val="nil"/>
            </w:tcBorders>
            <w:shd w:val="clear" w:color="auto" w:fill="auto"/>
            <w:noWrap/>
            <w:vAlign w:val="bottom"/>
            <w:hideMark/>
          </w:tcPr>
          <w:p w14:paraId="6ACF67CA"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Interest received</w:t>
            </w:r>
          </w:p>
        </w:tc>
        <w:tc>
          <w:tcPr>
            <w:tcW w:w="783" w:type="pct"/>
            <w:tcBorders>
              <w:top w:val="nil"/>
              <w:left w:val="nil"/>
              <w:bottom w:val="nil"/>
              <w:right w:val="nil"/>
            </w:tcBorders>
            <w:shd w:val="clear" w:color="auto" w:fill="auto"/>
            <w:noWrap/>
            <w:vAlign w:val="bottom"/>
            <w:hideMark/>
          </w:tcPr>
          <w:p w14:paraId="31CD975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2,411 </w:t>
            </w:r>
          </w:p>
        </w:tc>
        <w:tc>
          <w:tcPr>
            <w:tcW w:w="847" w:type="pct"/>
            <w:tcBorders>
              <w:top w:val="nil"/>
              <w:left w:val="nil"/>
              <w:bottom w:val="nil"/>
              <w:right w:val="nil"/>
            </w:tcBorders>
            <w:shd w:val="clear" w:color="auto" w:fill="auto"/>
            <w:noWrap/>
            <w:vAlign w:val="bottom"/>
            <w:hideMark/>
          </w:tcPr>
          <w:p w14:paraId="373387E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2,261 </w:t>
            </w:r>
          </w:p>
        </w:tc>
      </w:tr>
      <w:tr w:rsidR="0000700F" w:rsidRPr="00B94D34" w14:paraId="78CCB8A7" w14:textId="77777777" w:rsidTr="0000700F">
        <w:trPr>
          <w:trHeight w:val="255"/>
        </w:trPr>
        <w:tc>
          <w:tcPr>
            <w:tcW w:w="3369" w:type="pct"/>
            <w:tcBorders>
              <w:top w:val="nil"/>
              <w:left w:val="nil"/>
              <w:bottom w:val="nil"/>
              <w:right w:val="nil"/>
            </w:tcBorders>
            <w:shd w:val="clear" w:color="auto" w:fill="auto"/>
            <w:noWrap/>
            <w:vAlign w:val="bottom"/>
            <w:hideMark/>
          </w:tcPr>
          <w:p w14:paraId="19E01DFB"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GST receipts on sales</w:t>
            </w:r>
          </w:p>
        </w:tc>
        <w:tc>
          <w:tcPr>
            <w:tcW w:w="783" w:type="pct"/>
            <w:tcBorders>
              <w:top w:val="nil"/>
              <w:left w:val="nil"/>
              <w:bottom w:val="nil"/>
              <w:right w:val="nil"/>
            </w:tcBorders>
            <w:shd w:val="clear" w:color="auto" w:fill="auto"/>
            <w:noWrap/>
            <w:vAlign w:val="bottom"/>
            <w:hideMark/>
          </w:tcPr>
          <w:p w14:paraId="45EAF03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610E3323"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3714F222" w14:textId="77777777" w:rsidTr="0000700F">
        <w:trPr>
          <w:trHeight w:val="255"/>
        </w:trPr>
        <w:tc>
          <w:tcPr>
            <w:tcW w:w="3369" w:type="pct"/>
            <w:tcBorders>
              <w:top w:val="nil"/>
              <w:left w:val="nil"/>
              <w:bottom w:val="nil"/>
              <w:right w:val="nil"/>
            </w:tcBorders>
            <w:shd w:val="clear" w:color="auto" w:fill="auto"/>
            <w:noWrap/>
            <w:vAlign w:val="bottom"/>
            <w:hideMark/>
          </w:tcPr>
          <w:p w14:paraId="60D4D0EF"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GST receipts from taxation authority</w:t>
            </w:r>
          </w:p>
        </w:tc>
        <w:tc>
          <w:tcPr>
            <w:tcW w:w="783" w:type="pct"/>
            <w:tcBorders>
              <w:top w:val="nil"/>
              <w:left w:val="nil"/>
              <w:bottom w:val="nil"/>
              <w:right w:val="nil"/>
            </w:tcBorders>
            <w:shd w:val="clear" w:color="auto" w:fill="auto"/>
            <w:noWrap/>
            <w:vAlign w:val="bottom"/>
            <w:hideMark/>
          </w:tcPr>
          <w:p w14:paraId="5F603AD0"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09BD1D2D"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145E6329" w14:textId="77777777" w:rsidTr="0000700F">
        <w:trPr>
          <w:trHeight w:val="255"/>
        </w:trPr>
        <w:tc>
          <w:tcPr>
            <w:tcW w:w="3369" w:type="pct"/>
            <w:tcBorders>
              <w:top w:val="nil"/>
              <w:left w:val="nil"/>
              <w:bottom w:val="nil"/>
              <w:right w:val="nil"/>
            </w:tcBorders>
            <w:shd w:val="clear" w:color="auto" w:fill="auto"/>
            <w:noWrap/>
            <w:vAlign w:val="bottom"/>
            <w:hideMark/>
          </w:tcPr>
          <w:p w14:paraId="3999D154"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Other receipts</w:t>
            </w:r>
          </w:p>
        </w:tc>
        <w:tc>
          <w:tcPr>
            <w:tcW w:w="783" w:type="pct"/>
            <w:tcBorders>
              <w:top w:val="nil"/>
              <w:left w:val="nil"/>
              <w:bottom w:val="nil"/>
              <w:right w:val="nil"/>
            </w:tcBorders>
            <w:shd w:val="clear" w:color="auto" w:fill="auto"/>
            <w:noWrap/>
            <w:vAlign w:val="bottom"/>
            <w:hideMark/>
          </w:tcPr>
          <w:p w14:paraId="5D004839"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1,511 </w:t>
            </w:r>
          </w:p>
        </w:tc>
        <w:tc>
          <w:tcPr>
            <w:tcW w:w="847" w:type="pct"/>
            <w:tcBorders>
              <w:top w:val="nil"/>
              <w:left w:val="nil"/>
              <w:bottom w:val="nil"/>
              <w:right w:val="nil"/>
            </w:tcBorders>
            <w:shd w:val="clear" w:color="auto" w:fill="auto"/>
            <w:noWrap/>
            <w:vAlign w:val="bottom"/>
            <w:hideMark/>
          </w:tcPr>
          <w:p w14:paraId="6EDFA233"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1,260 </w:t>
            </w:r>
          </w:p>
        </w:tc>
      </w:tr>
      <w:tr w:rsidR="0000700F" w:rsidRPr="00B94D34" w14:paraId="7F6DBAC6" w14:textId="77777777" w:rsidTr="0000700F">
        <w:trPr>
          <w:trHeight w:val="255"/>
        </w:trPr>
        <w:tc>
          <w:tcPr>
            <w:tcW w:w="3369" w:type="pct"/>
            <w:tcBorders>
              <w:top w:val="nil"/>
              <w:left w:val="nil"/>
              <w:bottom w:val="nil"/>
              <w:right w:val="nil"/>
            </w:tcBorders>
            <w:shd w:val="clear" w:color="auto" w:fill="auto"/>
            <w:noWrap/>
            <w:vAlign w:val="bottom"/>
            <w:hideMark/>
          </w:tcPr>
          <w:p w14:paraId="040ECD47" w14:textId="77777777" w:rsidR="0000700F" w:rsidRPr="00B94D34" w:rsidRDefault="0000700F" w:rsidP="0000700F">
            <w:pPr>
              <w:keepLines w:val="0"/>
              <w:spacing w:after="0" w:line="240" w:lineRule="auto"/>
              <w:jc w:val="center"/>
              <w:rPr>
                <w:rFonts w:cs="Arial"/>
                <w:sz w:val="18"/>
                <w:szCs w:val="18"/>
                <w:lang w:eastAsia="en-AU"/>
              </w:rPr>
            </w:pPr>
          </w:p>
        </w:tc>
        <w:tc>
          <w:tcPr>
            <w:tcW w:w="783" w:type="pct"/>
            <w:tcBorders>
              <w:top w:val="nil"/>
              <w:left w:val="nil"/>
              <w:bottom w:val="nil"/>
              <w:right w:val="nil"/>
            </w:tcBorders>
            <w:shd w:val="clear" w:color="auto" w:fill="auto"/>
            <w:noWrap/>
            <w:vAlign w:val="bottom"/>
            <w:hideMark/>
          </w:tcPr>
          <w:p w14:paraId="46E5C4CE"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77BBEC8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6035013E" w14:textId="77777777" w:rsidTr="0000700F">
        <w:trPr>
          <w:trHeight w:val="255"/>
        </w:trPr>
        <w:tc>
          <w:tcPr>
            <w:tcW w:w="3369" w:type="pct"/>
            <w:tcBorders>
              <w:top w:val="nil"/>
              <w:left w:val="nil"/>
              <w:bottom w:val="nil"/>
              <w:right w:val="nil"/>
            </w:tcBorders>
            <w:shd w:val="clear" w:color="auto" w:fill="auto"/>
            <w:noWrap/>
            <w:vAlign w:val="bottom"/>
            <w:hideMark/>
          </w:tcPr>
          <w:p w14:paraId="2FA345ED"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Payments</w:t>
            </w:r>
          </w:p>
        </w:tc>
        <w:tc>
          <w:tcPr>
            <w:tcW w:w="783" w:type="pct"/>
            <w:tcBorders>
              <w:top w:val="nil"/>
              <w:left w:val="nil"/>
              <w:bottom w:val="nil"/>
              <w:right w:val="nil"/>
            </w:tcBorders>
            <w:shd w:val="clear" w:color="auto" w:fill="auto"/>
            <w:noWrap/>
            <w:vAlign w:val="bottom"/>
            <w:hideMark/>
          </w:tcPr>
          <w:p w14:paraId="25BE62A6"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13DB5412"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1EF6A43A" w14:textId="77777777" w:rsidTr="0000700F">
        <w:trPr>
          <w:trHeight w:val="255"/>
        </w:trPr>
        <w:tc>
          <w:tcPr>
            <w:tcW w:w="3369" w:type="pct"/>
            <w:tcBorders>
              <w:top w:val="nil"/>
              <w:left w:val="nil"/>
              <w:bottom w:val="nil"/>
              <w:right w:val="nil"/>
            </w:tcBorders>
            <w:shd w:val="clear" w:color="auto" w:fill="auto"/>
            <w:noWrap/>
            <w:vAlign w:val="bottom"/>
            <w:hideMark/>
          </w:tcPr>
          <w:p w14:paraId="6C7D8508"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Workers' Compensation claim payments</w:t>
            </w:r>
          </w:p>
        </w:tc>
        <w:tc>
          <w:tcPr>
            <w:tcW w:w="783" w:type="pct"/>
            <w:tcBorders>
              <w:top w:val="nil"/>
              <w:left w:val="nil"/>
              <w:bottom w:val="nil"/>
              <w:right w:val="nil"/>
            </w:tcBorders>
            <w:shd w:val="clear" w:color="auto" w:fill="auto"/>
            <w:noWrap/>
            <w:vAlign w:val="bottom"/>
            <w:hideMark/>
          </w:tcPr>
          <w:p w14:paraId="2665781F"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(1,788)</w:t>
            </w:r>
          </w:p>
        </w:tc>
        <w:tc>
          <w:tcPr>
            <w:tcW w:w="847" w:type="pct"/>
            <w:tcBorders>
              <w:top w:val="nil"/>
              <w:left w:val="nil"/>
              <w:bottom w:val="nil"/>
              <w:right w:val="nil"/>
            </w:tcBorders>
            <w:shd w:val="clear" w:color="auto" w:fill="auto"/>
            <w:noWrap/>
            <w:vAlign w:val="bottom"/>
            <w:hideMark/>
          </w:tcPr>
          <w:p w14:paraId="1DBE0C9D"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(1,827)</w:t>
            </w:r>
          </w:p>
        </w:tc>
      </w:tr>
      <w:tr w:rsidR="0000700F" w:rsidRPr="00B94D34" w14:paraId="350DD92D" w14:textId="77777777" w:rsidTr="0000700F">
        <w:trPr>
          <w:trHeight w:val="255"/>
        </w:trPr>
        <w:tc>
          <w:tcPr>
            <w:tcW w:w="3369" w:type="pct"/>
            <w:tcBorders>
              <w:top w:val="nil"/>
              <w:left w:val="nil"/>
              <w:bottom w:val="nil"/>
              <w:right w:val="nil"/>
            </w:tcBorders>
            <w:shd w:val="clear" w:color="auto" w:fill="auto"/>
            <w:noWrap/>
            <w:vAlign w:val="bottom"/>
            <w:hideMark/>
          </w:tcPr>
          <w:p w14:paraId="7706F998"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Employee benefits</w:t>
            </w:r>
          </w:p>
        </w:tc>
        <w:tc>
          <w:tcPr>
            <w:tcW w:w="783" w:type="pct"/>
            <w:tcBorders>
              <w:top w:val="nil"/>
              <w:left w:val="nil"/>
              <w:bottom w:val="nil"/>
              <w:right w:val="nil"/>
            </w:tcBorders>
            <w:shd w:val="clear" w:color="auto" w:fill="auto"/>
            <w:noWrap/>
            <w:vAlign w:val="bottom"/>
            <w:hideMark/>
          </w:tcPr>
          <w:p w14:paraId="61A222B8"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(15,861)</w:t>
            </w:r>
          </w:p>
        </w:tc>
        <w:tc>
          <w:tcPr>
            <w:tcW w:w="847" w:type="pct"/>
            <w:tcBorders>
              <w:top w:val="nil"/>
              <w:left w:val="nil"/>
              <w:bottom w:val="nil"/>
              <w:right w:val="nil"/>
            </w:tcBorders>
            <w:shd w:val="clear" w:color="auto" w:fill="auto"/>
            <w:noWrap/>
            <w:vAlign w:val="bottom"/>
            <w:hideMark/>
          </w:tcPr>
          <w:p w14:paraId="241AD94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(14,443)</w:t>
            </w:r>
          </w:p>
        </w:tc>
      </w:tr>
      <w:tr w:rsidR="0000700F" w:rsidRPr="00B94D34" w14:paraId="111139D1" w14:textId="77777777" w:rsidTr="0000700F">
        <w:trPr>
          <w:trHeight w:val="255"/>
        </w:trPr>
        <w:tc>
          <w:tcPr>
            <w:tcW w:w="3369" w:type="pct"/>
            <w:tcBorders>
              <w:top w:val="nil"/>
              <w:left w:val="nil"/>
              <w:bottom w:val="nil"/>
              <w:right w:val="nil"/>
            </w:tcBorders>
            <w:shd w:val="clear" w:color="auto" w:fill="auto"/>
            <w:noWrap/>
            <w:vAlign w:val="bottom"/>
            <w:hideMark/>
          </w:tcPr>
          <w:p w14:paraId="6F515428"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Supplies and services</w:t>
            </w:r>
          </w:p>
        </w:tc>
        <w:tc>
          <w:tcPr>
            <w:tcW w:w="783" w:type="pct"/>
            <w:tcBorders>
              <w:top w:val="nil"/>
              <w:left w:val="nil"/>
              <w:bottom w:val="nil"/>
              <w:right w:val="nil"/>
            </w:tcBorders>
            <w:shd w:val="clear" w:color="auto" w:fill="auto"/>
            <w:noWrap/>
            <w:vAlign w:val="bottom"/>
            <w:hideMark/>
          </w:tcPr>
          <w:p w14:paraId="1E16874E"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(3,200)</w:t>
            </w:r>
          </w:p>
        </w:tc>
        <w:tc>
          <w:tcPr>
            <w:tcW w:w="847" w:type="pct"/>
            <w:tcBorders>
              <w:top w:val="nil"/>
              <w:left w:val="nil"/>
              <w:bottom w:val="nil"/>
              <w:right w:val="nil"/>
            </w:tcBorders>
            <w:shd w:val="clear" w:color="auto" w:fill="auto"/>
            <w:noWrap/>
            <w:vAlign w:val="bottom"/>
            <w:hideMark/>
          </w:tcPr>
          <w:p w14:paraId="6151901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(2,694)</w:t>
            </w:r>
          </w:p>
        </w:tc>
      </w:tr>
      <w:tr w:rsidR="0000700F" w:rsidRPr="00B94D34" w14:paraId="75DC5606" w14:textId="77777777" w:rsidTr="0000700F">
        <w:trPr>
          <w:trHeight w:val="255"/>
        </w:trPr>
        <w:tc>
          <w:tcPr>
            <w:tcW w:w="3369" w:type="pct"/>
            <w:tcBorders>
              <w:top w:val="nil"/>
              <w:left w:val="nil"/>
              <w:bottom w:val="nil"/>
              <w:right w:val="nil"/>
            </w:tcBorders>
            <w:shd w:val="clear" w:color="auto" w:fill="auto"/>
            <w:noWrap/>
            <w:vAlign w:val="bottom"/>
            <w:hideMark/>
          </w:tcPr>
          <w:p w14:paraId="5CE3C5A4"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Accommodation</w:t>
            </w:r>
          </w:p>
        </w:tc>
        <w:tc>
          <w:tcPr>
            <w:tcW w:w="783" w:type="pct"/>
            <w:tcBorders>
              <w:top w:val="nil"/>
              <w:left w:val="nil"/>
              <w:bottom w:val="nil"/>
              <w:right w:val="nil"/>
            </w:tcBorders>
            <w:shd w:val="clear" w:color="auto" w:fill="auto"/>
            <w:noWrap/>
            <w:vAlign w:val="bottom"/>
            <w:hideMark/>
          </w:tcPr>
          <w:p w14:paraId="2921FFB1"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(617)</w:t>
            </w:r>
          </w:p>
        </w:tc>
        <w:tc>
          <w:tcPr>
            <w:tcW w:w="847" w:type="pct"/>
            <w:tcBorders>
              <w:top w:val="nil"/>
              <w:left w:val="nil"/>
              <w:bottom w:val="nil"/>
              <w:right w:val="nil"/>
            </w:tcBorders>
            <w:shd w:val="clear" w:color="auto" w:fill="auto"/>
            <w:noWrap/>
            <w:vAlign w:val="bottom"/>
            <w:hideMark/>
          </w:tcPr>
          <w:p w14:paraId="185AFE59"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(506)</w:t>
            </w:r>
          </w:p>
        </w:tc>
      </w:tr>
      <w:tr w:rsidR="0000700F" w:rsidRPr="00B94D34" w14:paraId="5B19FD36" w14:textId="77777777" w:rsidTr="0000700F">
        <w:trPr>
          <w:trHeight w:val="255"/>
        </w:trPr>
        <w:tc>
          <w:tcPr>
            <w:tcW w:w="3369" w:type="pct"/>
            <w:tcBorders>
              <w:top w:val="nil"/>
              <w:left w:val="nil"/>
              <w:bottom w:val="nil"/>
              <w:right w:val="nil"/>
            </w:tcBorders>
            <w:shd w:val="clear" w:color="auto" w:fill="auto"/>
            <w:noWrap/>
            <w:vAlign w:val="bottom"/>
            <w:hideMark/>
          </w:tcPr>
          <w:p w14:paraId="20DD1F24"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Grants and subsidies</w:t>
            </w:r>
          </w:p>
        </w:tc>
        <w:tc>
          <w:tcPr>
            <w:tcW w:w="783" w:type="pct"/>
            <w:tcBorders>
              <w:top w:val="nil"/>
              <w:left w:val="nil"/>
              <w:bottom w:val="nil"/>
              <w:right w:val="nil"/>
            </w:tcBorders>
            <w:shd w:val="clear" w:color="auto" w:fill="auto"/>
            <w:noWrap/>
            <w:vAlign w:val="bottom"/>
            <w:hideMark/>
          </w:tcPr>
          <w:p w14:paraId="5E005E66"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w:t>
            </w:r>
          </w:p>
        </w:tc>
        <w:tc>
          <w:tcPr>
            <w:tcW w:w="847" w:type="pct"/>
            <w:tcBorders>
              <w:top w:val="nil"/>
              <w:left w:val="nil"/>
              <w:bottom w:val="nil"/>
              <w:right w:val="nil"/>
            </w:tcBorders>
            <w:shd w:val="clear" w:color="auto" w:fill="auto"/>
            <w:noWrap/>
            <w:vAlign w:val="bottom"/>
            <w:hideMark/>
          </w:tcPr>
          <w:p w14:paraId="4F326358"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(50)</w:t>
            </w:r>
          </w:p>
        </w:tc>
      </w:tr>
      <w:tr w:rsidR="0000700F" w:rsidRPr="00B94D34" w14:paraId="2219DEFC" w14:textId="77777777" w:rsidTr="0000700F">
        <w:trPr>
          <w:trHeight w:val="255"/>
        </w:trPr>
        <w:tc>
          <w:tcPr>
            <w:tcW w:w="3369" w:type="pct"/>
            <w:tcBorders>
              <w:top w:val="nil"/>
              <w:left w:val="nil"/>
              <w:bottom w:val="nil"/>
              <w:right w:val="nil"/>
            </w:tcBorders>
            <w:shd w:val="clear" w:color="auto" w:fill="auto"/>
            <w:noWrap/>
            <w:vAlign w:val="bottom"/>
            <w:hideMark/>
          </w:tcPr>
          <w:p w14:paraId="0F13DD15"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GST payments on purchases</w:t>
            </w:r>
          </w:p>
        </w:tc>
        <w:tc>
          <w:tcPr>
            <w:tcW w:w="783" w:type="pct"/>
            <w:tcBorders>
              <w:top w:val="nil"/>
              <w:left w:val="nil"/>
              <w:bottom w:val="nil"/>
              <w:right w:val="nil"/>
            </w:tcBorders>
            <w:shd w:val="clear" w:color="auto" w:fill="auto"/>
            <w:noWrap/>
            <w:vAlign w:val="bottom"/>
            <w:hideMark/>
          </w:tcPr>
          <w:p w14:paraId="081527A7"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2E9EEDE9"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   </w:t>
            </w:r>
          </w:p>
        </w:tc>
      </w:tr>
      <w:tr w:rsidR="0000700F" w:rsidRPr="00B94D34" w14:paraId="719FD84F" w14:textId="77777777" w:rsidTr="0000700F">
        <w:trPr>
          <w:trHeight w:val="255"/>
        </w:trPr>
        <w:tc>
          <w:tcPr>
            <w:tcW w:w="3369" w:type="pct"/>
            <w:tcBorders>
              <w:top w:val="nil"/>
              <w:left w:val="nil"/>
              <w:bottom w:val="nil"/>
              <w:right w:val="nil"/>
            </w:tcBorders>
            <w:shd w:val="clear" w:color="auto" w:fill="auto"/>
            <w:noWrap/>
            <w:vAlign w:val="bottom"/>
            <w:hideMark/>
          </w:tcPr>
          <w:p w14:paraId="558C2D22"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Other payments</w:t>
            </w:r>
          </w:p>
        </w:tc>
        <w:tc>
          <w:tcPr>
            <w:tcW w:w="783" w:type="pct"/>
            <w:tcBorders>
              <w:top w:val="nil"/>
              <w:left w:val="nil"/>
              <w:bottom w:val="nil"/>
              <w:right w:val="nil"/>
            </w:tcBorders>
            <w:shd w:val="clear" w:color="auto" w:fill="auto"/>
            <w:noWrap/>
            <w:vAlign w:val="bottom"/>
            <w:hideMark/>
          </w:tcPr>
          <w:p w14:paraId="7DAC450B"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(2,156)</w:t>
            </w:r>
          </w:p>
        </w:tc>
        <w:tc>
          <w:tcPr>
            <w:tcW w:w="847" w:type="pct"/>
            <w:tcBorders>
              <w:top w:val="nil"/>
              <w:left w:val="nil"/>
              <w:bottom w:val="nil"/>
              <w:right w:val="nil"/>
            </w:tcBorders>
            <w:shd w:val="clear" w:color="auto" w:fill="auto"/>
            <w:noWrap/>
            <w:vAlign w:val="bottom"/>
            <w:hideMark/>
          </w:tcPr>
          <w:p w14:paraId="54E1B314"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(2,047)</w:t>
            </w:r>
          </w:p>
        </w:tc>
      </w:tr>
      <w:tr w:rsidR="0000700F" w:rsidRPr="00B94D34" w14:paraId="7B1A7725" w14:textId="77777777" w:rsidTr="0000700F">
        <w:trPr>
          <w:trHeight w:val="255"/>
        </w:trPr>
        <w:tc>
          <w:tcPr>
            <w:tcW w:w="3369" w:type="pct"/>
            <w:tcBorders>
              <w:top w:val="nil"/>
              <w:left w:val="nil"/>
              <w:bottom w:val="nil"/>
              <w:right w:val="nil"/>
            </w:tcBorders>
            <w:shd w:val="clear" w:color="auto" w:fill="auto"/>
            <w:noWrap/>
            <w:vAlign w:val="bottom"/>
            <w:hideMark/>
          </w:tcPr>
          <w:p w14:paraId="1C3A4AEF"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Net cash provided by operating activities</w:t>
            </w:r>
          </w:p>
        </w:tc>
        <w:tc>
          <w:tcPr>
            <w:tcW w:w="783" w:type="pct"/>
            <w:tcBorders>
              <w:top w:val="single" w:sz="4" w:space="0" w:color="auto"/>
              <w:left w:val="nil"/>
              <w:bottom w:val="single" w:sz="4" w:space="0" w:color="auto"/>
              <w:right w:val="nil"/>
            </w:tcBorders>
            <w:shd w:val="clear" w:color="auto" w:fill="auto"/>
            <w:noWrap/>
            <w:vAlign w:val="bottom"/>
            <w:hideMark/>
          </w:tcPr>
          <w:p w14:paraId="03596C99"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147 </w:t>
            </w:r>
          </w:p>
        </w:tc>
        <w:tc>
          <w:tcPr>
            <w:tcW w:w="847" w:type="pct"/>
            <w:tcBorders>
              <w:top w:val="single" w:sz="4" w:space="0" w:color="auto"/>
              <w:left w:val="nil"/>
              <w:bottom w:val="single" w:sz="4" w:space="0" w:color="auto"/>
              <w:right w:val="nil"/>
            </w:tcBorders>
            <w:shd w:val="clear" w:color="auto" w:fill="auto"/>
            <w:noWrap/>
            <w:vAlign w:val="bottom"/>
            <w:hideMark/>
          </w:tcPr>
          <w:p w14:paraId="18A7DEC9"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(643)</w:t>
            </w:r>
          </w:p>
        </w:tc>
      </w:tr>
      <w:tr w:rsidR="0000700F" w:rsidRPr="00B94D34" w14:paraId="077CA2BE" w14:textId="77777777" w:rsidTr="0000700F">
        <w:trPr>
          <w:trHeight w:val="255"/>
        </w:trPr>
        <w:tc>
          <w:tcPr>
            <w:tcW w:w="3369" w:type="pct"/>
            <w:tcBorders>
              <w:top w:val="nil"/>
              <w:left w:val="nil"/>
              <w:bottom w:val="nil"/>
              <w:right w:val="nil"/>
            </w:tcBorders>
            <w:shd w:val="clear" w:color="auto" w:fill="auto"/>
            <w:noWrap/>
            <w:vAlign w:val="bottom"/>
            <w:hideMark/>
          </w:tcPr>
          <w:p w14:paraId="4159B423" w14:textId="77777777" w:rsidR="0000700F" w:rsidRPr="00B94D34" w:rsidRDefault="0000700F" w:rsidP="0000700F">
            <w:pPr>
              <w:keepLines w:val="0"/>
              <w:spacing w:after="0" w:line="240" w:lineRule="auto"/>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2960798F"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75242A6E"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146DC23" w14:textId="77777777" w:rsidTr="0000700F">
        <w:trPr>
          <w:trHeight w:val="255"/>
        </w:trPr>
        <w:tc>
          <w:tcPr>
            <w:tcW w:w="3369" w:type="pct"/>
            <w:tcBorders>
              <w:top w:val="nil"/>
              <w:left w:val="nil"/>
              <w:bottom w:val="nil"/>
              <w:right w:val="nil"/>
            </w:tcBorders>
            <w:shd w:val="clear" w:color="auto" w:fill="auto"/>
            <w:noWrap/>
            <w:vAlign w:val="bottom"/>
            <w:hideMark/>
          </w:tcPr>
          <w:p w14:paraId="537C1256"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CASH FLOWS FROM INVESTING ACTIVITIES</w:t>
            </w:r>
          </w:p>
        </w:tc>
        <w:tc>
          <w:tcPr>
            <w:tcW w:w="783" w:type="pct"/>
            <w:tcBorders>
              <w:top w:val="nil"/>
              <w:left w:val="nil"/>
              <w:bottom w:val="nil"/>
              <w:right w:val="nil"/>
            </w:tcBorders>
            <w:shd w:val="clear" w:color="auto" w:fill="auto"/>
            <w:noWrap/>
            <w:vAlign w:val="bottom"/>
            <w:hideMark/>
          </w:tcPr>
          <w:p w14:paraId="59D859BD"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5BF78219"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0CCAEFC2" w14:textId="77777777" w:rsidTr="0000700F">
        <w:trPr>
          <w:trHeight w:val="255"/>
        </w:trPr>
        <w:tc>
          <w:tcPr>
            <w:tcW w:w="3369" w:type="pct"/>
            <w:tcBorders>
              <w:top w:val="nil"/>
              <w:left w:val="nil"/>
              <w:bottom w:val="nil"/>
              <w:right w:val="nil"/>
            </w:tcBorders>
            <w:shd w:val="clear" w:color="auto" w:fill="auto"/>
            <w:noWrap/>
            <w:vAlign w:val="bottom"/>
            <w:hideMark/>
          </w:tcPr>
          <w:p w14:paraId="56780980"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Receipts</w:t>
            </w:r>
          </w:p>
        </w:tc>
        <w:tc>
          <w:tcPr>
            <w:tcW w:w="783" w:type="pct"/>
            <w:tcBorders>
              <w:top w:val="nil"/>
              <w:left w:val="nil"/>
              <w:bottom w:val="nil"/>
              <w:right w:val="nil"/>
            </w:tcBorders>
            <w:shd w:val="clear" w:color="auto" w:fill="auto"/>
            <w:noWrap/>
            <w:vAlign w:val="bottom"/>
            <w:hideMark/>
          </w:tcPr>
          <w:p w14:paraId="561144B9"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6F86432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60D39462" w14:textId="77777777" w:rsidTr="0000700F">
        <w:trPr>
          <w:trHeight w:val="255"/>
        </w:trPr>
        <w:tc>
          <w:tcPr>
            <w:tcW w:w="3369" w:type="pct"/>
            <w:tcBorders>
              <w:top w:val="nil"/>
              <w:left w:val="nil"/>
              <w:bottom w:val="nil"/>
              <w:right w:val="nil"/>
            </w:tcBorders>
            <w:shd w:val="clear" w:color="auto" w:fill="auto"/>
            <w:noWrap/>
            <w:vAlign w:val="bottom"/>
            <w:hideMark/>
          </w:tcPr>
          <w:p w14:paraId="605CAF21"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Proceeds from sale of non-current physical assets</w:t>
            </w:r>
          </w:p>
        </w:tc>
        <w:tc>
          <w:tcPr>
            <w:tcW w:w="783" w:type="pct"/>
            <w:tcBorders>
              <w:top w:val="nil"/>
              <w:left w:val="nil"/>
              <w:bottom w:val="nil"/>
              <w:right w:val="nil"/>
            </w:tcBorders>
            <w:shd w:val="clear" w:color="auto" w:fill="auto"/>
            <w:noWrap/>
            <w:vAlign w:val="bottom"/>
            <w:hideMark/>
          </w:tcPr>
          <w:p w14:paraId="5EB77408"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3EEB3817"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   </w:t>
            </w:r>
          </w:p>
        </w:tc>
      </w:tr>
      <w:tr w:rsidR="0000700F" w:rsidRPr="00B94D34" w14:paraId="2CDBF6A9" w14:textId="77777777" w:rsidTr="0000700F">
        <w:trPr>
          <w:trHeight w:val="255"/>
        </w:trPr>
        <w:tc>
          <w:tcPr>
            <w:tcW w:w="3369" w:type="pct"/>
            <w:tcBorders>
              <w:top w:val="nil"/>
              <w:left w:val="nil"/>
              <w:bottom w:val="nil"/>
              <w:right w:val="nil"/>
            </w:tcBorders>
            <w:shd w:val="clear" w:color="auto" w:fill="auto"/>
            <w:noWrap/>
            <w:vAlign w:val="bottom"/>
            <w:hideMark/>
          </w:tcPr>
          <w:p w14:paraId="2FF05F20" w14:textId="77777777" w:rsidR="0000700F" w:rsidRPr="00B94D34" w:rsidRDefault="0000700F" w:rsidP="0000700F">
            <w:pPr>
              <w:keepLines w:val="0"/>
              <w:spacing w:after="0" w:line="240" w:lineRule="auto"/>
              <w:rPr>
                <w:rFonts w:cs="Arial"/>
                <w:sz w:val="18"/>
                <w:szCs w:val="18"/>
                <w:lang w:eastAsia="en-AU"/>
              </w:rPr>
            </w:pPr>
          </w:p>
        </w:tc>
        <w:tc>
          <w:tcPr>
            <w:tcW w:w="783" w:type="pct"/>
            <w:tcBorders>
              <w:top w:val="nil"/>
              <w:left w:val="nil"/>
              <w:bottom w:val="nil"/>
              <w:right w:val="nil"/>
            </w:tcBorders>
            <w:shd w:val="clear" w:color="auto" w:fill="auto"/>
            <w:noWrap/>
            <w:vAlign w:val="bottom"/>
            <w:hideMark/>
          </w:tcPr>
          <w:p w14:paraId="337E1B34"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07E665CC"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747FD086" w14:textId="77777777" w:rsidTr="0000700F">
        <w:trPr>
          <w:trHeight w:val="255"/>
        </w:trPr>
        <w:tc>
          <w:tcPr>
            <w:tcW w:w="3369" w:type="pct"/>
            <w:tcBorders>
              <w:top w:val="nil"/>
              <w:left w:val="nil"/>
              <w:bottom w:val="nil"/>
              <w:right w:val="nil"/>
            </w:tcBorders>
            <w:shd w:val="clear" w:color="auto" w:fill="auto"/>
            <w:noWrap/>
            <w:vAlign w:val="bottom"/>
            <w:hideMark/>
          </w:tcPr>
          <w:p w14:paraId="0D928A0A"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Payments</w:t>
            </w:r>
          </w:p>
        </w:tc>
        <w:tc>
          <w:tcPr>
            <w:tcW w:w="783" w:type="pct"/>
            <w:tcBorders>
              <w:top w:val="nil"/>
              <w:left w:val="nil"/>
              <w:bottom w:val="nil"/>
              <w:right w:val="nil"/>
            </w:tcBorders>
            <w:shd w:val="clear" w:color="auto" w:fill="auto"/>
            <w:noWrap/>
            <w:vAlign w:val="bottom"/>
            <w:hideMark/>
          </w:tcPr>
          <w:p w14:paraId="49C6508A" w14:textId="77777777" w:rsidR="0000700F" w:rsidRPr="00B94D34" w:rsidRDefault="0000700F" w:rsidP="0000700F">
            <w:pPr>
              <w:keepLines w:val="0"/>
              <w:spacing w:after="0" w:line="240" w:lineRule="auto"/>
              <w:rPr>
                <w:rFonts w:cs="Arial"/>
                <w:b/>
                <w:bCs/>
                <w:sz w:val="18"/>
                <w:szCs w:val="18"/>
                <w:lang w:eastAsia="en-AU"/>
              </w:rPr>
            </w:pPr>
          </w:p>
        </w:tc>
        <w:tc>
          <w:tcPr>
            <w:tcW w:w="847" w:type="pct"/>
            <w:tcBorders>
              <w:top w:val="nil"/>
              <w:left w:val="nil"/>
              <w:bottom w:val="nil"/>
              <w:right w:val="nil"/>
            </w:tcBorders>
            <w:shd w:val="clear" w:color="auto" w:fill="auto"/>
            <w:noWrap/>
            <w:vAlign w:val="bottom"/>
            <w:hideMark/>
          </w:tcPr>
          <w:p w14:paraId="580C8CBB" w14:textId="77777777" w:rsidR="0000700F" w:rsidRPr="00B94D34" w:rsidRDefault="0000700F" w:rsidP="0000700F">
            <w:pPr>
              <w:keepLines w:val="0"/>
              <w:spacing w:after="0" w:line="240" w:lineRule="auto"/>
              <w:rPr>
                <w:rFonts w:ascii="Times New Roman" w:hAnsi="Times New Roman"/>
                <w:sz w:val="20"/>
                <w:szCs w:val="20"/>
                <w:lang w:eastAsia="en-AU"/>
              </w:rPr>
            </w:pPr>
          </w:p>
        </w:tc>
      </w:tr>
      <w:tr w:rsidR="0000700F" w:rsidRPr="00B94D34" w14:paraId="2738B873" w14:textId="77777777" w:rsidTr="0000700F">
        <w:trPr>
          <w:trHeight w:val="255"/>
        </w:trPr>
        <w:tc>
          <w:tcPr>
            <w:tcW w:w="3369" w:type="pct"/>
            <w:tcBorders>
              <w:top w:val="nil"/>
              <w:left w:val="nil"/>
              <w:bottom w:val="nil"/>
              <w:right w:val="nil"/>
            </w:tcBorders>
            <w:shd w:val="clear" w:color="auto" w:fill="auto"/>
            <w:noWrap/>
            <w:vAlign w:val="bottom"/>
            <w:hideMark/>
          </w:tcPr>
          <w:p w14:paraId="666FA8C7"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Purchase of non-current physical assets</w:t>
            </w:r>
          </w:p>
        </w:tc>
        <w:tc>
          <w:tcPr>
            <w:tcW w:w="783" w:type="pct"/>
            <w:tcBorders>
              <w:top w:val="nil"/>
              <w:left w:val="nil"/>
              <w:bottom w:val="nil"/>
              <w:right w:val="nil"/>
            </w:tcBorders>
            <w:shd w:val="clear" w:color="auto" w:fill="auto"/>
            <w:noWrap/>
            <w:vAlign w:val="bottom"/>
            <w:hideMark/>
          </w:tcPr>
          <w:p w14:paraId="64AABD1F"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(676)</w:t>
            </w:r>
          </w:p>
        </w:tc>
        <w:tc>
          <w:tcPr>
            <w:tcW w:w="847" w:type="pct"/>
            <w:tcBorders>
              <w:top w:val="nil"/>
              <w:left w:val="nil"/>
              <w:bottom w:val="nil"/>
              <w:right w:val="nil"/>
            </w:tcBorders>
            <w:shd w:val="clear" w:color="auto" w:fill="auto"/>
            <w:noWrap/>
            <w:vAlign w:val="bottom"/>
            <w:hideMark/>
          </w:tcPr>
          <w:p w14:paraId="05263E82"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(778)</w:t>
            </w:r>
          </w:p>
        </w:tc>
      </w:tr>
      <w:tr w:rsidR="0000700F" w:rsidRPr="00B94D34" w14:paraId="123E521B" w14:textId="77777777" w:rsidTr="0000700F">
        <w:trPr>
          <w:trHeight w:val="255"/>
        </w:trPr>
        <w:tc>
          <w:tcPr>
            <w:tcW w:w="3369" w:type="pct"/>
            <w:tcBorders>
              <w:top w:val="nil"/>
              <w:left w:val="nil"/>
              <w:bottom w:val="nil"/>
              <w:right w:val="nil"/>
            </w:tcBorders>
            <w:shd w:val="clear" w:color="auto" w:fill="auto"/>
            <w:noWrap/>
            <w:vAlign w:val="bottom"/>
            <w:hideMark/>
          </w:tcPr>
          <w:p w14:paraId="4608E899"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Purchase of investments</w:t>
            </w:r>
          </w:p>
        </w:tc>
        <w:tc>
          <w:tcPr>
            <w:tcW w:w="783" w:type="pct"/>
            <w:tcBorders>
              <w:top w:val="nil"/>
              <w:left w:val="nil"/>
              <w:bottom w:val="nil"/>
              <w:right w:val="nil"/>
            </w:tcBorders>
            <w:shd w:val="clear" w:color="auto" w:fill="auto"/>
            <w:noWrap/>
            <w:vAlign w:val="bottom"/>
            <w:hideMark/>
          </w:tcPr>
          <w:p w14:paraId="5ED000BC"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   </w:t>
            </w:r>
          </w:p>
        </w:tc>
        <w:tc>
          <w:tcPr>
            <w:tcW w:w="847" w:type="pct"/>
            <w:tcBorders>
              <w:top w:val="nil"/>
              <w:left w:val="nil"/>
              <w:bottom w:val="nil"/>
              <w:right w:val="nil"/>
            </w:tcBorders>
            <w:shd w:val="clear" w:color="auto" w:fill="auto"/>
            <w:noWrap/>
            <w:vAlign w:val="bottom"/>
            <w:hideMark/>
          </w:tcPr>
          <w:p w14:paraId="6CB90D40"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   </w:t>
            </w:r>
          </w:p>
        </w:tc>
      </w:tr>
      <w:tr w:rsidR="0000700F" w:rsidRPr="00B94D34" w14:paraId="55317BCC" w14:textId="77777777" w:rsidTr="0000700F">
        <w:trPr>
          <w:trHeight w:val="255"/>
        </w:trPr>
        <w:tc>
          <w:tcPr>
            <w:tcW w:w="3369" w:type="pct"/>
            <w:tcBorders>
              <w:top w:val="nil"/>
              <w:left w:val="nil"/>
              <w:bottom w:val="nil"/>
              <w:right w:val="nil"/>
            </w:tcBorders>
            <w:shd w:val="clear" w:color="auto" w:fill="auto"/>
            <w:noWrap/>
            <w:vAlign w:val="bottom"/>
            <w:hideMark/>
          </w:tcPr>
          <w:p w14:paraId="7BE0810A"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Net cash used in investing activities</w:t>
            </w:r>
          </w:p>
        </w:tc>
        <w:tc>
          <w:tcPr>
            <w:tcW w:w="783" w:type="pct"/>
            <w:tcBorders>
              <w:top w:val="single" w:sz="4" w:space="0" w:color="auto"/>
              <w:left w:val="nil"/>
              <w:bottom w:val="single" w:sz="4" w:space="0" w:color="auto"/>
              <w:right w:val="nil"/>
            </w:tcBorders>
            <w:shd w:val="clear" w:color="auto" w:fill="auto"/>
            <w:noWrap/>
            <w:vAlign w:val="bottom"/>
            <w:hideMark/>
          </w:tcPr>
          <w:p w14:paraId="6EC3556A"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(676)</w:t>
            </w:r>
          </w:p>
        </w:tc>
        <w:tc>
          <w:tcPr>
            <w:tcW w:w="847" w:type="pct"/>
            <w:tcBorders>
              <w:top w:val="single" w:sz="4" w:space="0" w:color="auto"/>
              <w:left w:val="nil"/>
              <w:bottom w:val="single" w:sz="4" w:space="0" w:color="auto"/>
              <w:right w:val="nil"/>
            </w:tcBorders>
            <w:shd w:val="clear" w:color="auto" w:fill="auto"/>
            <w:noWrap/>
            <w:vAlign w:val="bottom"/>
            <w:hideMark/>
          </w:tcPr>
          <w:p w14:paraId="56B0BC37"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 xml:space="preserve">                  (778)</w:t>
            </w:r>
          </w:p>
        </w:tc>
      </w:tr>
      <w:tr w:rsidR="0000700F" w:rsidRPr="00B94D34" w14:paraId="691D8138" w14:textId="77777777" w:rsidTr="0000700F">
        <w:trPr>
          <w:trHeight w:val="255"/>
        </w:trPr>
        <w:tc>
          <w:tcPr>
            <w:tcW w:w="3369" w:type="pct"/>
            <w:tcBorders>
              <w:top w:val="nil"/>
              <w:left w:val="nil"/>
              <w:bottom w:val="nil"/>
              <w:right w:val="nil"/>
            </w:tcBorders>
            <w:shd w:val="clear" w:color="auto" w:fill="auto"/>
            <w:noWrap/>
            <w:vAlign w:val="bottom"/>
            <w:hideMark/>
          </w:tcPr>
          <w:p w14:paraId="66671793" w14:textId="77777777" w:rsidR="0000700F" w:rsidRPr="00B94D34" w:rsidRDefault="0000700F" w:rsidP="0000700F">
            <w:pPr>
              <w:keepLines w:val="0"/>
              <w:spacing w:after="0" w:line="240" w:lineRule="auto"/>
              <w:rPr>
                <w:rFonts w:cs="Arial"/>
                <w:sz w:val="18"/>
                <w:szCs w:val="18"/>
                <w:lang w:eastAsia="en-AU"/>
              </w:rPr>
            </w:pPr>
          </w:p>
        </w:tc>
        <w:tc>
          <w:tcPr>
            <w:tcW w:w="783" w:type="pct"/>
            <w:tcBorders>
              <w:top w:val="nil"/>
              <w:left w:val="nil"/>
              <w:bottom w:val="nil"/>
              <w:right w:val="nil"/>
            </w:tcBorders>
            <w:shd w:val="clear" w:color="auto" w:fill="auto"/>
            <w:noWrap/>
            <w:vAlign w:val="bottom"/>
            <w:hideMark/>
          </w:tcPr>
          <w:p w14:paraId="1C0053C5"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539A7F96"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4474FACD" w14:textId="77777777" w:rsidTr="0000700F">
        <w:trPr>
          <w:trHeight w:val="255"/>
        </w:trPr>
        <w:tc>
          <w:tcPr>
            <w:tcW w:w="3369" w:type="pct"/>
            <w:tcBorders>
              <w:top w:val="nil"/>
              <w:left w:val="nil"/>
              <w:bottom w:val="nil"/>
              <w:right w:val="nil"/>
            </w:tcBorders>
            <w:shd w:val="clear" w:color="auto" w:fill="auto"/>
            <w:noWrap/>
            <w:vAlign w:val="bottom"/>
            <w:hideMark/>
          </w:tcPr>
          <w:p w14:paraId="2BF3387B"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Net increase in cash and cash equivalents</w:t>
            </w:r>
          </w:p>
        </w:tc>
        <w:tc>
          <w:tcPr>
            <w:tcW w:w="783" w:type="pct"/>
            <w:tcBorders>
              <w:top w:val="nil"/>
              <w:left w:val="nil"/>
              <w:bottom w:val="nil"/>
              <w:right w:val="nil"/>
            </w:tcBorders>
            <w:shd w:val="clear" w:color="auto" w:fill="auto"/>
            <w:noWrap/>
            <w:vAlign w:val="bottom"/>
            <w:hideMark/>
          </w:tcPr>
          <w:p w14:paraId="2CCA992E"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(529)</w:t>
            </w:r>
          </w:p>
        </w:tc>
        <w:tc>
          <w:tcPr>
            <w:tcW w:w="847" w:type="pct"/>
            <w:tcBorders>
              <w:top w:val="nil"/>
              <w:left w:val="nil"/>
              <w:bottom w:val="nil"/>
              <w:right w:val="nil"/>
            </w:tcBorders>
            <w:shd w:val="clear" w:color="auto" w:fill="auto"/>
            <w:noWrap/>
            <w:vAlign w:val="bottom"/>
            <w:hideMark/>
          </w:tcPr>
          <w:p w14:paraId="73635306"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(1,421)</w:t>
            </w:r>
          </w:p>
        </w:tc>
      </w:tr>
      <w:tr w:rsidR="0000700F" w:rsidRPr="00B94D34" w14:paraId="41025666" w14:textId="77777777" w:rsidTr="0000700F">
        <w:trPr>
          <w:trHeight w:val="255"/>
        </w:trPr>
        <w:tc>
          <w:tcPr>
            <w:tcW w:w="3369" w:type="pct"/>
            <w:tcBorders>
              <w:top w:val="nil"/>
              <w:left w:val="nil"/>
              <w:bottom w:val="nil"/>
              <w:right w:val="nil"/>
            </w:tcBorders>
            <w:shd w:val="clear" w:color="auto" w:fill="auto"/>
            <w:noWrap/>
            <w:vAlign w:val="bottom"/>
            <w:hideMark/>
          </w:tcPr>
          <w:p w14:paraId="56C65A6C" w14:textId="77777777" w:rsidR="0000700F" w:rsidRPr="00B94D34" w:rsidRDefault="0000700F" w:rsidP="0000700F">
            <w:pPr>
              <w:keepLines w:val="0"/>
              <w:spacing w:after="0" w:line="240" w:lineRule="auto"/>
              <w:rPr>
                <w:rFonts w:cs="Arial"/>
                <w:b/>
                <w:bCs/>
                <w:sz w:val="18"/>
                <w:szCs w:val="18"/>
                <w:lang w:eastAsia="en-AU"/>
              </w:rPr>
            </w:pPr>
          </w:p>
        </w:tc>
        <w:tc>
          <w:tcPr>
            <w:tcW w:w="783" w:type="pct"/>
            <w:tcBorders>
              <w:top w:val="nil"/>
              <w:left w:val="nil"/>
              <w:bottom w:val="nil"/>
              <w:right w:val="nil"/>
            </w:tcBorders>
            <w:shd w:val="clear" w:color="auto" w:fill="auto"/>
            <w:noWrap/>
            <w:vAlign w:val="bottom"/>
            <w:hideMark/>
          </w:tcPr>
          <w:p w14:paraId="1287B3CF" w14:textId="77777777" w:rsidR="0000700F" w:rsidRPr="00B94D34" w:rsidRDefault="0000700F" w:rsidP="0000700F">
            <w:pPr>
              <w:keepLines w:val="0"/>
              <w:spacing w:after="0" w:line="240" w:lineRule="auto"/>
              <w:rPr>
                <w:rFonts w:ascii="Times New Roman" w:hAnsi="Times New Roman"/>
                <w:sz w:val="20"/>
                <w:szCs w:val="20"/>
                <w:lang w:eastAsia="en-AU"/>
              </w:rPr>
            </w:pPr>
          </w:p>
        </w:tc>
        <w:tc>
          <w:tcPr>
            <w:tcW w:w="847" w:type="pct"/>
            <w:tcBorders>
              <w:top w:val="nil"/>
              <w:left w:val="nil"/>
              <w:bottom w:val="nil"/>
              <w:right w:val="nil"/>
            </w:tcBorders>
            <w:shd w:val="clear" w:color="auto" w:fill="auto"/>
            <w:noWrap/>
            <w:vAlign w:val="bottom"/>
            <w:hideMark/>
          </w:tcPr>
          <w:p w14:paraId="7B09C61E" w14:textId="77777777" w:rsidR="0000700F" w:rsidRPr="00B94D34" w:rsidRDefault="0000700F" w:rsidP="0000700F">
            <w:pPr>
              <w:keepLines w:val="0"/>
              <w:spacing w:after="0" w:line="240" w:lineRule="auto"/>
              <w:jc w:val="center"/>
              <w:rPr>
                <w:rFonts w:ascii="Times New Roman" w:hAnsi="Times New Roman"/>
                <w:sz w:val="20"/>
                <w:szCs w:val="20"/>
                <w:lang w:eastAsia="en-AU"/>
              </w:rPr>
            </w:pPr>
          </w:p>
        </w:tc>
      </w:tr>
      <w:tr w:rsidR="0000700F" w:rsidRPr="00B94D34" w14:paraId="7515EE1E" w14:textId="77777777" w:rsidTr="0000700F">
        <w:trPr>
          <w:trHeight w:val="255"/>
        </w:trPr>
        <w:tc>
          <w:tcPr>
            <w:tcW w:w="3369" w:type="pct"/>
            <w:tcBorders>
              <w:top w:val="nil"/>
              <w:left w:val="nil"/>
              <w:bottom w:val="nil"/>
              <w:right w:val="nil"/>
            </w:tcBorders>
            <w:shd w:val="clear" w:color="auto" w:fill="auto"/>
            <w:noWrap/>
            <w:vAlign w:val="bottom"/>
            <w:hideMark/>
          </w:tcPr>
          <w:p w14:paraId="11B9574E" w14:textId="77777777" w:rsidR="0000700F" w:rsidRPr="00B94D34" w:rsidRDefault="0000700F" w:rsidP="0000700F">
            <w:pPr>
              <w:keepLines w:val="0"/>
              <w:spacing w:after="0" w:line="240" w:lineRule="auto"/>
              <w:rPr>
                <w:rFonts w:cs="Arial"/>
                <w:sz w:val="18"/>
                <w:szCs w:val="18"/>
                <w:lang w:eastAsia="en-AU"/>
              </w:rPr>
            </w:pPr>
            <w:r w:rsidRPr="00B94D34">
              <w:rPr>
                <w:rFonts w:cs="Arial"/>
                <w:sz w:val="18"/>
                <w:szCs w:val="18"/>
                <w:lang w:eastAsia="en-AU"/>
              </w:rPr>
              <w:t>Cash and cash equivalents at the beginning of the period</w:t>
            </w:r>
          </w:p>
        </w:tc>
        <w:tc>
          <w:tcPr>
            <w:tcW w:w="783" w:type="pct"/>
            <w:tcBorders>
              <w:top w:val="nil"/>
              <w:left w:val="nil"/>
              <w:bottom w:val="nil"/>
              <w:right w:val="nil"/>
            </w:tcBorders>
            <w:shd w:val="clear" w:color="auto" w:fill="auto"/>
            <w:noWrap/>
            <w:vAlign w:val="bottom"/>
            <w:hideMark/>
          </w:tcPr>
          <w:p w14:paraId="0E57136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91,533 </w:t>
            </w:r>
          </w:p>
        </w:tc>
        <w:tc>
          <w:tcPr>
            <w:tcW w:w="847" w:type="pct"/>
            <w:tcBorders>
              <w:top w:val="nil"/>
              <w:left w:val="nil"/>
              <w:bottom w:val="nil"/>
              <w:right w:val="nil"/>
            </w:tcBorders>
            <w:shd w:val="clear" w:color="auto" w:fill="auto"/>
            <w:noWrap/>
            <w:vAlign w:val="bottom"/>
            <w:hideMark/>
          </w:tcPr>
          <w:p w14:paraId="3D90BFAC" w14:textId="77777777" w:rsidR="0000700F" w:rsidRPr="00B94D34" w:rsidRDefault="0000700F" w:rsidP="0000700F">
            <w:pPr>
              <w:keepLines w:val="0"/>
              <w:spacing w:after="0" w:line="240" w:lineRule="auto"/>
              <w:jc w:val="center"/>
              <w:rPr>
                <w:rFonts w:cs="Arial"/>
                <w:sz w:val="18"/>
                <w:szCs w:val="18"/>
                <w:lang w:eastAsia="en-AU"/>
              </w:rPr>
            </w:pPr>
            <w:r w:rsidRPr="00B94D34">
              <w:rPr>
                <w:rFonts w:cs="Arial"/>
                <w:sz w:val="18"/>
                <w:szCs w:val="18"/>
                <w:lang w:eastAsia="en-AU"/>
              </w:rPr>
              <w:t xml:space="preserve">              91,004 </w:t>
            </w:r>
          </w:p>
        </w:tc>
      </w:tr>
      <w:tr w:rsidR="0000700F" w:rsidRPr="00B94D34" w14:paraId="08FBBEEE" w14:textId="77777777" w:rsidTr="0000700F">
        <w:trPr>
          <w:trHeight w:val="270"/>
        </w:trPr>
        <w:tc>
          <w:tcPr>
            <w:tcW w:w="3369" w:type="pct"/>
            <w:tcBorders>
              <w:top w:val="nil"/>
              <w:left w:val="nil"/>
              <w:bottom w:val="nil"/>
              <w:right w:val="nil"/>
            </w:tcBorders>
            <w:shd w:val="clear" w:color="auto" w:fill="auto"/>
            <w:noWrap/>
            <w:vAlign w:val="bottom"/>
            <w:hideMark/>
          </w:tcPr>
          <w:p w14:paraId="655CDD6C"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Cash and cash equivalent at the end of the period</w:t>
            </w:r>
          </w:p>
        </w:tc>
        <w:tc>
          <w:tcPr>
            <w:tcW w:w="783" w:type="pct"/>
            <w:tcBorders>
              <w:top w:val="single" w:sz="4" w:space="0" w:color="auto"/>
              <w:left w:val="nil"/>
              <w:bottom w:val="double" w:sz="6" w:space="0" w:color="auto"/>
              <w:right w:val="nil"/>
            </w:tcBorders>
            <w:shd w:val="clear" w:color="auto" w:fill="auto"/>
            <w:noWrap/>
            <w:vAlign w:val="bottom"/>
            <w:hideMark/>
          </w:tcPr>
          <w:p w14:paraId="36A7610F"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91,004 </w:t>
            </w:r>
          </w:p>
        </w:tc>
        <w:tc>
          <w:tcPr>
            <w:tcW w:w="847" w:type="pct"/>
            <w:tcBorders>
              <w:top w:val="single" w:sz="4" w:space="0" w:color="auto"/>
              <w:left w:val="nil"/>
              <w:bottom w:val="double" w:sz="6" w:space="0" w:color="auto"/>
              <w:right w:val="nil"/>
            </w:tcBorders>
            <w:shd w:val="clear" w:color="auto" w:fill="auto"/>
            <w:noWrap/>
            <w:vAlign w:val="bottom"/>
            <w:hideMark/>
          </w:tcPr>
          <w:p w14:paraId="4E435AB5" w14:textId="77777777" w:rsidR="0000700F" w:rsidRPr="00B94D34" w:rsidRDefault="0000700F" w:rsidP="0000700F">
            <w:pPr>
              <w:keepLines w:val="0"/>
              <w:spacing w:after="0" w:line="240" w:lineRule="auto"/>
              <w:rPr>
                <w:rFonts w:cs="Arial"/>
                <w:b/>
                <w:bCs/>
                <w:sz w:val="18"/>
                <w:szCs w:val="18"/>
                <w:lang w:eastAsia="en-AU"/>
              </w:rPr>
            </w:pPr>
            <w:r w:rsidRPr="00B94D34">
              <w:rPr>
                <w:rFonts w:cs="Arial"/>
                <w:b/>
                <w:bCs/>
                <w:sz w:val="18"/>
                <w:szCs w:val="18"/>
                <w:lang w:eastAsia="en-AU"/>
              </w:rPr>
              <w:t xml:space="preserve">              89,583 </w:t>
            </w:r>
          </w:p>
        </w:tc>
      </w:tr>
    </w:tbl>
    <w:p w14:paraId="07F486FD" w14:textId="77777777" w:rsidR="005B6DC0" w:rsidRDefault="005B6DC0" w:rsidP="007417F5">
      <w:pPr>
        <w:pStyle w:val="Heading1nonumber"/>
      </w:pPr>
    </w:p>
    <w:p w14:paraId="410DF73F" w14:textId="77777777" w:rsidR="005B6DC0" w:rsidRDefault="005B6DC0">
      <w:pPr>
        <w:keepLines w:val="0"/>
        <w:spacing w:after="0" w:line="240" w:lineRule="auto"/>
        <w:rPr>
          <w:rFonts w:eastAsiaTheme="majorEastAsia" w:cs="Arial"/>
          <w:b/>
          <w:bCs/>
          <w:color w:val="003F5F"/>
          <w:kern w:val="32"/>
          <w:sz w:val="36"/>
        </w:rPr>
      </w:pPr>
      <w:r>
        <w:br w:type="page"/>
      </w:r>
    </w:p>
    <w:p w14:paraId="3E0623C2" w14:textId="4AEB544D" w:rsidR="00052A8F" w:rsidRPr="00052A8F" w:rsidRDefault="00B95A79" w:rsidP="007417F5">
      <w:pPr>
        <w:pStyle w:val="Heading1nonumber"/>
      </w:pPr>
      <w:bookmarkStart w:id="608" w:name="_Toc525122103"/>
      <w:r w:rsidRPr="00A50832">
        <w:t>Ministerial directives</w:t>
      </w:r>
      <w:bookmarkEnd w:id="601"/>
      <w:bookmarkEnd w:id="606"/>
      <w:bookmarkEnd w:id="607"/>
      <w:bookmarkEnd w:id="608"/>
      <w:r>
        <w:t xml:space="preserve"> </w:t>
      </w:r>
    </w:p>
    <w:p w14:paraId="296C182C" w14:textId="77777777" w:rsidR="00D84DBE" w:rsidRDefault="00D84DBE" w:rsidP="00D84DBE">
      <w:bookmarkStart w:id="609" w:name="_Toc399317034"/>
      <w:bookmarkStart w:id="610" w:name="_Toc426617579"/>
      <w:bookmarkStart w:id="611" w:name="_Toc450900806"/>
      <w:r w:rsidRPr="009373F5">
        <w:t>No Ministerial directives were received during the financial year.</w:t>
      </w:r>
    </w:p>
    <w:p w14:paraId="73DFC9C3" w14:textId="32E80A0E" w:rsidR="008973CA" w:rsidRDefault="008973CA" w:rsidP="00582820">
      <w:pPr>
        <w:pStyle w:val="Heading1nonumber"/>
      </w:pPr>
      <w:bookmarkStart w:id="612" w:name="_Toc525122104"/>
      <w:r w:rsidRPr="00A50832">
        <w:t>Governance disclosures</w:t>
      </w:r>
      <w:bookmarkEnd w:id="609"/>
      <w:bookmarkEnd w:id="610"/>
      <w:bookmarkEnd w:id="611"/>
      <w:bookmarkEnd w:id="612"/>
      <w:r w:rsidRPr="00A50832">
        <w:t xml:space="preserve"> </w:t>
      </w:r>
    </w:p>
    <w:p w14:paraId="16373A88" w14:textId="77777777" w:rsidR="003659DE" w:rsidRDefault="003659DE" w:rsidP="00582820">
      <w:pPr>
        <w:pStyle w:val="Heading2nonumber"/>
      </w:pPr>
      <w:bookmarkStart w:id="613" w:name="_Toc426617581"/>
      <w:bookmarkStart w:id="614" w:name="_Toc450900809"/>
      <w:bookmarkStart w:id="615" w:name="_Toc525122105"/>
      <w:r>
        <w:t>Board p</w:t>
      </w:r>
      <w:r w:rsidRPr="00A50832">
        <w:t>olicies</w:t>
      </w:r>
      <w:bookmarkEnd w:id="613"/>
      <w:bookmarkEnd w:id="614"/>
      <w:bookmarkEnd w:id="615"/>
    </w:p>
    <w:p w14:paraId="1BE70EC0" w14:textId="77777777" w:rsidR="00D84DBE" w:rsidRPr="003659DE" w:rsidRDefault="00D84DBE" w:rsidP="00D84DBE">
      <w:pPr>
        <w:rPr>
          <w:i/>
        </w:rPr>
      </w:pPr>
      <w:bookmarkStart w:id="616" w:name="_Toc399317035"/>
      <w:bookmarkStart w:id="617" w:name="_Toc426617580"/>
      <w:bookmarkStart w:id="618" w:name="_Toc450900808"/>
      <w:r>
        <w:t>The A</w:t>
      </w:r>
      <w:r w:rsidRPr="005B7D3D">
        <w:t>gency has a Board Charter</w:t>
      </w:r>
      <w:r>
        <w:t xml:space="preserve"> and Evaluation Framework</w:t>
      </w:r>
      <w:r w:rsidRPr="005B7D3D">
        <w:t xml:space="preserve">, </w:t>
      </w:r>
      <w:r>
        <w:t>Code of Conduct, m</w:t>
      </w:r>
      <w:r w:rsidRPr="005B7D3D">
        <w:t xml:space="preserve">eeting procedures and governance policies </w:t>
      </w:r>
      <w:r>
        <w:t xml:space="preserve">to </w:t>
      </w:r>
      <w:r w:rsidRPr="005B7D3D">
        <w:t>guide the actions of the Board and ensure</w:t>
      </w:r>
      <w:r>
        <w:t xml:space="preserve"> statutory</w:t>
      </w:r>
      <w:r w:rsidRPr="005B7D3D">
        <w:t xml:space="preserve"> r</w:t>
      </w:r>
      <w:r>
        <w:t xml:space="preserve">esponsibilities </w:t>
      </w:r>
      <w:r w:rsidRPr="005D7739">
        <w:t>are</w:t>
      </w:r>
      <w:r w:rsidRPr="005B7D3D">
        <w:t xml:space="preserve"> </w:t>
      </w:r>
      <w:r w:rsidRPr="005D7739">
        <w:t>met.</w:t>
      </w:r>
    </w:p>
    <w:p w14:paraId="6B4C259E" w14:textId="77777777" w:rsidR="004B71F1" w:rsidRDefault="008973CA" w:rsidP="00582820">
      <w:pPr>
        <w:pStyle w:val="Heading2nonumber"/>
      </w:pPr>
      <w:bookmarkStart w:id="619" w:name="_Toc525122106"/>
      <w:r w:rsidRPr="00A50832">
        <w:t>Board responsibilities</w:t>
      </w:r>
      <w:bookmarkEnd w:id="616"/>
      <w:bookmarkEnd w:id="617"/>
      <w:bookmarkEnd w:id="618"/>
      <w:bookmarkEnd w:id="619"/>
    </w:p>
    <w:p w14:paraId="45B0B53E" w14:textId="77777777" w:rsidR="00D84DBE" w:rsidRPr="001A4B16" w:rsidRDefault="00D84DBE" w:rsidP="00D84DBE">
      <w:bookmarkStart w:id="620" w:name="_Toc399317036"/>
      <w:bookmarkStart w:id="621" w:name="_Toc426617582"/>
      <w:bookmarkStart w:id="622" w:name="_Toc450900810"/>
      <w:r>
        <w:t>WorkCover WA</w:t>
      </w:r>
      <w:r w:rsidRPr="001A4B16">
        <w:t>’s corporate governance arrangements ensure transparency in decision making and operation, as well as accountability to stakeholders, by promoting strong leadership, sound management</w:t>
      </w:r>
      <w:r>
        <w:t>,</w:t>
      </w:r>
      <w:r w:rsidRPr="001A4B16">
        <w:t xml:space="preserve"> and effective planning and review.</w:t>
      </w:r>
    </w:p>
    <w:p w14:paraId="2725D4E1" w14:textId="3B8B9694" w:rsidR="00D84DBE" w:rsidRPr="002C7E48" w:rsidRDefault="00D84DBE" w:rsidP="00D84DBE">
      <w:pPr>
        <w:rPr>
          <w:szCs w:val="22"/>
        </w:rPr>
      </w:pPr>
      <w:r>
        <w:t>WorkCover WA</w:t>
      </w:r>
      <w:r w:rsidRPr="001A4B16">
        <w:t xml:space="preserve"> aims to achieve high standards in corporate governance to assure the State Government, stakeholders and the community </w:t>
      </w:r>
      <w:r>
        <w:t xml:space="preserve">that </w:t>
      </w:r>
      <w:r w:rsidRPr="001A4B16">
        <w:t xml:space="preserve">it </w:t>
      </w:r>
      <w:r>
        <w:t>is complying with statutory</w:t>
      </w:r>
      <w:r w:rsidRPr="001A4B16">
        <w:t xml:space="preserve"> </w:t>
      </w:r>
      <w:r w:rsidRPr="002C7E48">
        <w:rPr>
          <w:szCs w:val="22"/>
        </w:rPr>
        <w:t>responsibilities and meeting expectations with due diligence and accountability.</w:t>
      </w:r>
    </w:p>
    <w:p w14:paraId="71648EE8" w14:textId="77777777" w:rsidR="00D84DBE" w:rsidRPr="002C7E48" w:rsidRDefault="00D84DBE" w:rsidP="00D84DBE">
      <w:pPr>
        <w:rPr>
          <w:szCs w:val="22"/>
        </w:rPr>
      </w:pPr>
      <w:r w:rsidRPr="002C7E48">
        <w:rPr>
          <w:szCs w:val="22"/>
        </w:rPr>
        <w:t>The Board’s governance responsibilities include:</w:t>
      </w:r>
    </w:p>
    <w:p w14:paraId="39CB4BF3" w14:textId="77777777" w:rsidR="00D84DBE" w:rsidRPr="00D84DBE" w:rsidRDefault="00D84DBE" w:rsidP="00D84DBE">
      <w:pPr>
        <w:pStyle w:val="BulletListLevel1"/>
      </w:pPr>
      <w:r w:rsidRPr="00D84DBE">
        <w:t>setting the Agency’s strategic direction</w:t>
      </w:r>
    </w:p>
    <w:p w14:paraId="472D71E2" w14:textId="77777777" w:rsidR="00D84DBE" w:rsidRPr="00D84DBE" w:rsidRDefault="00D84DBE" w:rsidP="00D84DBE">
      <w:pPr>
        <w:pStyle w:val="BulletListLevel1"/>
      </w:pPr>
      <w:r w:rsidRPr="00D84DBE">
        <w:t>establishing goals for WorkCover WA and monitoring achievement against those goals to optimise the Agency’s performance</w:t>
      </w:r>
    </w:p>
    <w:p w14:paraId="3576C551" w14:textId="77777777" w:rsidR="00D84DBE" w:rsidRPr="00D84DBE" w:rsidRDefault="00D84DBE" w:rsidP="00D84DBE">
      <w:pPr>
        <w:pStyle w:val="BulletListLevel1"/>
      </w:pPr>
      <w:r w:rsidRPr="00D84DBE">
        <w:t>ensuring compliance with statutory requirements</w:t>
      </w:r>
    </w:p>
    <w:p w14:paraId="287C8294" w14:textId="77777777" w:rsidR="00D84DBE" w:rsidRPr="00D84DBE" w:rsidRDefault="00D84DBE" w:rsidP="00D84DBE">
      <w:pPr>
        <w:pStyle w:val="BulletListLevel1"/>
      </w:pPr>
      <w:r w:rsidRPr="00D84DBE">
        <w:t>approving Corporate Executive recommendations</w:t>
      </w:r>
    </w:p>
    <w:p w14:paraId="4BAA2C8D" w14:textId="77777777" w:rsidR="00D84DBE" w:rsidRPr="00D84DBE" w:rsidRDefault="00D84DBE" w:rsidP="00D84DBE">
      <w:pPr>
        <w:pStyle w:val="BulletListLevel1"/>
      </w:pPr>
      <w:r w:rsidRPr="00D84DBE">
        <w:t>making recommendations to the Minister (where appropriate)</w:t>
      </w:r>
    </w:p>
    <w:p w14:paraId="5A7BED52" w14:textId="77777777" w:rsidR="00D84DBE" w:rsidRPr="00D84DBE" w:rsidRDefault="00D84DBE" w:rsidP="00D84DBE">
      <w:pPr>
        <w:pStyle w:val="BulletListLevel1"/>
      </w:pPr>
      <w:r w:rsidRPr="00D84DBE">
        <w:t>giving effect to Ministerial directives</w:t>
      </w:r>
    </w:p>
    <w:p w14:paraId="5F4C434C" w14:textId="77777777" w:rsidR="00D84DBE" w:rsidRPr="00D84DBE" w:rsidRDefault="00D84DBE" w:rsidP="00D84DBE">
      <w:pPr>
        <w:pStyle w:val="BulletListLevel1"/>
      </w:pPr>
      <w:r w:rsidRPr="00D84DBE">
        <w:t>managing strategic risk.</w:t>
      </w:r>
    </w:p>
    <w:p w14:paraId="39E09ABF" w14:textId="77777777" w:rsidR="009A5337" w:rsidRDefault="009A5337" w:rsidP="00582820">
      <w:pPr>
        <w:pStyle w:val="Heading2nonumber"/>
      </w:pPr>
      <w:bookmarkStart w:id="623" w:name="_Toc525122107"/>
      <w:r w:rsidRPr="00A50832">
        <w:t>Conflicts of interest</w:t>
      </w:r>
      <w:bookmarkEnd w:id="620"/>
      <w:bookmarkEnd w:id="621"/>
      <w:bookmarkEnd w:id="622"/>
      <w:bookmarkEnd w:id="623"/>
    </w:p>
    <w:p w14:paraId="290CD48E" w14:textId="77777777" w:rsidR="00D84DBE" w:rsidRDefault="00D84DBE" w:rsidP="00D84DBE">
      <w:pPr>
        <w:rPr>
          <w:lang w:eastAsia="en-AU"/>
        </w:rPr>
      </w:pPr>
      <w:r w:rsidRPr="00773D35">
        <w:rPr>
          <w:lang w:eastAsia="en-AU"/>
        </w:rPr>
        <w:t>In accordance with Treasurer’s Instruction</w:t>
      </w:r>
      <w:r>
        <w:rPr>
          <w:lang w:eastAsia="en-AU"/>
        </w:rPr>
        <w:t xml:space="preserve"> </w:t>
      </w:r>
      <w:r w:rsidRPr="00773D35">
        <w:rPr>
          <w:lang w:eastAsia="en-AU"/>
        </w:rPr>
        <w:t>903 (14)(iii), senior officers and members of the</w:t>
      </w:r>
      <w:r>
        <w:rPr>
          <w:lang w:eastAsia="en-AU"/>
        </w:rPr>
        <w:t xml:space="preserve"> </w:t>
      </w:r>
      <w:r w:rsidRPr="00773D35">
        <w:rPr>
          <w:lang w:eastAsia="en-AU"/>
        </w:rPr>
        <w:t xml:space="preserve">WorkCover WA Board declared any </w:t>
      </w:r>
      <w:r>
        <w:rPr>
          <w:lang w:eastAsia="en-AU"/>
        </w:rPr>
        <w:t xml:space="preserve">potential conflict of </w:t>
      </w:r>
      <w:r w:rsidRPr="00773D35">
        <w:rPr>
          <w:lang w:eastAsia="en-AU"/>
        </w:rPr>
        <w:t>interest held in</w:t>
      </w:r>
      <w:r>
        <w:rPr>
          <w:lang w:eastAsia="en-AU"/>
        </w:rPr>
        <w:t xml:space="preserve"> </w:t>
      </w:r>
      <w:r w:rsidRPr="00773D35">
        <w:rPr>
          <w:lang w:eastAsia="en-AU"/>
        </w:rPr>
        <w:t>existing or proposed contracts with WorkCover WA.</w:t>
      </w:r>
    </w:p>
    <w:p w14:paraId="024091E8" w14:textId="77777777" w:rsidR="00D14BD4" w:rsidRDefault="00D14BD4" w:rsidP="00582820">
      <w:pPr>
        <w:pStyle w:val="Heading2nonumber"/>
      </w:pPr>
      <w:bookmarkStart w:id="624" w:name="_Toc525122108"/>
      <w:r w:rsidRPr="005C2408">
        <w:t>Unauthorised use of credit cards</w:t>
      </w:r>
      <w:bookmarkEnd w:id="624"/>
    </w:p>
    <w:p w14:paraId="527C3702" w14:textId="77777777" w:rsidR="0000700F" w:rsidRPr="0078307A" w:rsidRDefault="0000700F" w:rsidP="0000700F">
      <w:bookmarkStart w:id="625" w:name="_Toc426617583"/>
      <w:bookmarkStart w:id="626" w:name="_Toc450900811"/>
      <w:r>
        <w:t xml:space="preserve">Officers of </w:t>
      </w:r>
      <w:r w:rsidRPr="003976B4">
        <w:t xml:space="preserve">WorkCover WA </w:t>
      </w:r>
      <w:r>
        <w:t>hold corporate credit cards where their functions warrant usage of this facility. There was no use of credit cards for unauthorised purposes during the financial year 2017/18.</w:t>
      </w:r>
    </w:p>
    <w:p w14:paraId="07319E9A" w14:textId="77777777" w:rsidR="003E5D45" w:rsidRDefault="005D7739" w:rsidP="00582820">
      <w:pPr>
        <w:pStyle w:val="Heading2nonumber"/>
      </w:pPr>
      <w:bookmarkStart w:id="627" w:name="_Toc525122109"/>
      <w:r w:rsidRPr="00A50832">
        <w:t xml:space="preserve">CEO </w:t>
      </w:r>
      <w:r w:rsidR="003E5D45" w:rsidRPr="00A50832">
        <w:t>Performance Agreement</w:t>
      </w:r>
      <w:bookmarkEnd w:id="625"/>
      <w:bookmarkEnd w:id="626"/>
      <w:bookmarkEnd w:id="627"/>
      <w:r w:rsidR="003E5D45">
        <w:t xml:space="preserve"> </w:t>
      </w:r>
    </w:p>
    <w:p w14:paraId="4E21290D" w14:textId="4680356A" w:rsidR="009567D0" w:rsidRDefault="00700163" w:rsidP="00700163">
      <w:bookmarkStart w:id="628" w:name="_Toc426617584"/>
      <w:bookmarkStart w:id="629" w:name="_Toc450900812"/>
      <w:r>
        <w:t>The Agency’s performance is monitored by the WorkCover WA Board and the Minister for Commerce and Industrial Relations through deliverables determined in an annual CEO Performance Agreement.</w:t>
      </w:r>
    </w:p>
    <w:p w14:paraId="1F637B5C" w14:textId="235510CE" w:rsidR="00700163" w:rsidRPr="00F30808" w:rsidRDefault="00700163" w:rsidP="00700163">
      <w:r>
        <w:t>The Performance Agreement is developed each year between the CEO, the Chairman of the Board, the Minister and the Public Sector Commissioner. An evaluation against agreed deliverables is assessed by the Chairman at year end and further endorsed by the Minister and the Commissioner.</w:t>
      </w:r>
    </w:p>
    <w:p w14:paraId="1D2B75E7" w14:textId="77777777" w:rsidR="00A26143" w:rsidRDefault="00A26143" w:rsidP="00A26143">
      <w:pPr>
        <w:pStyle w:val="Heading2nonumber"/>
      </w:pPr>
      <w:bookmarkStart w:id="630" w:name="_Toc525122110"/>
      <w:r>
        <w:t>Governance Framework</w:t>
      </w:r>
      <w:bookmarkEnd w:id="630"/>
    </w:p>
    <w:p w14:paraId="0934CA68" w14:textId="77777777" w:rsidR="00A26143" w:rsidRPr="00A26143" w:rsidRDefault="00A26143" w:rsidP="00A26143">
      <w:r w:rsidRPr="00A26143">
        <w:t xml:space="preserve">WorkCover WA’s Governance Framework addresses our Strategic Risk of </w:t>
      </w:r>
      <w:r w:rsidRPr="00A26143">
        <w:rPr>
          <w:i/>
        </w:rPr>
        <w:t>Board and Agency Governance</w:t>
      </w:r>
      <w:r w:rsidRPr="00A26143">
        <w:t xml:space="preserve"> and ensures we have the strategies, stakeholder relationships and culture to achieve our objectives and comply with all good governance principles. Our Governance Framework is aligned to the Public Sector Commission’s Good Governance Guide and provides the foundation for all our planning, reporting and governance needs. Ongoing monitoring and review is provided through our:</w:t>
      </w:r>
    </w:p>
    <w:p w14:paraId="4945AE7B" w14:textId="4338AD25" w:rsidR="00A26143" w:rsidRPr="00A26143" w:rsidRDefault="00A26143" w:rsidP="00026A6F">
      <w:pPr>
        <w:pStyle w:val="ListParagraph"/>
        <w:numPr>
          <w:ilvl w:val="0"/>
          <w:numId w:val="42"/>
        </w:numPr>
        <w:spacing w:after="240" w:line="276" w:lineRule="auto"/>
      </w:pPr>
      <w:r w:rsidRPr="00A26143">
        <w:t>risk management and audit processes and programs</w:t>
      </w:r>
    </w:p>
    <w:p w14:paraId="11436F17" w14:textId="5E2DFFA1" w:rsidR="00A26143" w:rsidRPr="00A26143" w:rsidRDefault="00A26143" w:rsidP="00026A6F">
      <w:pPr>
        <w:pStyle w:val="ListParagraph"/>
        <w:numPr>
          <w:ilvl w:val="0"/>
          <w:numId w:val="42"/>
        </w:numPr>
        <w:spacing w:after="240" w:line="276" w:lineRule="auto"/>
      </w:pPr>
      <w:r w:rsidRPr="00A26143">
        <w:t>quarterly and annual reporting requirements</w:t>
      </w:r>
    </w:p>
    <w:p w14:paraId="630986FE" w14:textId="16CD11DA" w:rsidR="00A26143" w:rsidRPr="00A26143" w:rsidRDefault="00A26143" w:rsidP="00026A6F">
      <w:pPr>
        <w:pStyle w:val="ListParagraph"/>
        <w:numPr>
          <w:ilvl w:val="0"/>
          <w:numId w:val="42"/>
        </w:numPr>
        <w:spacing w:after="240" w:line="276" w:lineRule="auto"/>
      </w:pPr>
      <w:r w:rsidRPr="00A26143">
        <w:t>oversight by the agency’s Corporate Executive and the WorkCover WA Board</w:t>
      </w:r>
    </w:p>
    <w:p w14:paraId="7F8C9C9B" w14:textId="64C66810" w:rsidR="00A26143" w:rsidRPr="00A26143" w:rsidRDefault="00A26143" w:rsidP="00026A6F">
      <w:pPr>
        <w:pStyle w:val="ListParagraph"/>
        <w:numPr>
          <w:ilvl w:val="0"/>
          <w:numId w:val="42"/>
        </w:numPr>
        <w:spacing w:after="240" w:line="276" w:lineRule="auto"/>
      </w:pPr>
      <w:r w:rsidRPr="00A26143">
        <w:t>annual governance performance review.</w:t>
      </w:r>
    </w:p>
    <w:p w14:paraId="76B0B57C" w14:textId="5ED7BAD8" w:rsidR="009C4F49" w:rsidRDefault="009C4F49" w:rsidP="00A26143">
      <w:r>
        <w:t xml:space="preserve">The Framework outlines the government legislative obligations behind each process, and explains how WorkCover WA meets these requirements. </w:t>
      </w:r>
    </w:p>
    <w:p w14:paraId="45893930" w14:textId="77777777" w:rsidR="00A26143" w:rsidRPr="00D234EE" w:rsidRDefault="00A26143" w:rsidP="00A26143">
      <w:pPr>
        <w:rPr>
          <w:lang w:val="en-GB" w:eastAsia="en-AU"/>
        </w:rPr>
      </w:pPr>
      <w:r w:rsidRPr="00D234EE">
        <w:rPr>
          <w:lang w:val="en-GB" w:eastAsia="en-AU"/>
        </w:rPr>
        <w:t>To contribute to the effectiveness of the Board and meet specific legislative obligations, an Audit and Risk Management Committee</w:t>
      </w:r>
      <w:r w:rsidRPr="006A24E6">
        <w:rPr>
          <w:lang w:val="en-GB" w:eastAsia="en-AU"/>
        </w:rPr>
        <w:t>, Costs Committee and Medical Committee are established. These committees provide objective</w:t>
      </w:r>
      <w:r w:rsidRPr="00D234EE">
        <w:rPr>
          <w:lang w:val="en-GB" w:eastAsia="en-AU"/>
        </w:rPr>
        <w:t xml:space="preserve"> administration and advice on discrete elements of the scheme. </w:t>
      </w:r>
    </w:p>
    <w:p w14:paraId="3C63D136" w14:textId="77777777" w:rsidR="00A26143" w:rsidRPr="00D234EE" w:rsidRDefault="00A26143" w:rsidP="00A26143">
      <w:pPr>
        <w:rPr>
          <w:lang w:val="en-GB" w:eastAsia="en-AU"/>
        </w:rPr>
      </w:pPr>
      <w:r w:rsidRPr="00D234EE">
        <w:rPr>
          <w:lang w:val="en-GB" w:eastAsia="en-AU"/>
        </w:rPr>
        <w:t>As part of governance arrangements, these committees are supported by:</w:t>
      </w:r>
    </w:p>
    <w:p w14:paraId="5C5DD83C" w14:textId="77777777" w:rsidR="00A26143" w:rsidRPr="00D234EE" w:rsidRDefault="00A26143" w:rsidP="00A26143">
      <w:pPr>
        <w:pStyle w:val="BulletListLevel1"/>
      </w:pPr>
      <w:r w:rsidRPr="00D234EE">
        <w:t>documented terms of reference/standing orders</w:t>
      </w:r>
    </w:p>
    <w:p w14:paraId="173D6AEA" w14:textId="77777777" w:rsidR="00A26143" w:rsidRPr="00D234EE" w:rsidRDefault="00A26143" w:rsidP="00A26143">
      <w:pPr>
        <w:pStyle w:val="BulletListLevel1"/>
      </w:pPr>
      <w:r w:rsidRPr="00D234EE">
        <w:t>an appointed Chair who is also a Board member</w:t>
      </w:r>
    </w:p>
    <w:p w14:paraId="2A3B42D0" w14:textId="77777777" w:rsidR="00A26143" w:rsidRPr="00D234EE" w:rsidRDefault="00A26143" w:rsidP="00A26143">
      <w:pPr>
        <w:pStyle w:val="BulletListLevel1"/>
      </w:pPr>
      <w:r w:rsidRPr="00D234EE">
        <w:t>committee members with expertise relevant to their respective roles</w:t>
      </w:r>
    </w:p>
    <w:p w14:paraId="3E7EFB0E" w14:textId="77777777" w:rsidR="00A26143" w:rsidRPr="00D234EE" w:rsidRDefault="00A26143" w:rsidP="00A26143">
      <w:pPr>
        <w:pStyle w:val="BulletListLevel1"/>
      </w:pPr>
      <w:r w:rsidRPr="00D234EE">
        <w:t>mechanisms for regular reporting to the Board</w:t>
      </w:r>
    </w:p>
    <w:p w14:paraId="28722B98" w14:textId="77777777" w:rsidR="00A26143" w:rsidRPr="00D234EE" w:rsidRDefault="00A26143" w:rsidP="00A26143">
      <w:pPr>
        <w:pStyle w:val="BulletListLevel1"/>
      </w:pPr>
      <w:r w:rsidRPr="00D234EE">
        <w:t>appropriate administrative resources.</w:t>
      </w:r>
    </w:p>
    <w:p w14:paraId="3EFF2216" w14:textId="6400B5F3" w:rsidR="00A26143" w:rsidRPr="00D234EE" w:rsidRDefault="00A26143" w:rsidP="00A26143">
      <w:r w:rsidRPr="00D234EE">
        <w:t xml:space="preserve">WorkCover WA maintains a Manual of Delegations, Authorisations and Powers </w:t>
      </w:r>
      <w:r w:rsidR="00270ADD">
        <w:t xml:space="preserve">with authority limits </w:t>
      </w:r>
      <w:r w:rsidRPr="00D234EE">
        <w:t>assigned to various officers under relevant governing legislation. The manual is reviewed annually or as required, and the Board is kept informed of all management strategies and ongoing activities relevant to its delegated powers.</w:t>
      </w:r>
    </w:p>
    <w:p w14:paraId="6399C51B" w14:textId="32925657" w:rsidR="00A26143" w:rsidRDefault="00A26143" w:rsidP="00A26143">
      <w:r w:rsidRPr="00D234EE">
        <w:rPr>
          <w:lang w:val="en-GB" w:eastAsia="en-AU"/>
        </w:rPr>
        <w:t xml:space="preserve">Refer to </w:t>
      </w:r>
      <w:r w:rsidRPr="00104470">
        <w:rPr>
          <w:lang w:val="en-GB" w:eastAsia="en-AU"/>
        </w:rPr>
        <w:t xml:space="preserve">page </w:t>
      </w:r>
      <w:r w:rsidR="00104470" w:rsidRPr="00104470">
        <w:rPr>
          <w:lang w:val="en-GB" w:eastAsia="en-AU"/>
        </w:rPr>
        <w:t>134</w:t>
      </w:r>
      <w:r w:rsidRPr="00104470">
        <w:rPr>
          <w:lang w:val="en-GB" w:eastAsia="en-AU"/>
        </w:rPr>
        <w:t xml:space="preserve"> under </w:t>
      </w:r>
      <w:r w:rsidRPr="005B6DC0">
        <w:rPr>
          <w:lang w:val="en-GB" w:eastAsia="en-AU"/>
        </w:rPr>
        <w:t>‘Committees</w:t>
      </w:r>
      <w:r w:rsidRPr="005B6DC0">
        <w:rPr>
          <w:shd w:val="clear" w:color="auto" w:fill="FFFFFF" w:themeFill="background1"/>
          <w:lang w:val="en-GB" w:eastAsia="en-AU"/>
        </w:rPr>
        <w:t xml:space="preserve">’ in </w:t>
      </w:r>
      <w:r w:rsidRPr="005B6DC0">
        <w:rPr>
          <w:i/>
          <w:shd w:val="clear" w:color="auto" w:fill="FFFFFF" w:themeFill="background1"/>
          <w:lang w:val="en-GB" w:eastAsia="en-AU"/>
        </w:rPr>
        <w:t>Section 5: Disclosures and legal compliance</w:t>
      </w:r>
      <w:r w:rsidRPr="00D234EE">
        <w:rPr>
          <w:shd w:val="clear" w:color="auto" w:fill="FFFFFF" w:themeFill="background1"/>
          <w:lang w:val="en-GB" w:eastAsia="en-AU"/>
        </w:rPr>
        <w:t xml:space="preserve"> for full disclosure on these Committees.</w:t>
      </w:r>
    </w:p>
    <w:p w14:paraId="182FC229" w14:textId="77777777" w:rsidR="00A84004" w:rsidRPr="00DD3A96" w:rsidRDefault="00A84004" w:rsidP="00582820">
      <w:pPr>
        <w:pStyle w:val="Heading2nonumber"/>
      </w:pPr>
      <w:bookmarkStart w:id="631" w:name="_Toc525122111"/>
      <w:r w:rsidRPr="00A50832">
        <w:t xml:space="preserve">Review against the PSC </w:t>
      </w:r>
      <w:r w:rsidR="007C3263" w:rsidRPr="00A50832">
        <w:t>Good Governance Guide</w:t>
      </w:r>
      <w:bookmarkEnd w:id="628"/>
      <w:bookmarkEnd w:id="629"/>
      <w:bookmarkEnd w:id="631"/>
    </w:p>
    <w:p w14:paraId="58E414DC" w14:textId="77777777" w:rsidR="008434ED" w:rsidRPr="009151E1" w:rsidRDefault="008434ED" w:rsidP="008434ED">
      <w:bookmarkStart w:id="632" w:name="_Toc399317037"/>
      <w:bookmarkStart w:id="633" w:name="_Toc426617585"/>
      <w:r>
        <w:t>To ensure ongoing good governance performance, WorkCover WA</w:t>
      </w:r>
      <w:r w:rsidRPr="009151E1">
        <w:t xml:space="preserve"> </w:t>
      </w:r>
      <w:r>
        <w:t xml:space="preserve">conducted an annual </w:t>
      </w:r>
      <w:r w:rsidRPr="009151E1">
        <w:t xml:space="preserve">review of </w:t>
      </w:r>
      <w:r>
        <w:t>its</w:t>
      </w:r>
      <w:r w:rsidRPr="009151E1">
        <w:t xml:space="preserve"> </w:t>
      </w:r>
      <w:r w:rsidRPr="00DB32FC">
        <w:t xml:space="preserve">performance against the Public Sector Commission’s Good Governance Guide (GGG) for public sector agencies and performance of the WorkCover WA Board in accordance </w:t>
      </w:r>
      <w:r>
        <w:t xml:space="preserve">with the PSC Board Essentials – Good Governance Guide for Public Sector Boards and Committees. </w:t>
      </w:r>
    </w:p>
    <w:p w14:paraId="65D146F4" w14:textId="28B54275" w:rsidR="00270ADD" w:rsidRDefault="00270ADD" w:rsidP="00270ADD">
      <w:r>
        <w:t>The assessment tested the Agency’s performance against the operational elements of the nine principles of the GGG and the seven principles of Board governance. The assessment aimed to identify variances to the required</w:t>
      </w:r>
      <w:r w:rsidRPr="00C27291">
        <w:t xml:space="preserve"> </w:t>
      </w:r>
      <w:r>
        <w:t>standards</w:t>
      </w:r>
      <w:r w:rsidRPr="00C27291">
        <w:t xml:space="preserve"> </w:t>
      </w:r>
      <w:r>
        <w:t xml:space="preserve">and ensure performance is maintained at WorkCover WA’s long established exemplary level.  </w:t>
      </w:r>
    </w:p>
    <w:p w14:paraId="289BF28E" w14:textId="77777777" w:rsidR="00270ADD" w:rsidRDefault="00270ADD" w:rsidP="00270ADD">
      <w:r>
        <w:t>WorkCover WA received the Public Sector Commission Award for Good Governance at the Institute of Public Administration’s 2017 W.S. Lonnie Awards recognising excellence in annual reporting and in 2018 the Agency was again recognised with a special commendation in regards to this award. The Judges commented the report contained a detailed corporate governance report.</w:t>
      </w:r>
    </w:p>
    <w:p w14:paraId="178AACAA" w14:textId="6A958EA5" w:rsidR="00D52039" w:rsidRDefault="00D56F7B" w:rsidP="00582820">
      <w:pPr>
        <w:pStyle w:val="Heading3nonumber"/>
      </w:pPr>
      <w:bookmarkStart w:id="634" w:name="_Toc525122112"/>
      <w:r>
        <w:t xml:space="preserve">Applying </w:t>
      </w:r>
      <w:r w:rsidR="00D52039">
        <w:t>Good Governance</w:t>
      </w:r>
      <w:bookmarkEnd w:id="634"/>
    </w:p>
    <w:p w14:paraId="51C63CB3" w14:textId="556DAD39" w:rsidR="001B3486" w:rsidRDefault="0082341C" w:rsidP="000A194A">
      <w:r w:rsidRPr="0082341C">
        <w:t xml:space="preserve">The following table references the sections within this report that highlight how </w:t>
      </w:r>
      <w:r w:rsidR="00616E8C">
        <w:t>WorkCover WA</w:t>
      </w:r>
      <w:r w:rsidRPr="0082341C">
        <w:t xml:space="preserve"> applies </w:t>
      </w:r>
      <w:r w:rsidR="005E1C0F">
        <w:t>the nine</w:t>
      </w:r>
      <w:r w:rsidRPr="0082341C">
        <w:t xml:space="preserve"> principles</w:t>
      </w:r>
      <w:r w:rsidR="005E1C0F">
        <w:t xml:space="preserve"> of the GGG</w:t>
      </w:r>
      <w:r w:rsidRPr="0082341C">
        <w:t xml:space="preserve"> in practice and complies with relevant requirements</w:t>
      </w:r>
      <w:r w:rsidR="001B3486">
        <w:t>.</w:t>
      </w:r>
      <w:r w:rsidR="00622327">
        <w:br/>
      </w:r>
      <w:r w:rsidR="00622327">
        <w:br/>
      </w:r>
    </w:p>
    <w:tbl>
      <w:tblPr>
        <w:tblStyle w:val="TableGrid"/>
        <w:tblW w:w="9067"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41: Good Governance Guide checklist"/>
        <w:tblDescription w:val="This table outlines how WorkCover WA has applied the nine principles of good governance in practice. The principles are government and public sector relationship, management and oversight, organisational structure, operations, ethics and integrity, people, finance, communication and risk management. "/>
      </w:tblPr>
      <w:tblGrid>
        <w:gridCol w:w="2405"/>
        <w:gridCol w:w="709"/>
        <w:gridCol w:w="5953"/>
      </w:tblGrid>
      <w:tr w:rsidR="00242529" w:rsidRPr="00155E70" w14:paraId="67A23AEC" w14:textId="77777777" w:rsidTr="008F1034">
        <w:trPr>
          <w:tblHeader/>
        </w:trPr>
        <w:tc>
          <w:tcPr>
            <w:tcW w:w="9067" w:type="dxa"/>
            <w:gridSpan w:val="3"/>
            <w:shd w:val="clear" w:color="auto" w:fill="003F5F"/>
          </w:tcPr>
          <w:p w14:paraId="6EB317BA" w14:textId="37EA2447" w:rsidR="00242529" w:rsidRPr="00155E70" w:rsidRDefault="00F30808" w:rsidP="008F1034">
            <w:pPr>
              <w:rPr>
                <w:b/>
                <w:color w:val="FFFFFF"/>
              </w:rPr>
            </w:pPr>
            <w:r w:rsidRPr="008F1034">
              <w:rPr>
                <w:b/>
                <w:color w:val="FFFFFF" w:themeColor="background1"/>
              </w:rPr>
              <w:t xml:space="preserve">Table </w:t>
            </w:r>
            <w:r w:rsidR="00831DB0" w:rsidRPr="008F1034">
              <w:rPr>
                <w:b/>
                <w:color w:val="FFFFFF" w:themeColor="background1"/>
              </w:rPr>
              <w:t>4</w:t>
            </w:r>
            <w:r w:rsidR="008F1034" w:rsidRPr="008F1034">
              <w:rPr>
                <w:b/>
                <w:color w:val="FFFFFF" w:themeColor="background1"/>
              </w:rPr>
              <w:t>1</w:t>
            </w:r>
            <w:r w:rsidR="00242529" w:rsidRPr="008F1034">
              <w:rPr>
                <w:b/>
                <w:color w:val="FFFFFF" w:themeColor="background1"/>
              </w:rPr>
              <w:t xml:space="preserve">: </w:t>
            </w:r>
            <w:r w:rsidR="00242529" w:rsidRPr="00BD0B92">
              <w:rPr>
                <w:b/>
                <w:color w:val="FFFFFF" w:themeColor="background1"/>
              </w:rPr>
              <w:t>Good Governance Guide Checklist</w:t>
            </w:r>
          </w:p>
        </w:tc>
      </w:tr>
      <w:tr w:rsidR="00242529" w:rsidRPr="00155E70" w14:paraId="5DB9F349" w14:textId="77777777" w:rsidTr="008F1034">
        <w:tc>
          <w:tcPr>
            <w:tcW w:w="2405" w:type="dxa"/>
            <w:shd w:val="clear" w:color="auto" w:fill="CEDCE8"/>
          </w:tcPr>
          <w:p w14:paraId="55BB4F6B" w14:textId="77777777" w:rsidR="00242529" w:rsidRPr="00155E70" w:rsidRDefault="00242529" w:rsidP="00614E72">
            <w:pPr>
              <w:rPr>
                <w:b/>
                <w:bCs/>
              </w:rPr>
            </w:pPr>
            <w:r w:rsidRPr="00155E70">
              <w:rPr>
                <w:b/>
                <w:bCs/>
              </w:rPr>
              <w:t>Principle</w:t>
            </w:r>
          </w:p>
        </w:tc>
        <w:tc>
          <w:tcPr>
            <w:tcW w:w="709" w:type="dxa"/>
            <w:shd w:val="clear" w:color="auto" w:fill="CEDCE8"/>
          </w:tcPr>
          <w:p w14:paraId="0DE293FD" w14:textId="77777777" w:rsidR="00242529" w:rsidRPr="00155E70" w:rsidRDefault="00242529" w:rsidP="00614E72">
            <w:pPr>
              <w:rPr>
                <w:b/>
              </w:rPr>
            </w:pPr>
          </w:p>
        </w:tc>
        <w:tc>
          <w:tcPr>
            <w:tcW w:w="5953" w:type="dxa"/>
            <w:shd w:val="clear" w:color="auto" w:fill="CEDCE8"/>
          </w:tcPr>
          <w:p w14:paraId="48541BC3" w14:textId="77777777" w:rsidR="00242529" w:rsidRPr="00155E70" w:rsidRDefault="00242529" w:rsidP="00614E72">
            <w:pPr>
              <w:rPr>
                <w:b/>
              </w:rPr>
            </w:pPr>
            <w:r w:rsidRPr="00155E70">
              <w:rPr>
                <w:b/>
              </w:rPr>
              <w:t>Reference</w:t>
            </w:r>
          </w:p>
        </w:tc>
      </w:tr>
      <w:tr w:rsidR="00242529" w:rsidRPr="00155E70" w14:paraId="2C51161B" w14:textId="77777777" w:rsidTr="008F1034">
        <w:trPr>
          <w:trHeight w:val="437"/>
        </w:trPr>
        <w:tc>
          <w:tcPr>
            <w:tcW w:w="2405" w:type="dxa"/>
            <w:vMerge w:val="restart"/>
            <w:shd w:val="clear" w:color="auto" w:fill="CEDCE8"/>
          </w:tcPr>
          <w:p w14:paraId="41B7237E" w14:textId="77777777" w:rsidR="00242529" w:rsidRPr="00155E70" w:rsidRDefault="00242529" w:rsidP="00026A6F">
            <w:pPr>
              <w:pStyle w:val="ListParagraph"/>
              <w:numPr>
                <w:ilvl w:val="0"/>
                <w:numId w:val="8"/>
              </w:numPr>
              <w:spacing w:after="240" w:line="276" w:lineRule="auto"/>
              <w:rPr>
                <w:bCs w:val="0"/>
              </w:rPr>
            </w:pPr>
            <w:r w:rsidRPr="00155E70">
              <w:t>Government and public sector relationship</w:t>
            </w:r>
          </w:p>
        </w:tc>
        <w:tc>
          <w:tcPr>
            <w:tcW w:w="709" w:type="dxa"/>
          </w:tcPr>
          <w:p w14:paraId="29D968CC" w14:textId="77777777" w:rsidR="00242529" w:rsidRPr="00155E70" w:rsidRDefault="00242529" w:rsidP="00614E72">
            <w:pPr>
              <w:jc w:val="center"/>
            </w:pPr>
            <w:r w:rsidRPr="00155E70">
              <w:t>1.1</w:t>
            </w:r>
          </w:p>
        </w:tc>
        <w:tc>
          <w:tcPr>
            <w:tcW w:w="5953" w:type="dxa"/>
            <w:shd w:val="clear" w:color="auto" w:fill="auto"/>
          </w:tcPr>
          <w:p w14:paraId="6BBC565A" w14:textId="70478844" w:rsidR="00577FC6" w:rsidRDefault="00577FC6" w:rsidP="00026A6F">
            <w:pPr>
              <w:pStyle w:val="ListParagraph"/>
              <w:numPr>
                <w:ilvl w:val="0"/>
                <w:numId w:val="10"/>
              </w:numPr>
              <w:spacing w:after="120" w:line="276" w:lineRule="auto"/>
            </w:pPr>
            <w:r>
              <w:t xml:space="preserve">Enabling legislation </w:t>
            </w:r>
            <w:r w:rsidRPr="00104470">
              <w:t xml:space="preserve">(p. </w:t>
            </w:r>
            <w:r w:rsidR="00104470" w:rsidRPr="00104470">
              <w:t>38</w:t>
            </w:r>
            <w:r w:rsidRPr="00104470">
              <w:t>)</w:t>
            </w:r>
          </w:p>
          <w:p w14:paraId="33499DD4" w14:textId="5E6CFCEA" w:rsidR="00577FC6" w:rsidRDefault="00577FC6" w:rsidP="00026A6F">
            <w:pPr>
              <w:pStyle w:val="ListParagraph"/>
              <w:numPr>
                <w:ilvl w:val="0"/>
                <w:numId w:val="10"/>
              </w:numPr>
              <w:spacing w:after="120" w:line="276" w:lineRule="auto"/>
            </w:pPr>
            <w:r>
              <w:t xml:space="preserve">CEO Performance </w:t>
            </w:r>
            <w:r w:rsidRPr="00FE3F16">
              <w:t xml:space="preserve">Agreement (p. </w:t>
            </w:r>
            <w:r w:rsidR="00FE3F16" w:rsidRPr="00FE3F16">
              <w:t>130</w:t>
            </w:r>
            <w:r w:rsidRPr="00FE3F16">
              <w:t>)</w:t>
            </w:r>
          </w:p>
          <w:p w14:paraId="61484377" w14:textId="7E0F6F64" w:rsidR="00242529" w:rsidRPr="00AA5C63" w:rsidRDefault="00577FC6" w:rsidP="00C33CFE">
            <w:pPr>
              <w:pStyle w:val="ListParagraph"/>
              <w:numPr>
                <w:ilvl w:val="0"/>
                <w:numId w:val="10"/>
              </w:numPr>
              <w:spacing w:after="120" w:line="276" w:lineRule="auto"/>
            </w:pPr>
            <w:r w:rsidRPr="00C33CFE">
              <w:t xml:space="preserve">Governance (p. </w:t>
            </w:r>
            <w:r w:rsidR="00C33CFE" w:rsidRPr="00C33CFE">
              <w:t>39</w:t>
            </w:r>
            <w:r w:rsidRPr="00C33CFE">
              <w:t>)</w:t>
            </w:r>
          </w:p>
        </w:tc>
      </w:tr>
      <w:tr w:rsidR="00242529" w:rsidRPr="00155E70" w14:paraId="1C8BD0A7" w14:textId="77777777" w:rsidTr="008F1034">
        <w:trPr>
          <w:trHeight w:val="561"/>
        </w:trPr>
        <w:tc>
          <w:tcPr>
            <w:tcW w:w="2405" w:type="dxa"/>
            <w:vMerge/>
            <w:shd w:val="clear" w:color="auto" w:fill="CEDCE8"/>
          </w:tcPr>
          <w:p w14:paraId="3DC9D689"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03381F9D" w14:textId="77777777" w:rsidR="00242529" w:rsidRPr="00155E70" w:rsidRDefault="00242529" w:rsidP="00614E72">
            <w:pPr>
              <w:jc w:val="center"/>
            </w:pPr>
            <w:r w:rsidRPr="00155E70">
              <w:t>1.2</w:t>
            </w:r>
          </w:p>
        </w:tc>
        <w:tc>
          <w:tcPr>
            <w:tcW w:w="5953" w:type="dxa"/>
            <w:shd w:val="clear" w:color="auto" w:fill="auto"/>
          </w:tcPr>
          <w:p w14:paraId="37D6539B" w14:textId="202E41AB" w:rsidR="00577FC6" w:rsidRDefault="00577FC6" w:rsidP="00026A6F">
            <w:pPr>
              <w:pStyle w:val="ListParagraph"/>
              <w:numPr>
                <w:ilvl w:val="0"/>
                <w:numId w:val="10"/>
              </w:numPr>
              <w:spacing w:after="120" w:line="276" w:lineRule="auto"/>
            </w:pPr>
            <w:r>
              <w:t xml:space="preserve">Communications </w:t>
            </w:r>
            <w:r w:rsidRPr="00C33CFE">
              <w:t xml:space="preserve">Protocol (p. </w:t>
            </w:r>
            <w:r w:rsidR="00C33CFE" w:rsidRPr="00C33CFE">
              <w:t>46</w:t>
            </w:r>
            <w:r w:rsidRPr="00C33CFE">
              <w:t>)</w:t>
            </w:r>
          </w:p>
          <w:p w14:paraId="6D9F8A5C" w14:textId="1397145D" w:rsidR="00242529" w:rsidRPr="00AA5C63" w:rsidRDefault="00577FC6" w:rsidP="00B65C31">
            <w:pPr>
              <w:pStyle w:val="ListParagraph"/>
              <w:numPr>
                <w:ilvl w:val="0"/>
                <w:numId w:val="10"/>
              </w:numPr>
              <w:spacing w:after="120" w:line="276" w:lineRule="auto"/>
            </w:pPr>
            <w:r>
              <w:t xml:space="preserve">Board Governance Policy: Official Communication </w:t>
            </w:r>
            <w:r w:rsidR="00B65C31">
              <w:t xml:space="preserve">(p. 47)   </w:t>
            </w:r>
          </w:p>
        </w:tc>
      </w:tr>
      <w:tr w:rsidR="00242529" w:rsidRPr="00155E70" w14:paraId="0981592F" w14:textId="77777777" w:rsidTr="008F1034">
        <w:trPr>
          <w:trHeight w:val="549"/>
        </w:trPr>
        <w:tc>
          <w:tcPr>
            <w:tcW w:w="2405" w:type="dxa"/>
            <w:vMerge/>
            <w:shd w:val="clear" w:color="auto" w:fill="CEDCE8"/>
          </w:tcPr>
          <w:p w14:paraId="3AD0596E"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6603A4BB" w14:textId="77777777" w:rsidR="00242529" w:rsidRPr="00155E70" w:rsidRDefault="00242529" w:rsidP="00614E72">
            <w:pPr>
              <w:jc w:val="center"/>
            </w:pPr>
            <w:r w:rsidRPr="00155E70">
              <w:t>1.3</w:t>
            </w:r>
          </w:p>
        </w:tc>
        <w:tc>
          <w:tcPr>
            <w:tcW w:w="5953" w:type="dxa"/>
            <w:shd w:val="clear" w:color="auto" w:fill="auto"/>
          </w:tcPr>
          <w:p w14:paraId="3BC359F5" w14:textId="77BF2E21" w:rsidR="00577FC6" w:rsidRDefault="00577FC6" w:rsidP="00026A6F">
            <w:pPr>
              <w:pStyle w:val="ListParagraph"/>
              <w:numPr>
                <w:ilvl w:val="0"/>
                <w:numId w:val="11"/>
              </w:numPr>
              <w:spacing w:line="276" w:lineRule="auto"/>
            </w:pPr>
            <w:r>
              <w:t xml:space="preserve">Ministerial Correspondence </w:t>
            </w:r>
            <w:r w:rsidRPr="00B65C31">
              <w:t xml:space="preserve">(p. </w:t>
            </w:r>
            <w:r w:rsidR="00B65C31" w:rsidRPr="00B65C31">
              <w:t>46</w:t>
            </w:r>
            <w:r w:rsidRPr="00B65C31">
              <w:t>)</w:t>
            </w:r>
          </w:p>
          <w:p w14:paraId="505ED429" w14:textId="45344EFA" w:rsidR="00577FC6" w:rsidRDefault="00577FC6" w:rsidP="00026A6F">
            <w:pPr>
              <w:pStyle w:val="ListParagraph"/>
              <w:numPr>
                <w:ilvl w:val="0"/>
                <w:numId w:val="11"/>
              </w:numPr>
              <w:spacing w:line="276" w:lineRule="auto"/>
            </w:pPr>
            <w:r>
              <w:t xml:space="preserve">Joint Consultative Committee </w:t>
            </w:r>
            <w:r w:rsidRPr="00B65C31">
              <w:t xml:space="preserve">(p. </w:t>
            </w:r>
            <w:r w:rsidR="00B65C31" w:rsidRPr="00B65C31">
              <w:t>42</w:t>
            </w:r>
            <w:r w:rsidRPr="00B65C31">
              <w:t>)</w:t>
            </w:r>
          </w:p>
          <w:p w14:paraId="2F7A7FB0" w14:textId="7B3C25B4" w:rsidR="00242529" w:rsidRPr="00AA5C63" w:rsidRDefault="00577FC6" w:rsidP="00B65C31">
            <w:pPr>
              <w:pStyle w:val="ListParagraph"/>
              <w:numPr>
                <w:ilvl w:val="0"/>
                <w:numId w:val="11"/>
              </w:numPr>
              <w:spacing w:line="276" w:lineRule="auto"/>
            </w:pPr>
            <w:r w:rsidRPr="002322DB">
              <w:rPr>
                <w:i/>
              </w:rPr>
              <w:t>Section 5: Disclosures and legal compliance</w:t>
            </w:r>
            <w:r>
              <w:t xml:space="preserve"> </w:t>
            </w:r>
            <w:r w:rsidRPr="00B65C31">
              <w:t xml:space="preserve">(p. </w:t>
            </w:r>
            <w:r w:rsidR="00B65C31" w:rsidRPr="00B65C31">
              <w:t>120</w:t>
            </w:r>
            <w:r w:rsidRPr="00B65C31">
              <w:t>)</w:t>
            </w:r>
          </w:p>
        </w:tc>
      </w:tr>
      <w:tr w:rsidR="00242529" w:rsidRPr="00155E70" w14:paraId="2D5671BA" w14:textId="77777777" w:rsidTr="008F1034">
        <w:trPr>
          <w:trHeight w:val="557"/>
        </w:trPr>
        <w:tc>
          <w:tcPr>
            <w:tcW w:w="2405" w:type="dxa"/>
            <w:vMerge w:val="restart"/>
            <w:shd w:val="clear" w:color="auto" w:fill="CEDCE8"/>
          </w:tcPr>
          <w:p w14:paraId="4247162C" w14:textId="77777777" w:rsidR="00242529" w:rsidRPr="00155E70" w:rsidRDefault="00242529" w:rsidP="00026A6F">
            <w:pPr>
              <w:pStyle w:val="ListParagraph"/>
              <w:numPr>
                <w:ilvl w:val="0"/>
                <w:numId w:val="8"/>
              </w:numPr>
              <w:spacing w:after="240" w:line="276" w:lineRule="auto"/>
              <w:rPr>
                <w:bCs w:val="0"/>
              </w:rPr>
            </w:pPr>
            <w:r w:rsidRPr="00155E70">
              <w:t>Management and oversight</w:t>
            </w:r>
          </w:p>
        </w:tc>
        <w:tc>
          <w:tcPr>
            <w:tcW w:w="709" w:type="dxa"/>
          </w:tcPr>
          <w:p w14:paraId="3C2A755E" w14:textId="77777777" w:rsidR="00242529" w:rsidRPr="00155E70" w:rsidRDefault="00242529" w:rsidP="00614E72">
            <w:pPr>
              <w:jc w:val="center"/>
            </w:pPr>
            <w:r w:rsidRPr="00155E70">
              <w:t>2.1</w:t>
            </w:r>
          </w:p>
        </w:tc>
        <w:tc>
          <w:tcPr>
            <w:tcW w:w="5953" w:type="dxa"/>
            <w:shd w:val="clear" w:color="auto" w:fill="auto"/>
          </w:tcPr>
          <w:p w14:paraId="488BB00E" w14:textId="7D5994D3" w:rsidR="00577FC6" w:rsidRPr="00B65C31" w:rsidRDefault="00577FC6" w:rsidP="00026A6F">
            <w:pPr>
              <w:pStyle w:val="ListParagraph"/>
              <w:numPr>
                <w:ilvl w:val="0"/>
                <w:numId w:val="12"/>
              </w:numPr>
              <w:spacing w:after="120" w:line="276" w:lineRule="auto"/>
            </w:pPr>
            <w:r w:rsidRPr="00B65C31">
              <w:t xml:space="preserve">Leadership (p. </w:t>
            </w:r>
            <w:r w:rsidR="00B65C31" w:rsidRPr="00B65C31">
              <w:t>27</w:t>
            </w:r>
            <w:r w:rsidRPr="00B65C31">
              <w:t>)</w:t>
            </w:r>
          </w:p>
          <w:p w14:paraId="557CBC73" w14:textId="51767451" w:rsidR="00242529" w:rsidRPr="00AA5C63" w:rsidRDefault="00577FC6" w:rsidP="00B65C31">
            <w:pPr>
              <w:pStyle w:val="ListParagraph"/>
              <w:numPr>
                <w:ilvl w:val="0"/>
                <w:numId w:val="12"/>
              </w:numPr>
              <w:spacing w:after="120" w:line="276" w:lineRule="auto"/>
            </w:pPr>
            <w:r>
              <w:t xml:space="preserve">Governance disclosures </w:t>
            </w:r>
            <w:r w:rsidRPr="00B65C31">
              <w:t xml:space="preserve">(p. </w:t>
            </w:r>
            <w:r w:rsidR="00B65C31" w:rsidRPr="00B65C31">
              <w:t>129</w:t>
            </w:r>
            <w:r w:rsidRPr="00B65C31">
              <w:t>)</w:t>
            </w:r>
          </w:p>
        </w:tc>
      </w:tr>
      <w:tr w:rsidR="00242529" w:rsidRPr="00155E70" w14:paraId="461651E2" w14:textId="77777777" w:rsidTr="008F1034">
        <w:trPr>
          <w:trHeight w:val="557"/>
        </w:trPr>
        <w:tc>
          <w:tcPr>
            <w:tcW w:w="2405" w:type="dxa"/>
            <w:vMerge/>
            <w:shd w:val="clear" w:color="auto" w:fill="CEDCE8"/>
          </w:tcPr>
          <w:p w14:paraId="6855C043"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3CBDC66C" w14:textId="77777777" w:rsidR="00242529" w:rsidRPr="00155E70" w:rsidRDefault="00242529" w:rsidP="00614E72">
            <w:pPr>
              <w:jc w:val="center"/>
            </w:pPr>
            <w:r w:rsidRPr="00155E70">
              <w:t>2.2</w:t>
            </w:r>
          </w:p>
        </w:tc>
        <w:tc>
          <w:tcPr>
            <w:tcW w:w="5953" w:type="dxa"/>
            <w:shd w:val="clear" w:color="auto" w:fill="auto"/>
          </w:tcPr>
          <w:p w14:paraId="7DD19CB1" w14:textId="0295FF30" w:rsidR="00577FC6" w:rsidRDefault="00577FC6" w:rsidP="00026A6F">
            <w:pPr>
              <w:pStyle w:val="ListParagraph"/>
              <w:numPr>
                <w:ilvl w:val="0"/>
                <w:numId w:val="13"/>
              </w:numPr>
              <w:spacing w:after="120" w:line="276" w:lineRule="auto"/>
            </w:pPr>
            <w:r>
              <w:t xml:space="preserve">Delegation of </w:t>
            </w:r>
            <w:r w:rsidRPr="00B65C31">
              <w:t xml:space="preserve">authority (p. </w:t>
            </w:r>
            <w:r w:rsidR="00B65C31" w:rsidRPr="00B65C31">
              <w:t>39</w:t>
            </w:r>
            <w:r w:rsidRPr="00B65C31">
              <w:t>)</w:t>
            </w:r>
          </w:p>
          <w:p w14:paraId="6D752683" w14:textId="6260DF58" w:rsidR="00577FC6" w:rsidRDefault="00577FC6" w:rsidP="00026A6F">
            <w:pPr>
              <w:pStyle w:val="ListParagraph"/>
              <w:numPr>
                <w:ilvl w:val="0"/>
                <w:numId w:val="13"/>
              </w:numPr>
              <w:spacing w:after="120" w:line="276" w:lineRule="auto"/>
            </w:pPr>
            <w:r>
              <w:t xml:space="preserve">Governance </w:t>
            </w:r>
            <w:r w:rsidRPr="00B65C31">
              <w:t xml:space="preserve">disclosures (p. </w:t>
            </w:r>
            <w:r w:rsidR="00B65C31" w:rsidRPr="00B65C31">
              <w:t>129</w:t>
            </w:r>
            <w:r w:rsidRPr="00B65C31">
              <w:t>)</w:t>
            </w:r>
          </w:p>
          <w:p w14:paraId="0B4A8D2B" w14:textId="35BB4FCA" w:rsidR="00242529" w:rsidRPr="00AA5C63" w:rsidRDefault="00577FC6" w:rsidP="00B65C31">
            <w:pPr>
              <w:pStyle w:val="ListParagraph"/>
              <w:numPr>
                <w:ilvl w:val="0"/>
                <w:numId w:val="13"/>
              </w:numPr>
              <w:spacing w:after="120" w:line="276" w:lineRule="auto"/>
            </w:pPr>
            <w:r w:rsidRPr="00B65C31">
              <w:t xml:space="preserve">Committees (p. </w:t>
            </w:r>
            <w:r w:rsidR="00B65C31" w:rsidRPr="00B65C31">
              <w:t>134</w:t>
            </w:r>
            <w:r w:rsidRPr="00B65C31">
              <w:t>)</w:t>
            </w:r>
          </w:p>
        </w:tc>
      </w:tr>
      <w:tr w:rsidR="00242529" w:rsidRPr="00155E70" w14:paraId="47AA0EF6" w14:textId="77777777" w:rsidTr="008F1034">
        <w:trPr>
          <w:trHeight w:val="557"/>
        </w:trPr>
        <w:tc>
          <w:tcPr>
            <w:tcW w:w="2405" w:type="dxa"/>
            <w:vMerge/>
            <w:shd w:val="clear" w:color="auto" w:fill="CEDCE8"/>
          </w:tcPr>
          <w:p w14:paraId="61502BD5"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5BAE7753" w14:textId="77777777" w:rsidR="00242529" w:rsidRPr="00155E70" w:rsidRDefault="00242529" w:rsidP="00614E72">
            <w:pPr>
              <w:jc w:val="center"/>
            </w:pPr>
            <w:r w:rsidRPr="00155E70">
              <w:t>2.3</w:t>
            </w:r>
          </w:p>
        </w:tc>
        <w:tc>
          <w:tcPr>
            <w:tcW w:w="5953" w:type="dxa"/>
            <w:shd w:val="clear" w:color="auto" w:fill="auto"/>
          </w:tcPr>
          <w:p w14:paraId="4F248909" w14:textId="662DEA99" w:rsidR="00242529" w:rsidRPr="00E75188" w:rsidRDefault="00577FC6" w:rsidP="00B65C31">
            <w:pPr>
              <w:pStyle w:val="ListParagraph"/>
              <w:numPr>
                <w:ilvl w:val="0"/>
                <w:numId w:val="14"/>
              </w:numPr>
              <w:spacing w:line="276" w:lineRule="auto"/>
            </w:pPr>
            <w:r w:rsidRPr="00E75188">
              <w:t xml:space="preserve">Strategic planning (p. </w:t>
            </w:r>
            <w:r w:rsidR="00B65C31" w:rsidRPr="00E75188">
              <w:t>32</w:t>
            </w:r>
            <w:r w:rsidRPr="00E75188">
              <w:t>)</w:t>
            </w:r>
          </w:p>
        </w:tc>
      </w:tr>
      <w:tr w:rsidR="00242529" w:rsidRPr="00155E70" w14:paraId="1F47F217" w14:textId="77777777" w:rsidTr="008F1034">
        <w:trPr>
          <w:trHeight w:val="557"/>
        </w:trPr>
        <w:tc>
          <w:tcPr>
            <w:tcW w:w="2405" w:type="dxa"/>
            <w:vMerge/>
            <w:shd w:val="clear" w:color="auto" w:fill="CEDCE8"/>
          </w:tcPr>
          <w:p w14:paraId="620CD466"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213D2F83" w14:textId="77777777" w:rsidR="00242529" w:rsidRPr="00155E70" w:rsidRDefault="00242529" w:rsidP="00614E72">
            <w:pPr>
              <w:jc w:val="center"/>
            </w:pPr>
            <w:r w:rsidRPr="00155E70">
              <w:t>2.4</w:t>
            </w:r>
          </w:p>
        </w:tc>
        <w:tc>
          <w:tcPr>
            <w:tcW w:w="5953" w:type="dxa"/>
            <w:shd w:val="clear" w:color="auto" w:fill="auto"/>
          </w:tcPr>
          <w:p w14:paraId="72866D34" w14:textId="7714E080" w:rsidR="00577FC6" w:rsidRPr="00E75188" w:rsidRDefault="00577FC6" w:rsidP="00026A6F">
            <w:pPr>
              <w:pStyle w:val="ListParagraph"/>
              <w:numPr>
                <w:ilvl w:val="0"/>
                <w:numId w:val="14"/>
              </w:numPr>
              <w:spacing w:after="120" w:line="276" w:lineRule="auto"/>
            </w:pPr>
            <w:r w:rsidRPr="00E75188">
              <w:t xml:space="preserve">Strategic planning (p. </w:t>
            </w:r>
            <w:r w:rsidR="00B65C31" w:rsidRPr="00E75188">
              <w:t>32</w:t>
            </w:r>
            <w:r w:rsidRPr="00E75188">
              <w:t>)</w:t>
            </w:r>
          </w:p>
          <w:p w14:paraId="08C8ED65" w14:textId="7DC01F53" w:rsidR="00242529" w:rsidRPr="00E75188" w:rsidRDefault="00577FC6" w:rsidP="00E75188">
            <w:pPr>
              <w:pStyle w:val="ListParagraph"/>
              <w:numPr>
                <w:ilvl w:val="0"/>
                <w:numId w:val="14"/>
              </w:numPr>
              <w:spacing w:after="120" w:line="276" w:lineRule="auto"/>
            </w:pPr>
            <w:r w:rsidRPr="00E75188">
              <w:t xml:space="preserve">Outlook for the future (p. </w:t>
            </w:r>
            <w:r w:rsidR="00E75188" w:rsidRPr="00E75188">
              <w:t>37</w:t>
            </w:r>
            <w:r w:rsidRPr="00E75188">
              <w:t>)</w:t>
            </w:r>
          </w:p>
        </w:tc>
      </w:tr>
      <w:tr w:rsidR="00242529" w:rsidRPr="00155E70" w14:paraId="2866252B" w14:textId="77777777" w:rsidTr="008F1034">
        <w:trPr>
          <w:trHeight w:val="557"/>
        </w:trPr>
        <w:tc>
          <w:tcPr>
            <w:tcW w:w="2405" w:type="dxa"/>
            <w:vMerge/>
            <w:shd w:val="clear" w:color="auto" w:fill="CEDCE8"/>
          </w:tcPr>
          <w:p w14:paraId="261F3140"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15B13660" w14:textId="77777777" w:rsidR="00242529" w:rsidRPr="00155E70" w:rsidRDefault="00242529" w:rsidP="00614E72">
            <w:pPr>
              <w:jc w:val="center"/>
            </w:pPr>
            <w:r w:rsidRPr="00155E70">
              <w:t>2.5</w:t>
            </w:r>
          </w:p>
        </w:tc>
        <w:tc>
          <w:tcPr>
            <w:tcW w:w="5953" w:type="dxa"/>
            <w:shd w:val="clear" w:color="auto" w:fill="auto"/>
          </w:tcPr>
          <w:p w14:paraId="20A9AD32" w14:textId="701A5B2F" w:rsidR="00242529" w:rsidRPr="00E75188" w:rsidRDefault="00577FC6" w:rsidP="00E75188">
            <w:pPr>
              <w:pStyle w:val="ListParagraph"/>
              <w:numPr>
                <w:ilvl w:val="0"/>
                <w:numId w:val="15"/>
              </w:numPr>
              <w:spacing w:line="276" w:lineRule="auto"/>
            </w:pPr>
            <w:r w:rsidRPr="00E75188">
              <w:t xml:space="preserve">Delegation of authority (p. </w:t>
            </w:r>
            <w:r w:rsidR="00E75188" w:rsidRPr="00E75188">
              <w:t>39</w:t>
            </w:r>
            <w:r w:rsidRPr="00E75188">
              <w:t>)</w:t>
            </w:r>
          </w:p>
        </w:tc>
      </w:tr>
      <w:tr w:rsidR="00242529" w:rsidRPr="00155E70" w14:paraId="1ECB2D9B" w14:textId="77777777" w:rsidTr="008F1034">
        <w:trPr>
          <w:trHeight w:val="274"/>
        </w:trPr>
        <w:tc>
          <w:tcPr>
            <w:tcW w:w="2405" w:type="dxa"/>
            <w:vMerge/>
            <w:shd w:val="clear" w:color="auto" w:fill="CEDCE8"/>
          </w:tcPr>
          <w:p w14:paraId="71AC9977"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058868F0" w14:textId="77777777" w:rsidR="00242529" w:rsidRPr="00155E70" w:rsidRDefault="00242529" w:rsidP="00614E72">
            <w:pPr>
              <w:jc w:val="center"/>
            </w:pPr>
            <w:r w:rsidRPr="00155E70">
              <w:t>2.6</w:t>
            </w:r>
          </w:p>
        </w:tc>
        <w:tc>
          <w:tcPr>
            <w:tcW w:w="5953" w:type="dxa"/>
            <w:shd w:val="clear" w:color="auto" w:fill="auto"/>
          </w:tcPr>
          <w:p w14:paraId="4D39B2DC" w14:textId="14AEC926" w:rsidR="00577FC6" w:rsidRPr="00E75188" w:rsidRDefault="00577FC6" w:rsidP="00026A6F">
            <w:pPr>
              <w:pStyle w:val="ListParagraph"/>
              <w:numPr>
                <w:ilvl w:val="0"/>
                <w:numId w:val="16"/>
              </w:numPr>
              <w:spacing w:line="276" w:lineRule="auto"/>
            </w:pPr>
            <w:r w:rsidRPr="00E75188">
              <w:t xml:space="preserve">Year scorecard (p. </w:t>
            </w:r>
            <w:r w:rsidR="00E75188" w:rsidRPr="00E75188">
              <w:t>21</w:t>
            </w:r>
            <w:r w:rsidRPr="00E75188">
              <w:t>)</w:t>
            </w:r>
          </w:p>
          <w:p w14:paraId="5AD7AB15" w14:textId="5A861B03" w:rsidR="00242529" w:rsidRPr="00E75188" w:rsidRDefault="00577FC6" w:rsidP="00E75188">
            <w:pPr>
              <w:pStyle w:val="ListParagraph"/>
              <w:numPr>
                <w:ilvl w:val="0"/>
                <w:numId w:val="16"/>
              </w:numPr>
              <w:spacing w:line="276" w:lineRule="auto"/>
            </w:pPr>
            <w:r w:rsidRPr="00E75188">
              <w:rPr>
                <w:i/>
              </w:rPr>
              <w:t>Section 6: Key Performance Indicators</w:t>
            </w:r>
            <w:r w:rsidRPr="00E75188">
              <w:t xml:space="preserve"> (p. </w:t>
            </w:r>
            <w:r w:rsidR="00E75188" w:rsidRPr="00E75188">
              <w:t>144</w:t>
            </w:r>
            <w:r w:rsidRPr="00E75188">
              <w:t>)</w:t>
            </w:r>
          </w:p>
        </w:tc>
      </w:tr>
      <w:tr w:rsidR="00242529" w:rsidRPr="00155E70" w14:paraId="03574714" w14:textId="77777777" w:rsidTr="008F1034">
        <w:trPr>
          <w:trHeight w:val="545"/>
        </w:trPr>
        <w:tc>
          <w:tcPr>
            <w:tcW w:w="2405" w:type="dxa"/>
            <w:vMerge w:val="restart"/>
            <w:shd w:val="clear" w:color="auto" w:fill="CEDCE8"/>
          </w:tcPr>
          <w:p w14:paraId="73A15924" w14:textId="77777777" w:rsidR="00242529" w:rsidRPr="00155E70" w:rsidRDefault="00242529" w:rsidP="00026A6F">
            <w:pPr>
              <w:pStyle w:val="ListParagraph"/>
              <w:numPr>
                <w:ilvl w:val="0"/>
                <w:numId w:val="8"/>
              </w:numPr>
              <w:spacing w:after="240" w:line="276" w:lineRule="auto"/>
              <w:rPr>
                <w:bCs w:val="0"/>
              </w:rPr>
            </w:pPr>
            <w:r w:rsidRPr="00155E70">
              <w:t>Organisational structure</w:t>
            </w:r>
          </w:p>
        </w:tc>
        <w:tc>
          <w:tcPr>
            <w:tcW w:w="709" w:type="dxa"/>
          </w:tcPr>
          <w:p w14:paraId="0FE59F03" w14:textId="77777777" w:rsidR="00242529" w:rsidRPr="00155E70" w:rsidRDefault="00242529" w:rsidP="00614E72">
            <w:pPr>
              <w:jc w:val="center"/>
            </w:pPr>
            <w:r w:rsidRPr="00155E70">
              <w:t>3.1</w:t>
            </w:r>
          </w:p>
        </w:tc>
        <w:tc>
          <w:tcPr>
            <w:tcW w:w="5953" w:type="dxa"/>
            <w:shd w:val="clear" w:color="auto" w:fill="auto"/>
          </w:tcPr>
          <w:p w14:paraId="7711DCF9" w14:textId="3F27F8DE" w:rsidR="00242529" w:rsidRPr="00E75188" w:rsidRDefault="00577FC6" w:rsidP="00E75188">
            <w:pPr>
              <w:pStyle w:val="ListParagraph"/>
              <w:numPr>
                <w:ilvl w:val="0"/>
                <w:numId w:val="17"/>
              </w:numPr>
              <w:spacing w:line="276" w:lineRule="auto"/>
            </w:pPr>
            <w:r w:rsidRPr="00E75188">
              <w:rPr>
                <w:i/>
              </w:rPr>
              <w:t>Section 5: Disclosures and legal compliance</w:t>
            </w:r>
            <w:r w:rsidRPr="00E75188">
              <w:t xml:space="preserve"> (p. </w:t>
            </w:r>
            <w:r w:rsidR="00E75188" w:rsidRPr="00E75188">
              <w:t>120</w:t>
            </w:r>
            <w:r w:rsidRPr="00E75188">
              <w:t>)</w:t>
            </w:r>
          </w:p>
        </w:tc>
      </w:tr>
      <w:tr w:rsidR="00242529" w:rsidRPr="00155E70" w14:paraId="06513C33" w14:textId="77777777" w:rsidTr="008F1034">
        <w:trPr>
          <w:trHeight w:val="545"/>
        </w:trPr>
        <w:tc>
          <w:tcPr>
            <w:tcW w:w="2405" w:type="dxa"/>
            <w:vMerge/>
            <w:shd w:val="clear" w:color="auto" w:fill="CEDCE8"/>
          </w:tcPr>
          <w:p w14:paraId="464E7F3D"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4C74311C" w14:textId="77777777" w:rsidR="00242529" w:rsidRPr="00155E70" w:rsidRDefault="00242529" w:rsidP="00614E72">
            <w:pPr>
              <w:jc w:val="center"/>
            </w:pPr>
            <w:r w:rsidRPr="00155E70">
              <w:t>3.2</w:t>
            </w:r>
          </w:p>
        </w:tc>
        <w:tc>
          <w:tcPr>
            <w:tcW w:w="5953" w:type="dxa"/>
            <w:shd w:val="clear" w:color="auto" w:fill="auto"/>
          </w:tcPr>
          <w:p w14:paraId="5582645E" w14:textId="15BA69AF" w:rsidR="00242529" w:rsidRPr="00E75188" w:rsidRDefault="00577FC6" w:rsidP="00E75188">
            <w:pPr>
              <w:pStyle w:val="ListParagraph"/>
              <w:numPr>
                <w:ilvl w:val="0"/>
                <w:numId w:val="17"/>
              </w:numPr>
              <w:spacing w:after="120" w:line="276" w:lineRule="auto"/>
            </w:pPr>
            <w:r w:rsidRPr="00E75188">
              <w:t xml:space="preserve">Structural changes (p. </w:t>
            </w:r>
            <w:r w:rsidR="00E75188" w:rsidRPr="00E75188">
              <w:t>56</w:t>
            </w:r>
            <w:r w:rsidRPr="00E75188">
              <w:t>)</w:t>
            </w:r>
          </w:p>
        </w:tc>
      </w:tr>
      <w:tr w:rsidR="00242529" w:rsidRPr="00155E70" w14:paraId="5C36EDD9" w14:textId="77777777" w:rsidTr="008F1034">
        <w:trPr>
          <w:trHeight w:val="557"/>
        </w:trPr>
        <w:tc>
          <w:tcPr>
            <w:tcW w:w="2405" w:type="dxa"/>
            <w:vMerge/>
            <w:shd w:val="clear" w:color="auto" w:fill="CEDCE8"/>
          </w:tcPr>
          <w:p w14:paraId="757F2007" w14:textId="77777777" w:rsidR="00242529" w:rsidRPr="00155E70" w:rsidRDefault="00242529" w:rsidP="00026A6F">
            <w:pPr>
              <w:pStyle w:val="ListParagraph"/>
              <w:numPr>
                <w:ilvl w:val="0"/>
                <w:numId w:val="8"/>
              </w:numPr>
              <w:spacing w:after="240" w:line="276" w:lineRule="auto"/>
              <w:rPr>
                <w:bCs w:val="0"/>
              </w:rPr>
            </w:pPr>
          </w:p>
        </w:tc>
        <w:tc>
          <w:tcPr>
            <w:tcW w:w="709" w:type="dxa"/>
          </w:tcPr>
          <w:p w14:paraId="28FCB2E4" w14:textId="77777777" w:rsidR="00242529" w:rsidRPr="00155E70" w:rsidRDefault="00242529" w:rsidP="00614E72">
            <w:pPr>
              <w:jc w:val="center"/>
            </w:pPr>
            <w:r w:rsidRPr="00155E70">
              <w:t>3.3</w:t>
            </w:r>
          </w:p>
        </w:tc>
        <w:tc>
          <w:tcPr>
            <w:tcW w:w="5953" w:type="dxa"/>
            <w:shd w:val="clear" w:color="auto" w:fill="auto"/>
          </w:tcPr>
          <w:p w14:paraId="2AD964C8" w14:textId="434580A4" w:rsidR="00577FC6" w:rsidRPr="00E75188" w:rsidRDefault="00577FC6" w:rsidP="00026A6F">
            <w:pPr>
              <w:pStyle w:val="ListParagraph"/>
              <w:numPr>
                <w:ilvl w:val="0"/>
                <w:numId w:val="18"/>
              </w:numPr>
              <w:spacing w:line="276" w:lineRule="auto"/>
            </w:pPr>
            <w:r w:rsidRPr="00E75188">
              <w:t xml:space="preserve">Year scorecard (p. </w:t>
            </w:r>
            <w:r w:rsidR="00E75188" w:rsidRPr="00E75188">
              <w:t>21</w:t>
            </w:r>
            <w:r w:rsidRPr="00E75188">
              <w:t>)</w:t>
            </w:r>
          </w:p>
          <w:p w14:paraId="7FD2FCBD" w14:textId="2BDD88A8" w:rsidR="00242529" w:rsidRPr="00E75188" w:rsidRDefault="00577FC6" w:rsidP="00E75188">
            <w:pPr>
              <w:pStyle w:val="ListParagraph"/>
              <w:numPr>
                <w:ilvl w:val="0"/>
                <w:numId w:val="18"/>
              </w:numPr>
              <w:spacing w:line="276" w:lineRule="auto"/>
            </w:pPr>
            <w:r w:rsidRPr="00E75188">
              <w:rPr>
                <w:i/>
              </w:rPr>
              <w:t>Section 6: Key Performance Indicators</w:t>
            </w:r>
            <w:r w:rsidRPr="00E75188">
              <w:t xml:space="preserve"> (p. </w:t>
            </w:r>
            <w:r w:rsidR="00E75188" w:rsidRPr="00E75188">
              <w:t>144</w:t>
            </w:r>
            <w:r w:rsidRPr="00E75188">
              <w:t>)</w:t>
            </w:r>
          </w:p>
        </w:tc>
      </w:tr>
      <w:tr w:rsidR="00242529" w:rsidRPr="00155E70" w14:paraId="2BC7FD5B" w14:textId="77777777" w:rsidTr="008F1034">
        <w:trPr>
          <w:trHeight w:val="557"/>
        </w:trPr>
        <w:tc>
          <w:tcPr>
            <w:tcW w:w="2405" w:type="dxa"/>
            <w:vMerge w:val="restart"/>
            <w:shd w:val="clear" w:color="auto" w:fill="CEDCE8"/>
          </w:tcPr>
          <w:p w14:paraId="424F87B5" w14:textId="77777777" w:rsidR="00242529" w:rsidRPr="00155E70" w:rsidRDefault="00242529" w:rsidP="00026A6F">
            <w:pPr>
              <w:pStyle w:val="ListParagraph"/>
              <w:numPr>
                <w:ilvl w:val="0"/>
                <w:numId w:val="8"/>
              </w:numPr>
              <w:spacing w:after="240" w:line="276" w:lineRule="auto"/>
              <w:rPr>
                <w:bCs w:val="0"/>
              </w:rPr>
            </w:pPr>
            <w:r w:rsidRPr="00155E70">
              <w:t>Operations</w:t>
            </w:r>
          </w:p>
        </w:tc>
        <w:tc>
          <w:tcPr>
            <w:tcW w:w="709" w:type="dxa"/>
          </w:tcPr>
          <w:p w14:paraId="0015F77C" w14:textId="77777777" w:rsidR="00242529" w:rsidRPr="00155E70" w:rsidRDefault="00242529" w:rsidP="00614E72">
            <w:pPr>
              <w:jc w:val="center"/>
            </w:pPr>
            <w:r w:rsidRPr="00155E70">
              <w:t>4.1</w:t>
            </w:r>
          </w:p>
        </w:tc>
        <w:tc>
          <w:tcPr>
            <w:tcW w:w="5953" w:type="dxa"/>
            <w:shd w:val="clear" w:color="auto" w:fill="auto"/>
          </w:tcPr>
          <w:p w14:paraId="65C40385" w14:textId="46E4242A" w:rsidR="00242529" w:rsidRPr="00E75188" w:rsidRDefault="00577FC6" w:rsidP="00E75188">
            <w:pPr>
              <w:pStyle w:val="ListParagraph"/>
              <w:numPr>
                <w:ilvl w:val="0"/>
                <w:numId w:val="19"/>
              </w:numPr>
              <w:spacing w:line="276" w:lineRule="auto"/>
            </w:pPr>
            <w:r w:rsidRPr="00E75188">
              <w:t xml:space="preserve">Governance (p. </w:t>
            </w:r>
            <w:r w:rsidR="00E75188" w:rsidRPr="00E75188">
              <w:t>39</w:t>
            </w:r>
            <w:r w:rsidRPr="00E75188">
              <w:t>)</w:t>
            </w:r>
          </w:p>
        </w:tc>
      </w:tr>
      <w:tr w:rsidR="00242529" w:rsidRPr="002A142E" w14:paraId="31CB5D7D" w14:textId="77777777" w:rsidTr="008F1034">
        <w:tc>
          <w:tcPr>
            <w:tcW w:w="2405" w:type="dxa"/>
            <w:vMerge/>
            <w:shd w:val="clear" w:color="auto" w:fill="CEDCE8"/>
          </w:tcPr>
          <w:p w14:paraId="324F4CB9" w14:textId="77777777" w:rsidR="00242529" w:rsidRPr="00155E70" w:rsidRDefault="00242529" w:rsidP="00614E72">
            <w:pPr>
              <w:rPr>
                <w:bCs/>
              </w:rPr>
            </w:pPr>
          </w:p>
        </w:tc>
        <w:tc>
          <w:tcPr>
            <w:tcW w:w="709" w:type="dxa"/>
          </w:tcPr>
          <w:p w14:paraId="273F25AF" w14:textId="77777777" w:rsidR="00242529" w:rsidRPr="00155E70" w:rsidRDefault="00242529" w:rsidP="00614E72">
            <w:pPr>
              <w:jc w:val="center"/>
              <w:rPr>
                <w:rFonts w:cs="Arial"/>
                <w:bCs/>
              </w:rPr>
            </w:pPr>
            <w:r w:rsidRPr="00155E70">
              <w:rPr>
                <w:rFonts w:cs="Arial"/>
                <w:bCs/>
              </w:rPr>
              <w:t>4.2</w:t>
            </w:r>
          </w:p>
        </w:tc>
        <w:tc>
          <w:tcPr>
            <w:tcW w:w="5953" w:type="dxa"/>
            <w:shd w:val="clear" w:color="auto" w:fill="auto"/>
          </w:tcPr>
          <w:p w14:paraId="279CFB15" w14:textId="27280D43" w:rsidR="00577FC6" w:rsidRPr="00E75188" w:rsidRDefault="00577FC6" w:rsidP="00026A6F">
            <w:pPr>
              <w:pStyle w:val="ListParagraph"/>
              <w:numPr>
                <w:ilvl w:val="0"/>
                <w:numId w:val="19"/>
              </w:numPr>
              <w:spacing w:after="120" w:line="276" w:lineRule="auto"/>
              <w:rPr>
                <w:rFonts w:cs="Arial"/>
              </w:rPr>
            </w:pPr>
            <w:r w:rsidRPr="00E75188">
              <w:rPr>
                <w:rFonts w:cs="Arial"/>
              </w:rPr>
              <w:t xml:space="preserve">Strategic planning (p. </w:t>
            </w:r>
            <w:r w:rsidR="00E75188" w:rsidRPr="00E75188">
              <w:rPr>
                <w:rFonts w:cs="Arial"/>
              </w:rPr>
              <w:t>32</w:t>
            </w:r>
            <w:r w:rsidRPr="00E75188">
              <w:rPr>
                <w:rFonts w:cs="Arial"/>
              </w:rPr>
              <w:t>)</w:t>
            </w:r>
          </w:p>
          <w:p w14:paraId="49BEA4F6" w14:textId="19D6624B" w:rsidR="00242529" w:rsidRPr="00E75188" w:rsidRDefault="00577FC6" w:rsidP="00E75188">
            <w:pPr>
              <w:pStyle w:val="ListParagraph"/>
              <w:numPr>
                <w:ilvl w:val="0"/>
                <w:numId w:val="19"/>
              </w:numPr>
              <w:spacing w:after="120" w:line="276" w:lineRule="auto"/>
              <w:rPr>
                <w:rFonts w:cs="Arial"/>
              </w:rPr>
            </w:pPr>
            <w:r w:rsidRPr="00E75188">
              <w:rPr>
                <w:rFonts w:cs="Arial"/>
              </w:rPr>
              <w:t xml:space="preserve">Performance Management Framework (p. </w:t>
            </w:r>
            <w:r w:rsidR="00E75188" w:rsidRPr="00E75188">
              <w:rPr>
                <w:rFonts w:cs="Arial"/>
              </w:rPr>
              <w:t>49</w:t>
            </w:r>
            <w:r w:rsidRPr="00E75188">
              <w:rPr>
                <w:rFonts w:cs="Arial"/>
              </w:rPr>
              <w:t>)</w:t>
            </w:r>
          </w:p>
        </w:tc>
      </w:tr>
      <w:tr w:rsidR="00242529" w:rsidRPr="00155E70" w14:paraId="5418961C" w14:textId="77777777" w:rsidTr="008F1034">
        <w:tc>
          <w:tcPr>
            <w:tcW w:w="2405" w:type="dxa"/>
            <w:vMerge/>
            <w:shd w:val="clear" w:color="auto" w:fill="CEDCE8"/>
          </w:tcPr>
          <w:p w14:paraId="61CE625E" w14:textId="77777777" w:rsidR="00242529" w:rsidRPr="00155E70" w:rsidRDefault="00242529" w:rsidP="00614E72">
            <w:pPr>
              <w:rPr>
                <w:bCs/>
              </w:rPr>
            </w:pPr>
          </w:p>
        </w:tc>
        <w:tc>
          <w:tcPr>
            <w:tcW w:w="709" w:type="dxa"/>
          </w:tcPr>
          <w:p w14:paraId="45A0A7CF" w14:textId="77777777" w:rsidR="00242529" w:rsidRPr="00155E70" w:rsidRDefault="00242529" w:rsidP="00614E72">
            <w:pPr>
              <w:jc w:val="center"/>
            </w:pPr>
            <w:r w:rsidRPr="00155E70">
              <w:t>4.3</w:t>
            </w:r>
          </w:p>
        </w:tc>
        <w:tc>
          <w:tcPr>
            <w:tcW w:w="5953" w:type="dxa"/>
            <w:shd w:val="clear" w:color="auto" w:fill="auto"/>
          </w:tcPr>
          <w:p w14:paraId="4E07713E" w14:textId="0C7F3466" w:rsidR="00577FC6" w:rsidRPr="00E75188" w:rsidRDefault="00577FC6" w:rsidP="00026A6F">
            <w:pPr>
              <w:pStyle w:val="ListParagraph"/>
              <w:numPr>
                <w:ilvl w:val="0"/>
                <w:numId w:val="20"/>
              </w:numPr>
              <w:spacing w:after="120" w:line="276" w:lineRule="auto"/>
            </w:pPr>
            <w:r w:rsidRPr="00E75188">
              <w:t xml:space="preserve">Recordkeeping plan (p. </w:t>
            </w:r>
            <w:r w:rsidR="00E75188" w:rsidRPr="00E75188">
              <w:t>139</w:t>
            </w:r>
            <w:r w:rsidRPr="00E75188">
              <w:t>)</w:t>
            </w:r>
          </w:p>
          <w:p w14:paraId="5649463E" w14:textId="1F07158E" w:rsidR="00242529" w:rsidRPr="00E75188" w:rsidRDefault="00577FC6" w:rsidP="00E75188">
            <w:pPr>
              <w:pStyle w:val="ListParagraph"/>
              <w:numPr>
                <w:ilvl w:val="0"/>
                <w:numId w:val="20"/>
              </w:numPr>
              <w:spacing w:after="120" w:line="276" w:lineRule="auto"/>
            </w:pPr>
            <w:r w:rsidRPr="00E75188">
              <w:t xml:space="preserve">Agency challenges (p. </w:t>
            </w:r>
            <w:r w:rsidR="00E75188" w:rsidRPr="00E75188">
              <w:t>116</w:t>
            </w:r>
            <w:r w:rsidRPr="00E75188">
              <w:t>)</w:t>
            </w:r>
          </w:p>
        </w:tc>
      </w:tr>
      <w:tr w:rsidR="00242529" w:rsidRPr="00155E70" w14:paraId="09836B0E" w14:textId="77777777" w:rsidTr="008F1034">
        <w:tc>
          <w:tcPr>
            <w:tcW w:w="2405" w:type="dxa"/>
            <w:vMerge/>
            <w:shd w:val="clear" w:color="auto" w:fill="CEDCE8"/>
          </w:tcPr>
          <w:p w14:paraId="4E4384FD" w14:textId="77777777" w:rsidR="00242529" w:rsidRPr="00155E70" w:rsidRDefault="00242529" w:rsidP="00614E72">
            <w:pPr>
              <w:rPr>
                <w:bCs/>
              </w:rPr>
            </w:pPr>
          </w:p>
        </w:tc>
        <w:tc>
          <w:tcPr>
            <w:tcW w:w="709" w:type="dxa"/>
          </w:tcPr>
          <w:p w14:paraId="0F51CF6E" w14:textId="77777777" w:rsidR="00242529" w:rsidRPr="00155E70" w:rsidRDefault="00242529" w:rsidP="00614E72">
            <w:pPr>
              <w:jc w:val="center"/>
            </w:pPr>
            <w:r w:rsidRPr="00155E70">
              <w:t>4.4</w:t>
            </w:r>
          </w:p>
        </w:tc>
        <w:tc>
          <w:tcPr>
            <w:tcW w:w="5953" w:type="dxa"/>
            <w:shd w:val="clear" w:color="auto" w:fill="auto"/>
          </w:tcPr>
          <w:p w14:paraId="5DCFDD64" w14:textId="3A588158" w:rsidR="00577FC6" w:rsidRPr="00E75188" w:rsidRDefault="00577FC6" w:rsidP="00026A6F">
            <w:pPr>
              <w:pStyle w:val="ListParagraph"/>
              <w:numPr>
                <w:ilvl w:val="0"/>
                <w:numId w:val="21"/>
              </w:numPr>
              <w:spacing w:line="276" w:lineRule="auto"/>
              <w:ind w:left="720"/>
            </w:pPr>
            <w:r w:rsidRPr="00E75188">
              <w:rPr>
                <w:i/>
              </w:rPr>
              <w:t xml:space="preserve">Section 3: Report on operations </w:t>
            </w:r>
            <w:r w:rsidRPr="00E75188">
              <w:t xml:space="preserve">(p. </w:t>
            </w:r>
            <w:r w:rsidR="00E75188" w:rsidRPr="00E75188">
              <w:t>70</w:t>
            </w:r>
            <w:r w:rsidRPr="00E75188">
              <w:t>)</w:t>
            </w:r>
          </w:p>
          <w:p w14:paraId="0A6D2DC8" w14:textId="48DA697D" w:rsidR="00577FC6" w:rsidRPr="00E75188" w:rsidRDefault="00577FC6" w:rsidP="00026A6F">
            <w:pPr>
              <w:pStyle w:val="ListParagraph"/>
              <w:numPr>
                <w:ilvl w:val="0"/>
                <w:numId w:val="21"/>
              </w:numPr>
              <w:spacing w:line="276" w:lineRule="auto"/>
              <w:ind w:left="720"/>
            </w:pPr>
            <w:r w:rsidRPr="00E75188">
              <w:t xml:space="preserve">Electronic Document and Records Management System (p. </w:t>
            </w:r>
            <w:r w:rsidR="00E75188" w:rsidRPr="00E75188">
              <w:t>116</w:t>
            </w:r>
            <w:r w:rsidRPr="00E75188">
              <w:t>)</w:t>
            </w:r>
          </w:p>
          <w:p w14:paraId="7FC6D26C" w14:textId="24F0070E" w:rsidR="00242529" w:rsidRPr="00E75188" w:rsidRDefault="00577FC6" w:rsidP="00E75188">
            <w:pPr>
              <w:pStyle w:val="ListParagraph"/>
              <w:numPr>
                <w:ilvl w:val="0"/>
                <w:numId w:val="21"/>
              </w:numPr>
              <w:spacing w:line="276" w:lineRule="auto"/>
              <w:ind w:left="720"/>
            </w:pPr>
            <w:r w:rsidRPr="00E75188">
              <w:t xml:space="preserve">Information technology initiatives (p. </w:t>
            </w:r>
            <w:r w:rsidR="00E75188" w:rsidRPr="00E75188">
              <w:t>118</w:t>
            </w:r>
            <w:r w:rsidRPr="00E75188">
              <w:t>)</w:t>
            </w:r>
          </w:p>
        </w:tc>
      </w:tr>
      <w:tr w:rsidR="00242529" w:rsidRPr="00155E70" w14:paraId="6D532AE5" w14:textId="77777777" w:rsidTr="008F1034">
        <w:tc>
          <w:tcPr>
            <w:tcW w:w="2405" w:type="dxa"/>
            <w:vMerge/>
            <w:shd w:val="clear" w:color="auto" w:fill="CEDCE8"/>
          </w:tcPr>
          <w:p w14:paraId="11AEA845" w14:textId="77777777" w:rsidR="00242529" w:rsidRPr="00155E70" w:rsidRDefault="00242529" w:rsidP="00614E72">
            <w:pPr>
              <w:rPr>
                <w:bCs/>
              </w:rPr>
            </w:pPr>
          </w:p>
        </w:tc>
        <w:tc>
          <w:tcPr>
            <w:tcW w:w="709" w:type="dxa"/>
          </w:tcPr>
          <w:p w14:paraId="747A0AAC" w14:textId="77777777" w:rsidR="00242529" w:rsidRPr="00155E70" w:rsidRDefault="00242529" w:rsidP="00614E72">
            <w:pPr>
              <w:jc w:val="center"/>
              <w:rPr>
                <w:rFonts w:cs="Arial"/>
                <w:bCs/>
              </w:rPr>
            </w:pPr>
            <w:r w:rsidRPr="00155E70">
              <w:rPr>
                <w:rFonts w:cs="Arial"/>
                <w:bCs/>
              </w:rPr>
              <w:t>4.5</w:t>
            </w:r>
          </w:p>
        </w:tc>
        <w:tc>
          <w:tcPr>
            <w:tcW w:w="5953" w:type="dxa"/>
            <w:shd w:val="clear" w:color="auto" w:fill="auto"/>
          </w:tcPr>
          <w:p w14:paraId="67645A92" w14:textId="1FA319DD" w:rsidR="00577FC6" w:rsidRPr="00E75188" w:rsidRDefault="00577FC6" w:rsidP="00026A6F">
            <w:pPr>
              <w:pStyle w:val="ListParagraph"/>
              <w:numPr>
                <w:ilvl w:val="0"/>
                <w:numId w:val="22"/>
              </w:numPr>
              <w:spacing w:line="276" w:lineRule="auto"/>
              <w:ind w:left="720"/>
            </w:pPr>
            <w:r w:rsidRPr="00E75188">
              <w:rPr>
                <w:i/>
              </w:rPr>
              <w:t>Section 2: Scheme performance</w:t>
            </w:r>
            <w:r w:rsidRPr="00E75188">
              <w:t xml:space="preserve"> (p. </w:t>
            </w:r>
            <w:r w:rsidR="00E75188" w:rsidRPr="00E75188">
              <w:t>58</w:t>
            </w:r>
            <w:r w:rsidRPr="00E75188">
              <w:t>)</w:t>
            </w:r>
          </w:p>
          <w:p w14:paraId="3B314C91" w14:textId="0FAF0213" w:rsidR="00242529" w:rsidRPr="00E75188" w:rsidRDefault="00577FC6" w:rsidP="00E75188">
            <w:pPr>
              <w:pStyle w:val="ListParagraph"/>
              <w:numPr>
                <w:ilvl w:val="0"/>
                <w:numId w:val="22"/>
              </w:numPr>
              <w:spacing w:line="276" w:lineRule="auto"/>
              <w:ind w:left="720"/>
            </w:pPr>
            <w:r w:rsidRPr="00E75188">
              <w:rPr>
                <w:i/>
              </w:rPr>
              <w:t>Section 6: Key performance indicators</w:t>
            </w:r>
            <w:r w:rsidRPr="00E75188">
              <w:t xml:space="preserve"> (p. </w:t>
            </w:r>
            <w:r w:rsidR="00E75188" w:rsidRPr="00E75188">
              <w:t>144</w:t>
            </w:r>
            <w:r w:rsidRPr="00E75188">
              <w:t>)</w:t>
            </w:r>
          </w:p>
        </w:tc>
      </w:tr>
      <w:tr w:rsidR="00242529" w:rsidRPr="00155E70" w14:paraId="4C7E90EC" w14:textId="77777777" w:rsidTr="008F1034">
        <w:tc>
          <w:tcPr>
            <w:tcW w:w="2405" w:type="dxa"/>
            <w:vMerge/>
            <w:shd w:val="clear" w:color="auto" w:fill="CEDCE8"/>
          </w:tcPr>
          <w:p w14:paraId="2AA17353" w14:textId="77777777" w:rsidR="00242529" w:rsidRPr="00155E70" w:rsidRDefault="00242529" w:rsidP="00614E72">
            <w:pPr>
              <w:rPr>
                <w:bCs/>
              </w:rPr>
            </w:pPr>
          </w:p>
        </w:tc>
        <w:tc>
          <w:tcPr>
            <w:tcW w:w="709" w:type="dxa"/>
          </w:tcPr>
          <w:p w14:paraId="0ED212CB" w14:textId="77777777" w:rsidR="00242529" w:rsidRPr="009626FB" w:rsidRDefault="00242529" w:rsidP="00614E72">
            <w:pPr>
              <w:ind w:left="57"/>
              <w:rPr>
                <w:rFonts w:cs="Arial"/>
                <w:bCs/>
              </w:rPr>
            </w:pPr>
            <w:r w:rsidRPr="00155E70">
              <w:rPr>
                <w:rFonts w:cs="Arial"/>
                <w:bCs/>
              </w:rPr>
              <w:t>4.6</w:t>
            </w:r>
          </w:p>
        </w:tc>
        <w:tc>
          <w:tcPr>
            <w:tcW w:w="5953" w:type="dxa"/>
            <w:shd w:val="clear" w:color="auto" w:fill="auto"/>
          </w:tcPr>
          <w:p w14:paraId="25EBC2B6" w14:textId="72A129F1" w:rsidR="00577FC6" w:rsidRPr="00E75188" w:rsidRDefault="00577FC6" w:rsidP="00026A6F">
            <w:pPr>
              <w:pStyle w:val="ListParagraph"/>
              <w:numPr>
                <w:ilvl w:val="0"/>
                <w:numId w:val="23"/>
              </w:numPr>
              <w:spacing w:line="276" w:lineRule="auto"/>
              <w:ind w:left="720"/>
            </w:pPr>
            <w:r w:rsidRPr="00E75188">
              <w:t xml:space="preserve">Audit and Risk Management Committee </w:t>
            </w:r>
            <w:r w:rsidR="00E75188" w:rsidRPr="00E75188">
              <w:br/>
            </w:r>
            <w:r w:rsidRPr="00E75188">
              <w:t xml:space="preserve">(p. </w:t>
            </w:r>
            <w:r w:rsidR="00E75188" w:rsidRPr="00E75188">
              <w:t>134</w:t>
            </w:r>
            <w:r w:rsidRPr="00E75188">
              <w:t>)</w:t>
            </w:r>
          </w:p>
          <w:p w14:paraId="60999250" w14:textId="78026A31" w:rsidR="00577FC6" w:rsidRPr="00E75188" w:rsidRDefault="00577FC6" w:rsidP="00026A6F">
            <w:pPr>
              <w:pStyle w:val="ListParagraph"/>
              <w:numPr>
                <w:ilvl w:val="0"/>
                <w:numId w:val="23"/>
              </w:numPr>
              <w:spacing w:line="276" w:lineRule="auto"/>
              <w:ind w:left="720"/>
            </w:pPr>
            <w:r w:rsidRPr="00E75188">
              <w:rPr>
                <w:i/>
              </w:rPr>
              <w:t>Section 6: Key Performance Indicators</w:t>
            </w:r>
            <w:r w:rsidRPr="00E75188">
              <w:t xml:space="preserve"> (p. </w:t>
            </w:r>
            <w:r w:rsidR="00E75188" w:rsidRPr="00E75188">
              <w:t>144</w:t>
            </w:r>
            <w:r w:rsidRPr="00E75188">
              <w:t>)</w:t>
            </w:r>
          </w:p>
          <w:p w14:paraId="760F856D" w14:textId="47CC0BCF" w:rsidR="00242529" w:rsidRPr="00E75188" w:rsidRDefault="00577FC6" w:rsidP="00E75188">
            <w:pPr>
              <w:pStyle w:val="ListParagraph"/>
              <w:numPr>
                <w:ilvl w:val="0"/>
                <w:numId w:val="23"/>
              </w:numPr>
              <w:spacing w:line="276" w:lineRule="auto"/>
              <w:ind w:left="720"/>
            </w:pPr>
            <w:r w:rsidRPr="00E75188">
              <w:t xml:space="preserve">Independent audit opinion (p. </w:t>
            </w:r>
            <w:r w:rsidR="00E75188" w:rsidRPr="00E75188">
              <w:t>147</w:t>
            </w:r>
            <w:r w:rsidRPr="00E75188">
              <w:t>)</w:t>
            </w:r>
          </w:p>
        </w:tc>
      </w:tr>
      <w:tr w:rsidR="00242529" w:rsidRPr="00155E70" w14:paraId="0F6D737B" w14:textId="77777777" w:rsidTr="008F1034">
        <w:tc>
          <w:tcPr>
            <w:tcW w:w="2405" w:type="dxa"/>
            <w:vMerge w:val="restart"/>
            <w:shd w:val="clear" w:color="auto" w:fill="CEDCE8"/>
          </w:tcPr>
          <w:p w14:paraId="2E8A7DFC" w14:textId="77777777" w:rsidR="00242529" w:rsidRPr="00155E70" w:rsidRDefault="00242529" w:rsidP="00026A6F">
            <w:pPr>
              <w:pStyle w:val="ListParagraph"/>
              <w:numPr>
                <w:ilvl w:val="0"/>
                <w:numId w:val="8"/>
              </w:numPr>
              <w:spacing w:after="240" w:line="276" w:lineRule="auto"/>
              <w:rPr>
                <w:bCs w:val="0"/>
              </w:rPr>
            </w:pPr>
            <w:r w:rsidRPr="00155E70">
              <w:t>Ethics and integrity</w:t>
            </w:r>
          </w:p>
        </w:tc>
        <w:tc>
          <w:tcPr>
            <w:tcW w:w="709" w:type="dxa"/>
          </w:tcPr>
          <w:p w14:paraId="120FF4A2" w14:textId="77777777" w:rsidR="00242529" w:rsidRPr="00155E70" w:rsidRDefault="00242529" w:rsidP="00614E72">
            <w:pPr>
              <w:ind w:left="57"/>
              <w:jc w:val="center"/>
              <w:rPr>
                <w:rFonts w:cs="Arial"/>
                <w:bCs/>
              </w:rPr>
            </w:pPr>
            <w:r w:rsidRPr="00155E70">
              <w:rPr>
                <w:rFonts w:cs="Arial"/>
                <w:bCs/>
              </w:rPr>
              <w:t>5.1</w:t>
            </w:r>
          </w:p>
        </w:tc>
        <w:tc>
          <w:tcPr>
            <w:tcW w:w="5953" w:type="dxa"/>
            <w:shd w:val="clear" w:color="auto" w:fill="auto"/>
          </w:tcPr>
          <w:p w14:paraId="07AD2A42" w14:textId="718A3055" w:rsidR="00577FC6" w:rsidRPr="00E75188" w:rsidRDefault="00577FC6" w:rsidP="00026A6F">
            <w:pPr>
              <w:pStyle w:val="ListParagraph"/>
              <w:numPr>
                <w:ilvl w:val="0"/>
                <w:numId w:val="24"/>
              </w:numPr>
              <w:spacing w:line="276" w:lineRule="auto"/>
            </w:pPr>
            <w:r w:rsidRPr="00E75188">
              <w:t xml:space="preserve">Our values (p. </w:t>
            </w:r>
            <w:r w:rsidR="00E75188" w:rsidRPr="00E75188">
              <w:t>15</w:t>
            </w:r>
            <w:r w:rsidRPr="00E75188">
              <w:t>)</w:t>
            </w:r>
          </w:p>
          <w:p w14:paraId="74CD9F84" w14:textId="1B9D8C06" w:rsidR="00242529" w:rsidRPr="00E75188" w:rsidRDefault="00577FC6" w:rsidP="00E75188">
            <w:pPr>
              <w:pStyle w:val="ListParagraph"/>
              <w:numPr>
                <w:ilvl w:val="0"/>
                <w:numId w:val="24"/>
              </w:numPr>
              <w:spacing w:line="276" w:lineRule="auto"/>
            </w:pPr>
            <w:r w:rsidRPr="00E75188">
              <w:t xml:space="preserve">Public Sector standards and ethical codes </w:t>
            </w:r>
            <w:r w:rsidRPr="00E75188">
              <w:br/>
              <w:t xml:space="preserve">(p. </w:t>
            </w:r>
            <w:r w:rsidR="00E75188" w:rsidRPr="00E75188">
              <w:t>138</w:t>
            </w:r>
            <w:r w:rsidRPr="00E75188">
              <w:t>)</w:t>
            </w:r>
          </w:p>
        </w:tc>
      </w:tr>
      <w:tr w:rsidR="00242529" w:rsidRPr="00155E70" w14:paraId="5A1A3DC0" w14:textId="77777777" w:rsidTr="008F1034">
        <w:tc>
          <w:tcPr>
            <w:tcW w:w="2405" w:type="dxa"/>
            <w:vMerge/>
            <w:shd w:val="clear" w:color="auto" w:fill="CEDCE8"/>
          </w:tcPr>
          <w:p w14:paraId="74F3F824" w14:textId="77777777" w:rsidR="00242529" w:rsidRPr="00155E70" w:rsidRDefault="00242529" w:rsidP="00614E72">
            <w:pPr>
              <w:rPr>
                <w:bCs/>
              </w:rPr>
            </w:pPr>
          </w:p>
        </w:tc>
        <w:tc>
          <w:tcPr>
            <w:tcW w:w="709" w:type="dxa"/>
          </w:tcPr>
          <w:p w14:paraId="4E8381B3" w14:textId="77777777" w:rsidR="00242529" w:rsidRPr="00155E70" w:rsidRDefault="00242529" w:rsidP="00614E72">
            <w:pPr>
              <w:ind w:left="57"/>
              <w:jc w:val="center"/>
              <w:rPr>
                <w:rFonts w:cs="Arial"/>
                <w:bCs/>
              </w:rPr>
            </w:pPr>
            <w:r w:rsidRPr="00155E70">
              <w:rPr>
                <w:rFonts w:cs="Arial"/>
                <w:bCs/>
              </w:rPr>
              <w:t>5.2</w:t>
            </w:r>
          </w:p>
        </w:tc>
        <w:tc>
          <w:tcPr>
            <w:tcW w:w="5953" w:type="dxa"/>
            <w:shd w:val="clear" w:color="auto" w:fill="auto"/>
          </w:tcPr>
          <w:p w14:paraId="01D94C9F" w14:textId="3D4AA179" w:rsidR="00577FC6" w:rsidRPr="00E75188" w:rsidRDefault="00577FC6" w:rsidP="00026A6F">
            <w:pPr>
              <w:pStyle w:val="ListParagraph"/>
              <w:numPr>
                <w:ilvl w:val="0"/>
                <w:numId w:val="25"/>
              </w:numPr>
              <w:spacing w:line="276" w:lineRule="auto"/>
              <w:ind w:left="720"/>
            </w:pPr>
            <w:r w:rsidRPr="00E75188">
              <w:t xml:space="preserve">Conflicts of interest (p. </w:t>
            </w:r>
            <w:r w:rsidR="00E75188" w:rsidRPr="00E75188">
              <w:t>129</w:t>
            </w:r>
            <w:r w:rsidRPr="00E75188">
              <w:t>)</w:t>
            </w:r>
          </w:p>
          <w:p w14:paraId="598839B2" w14:textId="30D9C2D1" w:rsidR="00242529" w:rsidRPr="00E75188" w:rsidRDefault="00577FC6" w:rsidP="00E75188">
            <w:pPr>
              <w:pStyle w:val="ListParagraph"/>
              <w:numPr>
                <w:ilvl w:val="0"/>
                <w:numId w:val="25"/>
              </w:numPr>
              <w:spacing w:line="276" w:lineRule="auto"/>
              <w:ind w:left="720"/>
            </w:pPr>
            <w:r w:rsidRPr="00E75188">
              <w:t xml:space="preserve">WorkCover WA Code of Conduct (p. </w:t>
            </w:r>
            <w:r w:rsidR="00E75188" w:rsidRPr="00E75188">
              <w:t>138</w:t>
            </w:r>
            <w:r w:rsidRPr="00E75188">
              <w:t>)</w:t>
            </w:r>
          </w:p>
        </w:tc>
      </w:tr>
      <w:tr w:rsidR="00242529" w:rsidRPr="00155E70" w14:paraId="4D290715" w14:textId="77777777" w:rsidTr="008F1034">
        <w:tc>
          <w:tcPr>
            <w:tcW w:w="2405" w:type="dxa"/>
            <w:vMerge/>
            <w:shd w:val="clear" w:color="auto" w:fill="CEDCE8"/>
          </w:tcPr>
          <w:p w14:paraId="3BBFD1A8" w14:textId="77777777" w:rsidR="00242529" w:rsidRPr="00155E70" w:rsidRDefault="00242529" w:rsidP="00614E72">
            <w:pPr>
              <w:rPr>
                <w:bCs/>
              </w:rPr>
            </w:pPr>
          </w:p>
        </w:tc>
        <w:tc>
          <w:tcPr>
            <w:tcW w:w="709" w:type="dxa"/>
          </w:tcPr>
          <w:p w14:paraId="48DAEAE1" w14:textId="77777777" w:rsidR="00242529" w:rsidRPr="00155E70" w:rsidRDefault="00242529" w:rsidP="00614E72">
            <w:pPr>
              <w:ind w:left="57"/>
              <w:jc w:val="center"/>
              <w:rPr>
                <w:rFonts w:cs="Arial"/>
                <w:bCs/>
              </w:rPr>
            </w:pPr>
            <w:r w:rsidRPr="00155E70">
              <w:rPr>
                <w:rFonts w:cs="Arial"/>
                <w:bCs/>
              </w:rPr>
              <w:t>5.3</w:t>
            </w:r>
          </w:p>
        </w:tc>
        <w:tc>
          <w:tcPr>
            <w:tcW w:w="5953" w:type="dxa"/>
            <w:shd w:val="clear" w:color="auto" w:fill="auto"/>
          </w:tcPr>
          <w:p w14:paraId="304C9068" w14:textId="640C936E" w:rsidR="00577FC6" w:rsidRPr="00E75188" w:rsidRDefault="00577FC6" w:rsidP="00026A6F">
            <w:pPr>
              <w:pStyle w:val="ListParagraph"/>
              <w:numPr>
                <w:ilvl w:val="0"/>
                <w:numId w:val="26"/>
              </w:numPr>
              <w:spacing w:line="276" w:lineRule="auto"/>
              <w:ind w:left="720"/>
            </w:pPr>
            <w:r w:rsidRPr="00E75188">
              <w:t xml:space="preserve">Public Sector standards and ethical codes </w:t>
            </w:r>
            <w:r w:rsidRPr="00E75188">
              <w:br/>
              <w:t xml:space="preserve">(p. </w:t>
            </w:r>
            <w:r w:rsidR="00E75188" w:rsidRPr="00E75188">
              <w:t>138</w:t>
            </w:r>
            <w:r w:rsidRPr="00E75188">
              <w:t>)</w:t>
            </w:r>
          </w:p>
          <w:p w14:paraId="11719335" w14:textId="72EB03A0" w:rsidR="00242529" w:rsidRPr="00E75188" w:rsidRDefault="00577FC6" w:rsidP="00E75188">
            <w:pPr>
              <w:pStyle w:val="ListParagraph"/>
              <w:numPr>
                <w:ilvl w:val="0"/>
                <w:numId w:val="26"/>
              </w:numPr>
              <w:spacing w:line="276" w:lineRule="auto"/>
              <w:ind w:left="720"/>
            </w:pPr>
            <w:r w:rsidRPr="00E75188">
              <w:t xml:space="preserve">Complaints handling (p. </w:t>
            </w:r>
            <w:r w:rsidR="00E75188" w:rsidRPr="00E75188">
              <w:t>45</w:t>
            </w:r>
            <w:r w:rsidRPr="00E75188">
              <w:t>)</w:t>
            </w:r>
          </w:p>
        </w:tc>
      </w:tr>
      <w:tr w:rsidR="00242529" w:rsidRPr="00155E70" w14:paraId="5C54B0AB" w14:textId="77777777" w:rsidTr="008F1034">
        <w:tc>
          <w:tcPr>
            <w:tcW w:w="2405" w:type="dxa"/>
            <w:vMerge/>
            <w:shd w:val="clear" w:color="auto" w:fill="CEDCE8"/>
          </w:tcPr>
          <w:p w14:paraId="3A019EA0" w14:textId="77777777" w:rsidR="00242529" w:rsidRPr="00155E70" w:rsidRDefault="00242529" w:rsidP="00614E72">
            <w:pPr>
              <w:rPr>
                <w:bCs/>
              </w:rPr>
            </w:pPr>
          </w:p>
        </w:tc>
        <w:tc>
          <w:tcPr>
            <w:tcW w:w="709" w:type="dxa"/>
          </w:tcPr>
          <w:p w14:paraId="6B2F2C7A" w14:textId="77777777" w:rsidR="00242529" w:rsidRPr="00155E70" w:rsidRDefault="00242529" w:rsidP="00614E72">
            <w:pPr>
              <w:ind w:left="57"/>
              <w:jc w:val="center"/>
              <w:rPr>
                <w:rFonts w:cs="Arial"/>
                <w:bCs/>
              </w:rPr>
            </w:pPr>
            <w:r w:rsidRPr="00155E70">
              <w:rPr>
                <w:rFonts w:cs="Arial"/>
                <w:bCs/>
              </w:rPr>
              <w:t>5.4</w:t>
            </w:r>
          </w:p>
        </w:tc>
        <w:tc>
          <w:tcPr>
            <w:tcW w:w="5953" w:type="dxa"/>
            <w:shd w:val="clear" w:color="auto" w:fill="auto"/>
          </w:tcPr>
          <w:p w14:paraId="647AF6A3" w14:textId="3C06AC72" w:rsidR="00242529" w:rsidRPr="00E75188" w:rsidRDefault="00577FC6" w:rsidP="00E75188">
            <w:pPr>
              <w:pStyle w:val="ListParagraph"/>
              <w:numPr>
                <w:ilvl w:val="0"/>
                <w:numId w:val="26"/>
              </w:numPr>
              <w:spacing w:line="276" w:lineRule="auto"/>
              <w:ind w:left="720"/>
            </w:pPr>
            <w:r w:rsidRPr="00E75188">
              <w:t xml:space="preserve">Public Interest Disclosure (p. </w:t>
            </w:r>
            <w:r w:rsidR="00E75188" w:rsidRPr="00E75188">
              <w:t>47</w:t>
            </w:r>
            <w:r w:rsidRPr="00E75188">
              <w:t>)</w:t>
            </w:r>
          </w:p>
        </w:tc>
      </w:tr>
      <w:tr w:rsidR="00242529" w:rsidRPr="00155E70" w14:paraId="145DA48B" w14:textId="77777777" w:rsidTr="008F1034">
        <w:tc>
          <w:tcPr>
            <w:tcW w:w="2405" w:type="dxa"/>
            <w:vMerge/>
            <w:shd w:val="clear" w:color="auto" w:fill="CEDCE8"/>
          </w:tcPr>
          <w:p w14:paraId="380A67B7" w14:textId="77777777" w:rsidR="00242529" w:rsidRPr="00155E70" w:rsidRDefault="00242529" w:rsidP="00614E72">
            <w:pPr>
              <w:rPr>
                <w:bCs/>
              </w:rPr>
            </w:pPr>
          </w:p>
        </w:tc>
        <w:tc>
          <w:tcPr>
            <w:tcW w:w="709" w:type="dxa"/>
          </w:tcPr>
          <w:p w14:paraId="023997EC" w14:textId="77777777" w:rsidR="00242529" w:rsidRPr="00155E70" w:rsidRDefault="00242529" w:rsidP="00614E72">
            <w:pPr>
              <w:ind w:left="57"/>
              <w:jc w:val="center"/>
              <w:rPr>
                <w:rFonts w:cs="Arial"/>
                <w:bCs/>
              </w:rPr>
            </w:pPr>
            <w:r w:rsidRPr="00155E70">
              <w:rPr>
                <w:rFonts w:cs="Arial"/>
                <w:bCs/>
              </w:rPr>
              <w:t>5.5</w:t>
            </w:r>
          </w:p>
        </w:tc>
        <w:tc>
          <w:tcPr>
            <w:tcW w:w="5953" w:type="dxa"/>
            <w:shd w:val="clear" w:color="auto" w:fill="auto"/>
          </w:tcPr>
          <w:p w14:paraId="16B62D57" w14:textId="11425D50" w:rsidR="00577FC6" w:rsidRPr="00E75188" w:rsidRDefault="00577FC6" w:rsidP="00026A6F">
            <w:pPr>
              <w:pStyle w:val="ListParagraph"/>
              <w:numPr>
                <w:ilvl w:val="0"/>
                <w:numId w:val="26"/>
              </w:numPr>
              <w:spacing w:line="276" w:lineRule="auto"/>
              <w:ind w:left="720"/>
            </w:pPr>
            <w:r w:rsidRPr="00E75188">
              <w:t xml:space="preserve">Legal compliance (p. </w:t>
            </w:r>
            <w:r w:rsidR="00E75188" w:rsidRPr="00E75188">
              <w:t>138</w:t>
            </w:r>
            <w:r w:rsidRPr="00E75188">
              <w:t>)</w:t>
            </w:r>
          </w:p>
          <w:p w14:paraId="0BFA1754" w14:textId="6DB00AFB" w:rsidR="00242529" w:rsidRPr="00E75188" w:rsidRDefault="00577FC6" w:rsidP="00E75188">
            <w:pPr>
              <w:pStyle w:val="ListParagraph"/>
              <w:numPr>
                <w:ilvl w:val="0"/>
                <w:numId w:val="26"/>
              </w:numPr>
              <w:spacing w:line="276" w:lineRule="auto"/>
              <w:ind w:left="720"/>
            </w:pPr>
            <w:r w:rsidRPr="00E75188">
              <w:t xml:space="preserve">Review against the PSC Good Governance Guide (p. </w:t>
            </w:r>
            <w:r w:rsidR="00E75188" w:rsidRPr="00E75188">
              <w:t>131</w:t>
            </w:r>
            <w:r w:rsidRPr="00E75188">
              <w:t>)</w:t>
            </w:r>
          </w:p>
        </w:tc>
      </w:tr>
      <w:tr w:rsidR="00242529" w:rsidRPr="00155E70" w14:paraId="35252800" w14:textId="77777777" w:rsidTr="008F1034">
        <w:tc>
          <w:tcPr>
            <w:tcW w:w="2405" w:type="dxa"/>
            <w:vMerge w:val="restart"/>
            <w:shd w:val="clear" w:color="auto" w:fill="CEDCE8"/>
          </w:tcPr>
          <w:p w14:paraId="677E36B8" w14:textId="77777777" w:rsidR="00242529" w:rsidRPr="00155E70" w:rsidRDefault="00242529" w:rsidP="00026A6F">
            <w:pPr>
              <w:pStyle w:val="ListParagraph"/>
              <w:numPr>
                <w:ilvl w:val="0"/>
                <w:numId w:val="8"/>
              </w:numPr>
              <w:spacing w:after="240" w:line="276" w:lineRule="auto"/>
              <w:rPr>
                <w:bCs w:val="0"/>
              </w:rPr>
            </w:pPr>
            <w:r w:rsidRPr="00155E70">
              <w:t>People</w:t>
            </w:r>
          </w:p>
        </w:tc>
        <w:tc>
          <w:tcPr>
            <w:tcW w:w="709" w:type="dxa"/>
          </w:tcPr>
          <w:p w14:paraId="700622F5" w14:textId="77777777" w:rsidR="00242529" w:rsidRPr="00155E70" w:rsidRDefault="00242529" w:rsidP="00614E72">
            <w:pPr>
              <w:ind w:left="57"/>
              <w:jc w:val="center"/>
              <w:rPr>
                <w:rFonts w:cs="Arial"/>
                <w:bCs/>
              </w:rPr>
            </w:pPr>
            <w:r w:rsidRPr="00155E70">
              <w:rPr>
                <w:rFonts w:cs="Arial"/>
                <w:bCs/>
              </w:rPr>
              <w:t>6.1</w:t>
            </w:r>
          </w:p>
        </w:tc>
        <w:tc>
          <w:tcPr>
            <w:tcW w:w="5953" w:type="dxa"/>
            <w:shd w:val="clear" w:color="auto" w:fill="auto"/>
          </w:tcPr>
          <w:p w14:paraId="6104C45C" w14:textId="042B8CF4" w:rsidR="00577FC6" w:rsidRPr="00E75188" w:rsidRDefault="00577FC6" w:rsidP="00026A6F">
            <w:pPr>
              <w:pStyle w:val="ListParagraph"/>
              <w:numPr>
                <w:ilvl w:val="0"/>
                <w:numId w:val="27"/>
              </w:numPr>
              <w:spacing w:line="276" w:lineRule="auto"/>
              <w:ind w:left="720"/>
            </w:pPr>
            <w:r w:rsidRPr="00E75188">
              <w:t xml:space="preserve">Workforce development (p. </w:t>
            </w:r>
            <w:r w:rsidR="00E75188" w:rsidRPr="00E75188">
              <w:t>109</w:t>
            </w:r>
            <w:r w:rsidRPr="00E75188">
              <w:t>)</w:t>
            </w:r>
          </w:p>
          <w:p w14:paraId="36780358" w14:textId="408BC203" w:rsidR="00242529" w:rsidRPr="00E75188" w:rsidRDefault="00577FC6" w:rsidP="00E75188">
            <w:pPr>
              <w:pStyle w:val="ListParagraph"/>
              <w:numPr>
                <w:ilvl w:val="0"/>
                <w:numId w:val="27"/>
              </w:numPr>
              <w:spacing w:line="276" w:lineRule="auto"/>
              <w:ind w:left="720"/>
            </w:pPr>
            <w:r w:rsidRPr="00E75188">
              <w:t xml:space="preserve">Equality and inclusion (p. </w:t>
            </w:r>
            <w:r w:rsidR="00E75188" w:rsidRPr="00E75188">
              <w:t>112</w:t>
            </w:r>
            <w:r w:rsidRPr="00E75188">
              <w:t>)</w:t>
            </w:r>
          </w:p>
        </w:tc>
      </w:tr>
      <w:tr w:rsidR="00242529" w:rsidRPr="00155E70" w14:paraId="4524D98D" w14:textId="77777777" w:rsidTr="008F1034">
        <w:tc>
          <w:tcPr>
            <w:tcW w:w="2405" w:type="dxa"/>
            <w:vMerge/>
            <w:shd w:val="clear" w:color="auto" w:fill="CEDCE8"/>
          </w:tcPr>
          <w:p w14:paraId="6D7C6A74" w14:textId="77777777" w:rsidR="00242529" w:rsidRPr="00155E70" w:rsidRDefault="00242529" w:rsidP="00614E72">
            <w:pPr>
              <w:rPr>
                <w:bCs/>
              </w:rPr>
            </w:pPr>
          </w:p>
        </w:tc>
        <w:tc>
          <w:tcPr>
            <w:tcW w:w="709" w:type="dxa"/>
          </w:tcPr>
          <w:p w14:paraId="590CD7E7" w14:textId="77777777" w:rsidR="00242529" w:rsidRPr="00155E70" w:rsidRDefault="00242529" w:rsidP="00614E72">
            <w:pPr>
              <w:ind w:left="57"/>
              <w:jc w:val="center"/>
              <w:rPr>
                <w:rFonts w:cs="Arial"/>
                <w:bCs/>
              </w:rPr>
            </w:pPr>
            <w:r w:rsidRPr="00155E70">
              <w:rPr>
                <w:rFonts w:cs="Arial"/>
                <w:bCs/>
              </w:rPr>
              <w:t>6.2</w:t>
            </w:r>
          </w:p>
        </w:tc>
        <w:tc>
          <w:tcPr>
            <w:tcW w:w="5953" w:type="dxa"/>
            <w:shd w:val="clear" w:color="auto" w:fill="auto"/>
          </w:tcPr>
          <w:p w14:paraId="598B03FD" w14:textId="5BB06560" w:rsidR="00242529" w:rsidRPr="00E75188" w:rsidRDefault="00577FC6" w:rsidP="00E75188">
            <w:pPr>
              <w:pStyle w:val="ListParagraph"/>
              <w:numPr>
                <w:ilvl w:val="0"/>
                <w:numId w:val="27"/>
              </w:numPr>
              <w:spacing w:line="276" w:lineRule="auto"/>
              <w:ind w:left="720"/>
            </w:pPr>
            <w:r w:rsidRPr="00E75188">
              <w:t xml:space="preserve">Equality and inclusion (p. </w:t>
            </w:r>
            <w:r w:rsidR="00E75188" w:rsidRPr="00E75188">
              <w:t>112</w:t>
            </w:r>
            <w:r w:rsidRPr="00E75188">
              <w:t>)</w:t>
            </w:r>
          </w:p>
        </w:tc>
      </w:tr>
      <w:tr w:rsidR="00242529" w:rsidRPr="00155E70" w14:paraId="593B4A40" w14:textId="77777777" w:rsidTr="008F1034">
        <w:tc>
          <w:tcPr>
            <w:tcW w:w="2405" w:type="dxa"/>
            <w:vMerge/>
            <w:shd w:val="clear" w:color="auto" w:fill="CEDCE8"/>
          </w:tcPr>
          <w:p w14:paraId="31BACB7E" w14:textId="77777777" w:rsidR="00242529" w:rsidRPr="00155E70" w:rsidRDefault="00242529" w:rsidP="00614E72">
            <w:pPr>
              <w:rPr>
                <w:bCs/>
              </w:rPr>
            </w:pPr>
          </w:p>
        </w:tc>
        <w:tc>
          <w:tcPr>
            <w:tcW w:w="709" w:type="dxa"/>
          </w:tcPr>
          <w:p w14:paraId="661D6F5F" w14:textId="77777777" w:rsidR="00242529" w:rsidRPr="00155E70" w:rsidRDefault="00242529" w:rsidP="00614E72">
            <w:pPr>
              <w:ind w:left="57"/>
              <w:jc w:val="center"/>
              <w:rPr>
                <w:rFonts w:cs="Arial"/>
                <w:bCs/>
              </w:rPr>
            </w:pPr>
            <w:r w:rsidRPr="00155E70">
              <w:rPr>
                <w:rFonts w:cs="Arial"/>
                <w:bCs/>
              </w:rPr>
              <w:t>6.3</w:t>
            </w:r>
          </w:p>
        </w:tc>
        <w:tc>
          <w:tcPr>
            <w:tcW w:w="5953" w:type="dxa"/>
            <w:shd w:val="clear" w:color="auto" w:fill="auto"/>
          </w:tcPr>
          <w:p w14:paraId="40CE5699" w14:textId="02D77961" w:rsidR="00577FC6" w:rsidRPr="00E75188" w:rsidRDefault="00577FC6" w:rsidP="00026A6F">
            <w:pPr>
              <w:pStyle w:val="ListParagraph"/>
              <w:numPr>
                <w:ilvl w:val="0"/>
                <w:numId w:val="28"/>
              </w:numPr>
              <w:spacing w:line="276" w:lineRule="auto"/>
              <w:ind w:left="720"/>
            </w:pPr>
            <w:r w:rsidRPr="00E75188">
              <w:t xml:space="preserve">Equity and Diversity Committee (p. </w:t>
            </w:r>
            <w:r w:rsidR="00E75188" w:rsidRPr="00E75188">
              <w:t>41</w:t>
            </w:r>
            <w:r w:rsidRPr="00E75188">
              <w:t>)</w:t>
            </w:r>
          </w:p>
          <w:p w14:paraId="3560AF8B" w14:textId="28FA5364" w:rsidR="00242529" w:rsidRPr="00E75188" w:rsidRDefault="00577FC6" w:rsidP="00E75188">
            <w:pPr>
              <w:pStyle w:val="ListParagraph"/>
              <w:numPr>
                <w:ilvl w:val="0"/>
                <w:numId w:val="28"/>
              </w:numPr>
              <w:spacing w:line="276" w:lineRule="auto"/>
              <w:ind w:left="720"/>
            </w:pPr>
            <w:r w:rsidRPr="00E75188">
              <w:t xml:space="preserve">Equality and inclusion (p. </w:t>
            </w:r>
            <w:r w:rsidR="00E75188" w:rsidRPr="00E75188">
              <w:t>112</w:t>
            </w:r>
            <w:r w:rsidRPr="00E75188">
              <w:t>)</w:t>
            </w:r>
          </w:p>
        </w:tc>
      </w:tr>
      <w:tr w:rsidR="00242529" w:rsidRPr="00155E70" w14:paraId="4B825CD2" w14:textId="77777777" w:rsidTr="008F1034">
        <w:tc>
          <w:tcPr>
            <w:tcW w:w="2405" w:type="dxa"/>
            <w:vMerge/>
            <w:shd w:val="clear" w:color="auto" w:fill="CEDCE8"/>
          </w:tcPr>
          <w:p w14:paraId="529C6286" w14:textId="77777777" w:rsidR="00242529" w:rsidRPr="00155E70" w:rsidRDefault="00242529" w:rsidP="00614E72">
            <w:pPr>
              <w:rPr>
                <w:bCs/>
              </w:rPr>
            </w:pPr>
          </w:p>
        </w:tc>
        <w:tc>
          <w:tcPr>
            <w:tcW w:w="709" w:type="dxa"/>
          </w:tcPr>
          <w:p w14:paraId="547C9063" w14:textId="77777777" w:rsidR="00242529" w:rsidRPr="00155E70" w:rsidRDefault="00242529" w:rsidP="00614E72">
            <w:pPr>
              <w:ind w:left="57"/>
              <w:jc w:val="center"/>
              <w:rPr>
                <w:rFonts w:cs="Arial"/>
                <w:bCs/>
              </w:rPr>
            </w:pPr>
            <w:r w:rsidRPr="00155E70">
              <w:rPr>
                <w:rFonts w:cs="Arial"/>
                <w:bCs/>
              </w:rPr>
              <w:t>6.4</w:t>
            </w:r>
          </w:p>
        </w:tc>
        <w:tc>
          <w:tcPr>
            <w:tcW w:w="5953" w:type="dxa"/>
            <w:shd w:val="clear" w:color="auto" w:fill="auto"/>
          </w:tcPr>
          <w:p w14:paraId="6B6E5EB0" w14:textId="585FBA54" w:rsidR="00577FC6" w:rsidRPr="00E75188" w:rsidRDefault="00577FC6" w:rsidP="00026A6F">
            <w:pPr>
              <w:pStyle w:val="ListParagraph"/>
              <w:numPr>
                <w:ilvl w:val="0"/>
                <w:numId w:val="29"/>
              </w:numPr>
              <w:spacing w:line="276" w:lineRule="auto"/>
              <w:ind w:left="720"/>
            </w:pPr>
            <w:r w:rsidRPr="00E75188">
              <w:t xml:space="preserve">Safety, health and wellbeing (p. </w:t>
            </w:r>
            <w:r w:rsidR="00E75188" w:rsidRPr="00E75188">
              <w:t>114</w:t>
            </w:r>
            <w:r w:rsidRPr="00E75188">
              <w:t>)</w:t>
            </w:r>
          </w:p>
          <w:p w14:paraId="49BBFA69" w14:textId="68416C46" w:rsidR="00242529" w:rsidRPr="00E75188" w:rsidRDefault="00577FC6" w:rsidP="00E75188">
            <w:pPr>
              <w:pStyle w:val="ListParagraph"/>
              <w:numPr>
                <w:ilvl w:val="0"/>
                <w:numId w:val="29"/>
              </w:numPr>
              <w:spacing w:line="276" w:lineRule="auto"/>
              <w:ind w:left="720"/>
            </w:pPr>
            <w:r w:rsidRPr="00E75188">
              <w:t xml:space="preserve">Public Sector standards and ethical codes </w:t>
            </w:r>
            <w:r w:rsidRPr="00E75188">
              <w:br/>
              <w:t xml:space="preserve">(p. </w:t>
            </w:r>
            <w:r w:rsidR="00E75188" w:rsidRPr="00E75188">
              <w:t>138</w:t>
            </w:r>
            <w:r w:rsidRPr="00E75188">
              <w:t>)</w:t>
            </w:r>
          </w:p>
        </w:tc>
      </w:tr>
      <w:tr w:rsidR="00242529" w:rsidRPr="00155E70" w14:paraId="0F36583F" w14:textId="77777777" w:rsidTr="008F1034">
        <w:tc>
          <w:tcPr>
            <w:tcW w:w="2405" w:type="dxa"/>
            <w:vMerge/>
            <w:shd w:val="clear" w:color="auto" w:fill="CEDCE8"/>
          </w:tcPr>
          <w:p w14:paraId="632FB37D" w14:textId="77777777" w:rsidR="00242529" w:rsidRPr="00155E70" w:rsidRDefault="00242529" w:rsidP="00614E72">
            <w:pPr>
              <w:rPr>
                <w:bCs/>
              </w:rPr>
            </w:pPr>
          </w:p>
        </w:tc>
        <w:tc>
          <w:tcPr>
            <w:tcW w:w="709" w:type="dxa"/>
          </w:tcPr>
          <w:p w14:paraId="38059C06" w14:textId="77777777" w:rsidR="00242529" w:rsidRPr="00155E70" w:rsidRDefault="00242529" w:rsidP="00614E72">
            <w:pPr>
              <w:ind w:left="57"/>
              <w:jc w:val="center"/>
              <w:rPr>
                <w:rFonts w:cs="Arial"/>
                <w:bCs/>
              </w:rPr>
            </w:pPr>
            <w:r w:rsidRPr="00155E70">
              <w:rPr>
                <w:rFonts w:cs="Arial"/>
                <w:bCs/>
              </w:rPr>
              <w:t>6.5</w:t>
            </w:r>
          </w:p>
        </w:tc>
        <w:tc>
          <w:tcPr>
            <w:tcW w:w="5953" w:type="dxa"/>
            <w:shd w:val="clear" w:color="auto" w:fill="auto"/>
          </w:tcPr>
          <w:p w14:paraId="5214E5DE" w14:textId="596B24B0" w:rsidR="00577FC6" w:rsidRPr="00E75188" w:rsidRDefault="00577FC6" w:rsidP="00026A6F">
            <w:pPr>
              <w:pStyle w:val="ListParagraph"/>
              <w:numPr>
                <w:ilvl w:val="0"/>
                <w:numId w:val="29"/>
              </w:numPr>
              <w:spacing w:line="276" w:lineRule="auto"/>
              <w:ind w:left="720"/>
            </w:pPr>
            <w:r w:rsidRPr="00E75188">
              <w:t xml:space="preserve">Workplace consultation (p. </w:t>
            </w:r>
            <w:r w:rsidR="00E75188" w:rsidRPr="00E75188">
              <w:t>40</w:t>
            </w:r>
            <w:r w:rsidRPr="00E75188">
              <w:t>)</w:t>
            </w:r>
          </w:p>
          <w:p w14:paraId="06C35410" w14:textId="05A91FAF" w:rsidR="00577FC6" w:rsidRPr="00E75188" w:rsidRDefault="00577FC6" w:rsidP="00026A6F">
            <w:pPr>
              <w:pStyle w:val="ListParagraph"/>
              <w:numPr>
                <w:ilvl w:val="0"/>
                <w:numId w:val="29"/>
              </w:numPr>
              <w:spacing w:line="276" w:lineRule="auto"/>
              <w:ind w:left="720"/>
            </w:pPr>
            <w:r w:rsidRPr="00E75188">
              <w:t xml:space="preserve">People (p. </w:t>
            </w:r>
            <w:r w:rsidR="00E75188" w:rsidRPr="00E75188">
              <w:t>54</w:t>
            </w:r>
            <w:r w:rsidRPr="00E75188">
              <w:t>)</w:t>
            </w:r>
          </w:p>
          <w:p w14:paraId="7F843D73" w14:textId="588E8722" w:rsidR="00242529" w:rsidRPr="00E75188" w:rsidRDefault="00577FC6" w:rsidP="00E75188">
            <w:pPr>
              <w:pStyle w:val="ListParagraph"/>
              <w:numPr>
                <w:ilvl w:val="0"/>
                <w:numId w:val="29"/>
              </w:numPr>
              <w:spacing w:line="276" w:lineRule="auto"/>
              <w:ind w:left="720"/>
            </w:pPr>
            <w:r w:rsidRPr="00E75188">
              <w:t xml:space="preserve">Performance Development Agreement process (p. </w:t>
            </w:r>
            <w:r w:rsidR="00E75188" w:rsidRPr="00E75188">
              <w:t>111</w:t>
            </w:r>
            <w:r w:rsidRPr="00E75188">
              <w:t>)</w:t>
            </w:r>
          </w:p>
        </w:tc>
      </w:tr>
      <w:tr w:rsidR="00242529" w:rsidRPr="00155E70" w14:paraId="35350E85" w14:textId="77777777" w:rsidTr="008F1034">
        <w:tc>
          <w:tcPr>
            <w:tcW w:w="2405" w:type="dxa"/>
            <w:vMerge w:val="restart"/>
            <w:shd w:val="clear" w:color="auto" w:fill="CEDCE8"/>
          </w:tcPr>
          <w:p w14:paraId="32E418EB" w14:textId="77777777" w:rsidR="00242529" w:rsidRPr="00155E70" w:rsidRDefault="00242529" w:rsidP="00026A6F">
            <w:pPr>
              <w:pStyle w:val="ListParagraph"/>
              <w:numPr>
                <w:ilvl w:val="0"/>
                <w:numId w:val="8"/>
              </w:numPr>
              <w:spacing w:after="240" w:line="276" w:lineRule="auto"/>
              <w:rPr>
                <w:bCs w:val="0"/>
              </w:rPr>
            </w:pPr>
            <w:r w:rsidRPr="00155E70">
              <w:t>Finance</w:t>
            </w:r>
          </w:p>
        </w:tc>
        <w:tc>
          <w:tcPr>
            <w:tcW w:w="709" w:type="dxa"/>
          </w:tcPr>
          <w:p w14:paraId="739CB367" w14:textId="77777777" w:rsidR="00242529" w:rsidRPr="00155E70" w:rsidRDefault="00242529" w:rsidP="00614E72">
            <w:pPr>
              <w:ind w:left="57"/>
              <w:jc w:val="center"/>
              <w:rPr>
                <w:rFonts w:cs="Arial"/>
                <w:bCs/>
              </w:rPr>
            </w:pPr>
            <w:r w:rsidRPr="00155E70">
              <w:rPr>
                <w:rFonts w:cs="Arial"/>
                <w:bCs/>
              </w:rPr>
              <w:t>7.1</w:t>
            </w:r>
          </w:p>
        </w:tc>
        <w:tc>
          <w:tcPr>
            <w:tcW w:w="5953" w:type="dxa"/>
            <w:shd w:val="clear" w:color="auto" w:fill="auto"/>
          </w:tcPr>
          <w:p w14:paraId="12E04906" w14:textId="01578F1E" w:rsidR="00577FC6" w:rsidRPr="00E75188" w:rsidRDefault="00577FC6" w:rsidP="00026A6F">
            <w:pPr>
              <w:pStyle w:val="ListParagraph"/>
              <w:numPr>
                <w:ilvl w:val="0"/>
                <w:numId w:val="30"/>
              </w:numPr>
              <w:spacing w:line="276" w:lineRule="auto"/>
            </w:pPr>
            <w:r w:rsidRPr="00E75188">
              <w:t xml:space="preserve">Year in dollars (p. </w:t>
            </w:r>
            <w:r w:rsidR="00E75188" w:rsidRPr="00E75188">
              <w:t>20</w:t>
            </w:r>
            <w:r w:rsidRPr="00E75188">
              <w:t>)</w:t>
            </w:r>
          </w:p>
          <w:p w14:paraId="2FBB082A" w14:textId="61E93065" w:rsidR="00242529" w:rsidRPr="00E75188" w:rsidRDefault="00577FC6" w:rsidP="00026A6F">
            <w:pPr>
              <w:pStyle w:val="ListParagraph"/>
              <w:numPr>
                <w:ilvl w:val="0"/>
                <w:numId w:val="30"/>
              </w:numPr>
              <w:spacing w:line="276" w:lineRule="auto"/>
            </w:pPr>
            <w:r w:rsidRPr="00E75188">
              <w:t xml:space="preserve">Report on funds management </w:t>
            </w:r>
            <w:r w:rsidR="00E75188" w:rsidRPr="00E75188">
              <w:t>(p. 120</w:t>
            </w:r>
            <w:r w:rsidRPr="00E75188">
              <w:t>)</w:t>
            </w:r>
          </w:p>
        </w:tc>
      </w:tr>
      <w:tr w:rsidR="00242529" w:rsidRPr="00155E70" w14:paraId="3601ACDE" w14:textId="77777777" w:rsidTr="008F1034">
        <w:tc>
          <w:tcPr>
            <w:tcW w:w="2405" w:type="dxa"/>
            <w:vMerge/>
            <w:shd w:val="clear" w:color="auto" w:fill="CEDCE8"/>
          </w:tcPr>
          <w:p w14:paraId="4F7AE74C" w14:textId="77777777" w:rsidR="00242529" w:rsidRPr="00155E70" w:rsidRDefault="00242529" w:rsidP="00614E72">
            <w:pPr>
              <w:rPr>
                <w:bCs/>
              </w:rPr>
            </w:pPr>
          </w:p>
        </w:tc>
        <w:tc>
          <w:tcPr>
            <w:tcW w:w="709" w:type="dxa"/>
          </w:tcPr>
          <w:p w14:paraId="3908266D" w14:textId="77777777" w:rsidR="00242529" w:rsidRPr="00155E70" w:rsidRDefault="00242529" w:rsidP="00614E72">
            <w:pPr>
              <w:ind w:left="57"/>
              <w:jc w:val="center"/>
              <w:rPr>
                <w:rFonts w:cs="Arial"/>
                <w:bCs/>
              </w:rPr>
            </w:pPr>
            <w:r w:rsidRPr="00155E70">
              <w:rPr>
                <w:rFonts w:cs="Arial"/>
                <w:bCs/>
              </w:rPr>
              <w:t>7.2</w:t>
            </w:r>
          </w:p>
        </w:tc>
        <w:tc>
          <w:tcPr>
            <w:tcW w:w="5953" w:type="dxa"/>
            <w:shd w:val="clear" w:color="auto" w:fill="auto"/>
          </w:tcPr>
          <w:p w14:paraId="775967C4" w14:textId="77B46D1A" w:rsidR="00577FC6" w:rsidRPr="00E75188" w:rsidRDefault="00577FC6" w:rsidP="00026A6F">
            <w:pPr>
              <w:pStyle w:val="ListParagraph"/>
              <w:numPr>
                <w:ilvl w:val="0"/>
                <w:numId w:val="31"/>
              </w:numPr>
              <w:spacing w:line="276" w:lineRule="auto"/>
              <w:ind w:left="720"/>
            </w:pPr>
            <w:r w:rsidRPr="00E75188">
              <w:t xml:space="preserve">Audit and Risk Management Committee (p. </w:t>
            </w:r>
            <w:r w:rsidR="00E75188" w:rsidRPr="00E75188">
              <w:t>134</w:t>
            </w:r>
            <w:r w:rsidRPr="00E75188">
              <w:t>)</w:t>
            </w:r>
          </w:p>
          <w:p w14:paraId="3BEED38C" w14:textId="03D5034D" w:rsidR="00577FC6" w:rsidRPr="00E75188" w:rsidRDefault="00577FC6" w:rsidP="00026A6F">
            <w:pPr>
              <w:pStyle w:val="ListParagraph"/>
              <w:numPr>
                <w:ilvl w:val="0"/>
                <w:numId w:val="31"/>
              </w:numPr>
              <w:spacing w:line="276" w:lineRule="auto"/>
              <w:ind w:left="720"/>
            </w:pPr>
            <w:r w:rsidRPr="00E75188">
              <w:t xml:space="preserve">Risk Management Review Group (p. </w:t>
            </w:r>
            <w:r w:rsidR="00E75188" w:rsidRPr="00E75188">
              <w:t>44</w:t>
            </w:r>
            <w:r w:rsidRPr="00E75188">
              <w:t>)</w:t>
            </w:r>
          </w:p>
          <w:p w14:paraId="552CE2B2" w14:textId="37C5FFEC" w:rsidR="00242529" w:rsidRPr="00E75188" w:rsidRDefault="00577FC6" w:rsidP="00E75188">
            <w:pPr>
              <w:pStyle w:val="ListParagraph"/>
              <w:numPr>
                <w:ilvl w:val="0"/>
                <w:numId w:val="31"/>
              </w:numPr>
              <w:spacing w:line="276" w:lineRule="auto"/>
              <w:ind w:left="720"/>
            </w:pPr>
            <w:r w:rsidRPr="00E75188">
              <w:t xml:space="preserve">Enterprise Risk Management Framework </w:t>
            </w:r>
            <w:r w:rsidRPr="00E75188">
              <w:br/>
              <w:t xml:space="preserve">(p. </w:t>
            </w:r>
            <w:r w:rsidR="00E75188" w:rsidRPr="00E75188">
              <w:t>48</w:t>
            </w:r>
            <w:r w:rsidRPr="00E75188">
              <w:t>)</w:t>
            </w:r>
          </w:p>
        </w:tc>
      </w:tr>
      <w:tr w:rsidR="00242529" w:rsidRPr="00155E70" w14:paraId="0D8CCEA5" w14:textId="77777777" w:rsidTr="008F1034">
        <w:trPr>
          <w:trHeight w:val="416"/>
        </w:trPr>
        <w:tc>
          <w:tcPr>
            <w:tcW w:w="2405" w:type="dxa"/>
            <w:vMerge/>
            <w:shd w:val="clear" w:color="auto" w:fill="CEDCE8"/>
          </w:tcPr>
          <w:p w14:paraId="79519131" w14:textId="77777777" w:rsidR="00242529" w:rsidRPr="00155E70" w:rsidRDefault="00242529" w:rsidP="00614E72">
            <w:pPr>
              <w:rPr>
                <w:bCs/>
              </w:rPr>
            </w:pPr>
          </w:p>
        </w:tc>
        <w:tc>
          <w:tcPr>
            <w:tcW w:w="709" w:type="dxa"/>
          </w:tcPr>
          <w:p w14:paraId="493C0F1E" w14:textId="77777777" w:rsidR="00242529" w:rsidRPr="00155E70" w:rsidRDefault="00242529" w:rsidP="00614E72">
            <w:pPr>
              <w:ind w:left="57"/>
              <w:jc w:val="center"/>
              <w:rPr>
                <w:rFonts w:cs="Arial"/>
                <w:bCs/>
              </w:rPr>
            </w:pPr>
            <w:r w:rsidRPr="00155E70">
              <w:rPr>
                <w:rFonts w:cs="Arial"/>
                <w:bCs/>
              </w:rPr>
              <w:t>7.3</w:t>
            </w:r>
          </w:p>
        </w:tc>
        <w:tc>
          <w:tcPr>
            <w:tcW w:w="5953" w:type="dxa"/>
            <w:shd w:val="clear" w:color="auto" w:fill="auto"/>
          </w:tcPr>
          <w:p w14:paraId="201CD7BA" w14:textId="14BA0FE9" w:rsidR="00242529" w:rsidRPr="00C817BE" w:rsidRDefault="00577FC6" w:rsidP="00E75188">
            <w:pPr>
              <w:pStyle w:val="ListParagraph"/>
              <w:numPr>
                <w:ilvl w:val="0"/>
                <w:numId w:val="32"/>
              </w:numPr>
              <w:spacing w:line="276" w:lineRule="auto"/>
              <w:ind w:left="720"/>
            </w:pPr>
            <w:r w:rsidRPr="00C817BE">
              <w:rPr>
                <w:i/>
              </w:rPr>
              <w:t xml:space="preserve">Section 7: Financial statements and notes </w:t>
            </w:r>
            <w:r w:rsidRPr="00C817BE">
              <w:br/>
              <w:t xml:space="preserve">(p. </w:t>
            </w:r>
            <w:r w:rsidR="00E75188" w:rsidRPr="00C817BE">
              <w:t>165</w:t>
            </w:r>
            <w:r w:rsidRPr="00C817BE">
              <w:t>)</w:t>
            </w:r>
          </w:p>
        </w:tc>
      </w:tr>
      <w:tr w:rsidR="00242529" w:rsidRPr="00155E70" w14:paraId="75033001" w14:textId="77777777" w:rsidTr="008F1034">
        <w:tc>
          <w:tcPr>
            <w:tcW w:w="2405" w:type="dxa"/>
            <w:vMerge/>
            <w:shd w:val="clear" w:color="auto" w:fill="CEDCE8"/>
          </w:tcPr>
          <w:p w14:paraId="6DE03BC6" w14:textId="77777777" w:rsidR="00242529" w:rsidRPr="00155E70" w:rsidRDefault="00242529" w:rsidP="00614E72">
            <w:pPr>
              <w:rPr>
                <w:bCs/>
              </w:rPr>
            </w:pPr>
          </w:p>
        </w:tc>
        <w:tc>
          <w:tcPr>
            <w:tcW w:w="709" w:type="dxa"/>
          </w:tcPr>
          <w:p w14:paraId="4E61FEBC" w14:textId="77777777" w:rsidR="00242529" w:rsidRPr="00155E70" w:rsidRDefault="00242529" w:rsidP="00614E72">
            <w:pPr>
              <w:ind w:left="57"/>
              <w:jc w:val="center"/>
              <w:rPr>
                <w:rFonts w:cs="Arial"/>
                <w:bCs/>
              </w:rPr>
            </w:pPr>
            <w:r w:rsidRPr="00155E70">
              <w:rPr>
                <w:rFonts w:cs="Arial"/>
                <w:bCs/>
              </w:rPr>
              <w:t>7.4</w:t>
            </w:r>
          </w:p>
        </w:tc>
        <w:tc>
          <w:tcPr>
            <w:tcW w:w="5953" w:type="dxa"/>
            <w:shd w:val="clear" w:color="auto" w:fill="auto"/>
          </w:tcPr>
          <w:p w14:paraId="20764A0A" w14:textId="5BF28A4C" w:rsidR="00242529" w:rsidRPr="00C817BE" w:rsidRDefault="00577FC6" w:rsidP="00E75188">
            <w:pPr>
              <w:pStyle w:val="ListParagraph"/>
              <w:numPr>
                <w:ilvl w:val="0"/>
                <w:numId w:val="32"/>
              </w:numPr>
              <w:spacing w:line="276" w:lineRule="auto"/>
              <w:ind w:left="720"/>
            </w:pPr>
            <w:r w:rsidRPr="00C817BE">
              <w:rPr>
                <w:i/>
              </w:rPr>
              <w:t>Section 7: Financial statements and notes</w:t>
            </w:r>
            <w:r w:rsidRPr="00C817BE">
              <w:br/>
              <w:t xml:space="preserve">(p. </w:t>
            </w:r>
            <w:r w:rsidR="00E75188" w:rsidRPr="00C817BE">
              <w:t>165</w:t>
            </w:r>
            <w:r w:rsidRPr="00C817BE">
              <w:t>)</w:t>
            </w:r>
          </w:p>
        </w:tc>
      </w:tr>
      <w:tr w:rsidR="00242529" w:rsidRPr="00155E70" w14:paraId="7473338A" w14:textId="77777777" w:rsidTr="008F1034">
        <w:tc>
          <w:tcPr>
            <w:tcW w:w="2405" w:type="dxa"/>
            <w:vMerge/>
            <w:shd w:val="clear" w:color="auto" w:fill="CEDCE8"/>
          </w:tcPr>
          <w:p w14:paraId="1655966B" w14:textId="77777777" w:rsidR="00242529" w:rsidRPr="00155E70" w:rsidRDefault="00242529" w:rsidP="00614E72">
            <w:pPr>
              <w:rPr>
                <w:bCs/>
              </w:rPr>
            </w:pPr>
          </w:p>
        </w:tc>
        <w:tc>
          <w:tcPr>
            <w:tcW w:w="709" w:type="dxa"/>
          </w:tcPr>
          <w:p w14:paraId="6C784AAE" w14:textId="77777777" w:rsidR="00242529" w:rsidRPr="00155E70" w:rsidRDefault="00242529" w:rsidP="00614E72">
            <w:pPr>
              <w:ind w:left="57"/>
              <w:jc w:val="center"/>
              <w:rPr>
                <w:rFonts w:cs="Arial"/>
                <w:bCs/>
              </w:rPr>
            </w:pPr>
            <w:r w:rsidRPr="00155E70">
              <w:rPr>
                <w:rFonts w:cs="Arial"/>
                <w:bCs/>
              </w:rPr>
              <w:t>7.5</w:t>
            </w:r>
          </w:p>
        </w:tc>
        <w:tc>
          <w:tcPr>
            <w:tcW w:w="5953" w:type="dxa"/>
            <w:shd w:val="clear" w:color="auto" w:fill="auto"/>
          </w:tcPr>
          <w:p w14:paraId="48E8E287" w14:textId="7CE3E182" w:rsidR="00577FC6" w:rsidRPr="00C817BE" w:rsidRDefault="00577FC6" w:rsidP="00026A6F">
            <w:pPr>
              <w:pStyle w:val="ListParagraph"/>
              <w:numPr>
                <w:ilvl w:val="0"/>
                <w:numId w:val="32"/>
              </w:numPr>
              <w:spacing w:line="276" w:lineRule="auto"/>
              <w:ind w:left="720"/>
            </w:pPr>
            <w:r w:rsidRPr="00C817BE">
              <w:rPr>
                <w:i/>
              </w:rPr>
              <w:t>Section 6: Key Performance Indicators</w:t>
            </w:r>
            <w:r w:rsidRPr="00C817BE">
              <w:t xml:space="preserve"> (p. </w:t>
            </w:r>
            <w:r w:rsidR="00E75188" w:rsidRPr="00C817BE">
              <w:t>144</w:t>
            </w:r>
            <w:r w:rsidRPr="00C817BE">
              <w:t>)</w:t>
            </w:r>
          </w:p>
          <w:p w14:paraId="70AB3DEA" w14:textId="6589272A" w:rsidR="00242529" w:rsidRPr="00C817BE" w:rsidRDefault="00577FC6" w:rsidP="00E75188">
            <w:pPr>
              <w:pStyle w:val="ListParagraph"/>
              <w:numPr>
                <w:ilvl w:val="0"/>
                <w:numId w:val="32"/>
              </w:numPr>
              <w:spacing w:line="276" w:lineRule="auto"/>
              <w:ind w:left="720"/>
            </w:pPr>
            <w:r w:rsidRPr="00C817BE">
              <w:rPr>
                <w:i/>
              </w:rPr>
              <w:t>Section 7: Financial statements and notes</w:t>
            </w:r>
            <w:r w:rsidRPr="00C817BE">
              <w:t xml:space="preserve"> </w:t>
            </w:r>
            <w:r w:rsidRPr="00C817BE">
              <w:br/>
              <w:t xml:space="preserve">(p. </w:t>
            </w:r>
            <w:r w:rsidR="00E75188" w:rsidRPr="00C817BE">
              <w:t>165</w:t>
            </w:r>
            <w:r w:rsidRPr="00C817BE">
              <w:t>)</w:t>
            </w:r>
          </w:p>
        </w:tc>
      </w:tr>
      <w:tr w:rsidR="00242529" w:rsidRPr="00155E70" w14:paraId="79F2956E" w14:textId="77777777" w:rsidTr="008F1034">
        <w:tc>
          <w:tcPr>
            <w:tcW w:w="2405" w:type="dxa"/>
            <w:vMerge w:val="restart"/>
            <w:shd w:val="clear" w:color="auto" w:fill="CEDCE8"/>
          </w:tcPr>
          <w:p w14:paraId="028D26F4" w14:textId="77777777" w:rsidR="00242529" w:rsidRPr="00155E70" w:rsidRDefault="00242529" w:rsidP="00026A6F">
            <w:pPr>
              <w:pStyle w:val="ListParagraph"/>
              <w:numPr>
                <w:ilvl w:val="0"/>
                <w:numId w:val="8"/>
              </w:numPr>
              <w:spacing w:after="240" w:line="276" w:lineRule="auto"/>
              <w:rPr>
                <w:bCs w:val="0"/>
              </w:rPr>
            </w:pPr>
            <w:r w:rsidRPr="00155E70">
              <w:t>Communication</w:t>
            </w:r>
          </w:p>
        </w:tc>
        <w:tc>
          <w:tcPr>
            <w:tcW w:w="709" w:type="dxa"/>
          </w:tcPr>
          <w:p w14:paraId="7C1C0ED1" w14:textId="77777777" w:rsidR="00242529" w:rsidRPr="00155E70" w:rsidRDefault="00242529" w:rsidP="00614E72">
            <w:pPr>
              <w:ind w:left="57"/>
              <w:jc w:val="center"/>
              <w:rPr>
                <w:rFonts w:cs="Arial"/>
                <w:bCs/>
              </w:rPr>
            </w:pPr>
            <w:r w:rsidRPr="00155E70">
              <w:rPr>
                <w:rFonts w:cs="Arial"/>
                <w:bCs/>
              </w:rPr>
              <w:t>8.1</w:t>
            </w:r>
          </w:p>
        </w:tc>
        <w:tc>
          <w:tcPr>
            <w:tcW w:w="5953" w:type="dxa"/>
            <w:shd w:val="clear" w:color="auto" w:fill="auto"/>
          </w:tcPr>
          <w:p w14:paraId="14844ADE" w14:textId="41AB9465" w:rsidR="00577FC6" w:rsidRPr="00C817BE" w:rsidRDefault="00577FC6" w:rsidP="00026A6F">
            <w:pPr>
              <w:pStyle w:val="ListParagraph"/>
              <w:numPr>
                <w:ilvl w:val="0"/>
                <w:numId w:val="33"/>
              </w:numPr>
              <w:spacing w:line="276" w:lineRule="auto"/>
              <w:ind w:left="720"/>
            </w:pPr>
            <w:r w:rsidRPr="00C817BE">
              <w:t xml:space="preserve">Complaints handling (p. </w:t>
            </w:r>
            <w:r w:rsidR="00C817BE" w:rsidRPr="00C817BE">
              <w:t>45</w:t>
            </w:r>
            <w:r w:rsidRPr="00C817BE">
              <w:t>)</w:t>
            </w:r>
          </w:p>
          <w:p w14:paraId="2786D052" w14:textId="46383170" w:rsidR="00242529" w:rsidRPr="00C817BE" w:rsidRDefault="00577FC6" w:rsidP="00C817BE">
            <w:pPr>
              <w:pStyle w:val="ListParagraph"/>
              <w:numPr>
                <w:ilvl w:val="0"/>
                <w:numId w:val="33"/>
              </w:numPr>
              <w:spacing w:line="276" w:lineRule="auto"/>
              <w:ind w:left="720"/>
            </w:pPr>
            <w:r w:rsidRPr="00C817BE">
              <w:t xml:space="preserve">Communications policies (p. </w:t>
            </w:r>
            <w:r w:rsidR="00C817BE" w:rsidRPr="00C817BE">
              <w:t>46</w:t>
            </w:r>
            <w:r w:rsidRPr="00C817BE">
              <w:t>)</w:t>
            </w:r>
          </w:p>
        </w:tc>
      </w:tr>
      <w:tr w:rsidR="00242529" w:rsidRPr="00155E70" w14:paraId="31721C53" w14:textId="77777777" w:rsidTr="008F1034">
        <w:tc>
          <w:tcPr>
            <w:tcW w:w="2405" w:type="dxa"/>
            <w:vMerge/>
            <w:shd w:val="clear" w:color="auto" w:fill="CEDCE8"/>
          </w:tcPr>
          <w:p w14:paraId="6A5B8D47" w14:textId="77777777" w:rsidR="00242529" w:rsidRPr="00155E70" w:rsidRDefault="00242529" w:rsidP="00614E72">
            <w:pPr>
              <w:rPr>
                <w:bCs/>
              </w:rPr>
            </w:pPr>
          </w:p>
        </w:tc>
        <w:tc>
          <w:tcPr>
            <w:tcW w:w="709" w:type="dxa"/>
          </w:tcPr>
          <w:p w14:paraId="5547C16C" w14:textId="77777777" w:rsidR="00242529" w:rsidRPr="00155E70" w:rsidRDefault="00242529" w:rsidP="00614E72">
            <w:pPr>
              <w:ind w:left="57"/>
              <w:jc w:val="center"/>
              <w:rPr>
                <w:rFonts w:cs="Arial"/>
                <w:bCs/>
              </w:rPr>
            </w:pPr>
            <w:r w:rsidRPr="00155E70">
              <w:rPr>
                <w:rFonts w:cs="Arial"/>
                <w:bCs/>
              </w:rPr>
              <w:t>8.2</w:t>
            </w:r>
          </w:p>
        </w:tc>
        <w:tc>
          <w:tcPr>
            <w:tcW w:w="5953" w:type="dxa"/>
            <w:shd w:val="clear" w:color="auto" w:fill="auto"/>
          </w:tcPr>
          <w:p w14:paraId="3CD423E7" w14:textId="3C457A4D" w:rsidR="00242529" w:rsidRPr="00C817BE" w:rsidRDefault="00577FC6" w:rsidP="00C817BE">
            <w:pPr>
              <w:pStyle w:val="ListParagraph"/>
              <w:numPr>
                <w:ilvl w:val="0"/>
                <w:numId w:val="33"/>
              </w:numPr>
              <w:spacing w:line="276" w:lineRule="auto"/>
              <w:ind w:left="720"/>
            </w:pPr>
            <w:r w:rsidRPr="00C817BE">
              <w:t xml:space="preserve">Communications policies (p. </w:t>
            </w:r>
            <w:r w:rsidR="00C817BE" w:rsidRPr="00C817BE">
              <w:t>46</w:t>
            </w:r>
            <w:r w:rsidRPr="00C817BE">
              <w:t>)</w:t>
            </w:r>
          </w:p>
        </w:tc>
      </w:tr>
      <w:tr w:rsidR="00242529" w:rsidRPr="00155E70" w14:paraId="7971E3EA" w14:textId="77777777" w:rsidTr="008F1034">
        <w:tc>
          <w:tcPr>
            <w:tcW w:w="2405" w:type="dxa"/>
            <w:vMerge/>
            <w:shd w:val="clear" w:color="auto" w:fill="CEDCE8"/>
          </w:tcPr>
          <w:p w14:paraId="01B579F7" w14:textId="77777777" w:rsidR="00242529" w:rsidRPr="00155E70" w:rsidRDefault="00242529" w:rsidP="00614E72">
            <w:pPr>
              <w:rPr>
                <w:bCs/>
              </w:rPr>
            </w:pPr>
          </w:p>
        </w:tc>
        <w:tc>
          <w:tcPr>
            <w:tcW w:w="709" w:type="dxa"/>
          </w:tcPr>
          <w:p w14:paraId="2A14BC18" w14:textId="77777777" w:rsidR="00242529" w:rsidRPr="00155E70" w:rsidRDefault="00242529" w:rsidP="00614E72">
            <w:pPr>
              <w:ind w:left="57"/>
              <w:jc w:val="center"/>
              <w:rPr>
                <w:rFonts w:cs="Arial"/>
                <w:bCs/>
              </w:rPr>
            </w:pPr>
            <w:r w:rsidRPr="00155E70">
              <w:rPr>
                <w:rFonts w:cs="Arial"/>
                <w:bCs/>
              </w:rPr>
              <w:t>8.3</w:t>
            </w:r>
          </w:p>
        </w:tc>
        <w:tc>
          <w:tcPr>
            <w:tcW w:w="5953" w:type="dxa"/>
            <w:shd w:val="clear" w:color="auto" w:fill="auto"/>
          </w:tcPr>
          <w:p w14:paraId="65EBD4F4" w14:textId="1D98A9AE" w:rsidR="00577FC6" w:rsidRPr="00C817BE" w:rsidRDefault="00577FC6" w:rsidP="00026A6F">
            <w:pPr>
              <w:pStyle w:val="ListParagraph"/>
              <w:numPr>
                <w:ilvl w:val="0"/>
                <w:numId w:val="33"/>
              </w:numPr>
              <w:spacing w:line="276" w:lineRule="auto"/>
              <w:ind w:left="720"/>
            </w:pPr>
            <w:r w:rsidRPr="00C817BE">
              <w:t xml:space="preserve">Workplace consultation (p. </w:t>
            </w:r>
            <w:r w:rsidR="00C817BE" w:rsidRPr="00C817BE">
              <w:t>40</w:t>
            </w:r>
            <w:r w:rsidRPr="00C817BE">
              <w:t>)</w:t>
            </w:r>
          </w:p>
          <w:p w14:paraId="7A0DAB4F" w14:textId="7C8DC04A" w:rsidR="00242529" w:rsidRPr="00C817BE" w:rsidRDefault="00577FC6" w:rsidP="00C817BE">
            <w:pPr>
              <w:pStyle w:val="ListParagraph"/>
              <w:numPr>
                <w:ilvl w:val="0"/>
                <w:numId w:val="33"/>
              </w:numPr>
              <w:spacing w:line="276" w:lineRule="auto"/>
              <w:ind w:left="720"/>
            </w:pPr>
            <w:r w:rsidRPr="00C817BE">
              <w:t xml:space="preserve">Communications policies (p. </w:t>
            </w:r>
            <w:r w:rsidR="00C817BE" w:rsidRPr="00C817BE">
              <w:t>46</w:t>
            </w:r>
            <w:r w:rsidRPr="00C817BE">
              <w:t>)</w:t>
            </w:r>
          </w:p>
        </w:tc>
      </w:tr>
      <w:tr w:rsidR="00242529" w:rsidRPr="00155E70" w14:paraId="70886DA0" w14:textId="77777777" w:rsidTr="008F1034">
        <w:tc>
          <w:tcPr>
            <w:tcW w:w="2405" w:type="dxa"/>
            <w:vMerge/>
            <w:shd w:val="clear" w:color="auto" w:fill="CEDCE8"/>
          </w:tcPr>
          <w:p w14:paraId="21418FB5" w14:textId="77777777" w:rsidR="00242529" w:rsidRPr="00155E70" w:rsidRDefault="00242529" w:rsidP="00614E72">
            <w:pPr>
              <w:rPr>
                <w:bCs/>
              </w:rPr>
            </w:pPr>
          </w:p>
        </w:tc>
        <w:tc>
          <w:tcPr>
            <w:tcW w:w="709" w:type="dxa"/>
          </w:tcPr>
          <w:p w14:paraId="6B32C46E" w14:textId="77777777" w:rsidR="00242529" w:rsidRPr="00155E70" w:rsidRDefault="00242529" w:rsidP="00614E72">
            <w:pPr>
              <w:ind w:left="57"/>
              <w:jc w:val="center"/>
              <w:rPr>
                <w:rFonts w:cs="Arial"/>
                <w:bCs/>
              </w:rPr>
            </w:pPr>
            <w:r w:rsidRPr="00155E70">
              <w:rPr>
                <w:rFonts w:cs="Arial"/>
                <w:bCs/>
              </w:rPr>
              <w:t>8.4</w:t>
            </w:r>
          </w:p>
        </w:tc>
        <w:tc>
          <w:tcPr>
            <w:tcW w:w="5953" w:type="dxa"/>
            <w:shd w:val="clear" w:color="auto" w:fill="auto"/>
          </w:tcPr>
          <w:p w14:paraId="736E28B8" w14:textId="0E5CA438" w:rsidR="00577FC6" w:rsidRPr="00C817BE" w:rsidRDefault="00577FC6" w:rsidP="00026A6F">
            <w:pPr>
              <w:pStyle w:val="ListParagraph"/>
              <w:numPr>
                <w:ilvl w:val="0"/>
                <w:numId w:val="34"/>
              </w:numPr>
              <w:spacing w:line="276" w:lineRule="auto"/>
              <w:ind w:left="720"/>
            </w:pPr>
            <w:r w:rsidRPr="00C817BE">
              <w:t xml:space="preserve">Communications policies (p. </w:t>
            </w:r>
            <w:r w:rsidR="00C817BE" w:rsidRPr="00C817BE">
              <w:t>46</w:t>
            </w:r>
            <w:r w:rsidRPr="00C817BE">
              <w:t>)</w:t>
            </w:r>
          </w:p>
          <w:p w14:paraId="3376D2F9" w14:textId="4FF83197" w:rsidR="00242529" w:rsidRPr="00C817BE" w:rsidRDefault="00577FC6" w:rsidP="00C817BE">
            <w:pPr>
              <w:pStyle w:val="ListParagraph"/>
              <w:numPr>
                <w:ilvl w:val="0"/>
                <w:numId w:val="34"/>
              </w:numPr>
              <w:spacing w:line="276" w:lineRule="auto"/>
              <w:ind w:left="720"/>
            </w:pPr>
            <w:r w:rsidRPr="00C817BE">
              <w:t xml:space="preserve">Recordkeeping Plan (p. </w:t>
            </w:r>
            <w:r w:rsidR="00C817BE" w:rsidRPr="00C817BE">
              <w:t>139</w:t>
            </w:r>
            <w:r w:rsidRPr="00C817BE">
              <w:t>)</w:t>
            </w:r>
          </w:p>
        </w:tc>
      </w:tr>
      <w:tr w:rsidR="00242529" w:rsidRPr="00155E70" w14:paraId="707E7CE4" w14:textId="77777777" w:rsidTr="008F1034">
        <w:tc>
          <w:tcPr>
            <w:tcW w:w="2405" w:type="dxa"/>
            <w:vMerge/>
            <w:shd w:val="clear" w:color="auto" w:fill="CEDCE8"/>
          </w:tcPr>
          <w:p w14:paraId="3CE284CB" w14:textId="77777777" w:rsidR="00242529" w:rsidRPr="00155E70" w:rsidRDefault="00242529" w:rsidP="00614E72">
            <w:pPr>
              <w:rPr>
                <w:bCs/>
              </w:rPr>
            </w:pPr>
          </w:p>
        </w:tc>
        <w:tc>
          <w:tcPr>
            <w:tcW w:w="709" w:type="dxa"/>
          </w:tcPr>
          <w:p w14:paraId="590D285A" w14:textId="77777777" w:rsidR="00242529" w:rsidRPr="00155E70" w:rsidRDefault="00242529" w:rsidP="00614E72">
            <w:pPr>
              <w:ind w:left="57"/>
              <w:jc w:val="center"/>
              <w:rPr>
                <w:rFonts w:cs="Arial"/>
                <w:bCs/>
              </w:rPr>
            </w:pPr>
            <w:r w:rsidRPr="00155E70">
              <w:rPr>
                <w:rFonts w:cs="Arial"/>
                <w:bCs/>
              </w:rPr>
              <w:t>8.5</w:t>
            </w:r>
          </w:p>
        </w:tc>
        <w:tc>
          <w:tcPr>
            <w:tcW w:w="5953" w:type="dxa"/>
            <w:shd w:val="clear" w:color="auto" w:fill="auto"/>
          </w:tcPr>
          <w:p w14:paraId="1F226212" w14:textId="2F037507" w:rsidR="00577FC6" w:rsidRPr="00C817BE" w:rsidRDefault="00577FC6" w:rsidP="00026A6F">
            <w:pPr>
              <w:pStyle w:val="ListParagraph"/>
              <w:numPr>
                <w:ilvl w:val="0"/>
                <w:numId w:val="35"/>
              </w:numPr>
              <w:spacing w:line="276" w:lineRule="auto"/>
              <w:ind w:left="720"/>
            </w:pPr>
            <w:r w:rsidRPr="00C817BE">
              <w:t xml:space="preserve">Complaints handling (p. </w:t>
            </w:r>
            <w:r w:rsidR="00C817BE" w:rsidRPr="00C817BE">
              <w:t>45</w:t>
            </w:r>
            <w:r w:rsidRPr="00C817BE">
              <w:t>)</w:t>
            </w:r>
          </w:p>
          <w:p w14:paraId="56615ECB" w14:textId="0C54E09D" w:rsidR="00242529" w:rsidRPr="00C817BE" w:rsidRDefault="00577FC6" w:rsidP="00C817BE">
            <w:pPr>
              <w:pStyle w:val="ListParagraph"/>
              <w:numPr>
                <w:ilvl w:val="0"/>
                <w:numId w:val="35"/>
              </w:numPr>
              <w:spacing w:line="276" w:lineRule="auto"/>
              <w:ind w:left="720"/>
            </w:pPr>
            <w:r w:rsidRPr="00C817BE">
              <w:t xml:space="preserve">Communications policies (p. </w:t>
            </w:r>
            <w:r w:rsidR="00C817BE" w:rsidRPr="00C817BE">
              <w:t>46</w:t>
            </w:r>
            <w:r w:rsidRPr="00C817BE">
              <w:t>)</w:t>
            </w:r>
          </w:p>
        </w:tc>
      </w:tr>
      <w:tr w:rsidR="00242529" w:rsidRPr="00155E70" w14:paraId="0BFC3E4A" w14:textId="77777777" w:rsidTr="008F1034">
        <w:tc>
          <w:tcPr>
            <w:tcW w:w="2405" w:type="dxa"/>
            <w:vMerge w:val="restart"/>
            <w:shd w:val="clear" w:color="auto" w:fill="CEDCE8"/>
          </w:tcPr>
          <w:p w14:paraId="3F8A2D4A" w14:textId="77777777" w:rsidR="00242529" w:rsidRPr="00155E70" w:rsidRDefault="00242529" w:rsidP="00026A6F">
            <w:pPr>
              <w:pStyle w:val="ListParagraph"/>
              <w:numPr>
                <w:ilvl w:val="0"/>
                <w:numId w:val="8"/>
              </w:numPr>
              <w:spacing w:after="240" w:line="276" w:lineRule="auto"/>
              <w:rPr>
                <w:bCs w:val="0"/>
              </w:rPr>
            </w:pPr>
            <w:r w:rsidRPr="00155E70">
              <w:t>Risk management</w:t>
            </w:r>
          </w:p>
        </w:tc>
        <w:tc>
          <w:tcPr>
            <w:tcW w:w="709" w:type="dxa"/>
          </w:tcPr>
          <w:p w14:paraId="32F85077" w14:textId="77777777" w:rsidR="00242529" w:rsidRPr="00155E70" w:rsidRDefault="00242529" w:rsidP="00614E72">
            <w:pPr>
              <w:ind w:left="57"/>
              <w:jc w:val="center"/>
              <w:rPr>
                <w:rFonts w:cs="Arial"/>
                <w:bCs/>
              </w:rPr>
            </w:pPr>
            <w:r w:rsidRPr="00155E70">
              <w:rPr>
                <w:rFonts w:cs="Arial"/>
                <w:bCs/>
              </w:rPr>
              <w:t>9.1</w:t>
            </w:r>
          </w:p>
        </w:tc>
        <w:tc>
          <w:tcPr>
            <w:tcW w:w="5953" w:type="dxa"/>
            <w:shd w:val="clear" w:color="auto" w:fill="auto"/>
          </w:tcPr>
          <w:p w14:paraId="3D72E6F9" w14:textId="35209E10" w:rsidR="00577FC6" w:rsidRPr="00C817BE" w:rsidRDefault="00577FC6" w:rsidP="00026A6F">
            <w:pPr>
              <w:pStyle w:val="ListParagraph"/>
              <w:numPr>
                <w:ilvl w:val="0"/>
                <w:numId w:val="35"/>
              </w:numPr>
              <w:spacing w:line="276" w:lineRule="auto"/>
              <w:ind w:left="720"/>
            </w:pPr>
            <w:r w:rsidRPr="00C817BE">
              <w:t xml:space="preserve">Risk management policies (p. </w:t>
            </w:r>
            <w:r w:rsidR="00C817BE" w:rsidRPr="00C817BE">
              <w:t>48</w:t>
            </w:r>
            <w:r w:rsidRPr="00C817BE">
              <w:t>)</w:t>
            </w:r>
          </w:p>
          <w:p w14:paraId="7B33C43C" w14:textId="60B1CFAE" w:rsidR="00242529" w:rsidRPr="00C817BE" w:rsidRDefault="00577FC6" w:rsidP="00C817BE">
            <w:pPr>
              <w:pStyle w:val="ListParagraph"/>
              <w:numPr>
                <w:ilvl w:val="0"/>
                <w:numId w:val="35"/>
              </w:numPr>
              <w:spacing w:line="276" w:lineRule="auto"/>
              <w:ind w:left="720"/>
            </w:pPr>
            <w:r w:rsidRPr="00C817BE">
              <w:t xml:space="preserve">Risk Management Review Group (p. </w:t>
            </w:r>
            <w:r w:rsidR="00C817BE" w:rsidRPr="00C817BE">
              <w:t>44</w:t>
            </w:r>
            <w:r w:rsidRPr="00C817BE">
              <w:t>)</w:t>
            </w:r>
          </w:p>
        </w:tc>
      </w:tr>
      <w:tr w:rsidR="00242529" w:rsidRPr="00155E70" w14:paraId="63AD696A" w14:textId="77777777" w:rsidTr="008F1034">
        <w:tc>
          <w:tcPr>
            <w:tcW w:w="2405" w:type="dxa"/>
            <w:vMerge/>
            <w:shd w:val="clear" w:color="auto" w:fill="CEDCE8"/>
          </w:tcPr>
          <w:p w14:paraId="66EE6689" w14:textId="77777777" w:rsidR="00242529" w:rsidRPr="00155E70" w:rsidRDefault="00242529" w:rsidP="00614E72">
            <w:pPr>
              <w:rPr>
                <w:bCs/>
              </w:rPr>
            </w:pPr>
          </w:p>
        </w:tc>
        <w:tc>
          <w:tcPr>
            <w:tcW w:w="709" w:type="dxa"/>
          </w:tcPr>
          <w:p w14:paraId="62E084D0" w14:textId="77777777" w:rsidR="00242529" w:rsidRPr="00155E70" w:rsidRDefault="00242529" w:rsidP="00614E72">
            <w:pPr>
              <w:ind w:left="57"/>
              <w:jc w:val="center"/>
              <w:rPr>
                <w:rFonts w:cs="Arial"/>
                <w:bCs/>
              </w:rPr>
            </w:pPr>
            <w:r w:rsidRPr="00155E70">
              <w:rPr>
                <w:rFonts w:cs="Arial"/>
                <w:bCs/>
              </w:rPr>
              <w:t>9.2</w:t>
            </w:r>
          </w:p>
        </w:tc>
        <w:tc>
          <w:tcPr>
            <w:tcW w:w="5953" w:type="dxa"/>
            <w:shd w:val="clear" w:color="auto" w:fill="auto"/>
          </w:tcPr>
          <w:p w14:paraId="5B7F554E" w14:textId="258A3833" w:rsidR="00577FC6" w:rsidRPr="00C817BE" w:rsidRDefault="00577FC6" w:rsidP="00026A6F">
            <w:pPr>
              <w:pStyle w:val="ListParagraph"/>
              <w:numPr>
                <w:ilvl w:val="0"/>
                <w:numId w:val="35"/>
              </w:numPr>
              <w:spacing w:line="276" w:lineRule="auto"/>
              <w:ind w:left="720"/>
            </w:pPr>
            <w:r w:rsidRPr="00C817BE">
              <w:t xml:space="preserve">Risk management policies (p. </w:t>
            </w:r>
            <w:r w:rsidR="00C817BE" w:rsidRPr="00C817BE">
              <w:t>48</w:t>
            </w:r>
            <w:r w:rsidRPr="00C817BE">
              <w:t>)</w:t>
            </w:r>
          </w:p>
          <w:p w14:paraId="5A5400BE" w14:textId="2820B081" w:rsidR="00242529" w:rsidRPr="00C817BE" w:rsidRDefault="00577FC6" w:rsidP="00C817BE">
            <w:pPr>
              <w:pStyle w:val="ListParagraph"/>
              <w:numPr>
                <w:ilvl w:val="0"/>
                <w:numId w:val="35"/>
              </w:numPr>
              <w:spacing w:line="276" w:lineRule="auto"/>
              <w:ind w:left="720"/>
            </w:pPr>
            <w:r w:rsidRPr="00C817BE">
              <w:t xml:space="preserve">Review of Risk Management Framework </w:t>
            </w:r>
            <w:r w:rsidRPr="00C817BE">
              <w:br/>
              <w:t xml:space="preserve">(p. </w:t>
            </w:r>
            <w:r w:rsidR="00C817BE" w:rsidRPr="00C817BE">
              <w:t>117</w:t>
            </w:r>
            <w:r w:rsidRPr="00C817BE">
              <w:t>)</w:t>
            </w:r>
          </w:p>
        </w:tc>
      </w:tr>
      <w:tr w:rsidR="00242529" w:rsidRPr="00155E70" w14:paraId="7D1EA270" w14:textId="77777777" w:rsidTr="008F1034">
        <w:tc>
          <w:tcPr>
            <w:tcW w:w="2405" w:type="dxa"/>
            <w:vMerge/>
            <w:shd w:val="clear" w:color="auto" w:fill="CEDCE8"/>
          </w:tcPr>
          <w:p w14:paraId="0EB1F309" w14:textId="77777777" w:rsidR="00242529" w:rsidRPr="00155E70" w:rsidRDefault="00242529" w:rsidP="00614E72">
            <w:pPr>
              <w:rPr>
                <w:bCs/>
              </w:rPr>
            </w:pPr>
          </w:p>
        </w:tc>
        <w:tc>
          <w:tcPr>
            <w:tcW w:w="709" w:type="dxa"/>
          </w:tcPr>
          <w:p w14:paraId="5BC5467B" w14:textId="77777777" w:rsidR="00242529" w:rsidRPr="00155E70" w:rsidRDefault="00242529" w:rsidP="00614E72">
            <w:pPr>
              <w:ind w:left="57"/>
              <w:jc w:val="center"/>
              <w:rPr>
                <w:rFonts w:cs="Arial"/>
                <w:bCs/>
              </w:rPr>
            </w:pPr>
            <w:r w:rsidRPr="00155E70">
              <w:rPr>
                <w:rFonts w:cs="Arial"/>
                <w:bCs/>
              </w:rPr>
              <w:t>9.3</w:t>
            </w:r>
          </w:p>
        </w:tc>
        <w:tc>
          <w:tcPr>
            <w:tcW w:w="5953" w:type="dxa"/>
            <w:shd w:val="clear" w:color="auto" w:fill="auto"/>
          </w:tcPr>
          <w:p w14:paraId="664B3B31" w14:textId="61B49388" w:rsidR="00577FC6" w:rsidRPr="00C817BE" w:rsidRDefault="00577FC6" w:rsidP="00026A6F">
            <w:pPr>
              <w:pStyle w:val="ListParagraph"/>
              <w:numPr>
                <w:ilvl w:val="0"/>
                <w:numId w:val="35"/>
              </w:numPr>
              <w:spacing w:line="276" w:lineRule="auto"/>
              <w:ind w:left="720"/>
            </w:pPr>
            <w:r w:rsidRPr="00C817BE">
              <w:t xml:space="preserve">Audit and Risk Management Committee </w:t>
            </w:r>
            <w:r w:rsidR="00C817BE" w:rsidRPr="00C817BE">
              <w:br/>
            </w:r>
            <w:r w:rsidRPr="00C817BE">
              <w:t xml:space="preserve">(p. </w:t>
            </w:r>
            <w:r w:rsidR="00C817BE" w:rsidRPr="00C817BE">
              <w:t>134</w:t>
            </w:r>
            <w:r w:rsidRPr="00C817BE">
              <w:t>)</w:t>
            </w:r>
          </w:p>
          <w:p w14:paraId="0A691A32" w14:textId="6F2AA210" w:rsidR="00242529" w:rsidRPr="00C817BE" w:rsidRDefault="00577FC6" w:rsidP="00026A6F">
            <w:pPr>
              <w:pStyle w:val="ListParagraph"/>
              <w:numPr>
                <w:ilvl w:val="0"/>
                <w:numId w:val="35"/>
              </w:numPr>
              <w:spacing w:line="276" w:lineRule="auto"/>
              <w:ind w:left="720"/>
            </w:pPr>
            <w:r w:rsidRPr="00C817BE">
              <w:t>Risk Management Review Group (p. xx)</w:t>
            </w:r>
          </w:p>
        </w:tc>
      </w:tr>
      <w:tr w:rsidR="00242529" w:rsidRPr="00155E70" w14:paraId="109255BD" w14:textId="77777777" w:rsidTr="008F1034">
        <w:tc>
          <w:tcPr>
            <w:tcW w:w="2405" w:type="dxa"/>
            <w:vMerge/>
            <w:shd w:val="clear" w:color="auto" w:fill="CEDCE8"/>
          </w:tcPr>
          <w:p w14:paraId="1B4A9E52" w14:textId="77777777" w:rsidR="00242529" w:rsidRPr="00155E70" w:rsidRDefault="00242529" w:rsidP="00614E72">
            <w:pPr>
              <w:rPr>
                <w:bCs/>
              </w:rPr>
            </w:pPr>
          </w:p>
        </w:tc>
        <w:tc>
          <w:tcPr>
            <w:tcW w:w="709" w:type="dxa"/>
          </w:tcPr>
          <w:p w14:paraId="18A87E8B" w14:textId="77777777" w:rsidR="00242529" w:rsidRPr="00155E70" w:rsidRDefault="00242529" w:rsidP="00614E72">
            <w:pPr>
              <w:ind w:left="57"/>
              <w:jc w:val="center"/>
              <w:rPr>
                <w:rFonts w:cs="Arial"/>
                <w:bCs/>
              </w:rPr>
            </w:pPr>
            <w:r w:rsidRPr="00155E70">
              <w:rPr>
                <w:rFonts w:cs="Arial"/>
                <w:bCs/>
              </w:rPr>
              <w:t>9.4</w:t>
            </w:r>
          </w:p>
        </w:tc>
        <w:tc>
          <w:tcPr>
            <w:tcW w:w="5953" w:type="dxa"/>
            <w:shd w:val="clear" w:color="auto" w:fill="auto"/>
          </w:tcPr>
          <w:p w14:paraId="3B79D67E" w14:textId="4282FEE4" w:rsidR="00577FC6" w:rsidRPr="00C817BE" w:rsidRDefault="00577FC6" w:rsidP="00026A6F">
            <w:pPr>
              <w:pStyle w:val="ListParagraph"/>
              <w:numPr>
                <w:ilvl w:val="0"/>
                <w:numId w:val="36"/>
              </w:numPr>
              <w:spacing w:line="276" w:lineRule="auto"/>
              <w:ind w:left="720"/>
            </w:pPr>
            <w:r w:rsidRPr="00C817BE">
              <w:t xml:space="preserve">Review of Risk Management Framework </w:t>
            </w:r>
            <w:r w:rsidRPr="00C817BE">
              <w:br/>
              <w:t xml:space="preserve">(p. </w:t>
            </w:r>
            <w:r w:rsidR="00C817BE" w:rsidRPr="00C817BE">
              <w:t>117</w:t>
            </w:r>
            <w:r w:rsidRPr="00C817BE">
              <w:t>)</w:t>
            </w:r>
          </w:p>
          <w:p w14:paraId="332E4178" w14:textId="1AA73F8B" w:rsidR="00242529" w:rsidRPr="00C817BE" w:rsidRDefault="00577FC6" w:rsidP="00C817BE">
            <w:pPr>
              <w:pStyle w:val="ListParagraph"/>
              <w:numPr>
                <w:ilvl w:val="0"/>
                <w:numId w:val="36"/>
              </w:numPr>
              <w:spacing w:line="276" w:lineRule="auto"/>
              <w:ind w:left="720"/>
            </w:pPr>
            <w:r w:rsidRPr="00C817BE">
              <w:t xml:space="preserve">Audit and Risk Management Committee </w:t>
            </w:r>
            <w:r w:rsidR="00C817BE" w:rsidRPr="00C817BE">
              <w:br/>
            </w:r>
            <w:r w:rsidRPr="00C817BE">
              <w:t xml:space="preserve">(p. </w:t>
            </w:r>
            <w:r w:rsidR="00C817BE" w:rsidRPr="00C817BE">
              <w:t>134</w:t>
            </w:r>
            <w:r w:rsidRPr="00C817BE">
              <w:t>)</w:t>
            </w:r>
          </w:p>
        </w:tc>
      </w:tr>
    </w:tbl>
    <w:p w14:paraId="2DB0AF6C" w14:textId="77777777" w:rsidR="00394D62" w:rsidRPr="00F75DD8" w:rsidRDefault="00180DE3" w:rsidP="006F296F">
      <w:pPr>
        <w:pStyle w:val="Heading2nonumber"/>
      </w:pPr>
      <w:bookmarkStart w:id="635" w:name="_Toc450900813"/>
      <w:bookmarkStart w:id="636" w:name="_Toc525122113"/>
      <w:r w:rsidRPr="00F75DD8">
        <w:t>Co</w:t>
      </w:r>
      <w:r w:rsidR="00394D62" w:rsidRPr="00F75DD8">
        <w:t>mmittees</w:t>
      </w:r>
      <w:bookmarkEnd w:id="632"/>
      <w:bookmarkEnd w:id="633"/>
      <w:bookmarkEnd w:id="635"/>
      <w:bookmarkEnd w:id="636"/>
      <w:r w:rsidR="00394D62" w:rsidRPr="00F75DD8">
        <w:t xml:space="preserve"> </w:t>
      </w:r>
    </w:p>
    <w:p w14:paraId="6E467FE6" w14:textId="1120017D" w:rsidR="00394D62" w:rsidRDefault="00394D62" w:rsidP="006F296F">
      <w:pPr>
        <w:pStyle w:val="Heading3nonumber"/>
      </w:pPr>
      <w:bookmarkStart w:id="637" w:name="_Toc426617586"/>
      <w:bookmarkStart w:id="638" w:name="_Toc450900814"/>
      <w:bookmarkStart w:id="639" w:name="_Toc525122114"/>
      <w:r w:rsidRPr="00F75DD8">
        <w:t xml:space="preserve">Audit </w:t>
      </w:r>
      <w:r w:rsidR="000F3BF6">
        <w:t xml:space="preserve">and Risk Management </w:t>
      </w:r>
      <w:r w:rsidRPr="00F75DD8">
        <w:t>Committee</w:t>
      </w:r>
      <w:bookmarkEnd w:id="637"/>
      <w:bookmarkEnd w:id="638"/>
      <w:bookmarkEnd w:id="639"/>
      <w:r>
        <w:t xml:space="preserve"> </w:t>
      </w:r>
    </w:p>
    <w:p w14:paraId="06258A6E" w14:textId="77777777" w:rsidR="00BD0B92" w:rsidRPr="000D7D06" w:rsidRDefault="00BD0B92" w:rsidP="00BD0B92">
      <w:pPr>
        <w:rPr>
          <w:szCs w:val="22"/>
        </w:rPr>
      </w:pPr>
      <w:r>
        <w:t>Th</w:t>
      </w:r>
      <w:r w:rsidRPr="000566A8">
        <w:t>e Audit and Risk Management Committee pr</w:t>
      </w:r>
      <w:r w:rsidRPr="00611F31">
        <w:t xml:space="preserve">ovides independent assurance and </w:t>
      </w:r>
      <w:r w:rsidRPr="000D7D06">
        <w:rPr>
          <w:szCs w:val="22"/>
        </w:rPr>
        <w:t xml:space="preserve">assistance to the Board on WorkCover WA’s risk, control and compliance framework and its external accountability responsibilities. </w:t>
      </w:r>
    </w:p>
    <w:p w14:paraId="693C5C73" w14:textId="77777777" w:rsidR="00BD0B92" w:rsidRPr="000D7D06" w:rsidRDefault="00BD0B92" w:rsidP="00BD0B92">
      <w:pPr>
        <w:rPr>
          <w:szCs w:val="22"/>
        </w:rPr>
      </w:pPr>
      <w:r w:rsidRPr="000D7D06">
        <w:rPr>
          <w:szCs w:val="22"/>
        </w:rPr>
        <w:t>The Committee:</w:t>
      </w:r>
    </w:p>
    <w:p w14:paraId="4BB39459" w14:textId="77777777" w:rsidR="00BD0B92" w:rsidRPr="00BD0B92" w:rsidRDefault="00BD0B92" w:rsidP="00BD0B92">
      <w:pPr>
        <w:pStyle w:val="BulletListLevel1"/>
      </w:pPr>
      <w:r w:rsidRPr="00BD0B92">
        <w:t>ensures the Agency has in place an enterprise-wide risk management framework, reviews the risk profile and measures in place to manage significant risks and uncertainties, and advises the Board of significant or emerging risks</w:t>
      </w:r>
    </w:p>
    <w:p w14:paraId="434EFBBD" w14:textId="77777777" w:rsidR="00BD0B92" w:rsidRDefault="00BD0B92" w:rsidP="00BD0B92">
      <w:pPr>
        <w:pStyle w:val="BulletListLevel1"/>
      </w:pPr>
      <w:r w:rsidRPr="00BD0B92">
        <w:t>reviews strategic and annual internal audit plans, monitors the progress of audit recommendations, and provides stewardship by promoting discussion with internal and external auditors to ensure effective systems and policies are in place.</w:t>
      </w:r>
    </w:p>
    <w:p w14:paraId="7D415A2C" w14:textId="0A86E62B" w:rsidR="00BD0B92" w:rsidRDefault="00BD0B92" w:rsidP="00BD0B92">
      <w:r>
        <w:t>In 2017/18, WorkCover WA conducted seven internal audits and two external audits.</w:t>
      </w:r>
    </w:p>
    <w:p w14:paraId="18C2F6E8" w14:textId="181BC3B9" w:rsidR="00BD0B92" w:rsidRPr="00BD0B92" w:rsidRDefault="00BD0B92" w:rsidP="00BD0B92">
      <w:r>
        <w:t xml:space="preserve">The seven internal audits </w:t>
      </w:r>
      <w:r w:rsidRPr="00807233">
        <w:t xml:space="preserve">identified </w:t>
      </w:r>
      <w:r w:rsidR="00D92FA2">
        <w:t>one</w:t>
      </w:r>
      <w:r w:rsidR="00807233" w:rsidRPr="00807233">
        <w:t xml:space="preserve"> medium and 13 low level findings and 12 performance improvement opportunities. The two external audits identified one minor finding. All findings have been reported to the Audit and Risk Management Committee and action has in most cases either been completed by management or is being progressed within agreed completion timeframes. There were two incidents where the audit finding action was completed marginally outside the agreed timeframe due to internal management approval processes and alignment with meeting schedules. </w:t>
      </w:r>
    </w:p>
    <w:p w14:paraId="57434B6A" w14:textId="481C6098" w:rsidR="00A02473" w:rsidRPr="00C2339F" w:rsidRDefault="00A02473" w:rsidP="00DC0A9E">
      <w:pPr>
        <w:keepLines w:val="0"/>
        <w:spacing w:after="0" w:line="240" w:lineRule="auto"/>
        <w:rPr>
          <w:szCs w:val="22"/>
        </w:rPr>
      </w:pPr>
    </w:p>
    <w:tbl>
      <w:tblPr>
        <w:tblStyle w:val="TableGrid"/>
        <w:tblW w:w="9044" w:type="dxa"/>
        <w:tblInd w:w="-5" w:type="dxa"/>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Table 42: Audit Committee attendance "/>
        <w:tblDescription w:val="This table highlights the number of Audit and Risk Management Committee meetings that members were eligible to attend and actually attended. "/>
      </w:tblPr>
      <w:tblGrid>
        <w:gridCol w:w="3193"/>
        <w:gridCol w:w="2874"/>
        <w:gridCol w:w="2977"/>
      </w:tblGrid>
      <w:tr w:rsidR="00467489" w14:paraId="67A8C22D" w14:textId="77777777" w:rsidTr="008F1034">
        <w:trPr>
          <w:tblHeader/>
        </w:trPr>
        <w:tc>
          <w:tcPr>
            <w:tcW w:w="9044" w:type="dxa"/>
            <w:gridSpan w:val="3"/>
            <w:shd w:val="clear" w:color="auto" w:fill="003F5F"/>
          </w:tcPr>
          <w:p w14:paraId="04F5E041" w14:textId="1F9C7357" w:rsidR="00467489" w:rsidRPr="00D31603" w:rsidRDefault="00467489" w:rsidP="0051146B">
            <w:pPr>
              <w:spacing w:before="120"/>
              <w:rPr>
                <w:rFonts w:cs="Arial"/>
                <w:b/>
                <w:color w:val="FFFFFF" w:themeColor="background1"/>
              </w:rPr>
            </w:pPr>
            <w:r w:rsidRPr="008F1034">
              <w:rPr>
                <w:rFonts w:cs="Arial"/>
                <w:b/>
                <w:color w:val="FFFFFF" w:themeColor="background1"/>
              </w:rPr>
              <w:t xml:space="preserve">Table </w:t>
            </w:r>
            <w:r w:rsidR="008F1034" w:rsidRPr="008F1034">
              <w:rPr>
                <w:rFonts w:cs="Arial"/>
                <w:b/>
                <w:color w:val="FFFFFF" w:themeColor="background1"/>
              </w:rPr>
              <w:t>42</w:t>
            </w:r>
            <w:r w:rsidRPr="00BD0B92">
              <w:rPr>
                <w:rFonts w:cs="Arial"/>
                <w:b/>
                <w:color w:val="FFFFFF" w:themeColor="background2"/>
              </w:rPr>
              <w:t xml:space="preserve">: Audit </w:t>
            </w:r>
            <w:r w:rsidR="00CF6FAE" w:rsidRPr="00BD0B92">
              <w:rPr>
                <w:rFonts w:cs="Arial"/>
                <w:b/>
                <w:color w:val="FFFFFF" w:themeColor="background2"/>
              </w:rPr>
              <w:t xml:space="preserve">and Risk Management </w:t>
            </w:r>
            <w:r w:rsidRPr="00BD0B92">
              <w:rPr>
                <w:rFonts w:cs="Arial"/>
                <w:b/>
                <w:color w:val="FFFFFF" w:themeColor="background2"/>
              </w:rPr>
              <w:t xml:space="preserve">Committee attendance </w:t>
            </w:r>
          </w:p>
        </w:tc>
      </w:tr>
      <w:tr w:rsidR="009013D5" w14:paraId="5C9FD90B" w14:textId="77777777" w:rsidTr="008F1034">
        <w:tc>
          <w:tcPr>
            <w:tcW w:w="3193" w:type="dxa"/>
            <w:tcBorders>
              <w:bottom w:val="single" w:sz="4" w:space="0" w:color="9FBCD0"/>
            </w:tcBorders>
            <w:shd w:val="clear" w:color="auto" w:fill="CEDCE8"/>
          </w:tcPr>
          <w:p w14:paraId="502E2AC3" w14:textId="5EB2A166" w:rsidR="009013D5" w:rsidRPr="0044251E" w:rsidRDefault="009013D5" w:rsidP="0044251E">
            <w:pPr>
              <w:rPr>
                <w:rStyle w:val="Strong"/>
              </w:rPr>
            </w:pPr>
            <w:r w:rsidRPr="0044251E">
              <w:rPr>
                <w:rStyle w:val="Strong"/>
              </w:rPr>
              <w:t xml:space="preserve">Audit </w:t>
            </w:r>
            <w:r w:rsidR="0051146B">
              <w:rPr>
                <w:rStyle w:val="Strong"/>
              </w:rPr>
              <w:t xml:space="preserve">and Risk Management </w:t>
            </w:r>
            <w:r w:rsidRPr="0044251E">
              <w:rPr>
                <w:rStyle w:val="Strong"/>
              </w:rPr>
              <w:t>Committee Member</w:t>
            </w:r>
          </w:p>
        </w:tc>
        <w:tc>
          <w:tcPr>
            <w:tcW w:w="2874" w:type="dxa"/>
            <w:shd w:val="clear" w:color="auto" w:fill="CEDCE8"/>
          </w:tcPr>
          <w:p w14:paraId="162B62B1" w14:textId="77777777" w:rsidR="009013D5" w:rsidRPr="0044251E" w:rsidRDefault="009013D5" w:rsidP="00A0108D">
            <w:pPr>
              <w:jc w:val="right"/>
              <w:rPr>
                <w:rStyle w:val="Strong"/>
              </w:rPr>
            </w:pPr>
            <w:r w:rsidRPr="0044251E">
              <w:rPr>
                <w:rStyle w:val="Strong"/>
              </w:rPr>
              <w:t>No. of meetings eligible to attend</w:t>
            </w:r>
          </w:p>
        </w:tc>
        <w:tc>
          <w:tcPr>
            <w:tcW w:w="2977" w:type="dxa"/>
            <w:shd w:val="clear" w:color="auto" w:fill="CEDCE8"/>
          </w:tcPr>
          <w:p w14:paraId="1975F0B4" w14:textId="77777777" w:rsidR="009013D5" w:rsidRPr="0044251E" w:rsidRDefault="009013D5" w:rsidP="00A0108D">
            <w:pPr>
              <w:jc w:val="right"/>
              <w:rPr>
                <w:rStyle w:val="Strong"/>
              </w:rPr>
            </w:pPr>
            <w:r w:rsidRPr="0044251E">
              <w:rPr>
                <w:rStyle w:val="Strong"/>
              </w:rPr>
              <w:t>No. of meetings attended</w:t>
            </w:r>
          </w:p>
        </w:tc>
      </w:tr>
      <w:tr w:rsidR="000D79A4" w14:paraId="196FC9DE" w14:textId="77777777" w:rsidTr="008F1034">
        <w:tc>
          <w:tcPr>
            <w:tcW w:w="3193" w:type="dxa"/>
            <w:tcBorders>
              <w:top w:val="single" w:sz="4" w:space="0" w:color="9FBCD0"/>
              <w:left w:val="single" w:sz="4" w:space="0" w:color="9FBCD0"/>
              <w:bottom w:val="single" w:sz="4" w:space="0" w:color="9FBCD0"/>
              <w:right w:val="single" w:sz="4" w:space="0" w:color="9FBCD0"/>
            </w:tcBorders>
            <w:shd w:val="clear" w:color="auto" w:fill="CEDCE8"/>
          </w:tcPr>
          <w:p w14:paraId="7B5668EA" w14:textId="7BCBB0D8" w:rsidR="000D79A4" w:rsidRPr="00CF6FAE" w:rsidRDefault="00DB3A5A" w:rsidP="000D79A4">
            <w:pPr>
              <w:spacing w:before="120"/>
              <w:rPr>
                <w:rFonts w:cs="Arial"/>
              </w:rPr>
            </w:pPr>
            <w:r>
              <w:rPr>
                <w:rFonts w:cs="Arial"/>
              </w:rPr>
              <w:t>Victoria Wilmot (Chair)</w:t>
            </w:r>
          </w:p>
        </w:tc>
        <w:tc>
          <w:tcPr>
            <w:tcW w:w="2874" w:type="dxa"/>
            <w:tcBorders>
              <w:left w:val="single" w:sz="4" w:space="0" w:color="9FBCD0"/>
            </w:tcBorders>
            <w:shd w:val="clear" w:color="auto" w:fill="auto"/>
          </w:tcPr>
          <w:p w14:paraId="3D03C4C1" w14:textId="08B11357" w:rsidR="000D79A4" w:rsidRPr="00CF6FAE" w:rsidRDefault="00DB3A5A" w:rsidP="00A0108D">
            <w:pPr>
              <w:spacing w:before="120"/>
              <w:jc w:val="right"/>
              <w:rPr>
                <w:rFonts w:cs="Arial"/>
              </w:rPr>
            </w:pPr>
            <w:r>
              <w:rPr>
                <w:rFonts w:cs="Arial"/>
              </w:rPr>
              <w:t>4</w:t>
            </w:r>
          </w:p>
        </w:tc>
        <w:tc>
          <w:tcPr>
            <w:tcW w:w="2977" w:type="dxa"/>
            <w:shd w:val="clear" w:color="auto" w:fill="auto"/>
          </w:tcPr>
          <w:p w14:paraId="54A001BE" w14:textId="1EB2E38C" w:rsidR="000D79A4" w:rsidRPr="00596CCD" w:rsidRDefault="00596CCD" w:rsidP="00A0108D">
            <w:pPr>
              <w:spacing w:before="120"/>
              <w:jc w:val="right"/>
              <w:rPr>
                <w:rFonts w:cs="Arial"/>
              </w:rPr>
            </w:pPr>
            <w:r>
              <w:rPr>
                <w:rFonts w:cs="Arial"/>
              </w:rPr>
              <w:t>4</w:t>
            </w:r>
          </w:p>
        </w:tc>
      </w:tr>
      <w:tr w:rsidR="000D79A4" w14:paraId="7268BA2A" w14:textId="77777777" w:rsidTr="008F1034">
        <w:trPr>
          <w:trHeight w:val="568"/>
        </w:trPr>
        <w:tc>
          <w:tcPr>
            <w:tcW w:w="3193" w:type="dxa"/>
            <w:tcBorders>
              <w:top w:val="single" w:sz="4" w:space="0" w:color="9FBCD0"/>
              <w:left w:val="single" w:sz="4" w:space="0" w:color="9FBCD0"/>
              <w:bottom w:val="single" w:sz="4" w:space="0" w:color="9FBCD0"/>
              <w:right w:val="single" w:sz="4" w:space="0" w:color="9FBCD0"/>
            </w:tcBorders>
            <w:shd w:val="clear" w:color="auto" w:fill="CEDCE8"/>
          </w:tcPr>
          <w:p w14:paraId="709FF614" w14:textId="5571634F" w:rsidR="000D79A4" w:rsidRPr="00CF6FAE" w:rsidRDefault="00DB3A5A" w:rsidP="000D79A4">
            <w:pPr>
              <w:spacing w:before="120"/>
              <w:rPr>
                <w:rFonts w:cs="Arial"/>
              </w:rPr>
            </w:pPr>
            <w:r>
              <w:rPr>
                <w:rFonts w:cs="Arial"/>
              </w:rPr>
              <w:t>Greg Joyce</w:t>
            </w:r>
          </w:p>
        </w:tc>
        <w:tc>
          <w:tcPr>
            <w:tcW w:w="2874" w:type="dxa"/>
            <w:tcBorders>
              <w:left w:val="single" w:sz="4" w:space="0" w:color="9FBCD0"/>
            </w:tcBorders>
            <w:shd w:val="clear" w:color="auto" w:fill="auto"/>
          </w:tcPr>
          <w:p w14:paraId="43B05274" w14:textId="5DC1EE12" w:rsidR="000D79A4" w:rsidRPr="00CF6FAE" w:rsidRDefault="00DB3A5A" w:rsidP="00A0108D">
            <w:pPr>
              <w:spacing w:before="120"/>
              <w:jc w:val="right"/>
              <w:rPr>
                <w:rFonts w:cs="Arial"/>
              </w:rPr>
            </w:pPr>
            <w:r>
              <w:rPr>
                <w:rFonts w:cs="Arial"/>
              </w:rPr>
              <w:t>4</w:t>
            </w:r>
          </w:p>
        </w:tc>
        <w:tc>
          <w:tcPr>
            <w:tcW w:w="2977" w:type="dxa"/>
            <w:shd w:val="clear" w:color="auto" w:fill="auto"/>
          </w:tcPr>
          <w:p w14:paraId="5E580946" w14:textId="5C38C1A9" w:rsidR="000D79A4" w:rsidRPr="00596CCD" w:rsidRDefault="00596CCD" w:rsidP="00A0108D">
            <w:pPr>
              <w:spacing w:before="120"/>
              <w:jc w:val="right"/>
              <w:rPr>
                <w:rFonts w:cs="Arial"/>
              </w:rPr>
            </w:pPr>
            <w:r>
              <w:rPr>
                <w:rFonts w:cs="Arial"/>
              </w:rPr>
              <w:t>4</w:t>
            </w:r>
          </w:p>
        </w:tc>
      </w:tr>
      <w:tr w:rsidR="000D79A4" w14:paraId="04B1BC27" w14:textId="77777777" w:rsidTr="008F1034">
        <w:tc>
          <w:tcPr>
            <w:tcW w:w="3193" w:type="dxa"/>
            <w:tcBorders>
              <w:top w:val="single" w:sz="4" w:space="0" w:color="9FBCD0"/>
              <w:left w:val="single" w:sz="4" w:space="0" w:color="9FBCD0"/>
              <w:bottom w:val="single" w:sz="4" w:space="0" w:color="9FBCD0"/>
              <w:right w:val="single" w:sz="4" w:space="0" w:color="9FBCD0"/>
            </w:tcBorders>
            <w:shd w:val="clear" w:color="auto" w:fill="CEDCE8"/>
          </w:tcPr>
          <w:p w14:paraId="36BAC123" w14:textId="4FB6F1C0" w:rsidR="000D79A4" w:rsidRPr="00CF6FAE" w:rsidRDefault="00DB3A5A" w:rsidP="000D79A4">
            <w:pPr>
              <w:spacing w:before="120"/>
              <w:rPr>
                <w:rFonts w:cs="Arial"/>
              </w:rPr>
            </w:pPr>
            <w:r>
              <w:rPr>
                <w:rFonts w:cs="Arial"/>
              </w:rPr>
              <w:t>Steven Burns</w:t>
            </w:r>
          </w:p>
        </w:tc>
        <w:tc>
          <w:tcPr>
            <w:tcW w:w="2874" w:type="dxa"/>
            <w:tcBorders>
              <w:left w:val="single" w:sz="4" w:space="0" w:color="9FBCD0"/>
            </w:tcBorders>
            <w:shd w:val="clear" w:color="auto" w:fill="auto"/>
          </w:tcPr>
          <w:p w14:paraId="35903A80" w14:textId="379C7319" w:rsidR="000D79A4" w:rsidRPr="00CF6FAE" w:rsidRDefault="00DB3A5A" w:rsidP="00A0108D">
            <w:pPr>
              <w:spacing w:before="120"/>
              <w:jc w:val="right"/>
              <w:rPr>
                <w:rFonts w:cs="Arial"/>
              </w:rPr>
            </w:pPr>
            <w:r>
              <w:rPr>
                <w:rFonts w:cs="Arial"/>
              </w:rPr>
              <w:t>4</w:t>
            </w:r>
          </w:p>
        </w:tc>
        <w:tc>
          <w:tcPr>
            <w:tcW w:w="2977" w:type="dxa"/>
            <w:shd w:val="clear" w:color="auto" w:fill="auto"/>
          </w:tcPr>
          <w:p w14:paraId="792111B8" w14:textId="25D0C286" w:rsidR="000D79A4" w:rsidRPr="00596CCD" w:rsidRDefault="00596CCD" w:rsidP="00A0108D">
            <w:pPr>
              <w:spacing w:before="120"/>
              <w:jc w:val="right"/>
              <w:rPr>
                <w:rFonts w:cs="Arial"/>
              </w:rPr>
            </w:pPr>
            <w:r>
              <w:rPr>
                <w:rFonts w:cs="Arial"/>
              </w:rPr>
              <w:t>4</w:t>
            </w:r>
          </w:p>
        </w:tc>
      </w:tr>
      <w:tr w:rsidR="00CF6FAE" w14:paraId="260AAC9A" w14:textId="77777777" w:rsidTr="008F1034">
        <w:tc>
          <w:tcPr>
            <w:tcW w:w="3193" w:type="dxa"/>
            <w:tcBorders>
              <w:top w:val="single" w:sz="4" w:space="0" w:color="9FBCD0"/>
              <w:left w:val="single" w:sz="4" w:space="0" w:color="9FBCD0"/>
              <w:bottom w:val="single" w:sz="4" w:space="0" w:color="9FBCD0"/>
              <w:right w:val="single" w:sz="4" w:space="0" w:color="9FBCD0"/>
            </w:tcBorders>
            <w:shd w:val="clear" w:color="auto" w:fill="CEDCE8"/>
          </w:tcPr>
          <w:p w14:paraId="121B8EF1" w14:textId="2C6FADCA" w:rsidR="00CF6FAE" w:rsidRPr="00CF6FAE" w:rsidRDefault="00DB3A5A" w:rsidP="000D79A4">
            <w:pPr>
              <w:spacing w:before="120"/>
              <w:rPr>
                <w:rFonts w:cs="Arial"/>
              </w:rPr>
            </w:pPr>
            <w:r>
              <w:rPr>
                <w:rFonts w:cs="Arial"/>
              </w:rPr>
              <w:t>Bronwyn Rose</w:t>
            </w:r>
            <w:r w:rsidR="00596CCD">
              <w:rPr>
                <w:rFonts w:cs="Arial"/>
              </w:rPr>
              <w:t>*</w:t>
            </w:r>
          </w:p>
        </w:tc>
        <w:tc>
          <w:tcPr>
            <w:tcW w:w="2874" w:type="dxa"/>
            <w:tcBorders>
              <w:left w:val="single" w:sz="4" w:space="0" w:color="9FBCD0"/>
            </w:tcBorders>
            <w:shd w:val="clear" w:color="auto" w:fill="auto"/>
          </w:tcPr>
          <w:p w14:paraId="46477A0F" w14:textId="7ACE4D91" w:rsidR="00CF6FAE" w:rsidRPr="00CF6FAE" w:rsidRDefault="00DB3A5A" w:rsidP="00A0108D">
            <w:pPr>
              <w:spacing w:before="120"/>
              <w:jc w:val="right"/>
            </w:pPr>
            <w:r>
              <w:t>2</w:t>
            </w:r>
          </w:p>
        </w:tc>
        <w:tc>
          <w:tcPr>
            <w:tcW w:w="2977" w:type="dxa"/>
            <w:shd w:val="clear" w:color="auto" w:fill="auto"/>
          </w:tcPr>
          <w:p w14:paraId="3F22685E" w14:textId="6451AD3B" w:rsidR="00CF6FAE" w:rsidRPr="00DB3A5A" w:rsidRDefault="00596CCD" w:rsidP="00A0108D">
            <w:pPr>
              <w:spacing w:before="120"/>
              <w:jc w:val="right"/>
              <w:rPr>
                <w:color w:val="FF0000"/>
                <w:highlight w:val="yellow"/>
              </w:rPr>
            </w:pPr>
            <w:r>
              <w:t>1</w:t>
            </w:r>
          </w:p>
        </w:tc>
      </w:tr>
    </w:tbl>
    <w:p w14:paraId="318BE4D5" w14:textId="39164177" w:rsidR="00AC1F00" w:rsidRPr="00596CCD" w:rsidRDefault="00596CCD" w:rsidP="00596CCD">
      <w:pPr>
        <w:rPr>
          <w:rFonts w:eastAsiaTheme="majorEastAsia"/>
          <w:i/>
          <w:lang w:val="en-US" w:eastAsia="en-AU"/>
        </w:rPr>
      </w:pPr>
      <w:r>
        <w:rPr>
          <w:rFonts w:eastAsiaTheme="majorEastAsia"/>
          <w:lang w:val="en-US" w:eastAsia="en-AU"/>
        </w:rPr>
        <w:t>*</w:t>
      </w:r>
      <w:r>
        <w:rPr>
          <w:rFonts w:eastAsiaTheme="majorEastAsia"/>
          <w:i/>
          <w:lang w:val="en-US" w:eastAsia="en-AU"/>
        </w:rPr>
        <w:t xml:space="preserve">Ms Rose retired from the Committee on 30 January 2018. </w:t>
      </w:r>
    </w:p>
    <w:p w14:paraId="5ED68FDA" w14:textId="77777777" w:rsidR="003356A1" w:rsidRPr="003356A1" w:rsidRDefault="003356A1" w:rsidP="006F296F">
      <w:pPr>
        <w:pStyle w:val="Heading3nonumber"/>
      </w:pPr>
      <w:bookmarkStart w:id="640" w:name="_Toc426617587"/>
      <w:bookmarkStart w:id="641" w:name="_Toc450900815"/>
      <w:bookmarkStart w:id="642" w:name="_Toc525122115"/>
      <w:r w:rsidRPr="00F75DD8">
        <w:t>Costs Committee</w:t>
      </w:r>
      <w:bookmarkEnd w:id="640"/>
      <w:bookmarkEnd w:id="641"/>
      <w:bookmarkEnd w:id="642"/>
    </w:p>
    <w:p w14:paraId="538B4D53" w14:textId="77777777" w:rsidR="00DB3A5A" w:rsidRPr="000B03CE" w:rsidRDefault="00DB3A5A" w:rsidP="00DB3A5A">
      <w:bookmarkStart w:id="643" w:name="_Toc426617588"/>
      <w:bookmarkStart w:id="644" w:name="_Toc450900816"/>
      <w:r w:rsidRPr="000B03CE">
        <w:t>The Costs Committee is empowered under section 271 of the Act to make, amend or revoke a determination fixing maximum costs for legal services and registered agent services provided in WorkCover WA’s Conciliation and Arbitration Services.</w:t>
      </w:r>
    </w:p>
    <w:p w14:paraId="5251ED05" w14:textId="68742208" w:rsidR="00DB3A5A" w:rsidRDefault="00DB3A5A" w:rsidP="00DB3A5A">
      <w:pPr>
        <w:rPr>
          <w:lang w:val="en-GB" w:eastAsia="en-AU"/>
        </w:rPr>
      </w:pPr>
      <w:r>
        <w:rPr>
          <w:lang w:val="en-GB" w:eastAsia="en-AU"/>
        </w:rPr>
        <w:t xml:space="preserve">The </w:t>
      </w:r>
      <w:r w:rsidRPr="000B03CE">
        <w:rPr>
          <w:lang w:val="en-GB" w:eastAsia="en-AU"/>
        </w:rPr>
        <w:t xml:space="preserve">Costs Committee amended the Costs Determination with the </w:t>
      </w:r>
      <w:r w:rsidRPr="000B03CE">
        <w:rPr>
          <w:i/>
          <w:lang w:val="en-GB" w:eastAsia="en-AU"/>
        </w:rPr>
        <w:t>Workers’ Compensation (Legal Practitioners and Registered Agents) Costs Determination 2015</w:t>
      </w:r>
      <w:r w:rsidRPr="000B03CE">
        <w:rPr>
          <w:lang w:val="en-GB" w:eastAsia="en-AU"/>
        </w:rPr>
        <w:t xml:space="preserve"> which came into effect on 1 July 2015. </w:t>
      </w:r>
      <w:r>
        <w:rPr>
          <w:lang w:val="en-GB" w:eastAsia="en-AU"/>
        </w:rPr>
        <w:t xml:space="preserve">There </w:t>
      </w:r>
      <w:r w:rsidRPr="000B03CE">
        <w:rPr>
          <w:lang w:val="en-GB" w:eastAsia="en-AU"/>
        </w:rPr>
        <w:t xml:space="preserve">was no requirement for the Committee to meet </w:t>
      </w:r>
      <w:r>
        <w:rPr>
          <w:lang w:val="en-GB" w:eastAsia="en-AU"/>
        </w:rPr>
        <w:t>in 2017/18.</w:t>
      </w:r>
    </w:p>
    <w:p w14:paraId="652E61F2" w14:textId="2BFEC90F" w:rsidR="003356A1" w:rsidRDefault="003356A1" w:rsidP="00DB3A5A">
      <w:pPr>
        <w:pStyle w:val="Heading3nonumber"/>
      </w:pPr>
      <w:bookmarkStart w:id="645" w:name="_Toc525122116"/>
      <w:r w:rsidRPr="00F75DD8">
        <w:t>Medical Committee</w:t>
      </w:r>
      <w:bookmarkEnd w:id="643"/>
      <w:bookmarkEnd w:id="644"/>
      <w:bookmarkEnd w:id="645"/>
    </w:p>
    <w:p w14:paraId="3E8D2F66" w14:textId="5E6AFD34" w:rsidR="00254F16" w:rsidRPr="001E69D9" w:rsidRDefault="00254F16" w:rsidP="00254F16">
      <w:pPr>
        <w:rPr>
          <w:rFonts w:eastAsiaTheme="minorHAnsi"/>
        </w:rPr>
      </w:pPr>
      <w:bookmarkStart w:id="646" w:name="_Toc426617589"/>
      <w:bookmarkStart w:id="647" w:name="_Toc450900817"/>
      <w:r w:rsidRPr="00254F16">
        <w:rPr>
          <w:rFonts w:cs="Arial"/>
          <w:bCs/>
          <w:lang w:val="en-US"/>
        </w:rPr>
        <w:t xml:space="preserve">At its August 2017 meeting, the WorkCover WA Board resolved to </w:t>
      </w:r>
      <w:r w:rsidRPr="00254F16">
        <w:rPr>
          <w:rFonts w:cs="Arial"/>
          <w:lang w:val="en-US"/>
        </w:rPr>
        <w:t>suspend the operation of the Medical Committee</w:t>
      </w:r>
      <w:r w:rsidRPr="00254F16">
        <w:rPr>
          <w:rFonts w:cs="Arial"/>
          <w:bCs/>
          <w:lang w:val="en-US"/>
        </w:rPr>
        <w:t xml:space="preserve">.  </w:t>
      </w:r>
      <w:r w:rsidRPr="00254F16">
        <w:rPr>
          <w:rFonts w:cs="Arial"/>
          <w:lang w:val="en-US"/>
        </w:rPr>
        <w:t xml:space="preserve">WorkCover WA has commenced a review of the administrative arrangements that underpin the permanent impairment regime and the Agency </w:t>
      </w:r>
      <w:r w:rsidRPr="00254F16">
        <w:rPr>
          <w:rFonts w:cs="Arial"/>
        </w:rPr>
        <w:t>will consult with the AMA (WA) and other relevant stakeholders during the review.</w:t>
      </w:r>
    </w:p>
    <w:p w14:paraId="4827BD34" w14:textId="6F12E9A5" w:rsidR="00C76727" w:rsidRDefault="00C76727" w:rsidP="004730F5">
      <w:pPr>
        <w:pStyle w:val="Heading2nonumber"/>
      </w:pPr>
      <w:bookmarkStart w:id="648" w:name="_Toc525122117"/>
      <w:r w:rsidRPr="00F75DD8">
        <w:t>Industrial Diseases Medical Panel</w:t>
      </w:r>
      <w:bookmarkEnd w:id="646"/>
      <w:bookmarkEnd w:id="647"/>
      <w:bookmarkEnd w:id="648"/>
      <w:r w:rsidRPr="00C76727">
        <w:t xml:space="preserve"> </w:t>
      </w:r>
    </w:p>
    <w:p w14:paraId="14E6C35B" w14:textId="77777777" w:rsidR="008E0199" w:rsidRPr="00584F1F" w:rsidRDefault="008E0199" w:rsidP="004120D9">
      <w:pPr>
        <w:rPr>
          <w:szCs w:val="22"/>
        </w:rPr>
      </w:pPr>
      <w:r w:rsidRPr="00BC0877">
        <w:t xml:space="preserve">Industrial Diseases Medical Panels </w:t>
      </w:r>
      <w:r w:rsidRPr="00C63446">
        <w:t xml:space="preserve">are convened to determine prescribed questions in relation to asbestos related diseases. Claims for </w:t>
      </w:r>
      <w:r>
        <w:t xml:space="preserve">industrial diseases </w:t>
      </w:r>
      <w:r w:rsidRPr="00C63446">
        <w:t xml:space="preserve">compensation in relation to pneumoconiosis, mesothelioma, lung cancer and diffuse pleural fibrosis are referred to the </w:t>
      </w:r>
      <w:r>
        <w:t>panels</w:t>
      </w:r>
      <w:r w:rsidRPr="00C63446">
        <w:t xml:space="preserve"> </w:t>
      </w:r>
      <w:r w:rsidRPr="00584F1F">
        <w:rPr>
          <w:szCs w:val="22"/>
        </w:rPr>
        <w:t>to determine:</w:t>
      </w:r>
    </w:p>
    <w:p w14:paraId="73E1456F" w14:textId="77777777" w:rsidR="008E0199" w:rsidRPr="00D07477" w:rsidRDefault="008E0199" w:rsidP="00D07477">
      <w:pPr>
        <w:pStyle w:val="BulletListLevel1"/>
        <w:rPr>
          <w:rFonts w:eastAsiaTheme="minorHAnsi"/>
        </w:rPr>
      </w:pPr>
      <w:r w:rsidRPr="00D07477">
        <w:rPr>
          <w:rFonts w:eastAsiaTheme="minorHAnsi"/>
        </w:rPr>
        <w:t>whether the worker is or was suffering from the prescribed disease(s)</w:t>
      </w:r>
    </w:p>
    <w:p w14:paraId="2431A930" w14:textId="77777777" w:rsidR="008E0199" w:rsidRPr="00D07477" w:rsidRDefault="008E0199" w:rsidP="00D07477">
      <w:pPr>
        <w:pStyle w:val="BulletListLevel1"/>
        <w:rPr>
          <w:rFonts w:eastAsiaTheme="minorHAnsi"/>
        </w:rPr>
      </w:pPr>
      <w:r w:rsidRPr="00D07477">
        <w:rPr>
          <w:rFonts w:eastAsiaTheme="minorHAnsi"/>
        </w:rPr>
        <w:t>the worker’s degree of permanent whole of person impairment.</w:t>
      </w:r>
    </w:p>
    <w:p w14:paraId="203465A4" w14:textId="4625B619" w:rsidR="008E0199" w:rsidRPr="00C63446" w:rsidRDefault="008E0199" w:rsidP="004120D9">
      <w:r w:rsidRPr="00584F1F">
        <w:rPr>
          <w:szCs w:val="22"/>
        </w:rPr>
        <w:t xml:space="preserve">The Industrial Diseases Medical Panel is comprised of physicians who specialise in diseases of the chest or occupational diseases. The panel operates independently </w:t>
      </w:r>
      <w:r w:rsidR="00D92FA2">
        <w:rPr>
          <w:szCs w:val="22"/>
        </w:rPr>
        <w:t>and</w:t>
      </w:r>
      <w:r w:rsidRPr="00C63446">
        <w:t xml:space="preserve"> WorkCover WA </w:t>
      </w:r>
      <w:r w:rsidR="00D92FA2">
        <w:t>provides</w:t>
      </w:r>
      <w:r w:rsidRPr="00C63446">
        <w:t xml:space="preserve"> administrative support and funding.</w:t>
      </w:r>
    </w:p>
    <w:p w14:paraId="152BF7D5" w14:textId="2FC7AB3C" w:rsidR="008E0199" w:rsidRPr="008F31C2" w:rsidRDefault="008E0199" w:rsidP="008E0199">
      <w:pPr>
        <w:rPr>
          <w:color w:val="FF0000"/>
        </w:rPr>
      </w:pPr>
      <w:r w:rsidRPr="00C63446">
        <w:t>During t</w:t>
      </w:r>
      <w:r w:rsidRPr="00BC0877">
        <w:t xml:space="preserve">he </w:t>
      </w:r>
      <w:r w:rsidRPr="001C536C">
        <w:t xml:space="preserve">financial year the panel </w:t>
      </w:r>
      <w:r w:rsidR="00D92FA2">
        <w:t xml:space="preserve">was </w:t>
      </w:r>
      <w:r w:rsidRPr="001C536C">
        <w:t xml:space="preserve">convened on </w:t>
      </w:r>
      <w:r w:rsidR="001C536C" w:rsidRPr="001C536C">
        <w:t>28</w:t>
      </w:r>
      <w:r w:rsidRPr="001C536C">
        <w:t xml:space="preserve"> occasions and made </w:t>
      </w:r>
      <w:r w:rsidR="001C536C" w:rsidRPr="001C536C">
        <w:t>50</w:t>
      </w:r>
      <w:r w:rsidRPr="001C536C">
        <w:t xml:space="preserve"> determinations.</w:t>
      </w:r>
    </w:p>
    <w:tbl>
      <w:tblPr>
        <w:tblStyle w:val="TableGrid"/>
        <w:tblW w:w="0" w:type="auto"/>
        <w:tblBorders>
          <w:top w:val="single" w:sz="4" w:space="0" w:color="BAD0CD" w:themeColor="accent5" w:themeShade="E6"/>
          <w:left w:val="single" w:sz="4" w:space="0" w:color="BAD0CD" w:themeColor="accent5" w:themeShade="E6"/>
          <w:bottom w:val="single" w:sz="4" w:space="0" w:color="BAD0CD" w:themeColor="accent5" w:themeShade="E6"/>
          <w:right w:val="single" w:sz="4" w:space="0" w:color="BAD0CD" w:themeColor="accent5" w:themeShade="E6"/>
          <w:insideH w:val="single" w:sz="4" w:space="0" w:color="BAD0CD" w:themeColor="accent5" w:themeShade="E6"/>
          <w:insideV w:val="single" w:sz="4" w:space="0" w:color="BAD0CD" w:themeColor="accent5" w:themeShade="E6"/>
        </w:tblBorders>
        <w:tblLook w:val="04A0" w:firstRow="1" w:lastRow="0" w:firstColumn="1" w:lastColumn="0" w:noHBand="0" w:noVBand="1"/>
        <w:tblCaption w:val=" Table 43: Industrial Diseases Medical Panel Members"/>
        <w:tblDescription w:val="This table lists the Industrial Diseases Medical Panel Chairman and Members for 2017/18."/>
      </w:tblPr>
      <w:tblGrid>
        <w:gridCol w:w="4492"/>
        <w:gridCol w:w="4524"/>
      </w:tblGrid>
      <w:tr w:rsidR="00F6104A" w:rsidRPr="004640D9" w14:paraId="3577AB0A" w14:textId="77777777" w:rsidTr="008121F9">
        <w:trPr>
          <w:tblHeader/>
        </w:trPr>
        <w:tc>
          <w:tcPr>
            <w:tcW w:w="9016" w:type="dxa"/>
            <w:gridSpan w:val="2"/>
            <w:tcBorders>
              <w:bottom w:val="single" w:sz="4" w:space="0" w:color="9FBCD0"/>
              <w:right w:val="single" w:sz="4" w:space="0" w:color="9FBCD0"/>
            </w:tcBorders>
            <w:shd w:val="clear" w:color="auto" w:fill="003F5F"/>
          </w:tcPr>
          <w:p w14:paraId="2A7068F8" w14:textId="2604B527" w:rsidR="00F6104A" w:rsidRPr="00D31603" w:rsidRDefault="009A4532" w:rsidP="008F1034">
            <w:pPr>
              <w:rPr>
                <w:rStyle w:val="Strong"/>
                <w:color w:val="FFFFFF" w:themeColor="background1"/>
              </w:rPr>
            </w:pPr>
            <w:r>
              <w:br w:type="page"/>
            </w:r>
            <w:r w:rsidR="00F6104A" w:rsidRPr="008F1034">
              <w:rPr>
                <w:rStyle w:val="Strong"/>
                <w:color w:val="FFFFFF" w:themeColor="background1"/>
              </w:rPr>
              <w:t xml:space="preserve">Table </w:t>
            </w:r>
            <w:r w:rsidR="00E52EA5" w:rsidRPr="008F1034">
              <w:rPr>
                <w:rStyle w:val="Strong"/>
                <w:color w:val="FFFFFF" w:themeColor="background1"/>
              </w:rPr>
              <w:t>4</w:t>
            </w:r>
            <w:r w:rsidR="008F1034" w:rsidRPr="008F1034">
              <w:rPr>
                <w:rStyle w:val="Strong"/>
                <w:color w:val="FFFFFF" w:themeColor="background1"/>
              </w:rPr>
              <w:t>3</w:t>
            </w:r>
            <w:r w:rsidR="00F6104A" w:rsidRPr="008F1034">
              <w:rPr>
                <w:rStyle w:val="Strong"/>
                <w:color w:val="FFFFFF" w:themeColor="background1"/>
              </w:rPr>
              <w:t xml:space="preserve">: </w:t>
            </w:r>
            <w:r w:rsidR="00F6104A" w:rsidRPr="008F1034">
              <w:rPr>
                <w:rStyle w:val="Strong"/>
                <w:color w:val="FFFFFF" w:themeColor="background1"/>
                <w:bdr w:val="single" w:sz="4" w:space="0" w:color="2D4541" w:themeColor="accent2"/>
              </w:rPr>
              <w:t xml:space="preserve">Industrial </w:t>
            </w:r>
            <w:r w:rsidR="00F6104A" w:rsidRPr="00D07477">
              <w:rPr>
                <w:rStyle w:val="Strong"/>
                <w:color w:val="FFFFFF" w:themeColor="background1"/>
                <w:bdr w:val="single" w:sz="4" w:space="0" w:color="2D4541" w:themeColor="accent2"/>
              </w:rPr>
              <w:t>Diseases Medical Panel Members</w:t>
            </w:r>
          </w:p>
        </w:tc>
      </w:tr>
      <w:tr w:rsidR="00EB2E7C" w:rsidRPr="004640D9" w14:paraId="1AF66642" w14:textId="77777777" w:rsidTr="008F1034">
        <w:tc>
          <w:tcPr>
            <w:tcW w:w="4492" w:type="dxa"/>
            <w:tcBorders>
              <w:top w:val="single" w:sz="4" w:space="0" w:color="9FBCD0"/>
              <w:left w:val="single" w:sz="4" w:space="0" w:color="9FBCD0"/>
              <w:bottom w:val="single" w:sz="4" w:space="0" w:color="9FBCD0"/>
              <w:right w:val="single" w:sz="4" w:space="0" w:color="9FBCD0"/>
            </w:tcBorders>
            <w:shd w:val="clear" w:color="auto" w:fill="CEDCE8"/>
          </w:tcPr>
          <w:p w14:paraId="4AE97A45" w14:textId="70D42C34" w:rsidR="00EB2E7C" w:rsidRPr="00A66B9B" w:rsidRDefault="00EB2E7C" w:rsidP="00A66B9B">
            <w:pPr>
              <w:rPr>
                <w:rStyle w:val="Strong"/>
              </w:rPr>
            </w:pPr>
            <w:r w:rsidRPr="00A66B9B">
              <w:rPr>
                <w:rStyle w:val="Strong"/>
              </w:rPr>
              <w:t>201</w:t>
            </w:r>
            <w:r w:rsidR="00AD67E8">
              <w:rPr>
                <w:rStyle w:val="Strong"/>
              </w:rPr>
              <w:t>7/18</w:t>
            </w:r>
            <w:r w:rsidRPr="00A66B9B">
              <w:rPr>
                <w:rStyle w:val="Strong"/>
              </w:rPr>
              <w:t xml:space="preserve"> Industrial Diseases Medical Panel Chairman (Rotating)</w:t>
            </w:r>
          </w:p>
        </w:tc>
        <w:tc>
          <w:tcPr>
            <w:tcW w:w="4524" w:type="dxa"/>
            <w:tcBorders>
              <w:top w:val="single" w:sz="4" w:space="0" w:color="9FBCD0"/>
              <w:left w:val="single" w:sz="4" w:space="0" w:color="9FBCD0"/>
              <w:bottom w:val="single" w:sz="4" w:space="0" w:color="9FBCD0"/>
              <w:right w:val="single" w:sz="4" w:space="0" w:color="9FBCD0"/>
            </w:tcBorders>
            <w:shd w:val="clear" w:color="auto" w:fill="CEDCE8"/>
          </w:tcPr>
          <w:p w14:paraId="7A048886" w14:textId="77777777" w:rsidR="00EB2E7C" w:rsidRPr="00A66B9B" w:rsidRDefault="00EB2E7C" w:rsidP="00A0489E">
            <w:pPr>
              <w:rPr>
                <w:rStyle w:val="Strong"/>
              </w:rPr>
            </w:pPr>
            <w:r w:rsidRPr="00A66B9B">
              <w:rPr>
                <w:rStyle w:val="Strong"/>
              </w:rPr>
              <w:t>Members</w:t>
            </w:r>
          </w:p>
        </w:tc>
      </w:tr>
      <w:tr w:rsidR="00493621" w:rsidRPr="004640D9" w14:paraId="7F1408AA" w14:textId="77777777" w:rsidTr="008121F9">
        <w:tc>
          <w:tcPr>
            <w:tcW w:w="4492" w:type="dxa"/>
            <w:tcBorders>
              <w:top w:val="single" w:sz="4" w:space="0" w:color="9FBCD0"/>
              <w:left w:val="single" w:sz="4" w:space="0" w:color="9FBCD0"/>
              <w:bottom w:val="single" w:sz="4" w:space="0" w:color="9FBCD0"/>
              <w:right w:val="single" w:sz="4" w:space="0" w:color="9FBCD0"/>
            </w:tcBorders>
          </w:tcPr>
          <w:p w14:paraId="79BDA2E7" w14:textId="6491E855" w:rsidR="00493621" w:rsidRPr="001C536C" w:rsidRDefault="001C536C" w:rsidP="00493621">
            <w:pPr>
              <w:spacing w:before="120"/>
              <w:rPr>
                <w:rFonts w:cs="Arial"/>
              </w:rPr>
            </w:pPr>
            <w:r w:rsidRPr="001C536C">
              <w:rPr>
                <w:rFonts w:cs="Arial"/>
              </w:rPr>
              <w:t>Prof E Gabbay</w:t>
            </w:r>
          </w:p>
        </w:tc>
        <w:tc>
          <w:tcPr>
            <w:tcW w:w="4524" w:type="dxa"/>
            <w:tcBorders>
              <w:top w:val="single" w:sz="4" w:space="0" w:color="9FBCD0"/>
              <w:left w:val="single" w:sz="4" w:space="0" w:color="9FBCD0"/>
              <w:bottom w:val="single" w:sz="4" w:space="0" w:color="9FBCD0"/>
              <w:right w:val="single" w:sz="4" w:space="0" w:color="9FBCD0"/>
            </w:tcBorders>
          </w:tcPr>
          <w:p w14:paraId="7B1F6935" w14:textId="37FD2115" w:rsidR="00493621" w:rsidRPr="001C536C" w:rsidRDefault="001C536C" w:rsidP="00493621">
            <w:pPr>
              <w:spacing w:before="120"/>
              <w:rPr>
                <w:rFonts w:cs="Arial"/>
              </w:rPr>
            </w:pPr>
            <w:r w:rsidRPr="001C536C">
              <w:rPr>
                <w:rFonts w:cs="Arial"/>
              </w:rPr>
              <w:t>Dr D Bucens</w:t>
            </w:r>
          </w:p>
        </w:tc>
      </w:tr>
      <w:tr w:rsidR="00493621" w:rsidRPr="004640D9" w14:paraId="10FBB857" w14:textId="77777777" w:rsidTr="008121F9">
        <w:tc>
          <w:tcPr>
            <w:tcW w:w="4492" w:type="dxa"/>
            <w:tcBorders>
              <w:top w:val="single" w:sz="4" w:space="0" w:color="9FBCD0"/>
              <w:left w:val="single" w:sz="4" w:space="0" w:color="9FBCD0"/>
              <w:bottom w:val="single" w:sz="4" w:space="0" w:color="9FBCD0"/>
              <w:right w:val="single" w:sz="4" w:space="0" w:color="9FBCD0"/>
            </w:tcBorders>
          </w:tcPr>
          <w:p w14:paraId="3E9D700C" w14:textId="7F8C464A" w:rsidR="00493621" w:rsidRPr="001C536C" w:rsidRDefault="001C536C" w:rsidP="00493621">
            <w:pPr>
              <w:spacing w:before="120"/>
              <w:rPr>
                <w:rFonts w:cs="Arial"/>
              </w:rPr>
            </w:pPr>
            <w:r w:rsidRPr="001C536C">
              <w:rPr>
                <w:rFonts w:cs="Arial"/>
              </w:rPr>
              <w:t>Dr M K Tandon</w:t>
            </w:r>
          </w:p>
        </w:tc>
        <w:tc>
          <w:tcPr>
            <w:tcW w:w="4524" w:type="dxa"/>
            <w:tcBorders>
              <w:top w:val="single" w:sz="4" w:space="0" w:color="9FBCD0"/>
              <w:left w:val="single" w:sz="4" w:space="0" w:color="9FBCD0"/>
              <w:bottom w:val="single" w:sz="4" w:space="0" w:color="9FBCD0"/>
              <w:right w:val="single" w:sz="4" w:space="0" w:color="9FBCD0"/>
            </w:tcBorders>
          </w:tcPr>
          <w:p w14:paraId="38E053CD" w14:textId="36CC8D0E" w:rsidR="00493621" w:rsidRPr="001C536C" w:rsidRDefault="001C536C" w:rsidP="00493621">
            <w:pPr>
              <w:spacing w:before="120"/>
              <w:rPr>
                <w:rFonts w:cs="Arial"/>
              </w:rPr>
            </w:pPr>
            <w:r w:rsidRPr="001C536C">
              <w:rPr>
                <w:rFonts w:cs="Arial"/>
              </w:rPr>
              <w:t>Dr P Psaila-Savona</w:t>
            </w:r>
          </w:p>
        </w:tc>
      </w:tr>
      <w:tr w:rsidR="001C536C" w:rsidRPr="004640D9" w14:paraId="45574123" w14:textId="77777777" w:rsidTr="008121F9">
        <w:tc>
          <w:tcPr>
            <w:tcW w:w="4492" w:type="dxa"/>
            <w:tcBorders>
              <w:top w:val="single" w:sz="4" w:space="0" w:color="9FBCD0"/>
              <w:left w:val="single" w:sz="4" w:space="0" w:color="9FBCD0"/>
              <w:bottom w:val="single" w:sz="4" w:space="0" w:color="9FBCD0"/>
              <w:right w:val="single" w:sz="4" w:space="0" w:color="9FBCD0"/>
            </w:tcBorders>
          </w:tcPr>
          <w:p w14:paraId="07175216" w14:textId="7E4E8ADB" w:rsidR="001C536C" w:rsidRPr="001C536C" w:rsidRDefault="001C536C" w:rsidP="00493621">
            <w:pPr>
              <w:spacing w:before="120"/>
              <w:rPr>
                <w:rFonts w:cs="Arial"/>
              </w:rPr>
            </w:pPr>
            <w:r w:rsidRPr="001C536C">
              <w:rPr>
                <w:rFonts w:cs="Arial"/>
              </w:rPr>
              <w:t>Dr M Musk</w:t>
            </w:r>
          </w:p>
        </w:tc>
        <w:tc>
          <w:tcPr>
            <w:tcW w:w="4524" w:type="dxa"/>
            <w:tcBorders>
              <w:top w:val="single" w:sz="4" w:space="0" w:color="9FBCD0"/>
              <w:left w:val="single" w:sz="4" w:space="0" w:color="9FBCD0"/>
              <w:bottom w:val="single" w:sz="4" w:space="0" w:color="9FBCD0"/>
              <w:right w:val="single" w:sz="4" w:space="0" w:color="9FBCD0"/>
            </w:tcBorders>
          </w:tcPr>
          <w:p w14:paraId="24B4C0DA" w14:textId="2631E334" w:rsidR="001C536C" w:rsidRPr="001C536C" w:rsidRDefault="001C536C" w:rsidP="00493621">
            <w:pPr>
              <w:spacing w:before="120"/>
              <w:rPr>
                <w:rFonts w:cs="Arial"/>
              </w:rPr>
            </w:pPr>
            <w:r w:rsidRPr="001C536C">
              <w:rPr>
                <w:rFonts w:cs="Arial"/>
              </w:rPr>
              <w:t>Dr J Wrobel</w:t>
            </w:r>
          </w:p>
        </w:tc>
      </w:tr>
      <w:tr w:rsidR="001C536C" w:rsidRPr="004640D9" w14:paraId="2721C0F3" w14:textId="77777777" w:rsidTr="008121F9">
        <w:tc>
          <w:tcPr>
            <w:tcW w:w="4492" w:type="dxa"/>
            <w:tcBorders>
              <w:top w:val="single" w:sz="4" w:space="0" w:color="9FBCD0"/>
              <w:left w:val="single" w:sz="4" w:space="0" w:color="9FBCD0"/>
              <w:bottom w:val="single" w:sz="4" w:space="0" w:color="D4E2E0" w:themeColor="accent5"/>
              <w:right w:val="single" w:sz="4" w:space="0" w:color="9FBCD0"/>
            </w:tcBorders>
          </w:tcPr>
          <w:p w14:paraId="2CFBED61" w14:textId="6FD9696B" w:rsidR="001C536C" w:rsidRPr="001C536C" w:rsidRDefault="001C536C" w:rsidP="00493621">
            <w:pPr>
              <w:spacing w:before="120"/>
              <w:rPr>
                <w:rFonts w:cs="Arial"/>
              </w:rPr>
            </w:pPr>
            <w:r w:rsidRPr="001C536C">
              <w:rPr>
                <w:rFonts w:cs="Arial"/>
              </w:rPr>
              <w:t>Dr J Sim</w:t>
            </w:r>
          </w:p>
        </w:tc>
        <w:tc>
          <w:tcPr>
            <w:tcW w:w="4524" w:type="dxa"/>
            <w:tcBorders>
              <w:top w:val="single" w:sz="4" w:space="0" w:color="9FBCD0"/>
              <w:left w:val="single" w:sz="4" w:space="0" w:color="9FBCD0"/>
              <w:bottom w:val="single" w:sz="4" w:space="0" w:color="D4E2E0" w:themeColor="accent5"/>
              <w:right w:val="single" w:sz="4" w:space="0" w:color="9FBCD0"/>
            </w:tcBorders>
          </w:tcPr>
          <w:p w14:paraId="57CE79C1" w14:textId="02AE216B" w:rsidR="001C536C" w:rsidRPr="001C536C" w:rsidRDefault="001C536C" w:rsidP="00493621">
            <w:pPr>
              <w:spacing w:before="120"/>
              <w:rPr>
                <w:rFonts w:cs="Arial"/>
              </w:rPr>
            </w:pPr>
            <w:r w:rsidRPr="001C536C">
              <w:rPr>
                <w:rFonts w:cs="Arial"/>
              </w:rPr>
              <w:t>Dr M Prichard</w:t>
            </w:r>
          </w:p>
        </w:tc>
      </w:tr>
      <w:tr w:rsidR="001C536C" w:rsidRPr="004640D9" w14:paraId="4117C940" w14:textId="77777777" w:rsidTr="008121F9">
        <w:tc>
          <w:tcPr>
            <w:tcW w:w="4492" w:type="dxa"/>
            <w:tcBorders>
              <w:top w:val="single" w:sz="4" w:space="0" w:color="9FBCD0"/>
              <w:left w:val="single" w:sz="4" w:space="0" w:color="9FBCD0"/>
              <w:bottom w:val="single" w:sz="4" w:space="0" w:color="9FBCD0"/>
              <w:right w:val="single" w:sz="4" w:space="0" w:color="9FBCD0"/>
            </w:tcBorders>
          </w:tcPr>
          <w:p w14:paraId="5492851B" w14:textId="2D9F0BE5" w:rsidR="001C536C" w:rsidRPr="001C536C" w:rsidRDefault="001C536C" w:rsidP="00493621">
            <w:pPr>
              <w:spacing w:before="120"/>
              <w:rPr>
                <w:rFonts w:cs="Arial"/>
              </w:rPr>
            </w:pPr>
            <w:r w:rsidRPr="001C536C">
              <w:rPr>
                <w:rFonts w:cs="Arial"/>
              </w:rPr>
              <w:t>Dr K C Wan</w:t>
            </w:r>
          </w:p>
        </w:tc>
        <w:tc>
          <w:tcPr>
            <w:tcW w:w="4524" w:type="dxa"/>
            <w:tcBorders>
              <w:top w:val="single" w:sz="4" w:space="0" w:color="9FBCD0"/>
              <w:left w:val="single" w:sz="4" w:space="0" w:color="9FBCD0"/>
              <w:bottom w:val="single" w:sz="4" w:space="0" w:color="9FBCD0"/>
              <w:right w:val="single" w:sz="4" w:space="0" w:color="9FBCD0"/>
            </w:tcBorders>
          </w:tcPr>
          <w:p w14:paraId="14093A8C" w14:textId="4998265C" w:rsidR="001C536C" w:rsidRPr="001C536C" w:rsidRDefault="001C536C" w:rsidP="00493621">
            <w:pPr>
              <w:spacing w:before="120"/>
              <w:rPr>
                <w:rFonts w:cs="Arial"/>
              </w:rPr>
            </w:pPr>
            <w:r w:rsidRPr="001C536C">
              <w:rPr>
                <w:rFonts w:cs="Arial"/>
              </w:rPr>
              <w:t>Prof A W Musk</w:t>
            </w:r>
          </w:p>
        </w:tc>
      </w:tr>
    </w:tbl>
    <w:p w14:paraId="552D91CE" w14:textId="0931BF0F" w:rsidR="00641C8B" w:rsidRDefault="00641C8B">
      <w:pPr>
        <w:keepLines w:val="0"/>
        <w:spacing w:after="0" w:line="240" w:lineRule="auto"/>
        <w:rPr>
          <w:rStyle w:val="Emphasis"/>
          <w:sz w:val="22"/>
        </w:rPr>
      </w:pPr>
    </w:p>
    <w:tbl>
      <w:tblPr>
        <w:tblStyle w:val="TableGrid"/>
        <w:tblW w:w="8930" w:type="dxa"/>
        <w:tblInd w:w="-34"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44: Number of diseases applications "/>
        <w:tblDescription w:val="This table outlines the number of diseases applications made in 2017/18 to the Industrial Diseases Medical Panel. "/>
      </w:tblPr>
      <w:tblGrid>
        <w:gridCol w:w="2312"/>
        <w:gridCol w:w="1232"/>
        <w:gridCol w:w="1276"/>
        <w:gridCol w:w="1276"/>
        <w:gridCol w:w="1417"/>
        <w:gridCol w:w="1417"/>
      </w:tblGrid>
      <w:tr w:rsidR="00FC1B94" w:rsidRPr="00494D5C" w14:paraId="779E7912" w14:textId="77777777" w:rsidTr="008F1034">
        <w:trPr>
          <w:tblHeader/>
        </w:trPr>
        <w:tc>
          <w:tcPr>
            <w:tcW w:w="8930" w:type="dxa"/>
            <w:gridSpan w:val="6"/>
            <w:shd w:val="clear" w:color="auto" w:fill="003F5F"/>
          </w:tcPr>
          <w:p w14:paraId="4D3EA721" w14:textId="11BCD380" w:rsidR="00FC1B94" w:rsidRDefault="00FC1B94" w:rsidP="008F1034">
            <w:pPr>
              <w:pStyle w:val="ListParagraph"/>
              <w:spacing w:after="240" w:line="271" w:lineRule="auto"/>
              <w:ind w:left="0"/>
            </w:pPr>
            <w:r>
              <w:br w:type="page"/>
            </w:r>
            <w:r w:rsidRPr="008F1034">
              <w:rPr>
                <w:rStyle w:val="Strong"/>
                <w:color w:val="FFFFFF" w:themeColor="background1"/>
              </w:rPr>
              <w:t xml:space="preserve">Table </w:t>
            </w:r>
            <w:r w:rsidR="00E52EA5" w:rsidRPr="008F1034">
              <w:rPr>
                <w:rStyle w:val="Strong"/>
                <w:color w:val="FFFFFF" w:themeColor="background1"/>
              </w:rPr>
              <w:t>4</w:t>
            </w:r>
            <w:r w:rsidR="008F1034" w:rsidRPr="008F1034">
              <w:rPr>
                <w:rStyle w:val="Strong"/>
                <w:color w:val="FFFFFF" w:themeColor="background1"/>
              </w:rPr>
              <w:t>4</w:t>
            </w:r>
            <w:r w:rsidRPr="008F1034">
              <w:rPr>
                <w:rStyle w:val="Strong"/>
                <w:color w:val="FFFFFF" w:themeColor="background1"/>
              </w:rPr>
              <w:t>:</w:t>
            </w:r>
            <w:r w:rsidRPr="008F1034">
              <w:rPr>
                <w:rStyle w:val="Strong"/>
                <w:color w:val="FFFFFF" w:themeColor="background1"/>
                <w:bdr w:val="single" w:sz="4" w:space="0" w:color="2D4541" w:themeColor="accent2"/>
              </w:rPr>
              <w:t xml:space="preserve"> </w:t>
            </w:r>
            <w:r w:rsidRPr="00203164">
              <w:rPr>
                <w:rStyle w:val="Strong"/>
                <w:color w:val="FFFFFF" w:themeColor="background2"/>
                <w:bdr w:val="single" w:sz="4" w:space="0" w:color="2D4541" w:themeColor="accent2"/>
              </w:rPr>
              <w:t xml:space="preserve">Number of </w:t>
            </w:r>
            <w:r>
              <w:rPr>
                <w:rStyle w:val="Strong"/>
                <w:color w:val="FFFFFF" w:themeColor="background2"/>
                <w:bdr w:val="single" w:sz="4" w:space="0" w:color="2D4541" w:themeColor="accent2"/>
              </w:rPr>
              <w:t>Industrial Diseases Medical Panel applications</w:t>
            </w:r>
            <w:r w:rsidRPr="00203164">
              <w:rPr>
                <w:rStyle w:val="Strong"/>
                <w:color w:val="FFFFFF" w:themeColor="background2"/>
              </w:rPr>
              <w:t xml:space="preserve"> </w:t>
            </w:r>
          </w:p>
        </w:tc>
      </w:tr>
      <w:tr w:rsidR="00EE09CF" w:rsidRPr="00494D5C" w14:paraId="410FFCA3" w14:textId="77777777" w:rsidTr="008F1034">
        <w:tc>
          <w:tcPr>
            <w:tcW w:w="2312" w:type="dxa"/>
            <w:shd w:val="clear" w:color="auto" w:fill="CEDCE8"/>
          </w:tcPr>
          <w:p w14:paraId="1597B0D0" w14:textId="676CD850" w:rsidR="00EE09CF" w:rsidRPr="0044251E" w:rsidRDefault="00FC1B94" w:rsidP="00C921DF">
            <w:pPr>
              <w:rPr>
                <w:rStyle w:val="Strong"/>
              </w:rPr>
            </w:pPr>
            <w:r>
              <w:rPr>
                <w:rStyle w:val="Strong"/>
              </w:rPr>
              <w:t>Applications</w:t>
            </w:r>
          </w:p>
        </w:tc>
        <w:tc>
          <w:tcPr>
            <w:tcW w:w="1232" w:type="dxa"/>
            <w:shd w:val="clear" w:color="auto" w:fill="CEDCE8"/>
          </w:tcPr>
          <w:p w14:paraId="7766C60B" w14:textId="77777777" w:rsidR="00EE09CF" w:rsidRPr="00CD5D43" w:rsidRDefault="00EE09CF" w:rsidP="00C921DF">
            <w:pPr>
              <w:jc w:val="right"/>
              <w:rPr>
                <w:rStyle w:val="Strong"/>
              </w:rPr>
            </w:pPr>
            <w:r w:rsidRPr="00CD5D43">
              <w:rPr>
                <w:rStyle w:val="Strong"/>
              </w:rPr>
              <w:t>201</w:t>
            </w:r>
            <w:r>
              <w:rPr>
                <w:rStyle w:val="Strong"/>
              </w:rPr>
              <w:t>3/14</w:t>
            </w:r>
          </w:p>
        </w:tc>
        <w:tc>
          <w:tcPr>
            <w:tcW w:w="1276" w:type="dxa"/>
            <w:shd w:val="clear" w:color="auto" w:fill="CEDCE8"/>
          </w:tcPr>
          <w:p w14:paraId="3CC893D3" w14:textId="77777777" w:rsidR="00EE09CF" w:rsidRPr="00CD5D43" w:rsidRDefault="00EE09CF" w:rsidP="00C921DF">
            <w:pPr>
              <w:jc w:val="right"/>
              <w:rPr>
                <w:rStyle w:val="Strong"/>
              </w:rPr>
            </w:pPr>
            <w:r w:rsidRPr="00CD5D43">
              <w:rPr>
                <w:rStyle w:val="Strong"/>
              </w:rPr>
              <w:t>2</w:t>
            </w:r>
            <w:r>
              <w:rPr>
                <w:rStyle w:val="Strong"/>
              </w:rPr>
              <w:t>014/15</w:t>
            </w:r>
          </w:p>
        </w:tc>
        <w:tc>
          <w:tcPr>
            <w:tcW w:w="1276" w:type="dxa"/>
            <w:shd w:val="clear" w:color="auto" w:fill="CEDCE8"/>
          </w:tcPr>
          <w:p w14:paraId="75DBDAFE" w14:textId="77777777" w:rsidR="00EE09CF" w:rsidRPr="00CD5D43" w:rsidRDefault="00EE09CF" w:rsidP="00C921DF">
            <w:pPr>
              <w:jc w:val="right"/>
              <w:rPr>
                <w:rStyle w:val="Strong"/>
              </w:rPr>
            </w:pPr>
            <w:r>
              <w:rPr>
                <w:rStyle w:val="Strong"/>
              </w:rPr>
              <w:t>2015/16</w:t>
            </w:r>
          </w:p>
        </w:tc>
        <w:tc>
          <w:tcPr>
            <w:tcW w:w="1417" w:type="dxa"/>
            <w:shd w:val="clear" w:color="auto" w:fill="CEDCE8"/>
          </w:tcPr>
          <w:p w14:paraId="0E6D3E35" w14:textId="77777777" w:rsidR="00EE09CF" w:rsidRPr="00CD5D43" w:rsidRDefault="00EE09CF" w:rsidP="00C921DF">
            <w:pPr>
              <w:jc w:val="right"/>
              <w:rPr>
                <w:rStyle w:val="Strong"/>
              </w:rPr>
            </w:pPr>
            <w:r>
              <w:rPr>
                <w:rStyle w:val="Strong"/>
              </w:rPr>
              <w:t>2016/17</w:t>
            </w:r>
          </w:p>
        </w:tc>
        <w:tc>
          <w:tcPr>
            <w:tcW w:w="1417" w:type="dxa"/>
            <w:shd w:val="clear" w:color="auto" w:fill="CEDCE8"/>
          </w:tcPr>
          <w:p w14:paraId="0FF83B84" w14:textId="77777777" w:rsidR="00EE09CF" w:rsidRPr="00793391" w:rsidRDefault="00EE09CF" w:rsidP="00C921DF">
            <w:pPr>
              <w:jc w:val="right"/>
              <w:rPr>
                <w:rStyle w:val="Strong"/>
              </w:rPr>
            </w:pPr>
            <w:r>
              <w:rPr>
                <w:rStyle w:val="Strong"/>
              </w:rPr>
              <w:t>2017/18</w:t>
            </w:r>
          </w:p>
        </w:tc>
      </w:tr>
      <w:tr w:rsidR="00EE09CF" w:rsidRPr="00494D5C" w14:paraId="2E777EBF" w14:textId="77777777" w:rsidTr="008F1034">
        <w:tc>
          <w:tcPr>
            <w:tcW w:w="2312" w:type="dxa"/>
            <w:shd w:val="clear" w:color="auto" w:fill="CEDCE8"/>
          </w:tcPr>
          <w:p w14:paraId="1D5BD036" w14:textId="065CCFE0" w:rsidR="00EE09CF" w:rsidRPr="00F12697" w:rsidRDefault="00FC1B94" w:rsidP="00C921DF">
            <w:r>
              <w:t>New</w:t>
            </w:r>
          </w:p>
        </w:tc>
        <w:tc>
          <w:tcPr>
            <w:tcW w:w="1232" w:type="dxa"/>
          </w:tcPr>
          <w:p w14:paraId="664F56AC" w14:textId="5B7D37F6" w:rsidR="00EE09CF" w:rsidRPr="00203164" w:rsidRDefault="00FC1B94" w:rsidP="00C921DF">
            <w:pPr>
              <w:jc w:val="right"/>
            </w:pPr>
            <w:r>
              <w:t>42</w:t>
            </w:r>
          </w:p>
        </w:tc>
        <w:tc>
          <w:tcPr>
            <w:tcW w:w="1276" w:type="dxa"/>
          </w:tcPr>
          <w:p w14:paraId="0CBCE106" w14:textId="57272759" w:rsidR="00EE09CF" w:rsidRPr="00203164" w:rsidRDefault="00FC1B94" w:rsidP="00C921DF">
            <w:pPr>
              <w:jc w:val="right"/>
            </w:pPr>
            <w:r>
              <w:t>49</w:t>
            </w:r>
          </w:p>
        </w:tc>
        <w:tc>
          <w:tcPr>
            <w:tcW w:w="1276" w:type="dxa"/>
          </w:tcPr>
          <w:p w14:paraId="4511632B" w14:textId="1F702697" w:rsidR="00EE09CF" w:rsidRPr="00203164" w:rsidRDefault="00FC1B94" w:rsidP="00C921DF">
            <w:pPr>
              <w:jc w:val="right"/>
            </w:pPr>
            <w:r>
              <w:t>35</w:t>
            </w:r>
          </w:p>
        </w:tc>
        <w:tc>
          <w:tcPr>
            <w:tcW w:w="1417" w:type="dxa"/>
          </w:tcPr>
          <w:p w14:paraId="4716471B" w14:textId="623F5E70" w:rsidR="00EE09CF" w:rsidRPr="00203164" w:rsidRDefault="00FC1B94" w:rsidP="00C921DF">
            <w:pPr>
              <w:jc w:val="right"/>
            </w:pPr>
            <w:r>
              <w:t>29</w:t>
            </w:r>
          </w:p>
        </w:tc>
        <w:tc>
          <w:tcPr>
            <w:tcW w:w="1417" w:type="dxa"/>
            <w:shd w:val="clear" w:color="auto" w:fill="F2F2F2" w:themeFill="background1" w:themeFillShade="F2"/>
          </w:tcPr>
          <w:p w14:paraId="3CB2B285" w14:textId="4234CC20" w:rsidR="00EE09CF" w:rsidRPr="001C536C" w:rsidRDefault="001C536C" w:rsidP="00C921DF">
            <w:pPr>
              <w:jc w:val="right"/>
            </w:pPr>
            <w:r w:rsidRPr="001C536C">
              <w:t>45</w:t>
            </w:r>
          </w:p>
        </w:tc>
      </w:tr>
      <w:tr w:rsidR="00EE09CF" w:rsidRPr="00494D5C" w14:paraId="44405DC5" w14:textId="77777777" w:rsidTr="008F1034">
        <w:tc>
          <w:tcPr>
            <w:tcW w:w="2312" w:type="dxa"/>
            <w:shd w:val="clear" w:color="auto" w:fill="CEDCE8"/>
          </w:tcPr>
          <w:p w14:paraId="3946247A" w14:textId="3309E124" w:rsidR="00EE09CF" w:rsidRPr="00F12697" w:rsidRDefault="00FC1B94" w:rsidP="00C921DF">
            <w:r>
              <w:t>Reviewed</w:t>
            </w:r>
          </w:p>
        </w:tc>
        <w:tc>
          <w:tcPr>
            <w:tcW w:w="1232" w:type="dxa"/>
          </w:tcPr>
          <w:p w14:paraId="52F233E9" w14:textId="05FABFE7" w:rsidR="00EE09CF" w:rsidRPr="00203164" w:rsidRDefault="00FC1B94" w:rsidP="00C921DF">
            <w:pPr>
              <w:jc w:val="right"/>
            </w:pPr>
            <w:r>
              <w:t>11</w:t>
            </w:r>
          </w:p>
        </w:tc>
        <w:tc>
          <w:tcPr>
            <w:tcW w:w="1276" w:type="dxa"/>
          </w:tcPr>
          <w:p w14:paraId="30BE5873" w14:textId="4C718E23" w:rsidR="00EE09CF" w:rsidRPr="00203164" w:rsidRDefault="00FC1B94" w:rsidP="00C921DF">
            <w:pPr>
              <w:jc w:val="right"/>
            </w:pPr>
            <w:r>
              <w:t>10</w:t>
            </w:r>
          </w:p>
        </w:tc>
        <w:tc>
          <w:tcPr>
            <w:tcW w:w="1276" w:type="dxa"/>
          </w:tcPr>
          <w:p w14:paraId="1153EF59" w14:textId="6B2407B3" w:rsidR="00EE09CF" w:rsidRPr="00203164" w:rsidRDefault="00FC1B94" w:rsidP="00C921DF">
            <w:pPr>
              <w:jc w:val="right"/>
            </w:pPr>
            <w:r>
              <w:t>0</w:t>
            </w:r>
          </w:p>
        </w:tc>
        <w:tc>
          <w:tcPr>
            <w:tcW w:w="1417" w:type="dxa"/>
          </w:tcPr>
          <w:p w14:paraId="5C11EC51" w14:textId="7364F1E2" w:rsidR="00EE09CF" w:rsidRPr="00203164" w:rsidRDefault="00FC1B94" w:rsidP="00C921DF">
            <w:pPr>
              <w:jc w:val="right"/>
            </w:pPr>
            <w:r>
              <w:t>10</w:t>
            </w:r>
          </w:p>
        </w:tc>
        <w:tc>
          <w:tcPr>
            <w:tcW w:w="1417" w:type="dxa"/>
            <w:shd w:val="clear" w:color="auto" w:fill="F2F2F2" w:themeFill="background1" w:themeFillShade="F2"/>
          </w:tcPr>
          <w:p w14:paraId="36A3C81A" w14:textId="1570531C" w:rsidR="00EE09CF" w:rsidRPr="001C536C" w:rsidRDefault="001C536C" w:rsidP="00C921DF">
            <w:pPr>
              <w:jc w:val="right"/>
            </w:pPr>
            <w:r w:rsidRPr="001C536C">
              <w:t>4</w:t>
            </w:r>
          </w:p>
        </w:tc>
      </w:tr>
      <w:tr w:rsidR="00EE09CF" w:rsidRPr="00CB46D7" w14:paraId="262B90F8" w14:textId="77777777" w:rsidTr="008F1034">
        <w:tc>
          <w:tcPr>
            <w:tcW w:w="2312" w:type="dxa"/>
            <w:shd w:val="clear" w:color="auto" w:fill="003F5F"/>
          </w:tcPr>
          <w:p w14:paraId="55CD8294" w14:textId="77777777" w:rsidR="00EE09CF" w:rsidRPr="0044251E" w:rsidRDefault="00EE09CF" w:rsidP="00C921DF">
            <w:pPr>
              <w:rPr>
                <w:rStyle w:val="Strong"/>
                <w:color w:val="FFFFFF" w:themeColor="background1"/>
              </w:rPr>
            </w:pPr>
            <w:r w:rsidRPr="0044251E">
              <w:rPr>
                <w:rStyle w:val="Strong"/>
                <w:color w:val="FFFFFF" w:themeColor="background1"/>
              </w:rPr>
              <w:t>Total</w:t>
            </w:r>
          </w:p>
        </w:tc>
        <w:tc>
          <w:tcPr>
            <w:tcW w:w="1232" w:type="dxa"/>
            <w:shd w:val="clear" w:color="auto" w:fill="003F5F"/>
          </w:tcPr>
          <w:p w14:paraId="4817487F" w14:textId="77777777" w:rsidR="00EE09CF" w:rsidRPr="00203164" w:rsidRDefault="00EE09CF" w:rsidP="00C921DF">
            <w:pPr>
              <w:jc w:val="right"/>
              <w:rPr>
                <w:rStyle w:val="Strong"/>
                <w:color w:val="FFFFFF" w:themeColor="background2"/>
              </w:rPr>
            </w:pPr>
            <w:r w:rsidRPr="00203164">
              <w:rPr>
                <w:rStyle w:val="Strong"/>
                <w:color w:val="FFFFFF" w:themeColor="background2"/>
              </w:rPr>
              <w:t>53</w:t>
            </w:r>
          </w:p>
        </w:tc>
        <w:tc>
          <w:tcPr>
            <w:tcW w:w="1276" w:type="dxa"/>
            <w:shd w:val="clear" w:color="auto" w:fill="003F5F"/>
          </w:tcPr>
          <w:p w14:paraId="40451D15" w14:textId="03AA8677" w:rsidR="00EE09CF" w:rsidRPr="00203164" w:rsidRDefault="00FC1B94" w:rsidP="00C921DF">
            <w:pPr>
              <w:jc w:val="right"/>
              <w:rPr>
                <w:rStyle w:val="Strong"/>
                <w:color w:val="FFFFFF" w:themeColor="background2"/>
              </w:rPr>
            </w:pPr>
            <w:r>
              <w:rPr>
                <w:b/>
                <w:color w:val="FFFFFF" w:themeColor="background2"/>
              </w:rPr>
              <w:t>47</w:t>
            </w:r>
          </w:p>
        </w:tc>
        <w:tc>
          <w:tcPr>
            <w:tcW w:w="1276" w:type="dxa"/>
            <w:shd w:val="clear" w:color="auto" w:fill="003F5F"/>
          </w:tcPr>
          <w:p w14:paraId="36798C84" w14:textId="2BEACAB9" w:rsidR="00EE09CF" w:rsidRPr="00203164" w:rsidRDefault="00FC1B94" w:rsidP="00C921DF">
            <w:pPr>
              <w:jc w:val="right"/>
              <w:rPr>
                <w:rStyle w:val="Strong"/>
                <w:b w:val="0"/>
                <w:color w:val="FFFFFF" w:themeColor="background2"/>
              </w:rPr>
            </w:pPr>
            <w:r>
              <w:rPr>
                <w:b/>
                <w:color w:val="FFFFFF" w:themeColor="background2"/>
              </w:rPr>
              <w:t>35</w:t>
            </w:r>
          </w:p>
        </w:tc>
        <w:tc>
          <w:tcPr>
            <w:tcW w:w="1417" w:type="dxa"/>
            <w:shd w:val="clear" w:color="auto" w:fill="003F5F"/>
          </w:tcPr>
          <w:p w14:paraId="70106E48" w14:textId="3995FDE9" w:rsidR="00EE09CF" w:rsidRPr="00203164" w:rsidRDefault="00FC1B94" w:rsidP="00C921DF">
            <w:pPr>
              <w:jc w:val="right"/>
              <w:rPr>
                <w:rStyle w:val="Strong"/>
                <w:b w:val="0"/>
                <w:color w:val="FFFFFF" w:themeColor="background2"/>
              </w:rPr>
            </w:pPr>
            <w:r>
              <w:rPr>
                <w:b/>
                <w:color w:val="FFFFFF" w:themeColor="background2"/>
              </w:rPr>
              <w:t>39</w:t>
            </w:r>
          </w:p>
        </w:tc>
        <w:tc>
          <w:tcPr>
            <w:tcW w:w="1417" w:type="dxa"/>
            <w:shd w:val="clear" w:color="auto" w:fill="003F5F"/>
          </w:tcPr>
          <w:p w14:paraId="4163A130" w14:textId="0F58F7DB" w:rsidR="00EE09CF" w:rsidRPr="00203164" w:rsidRDefault="001C536C" w:rsidP="00C921DF">
            <w:pPr>
              <w:jc w:val="right"/>
              <w:rPr>
                <w:rStyle w:val="Strong"/>
                <w:b w:val="0"/>
                <w:color w:val="FF0000"/>
                <w:highlight w:val="yellow"/>
              </w:rPr>
            </w:pPr>
            <w:r w:rsidRPr="001C536C">
              <w:rPr>
                <w:b/>
                <w:color w:val="FFFFFF" w:themeColor="background1"/>
              </w:rPr>
              <w:t>49</w:t>
            </w:r>
          </w:p>
        </w:tc>
      </w:tr>
    </w:tbl>
    <w:p w14:paraId="59078BB0" w14:textId="4A3AAC0F" w:rsidR="00641C8B" w:rsidRDefault="00641C8B">
      <w:pPr>
        <w:keepLines w:val="0"/>
        <w:spacing w:after="0" w:line="240" w:lineRule="auto"/>
        <w:rPr>
          <w:rStyle w:val="Emphasis"/>
          <w:sz w:val="22"/>
        </w:rPr>
      </w:pPr>
    </w:p>
    <w:p w14:paraId="7F63F26B" w14:textId="1186B928" w:rsidR="009E75E3" w:rsidRDefault="009E75E3">
      <w:pPr>
        <w:keepLines w:val="0"/>
        <w:spacing w:after="0" w:line="240" w:lineRule="auto"/>
      </w:pPr>
    </w:p>
    <w:tbl>
      <w:tblPr>
        <w:tblStyle w:val="TableGrid"/>
        <w:tblW w:w="8930" w:type="dxa"/>
        <w:tblInd w:w="-34"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Look w:val="04A0" w:firstRow="1" w:lastRow="0" w:firstColumn="1" w:lastColumn="0" w:noHBand="0" w:noVBand="1"/>
        <w:tblCaption w:val="Table 45: Number of diseases determinations "/>
        <w:tblDescription w:val="This table outlines the number of diseases determinations made in 2017/18 by the Industrial Diseases Medical Panel. "/>
      </w:tblPr>
      <w:tblGrid>
        <w:gridCol w:w="2312"/>
        <w:gridCol w:w="1232"/>
        <w:gridCol w:w="1276"/>
        <w:gridCol w:w="1276"/>
        <w:gridCol w:w="1417"/>
        <w:gridCol w:w="1417"/>
      </w:tblGrid>
      <w:tr w:rsidR="0021069B" w:rsidRPr="00494D5C" w14:paraId="78ACF790" w14:textId="77777777" w:rsidTr="008F1034">
        <w:trPr>
          <w:tblHeader/>
        </w:trPr>
        <w:tc>
          <w:tcPr>
            <w:tcW w:w="7513" w:type="dxa"/>
            <w:gridSpan w:val="5"/>
            <w:shd w:val="clear" w:color="auto" w:fill="003F5F"/>
          </w:tcPr>
          <w:p w14:paraId="3857EF07" w14:textId="2863F702" w:rsidR="0021069B" w:rsidRPr="00D31603" w:rsidRDefault="0021069B" w:rsidP="008F1034">
            <w:pPr>
              <w:pStyle w:val="ListParagraph"/>
              <w:spacing w:after="240" w:line="271" w:lineRule="auto"/>
              <w:ind w:left="0"/>
              <w:rPr>
                <w:rStyle w:val="Strong"/>
                <w:color w:val="FFFFFF" w:themeColor="background1"/>
              </w:rPr>
            </w:pPr>
            <w:r>
              <w:br w:type="page"/>
            </w:r>
            <w:r w:rsidRPr="008F1034">
              <w:rPr>
                <w:rStyle w:val="Strong"/>
                <w:color w:val="FFFFFF" w:themeColor="background1"/>
              </w:rPr>
              <w:t>Tabl</w:t>
            </w:r>
            <w:r w:rsidR="00E44672" w:rsidRPr="008F1034">
              <w:rPr>
                <w:rStyle w:val="Strong"/>
                <w:color w:val="FFFFFF" w:themeColor="background1"/>
              </w:rPr>
              <w:t>e</w:t>
            </w:r>
            <w:r w:rsidR="00E52EA5" w:rsidRPr="008F1034">
              <w:rPr>
                <w:rStyle w:val="Strong"/>
                <w:color w:val="FFFFFF" w:themeColor="background1"/>
              </w:rPr>
              <w:t xml:space="preserve"> 4</w:t>
            </w:r>
            <w:r w:rsidR="008F1034" w:rsidRPr="008F1034">
              <w:rPr>
                <w:rStyle w:val="Strong"/>
                <w:color w:val="FFFFFF" w:themeColor="background1"/>
              </w:rPr>
              <w:t>5</w:t>
            </w:r>
            <w:r w:rsidR="001654FB" w:rsidRPr="008F1034">
              <w:rPr>
                <w:rStyle w:val="Strong"/>
                <w:color w:val="FFFFFF" w:themeColor="background1"/>
              </w:rPr>
              <w:t>:</w:t>
            </w:r>
            <w:r w:rsidRPr="008F1034">
              <w:rPr>
                <w:rStyle w:val="Strong"/>
                <w:color w:val="FFFFFF" w:themeColor="background1"/>
                <w:bdr w:val="single" w:sz="4" w:space="0" w:color="2D4541" w:themeColor="accent2"/>
              </w:rPr>
              <w:t xml:space="preserve"> Number </w:t>
            </w:r>
            <w:r w:rsidRPr="00203164">
              <w:rPr>
                <w:rStyle w:val="Strong"/>
                <w:color w:val="FFFFFF" w:themeColor="background2"/>
                <w:bdr w:val="single" w:sz="4" w:space="0" w:color="2D4541" w:themeColor="accent2"/>
              </w:rPr>
              <w:t>of diseases determinations</w:t>
            </w:r>
            <w:r w:rsidRPr="00203164">
              <w:rPr>
                <w:rStyle w:val="Strong"/>
                <w:color w:val="FFFFFF" w:themeColor="background2"/>
              </w:rPr>
              <w:t xml:space="preserve"> </w:t>
            </w:r>
          </w:p>
        </w:tc>
        <w:tc>
          <w:tcPr>
            <w:tcW w:w="1417" w:type="dxa"/>
            <w:shd w:val="clear" w:color="auto" w:fill="003F5F"/>
          </w:tcPr>
          <w:p w14:paraId="2079B8A3" w14:textId="77777777" w:rsidR="0021069B" w:rsidRDefault="0021069B" w:rsidP="00364E02">
            <w:pPr>
              <w:pStyle w:val="ListParagraph"/>
              <w:spacing w:after="240" w:line="271" w:lineRule="auto"/>
              <w:ind w:left="0"/>
            </w:pPr>
          </w:p>
        </w:tc>
      </w:tr>
      <w:tr w:rsidR="00CD5D43" w:rsidRPr="00494D5C" w14:paraId="34DA53FC" w14:textId="77777777" w:rsidTr="008F1034">
        <w:tc>
          <w:tcPr>
            <w:tcW w:w="2312" w:type="dxa"/>
            <w:shd w:val="clear" w:color="auto" w:fill="CEDCE8"/>
          </w:tcPr>
          <w:p w14:paraId="1EA251EA" w14:textId="77777777" w:rsidR="00CD5D43" w:rsidRPr="0044251E" w:rsidRDefault="00CD5D43" w:rsidP="00CD5D43">
            <w:pPr>
              <w:rPr>
                <w:rStyle w:val="Strong"/>
              </w:rPr>
            </w:pPr>
            <w:r w:rsidRPr="0044251E">
              <w:rPr>
                <w:rStyle w:val="Strong"/>
              </w:rPr>
              <w:t>Disease</w:t>
            </w:r>
          </w:p>
        </w:tc>
        <w:tc>
          <w:tcPr>
            <w:tcW w:w="1232" w:type="dxa"/>
            <w:shd w:val="clear" w:color="auto" w:fill="CEDCE8"/>
          </w:tcPr>
          <w:p w14:paraId="542D4890" w14:textId="5C117181" w:rsidR="00CD5D43" w:rsidRPr="00CD5D43" w:rsidRDefault="00CD5D43" w:rsidP="00A0108D">
            <w:pPr>
              <w:jc w:val="right"/>
              <w:rPr>
                <w:rStyle w:val="Strong"/>
              </w:rPr>
            </w:pPr>
            <w:r w:rsidRPr="00CD5D43">
              <w:rPr>
                <w:rStyle w:val="Strong"/>
              </w:rPr>
              <w:t>201</w:t>
            </w:r>
            <w:r w:rsidR="00E44672">
              <w:rPr>
                <w:rStyle w:val="Strong"/>
              </w:rPr>
              <w:t>3/14</w:t>
            </w:r>
          </w:p>
        </w:tc>
        <w:tc>
          <w:tcPr>
            <w:tcW w:w="1276" w:type="dxa"/>
            <w:shd w:val="clear" w:color="auto" w:fill="CEDCE8"/>
          </w:tcPr>
          <w:p w14:paraId="68458BE2" w14:textId="1E06610D" w:rsidR="00CD5D43" w:rsidRPr="00CD5D43" w:rsidRDefault="00CD5D43" w:rsidP="00A0108D">
            <w:pPr>
              <w:jc w:val="right"/>
              <w:rPr>
                <w:rStyle w:val="Strong"/>
              </w:rPr>
            </w:pPr>
            <w:r w:rsidRPr="00CD5D43">
              <w:rPr>
                <w:rStyle w:val="Strong"/>
              </w:rPr>
              <w:t>2</w:t>
            </w:r>
            <w:r w:rsidR="00E44672">
              <w:rPr>
                <w:rStyle w:val="Strong"/>
              </w:rPr>
              <w:t>014/15</w:t>
            </w:r>
          </w:p>
        </w:tc>
        <w:tc>
          <w:tcPr>
            <w:tcW w:w="1276" w:type="dxa"/>
            <w:shd w:val="clear" w:color="auto" w:fill="CEDCE8"/>
          </w:tcPr>
          <w:p w14:paraId="4F14598F" w14:textId="360F98C4" w:rsidR="00CD5D43" w:rsidRPr="00CD5D43" w:rsidRDefault="00E44672" w:rsidP="00A0108D">
            <w:pPr>
              <w:jc w:val="right"/>
              <w:rPr>
                <w:rStyle w:val="Strong"/>
              </w:rPr>
            </w:pPr>
            <w:r>
              <w:rPr>
                <w:rStyle w:val="Strong"/>
              </w:rPr>
              <w:t>2015/16</w:t>
            </w:r>
          </w:p>
        </w:tc>
        <w:tc>
          <w:tcPr>
            <w:tcW w:w="1417" w:type="dxa"/>
            <w:shd w:val="clear" w:color="auto" w:fill="CEDCE8"/>
          </w:tcPr>
          <w:p w14:paraId="5ABC9179" w14:textId="1C84FCC0" w:rsidR="00CD5D43" w:rsidRPr="00CD5D43" w:rsidRDefault="00E44672" w:rsidP="00A0108D">
            <w:pPr>
              <w:jc w:val="right"/>
              <w:rPr>
                <w:rStyle w:val="Strong"/>
              </w:rPr>
            </w:pPr>
            <w:r>
              <w:rPr>
                <w:rStyle w:val="Strong"/>
              </w:rPr>
              <w:t>2016/17</w:t>
            </w:r>
          </w:p>
        </w:tc>
        <w:tc>
          <w:tcPr>
            <w:tcW w:w="1417" w:type="dxa"/>
            <w:shd w:val="clear" w:color="auto" w:fill="CEDCE8"/>
          </w:tcPr>
          <w:p w14:paraId="0F25B696" w14:textId="4EB81143" w:rsidR="00CD5D43" w:rsidRPr="00793391" w:rsidRDefault="00E44672" w:rsidP="00A0108D">
            <w:pPr>
              <w:jc w:val="right"/>
              <w:rPr>
                <w:rStyle w:val="Strong"/>
              </w:rPr>
            </w:pPr>
            <w:r>
              <w:rPr>
                <w:rStyle w:val="Strong"/>
              </w:rPr>
              <w:t>2017/18</w:t>
            </w:r>
          </w:p>
        </w:tc>
      </w:tr>
      <w:tr w:rsidR="00CD5D43" w:rsidRPr="00494D5C" w14:paraId="20D73786" w14:textId="77777777" w:rsidTr="008F1034">
        <w:tc>
          <w:tcPr>
            <w:tcW w:w="2312" w:type="dxa"/>
            <w:shd w:val="clear" w:color="auto" w:fill="CEDCE8"/>
          </w:tcPr>
          <w:p w14:paraId="36D4CCEE" w14:textId="77777777" w:rsidR="00CD5D43" w:rsidRPr="00F12697" w:rsidRDefault="00CD5D43" w:rsidP="00CD5D43">
            <w:r w:rsidRPr="00F12697">
              <w:t>Pneumoconiosis</w:t>
            </w:r>
          </w:p>
        </w:tc>
        <w:tc>
          <w:tcPr>
            <w:tcW w:w="1232" w:type="dxa"/>
          </w:tcPr>
          <w:p w14:paraId="1CC68CE5" w14:textId="39F57CF6" w:rsidR="00CD5D43" w:rsidRPr="00203164" w:rsidRDefault="00203164" w:rsidP="00A0108D">
            <w:pPr>
              <w:jc w:val="right"/>
            </w:pPr>
            <w:r w:rsidRPr="00203164">
              <w:t>18</w:t>
            </w:r>
          </w:p>
        </w:tc>
        <w:tc>
          <w:tcPr>
            <w:tcW w:w="1276" w:type="dxa"/>
          </w:tcPr>
          <w:p w14:paraId="0817FD25" w14:textId="6360F069" w:rsidR="00CD5D43" w:rsidRPr="00203164" w:rsidRDefault="00203164" w:rsidP="00A0108D">
            <w:pPr>
              <w:jc w:val="right"/>
            </w:pPr>
            <w:r w:rsidRPr="00203164">
              <w:t>28</w:t>
            </w:r>
          </w:p>
        </w:tc>
        <w:tc>
          <w:tcPr>
            <w:tcW w:w="1276" w:type="dxa"/>
          </w:tcPr>
          <w:p w14:paraId="1B5720A7" w14:textId="7AE2AC37" w:rsidR="00CD5D43" w:rsidRPr="00203164" w:rsidRDefault="00203164" w:rsidP="00A0108D">
            <w:pPr>
              <w:jc w:val="right"/>
            </w:pPr>
            <w:r w:rsidRPr="00203164">
              <w:t>14</w:t>
            </w:r>
          </w:p>
        </w:tc>
        <w:tc>
          <w:tcPr>
            <w:tcW w:w="1417" w:type="dxa"/>
          </w:tcPr>
          <w:p w14:paraId="788C6096" w14:textId="2269E003" w:rsidR="00CD5D43" w:rsidRPr="00203164" w:rsidRDefault="00203164" w:rsidP="00A0108D">
            <w:pPr>
              <w:jc w:val="right"/>
            </w:pPr>
            <w:r w:rsidRPr="00203164">
              <w:t>17</w:t>
            </w:r>
          </w:p>
        </w:tc>
        <w:tc>
          <w:tcPr>
            <w:tcW w:w="1417" w:type="dxa"/>
            <w:shd w:val="clear" w:color="auto" w:fill="F2F2F2" w:themeFill="background1" w:themeFillShade="F2"/>
          </w:tcPr>
          <w:p w14:paraId="3C6243FE" w14:textId="4A2EC8D3" w:rsidR="00CD5D43" w:rsidRPr="001C536C" w:rsidRDefault="001C536C" w:rsidP="00A0108D">
            <w:pPr>
              <w:jc w:val="right"/>
            </w:pPr>
            <w:r w:rsidRPr="001C536C">
              <w:t>37</w:t>
            </w:r>
          </w:p>
        </w:tc>
      </w:tr>
      <w:tr w:rsidR="00CB46D7" w:rsidRPr="00494D5C" w14:paraId="2AFAD900" w14:textId="77777777" w:rsidTr="008F1034">
        <w:tc>
          <w:tcPr>
            <w:tcW w:w="2312" w:type="dxa"/>
            <w:shd w:val="clear" w:color="auto" w:fill="CEDCE8"/>
          </w:tcPr>
          <w:p w14:paraId="7B79D7C2" w14:textId="77777777" w:rsidR="00CB46D7" w:rsidRPr="00F12697" w:rsidRDefault="00CB46D7" w:rsidP="00CB46D7">
            <w:r w:rsidRPr="00F12697">
              <w:t>Pneumoconiosis &amp; Diffuse Pleural Fibrosis</w:t>
            </w:r>
          </w:p>
        </w:tc>
        <w:tc>
          <w:tcPr>
            <w:tcW w:w="1232" w:type="dxa"/>
          </w:tcPr>
          <w:p w14:paraId="0C5723A4" w14:textId="338109AA" w:rsidR="00CB46D7" w:rsidRPr="00203164" w:rsidRDefault="00203164" w:rsidP="00A0108D">
            <w:pPr>
              <w:jc w:val="right"/>
            </w:pPr>
            <w:r w:rsidRPr="00203164">
              <w:t>4</w:t>
            </w:r>
          </w:p>
        </w:tc>
        <w:tc>
          <w:tcPr>
            <w:tcW w:w="1276" w:type="dxa"/>
          </w:tcPr>
          <w:p w14:paraId="05FF0F4B" w14:textId="14178E98" w:rsidR="00CB46D7" w:rsidRPr="00203164" w:rsidRDefault="00203164" w:rsidP="00A0108D">
            <w:pPr>
              <w:jc w:val="right"/>
            </w:pPr>
            <w:r w:rsidRPr="00203164">
              <w:t>4</w:t>
            </w:r>
          </w:p>
        </w:tc>
        <w:tc>
          <w:tcPr>
            <w:tcW w:w="1276" w:type="dxa"/>
          </w:tcPr>
          <w:p w14:paraId="24FA5304" w14:textId="564A9C0B" w:rsidR="00CB46D7" w:rsidRPr="00203164" w:rsidRDefault="00203164" w:rsidP="00A0108D">
            <w:pPr>
              <w:jc w:val="right"/>
            </w:pPr>
            <w:r w:rsidRPr="00203164">
              <w:t>8</w:t>
            </w:r>
          </w:p>
        </w:tc>
        <w:tc>
          <w:tcPr>
            <w:tcW w:w="1417" w:type="dxa"/>
          </w:tcPr>
          <w:p w14:paraId="324F7EB8" w14:textId="52336995" w:rsidR="00CB46D7" w:rsidRPr="00203164" w:rsidRDefault="00203164" w:rsidP="00A0108D">
            <w:pPr>
              <w:jc w:val="right"/>
            </w:pPr>
            <w:r w:rsidRPr="00203164">
              <w:t>9</w:t>
            </w:r>
          </w:p>
        </w:tc>
        <w:tc>
          <w:tcPr>
            <w:tcW w:w="1417" w:type="dxa"/>
            <w:shd w:val="clear" w:color="auto" w:fill="F2F2F2" w:themeFill="background1" w:themeFillShade="F2"/>
          </w:tcPr>
          <w:p w14:paraId="2EBD3083" w14:textId="27A7C299" w:rsidR="00CB46D7" w:rsidRPr="001C536C" w:rsidRDefault="001C536C" w:rsidP="00A0108D">
            <w:pPr>
              <w:jc w:val="right"/>
            </w:pPr>
            <w:r w:rsidRPr="001C536C">
              <w:t>1</w:t>
            </w:r>
          </w:p>
        </w:tc>
      </w:tr>
      <w:tr w:rsidR="00CB46D7" w:rsidRPr="00494D5C" w14:paraId="09BD1BB8" w14:textId="77777777" w:rsidTr="008F1034">
        <w:tc>
          <w:tcPr>
            <w:tcW w:w="2312" w:type="dxa"/>
            <w:shd w:val="clear" w:color="auto" w:fill="CEDCE8"/>
          </w:tcPr>
          <w:p w14:paraId="74638C72" w14:textId="77777777" w:rsidR="00CB46D7" w:rsidRPr="00F12697" w:rsidRDefault="00CB46D7" w:rsidP="00CB46D7">
            <w:r w:rsidRPr="00F12697">
              <w:t>Pneumoconiosis &amp; Lung Cancer</w:t>
            </w:r>
          </w:p>
        </w:tc>
        <w:tc>
          <w:tcPr>
            <w:tcW w:w="1232" w:type="dxa"/>
          </w:tcPr>
          <w:p w14:paraId="2A0FDB24" w14:textId="07A06DB7" w:rsidR="00CB46D7" w:rsidRPr="00203164" w:rsidRDefault="00203164" w:rsidP="00A0108D">
            <w:pPr>
              <w:jc w:val="right"/>
            </w:pPr>
            <w:r w:rsidRPr="00203164">
              <w:t>0</w:t>
            </w:r>
          </w:p>
        </w:tc>
        <w:tc>
          <w:tcPr>
            <w:tcW w:w="1276" w:type="dxa"/>
          </w:tcPr>
          <w:p w14:paraId="3D56B2F2" w14:textId="2DD8E029" w:rsidR="00CB46D7" w:rsidRPr="00203164" w:rsidRDefault="00203164" w:rsidP="00A0108D">
            <w:pPr>
              <w:jc w:val="right"/>
            </w:pPr>
            <w:r w:rsidRPr="00203164">
              <w:t>2</w:t>
            </w:r>
          </w:p>
        </w:tc>
        <w:tc>
          <w:tcPr>
            <w:tcW w:w="1276" w:type="dxa"/>
          </w:tcPr>
          <w:p w14:paraId="421BB09A" w14:textId="7CE18131" w:rsidR="00CB46D7" w:rsidRPr="00203164" w:rsidRDefault="00203164" w:rsidP="00A0108D">
            <w:pPr>
              <w:jc w:val="right"/>
            </w:pPr>
            <w:r w:rsidRPr="00203164">
              <w:t>0</w:t>
            </w:r>
          </w:p>
        </w:tc>
        <w:tc>
          <w:tcPr>
            <w:tcW w:w="1417" w:type="dxa"/>
          </w:tcPr>
          <w:p w14:paraId="3B52D0BF" w14:textId="40532786" w:rsidR="00CB46D7" w:rsidRPr="00203164" w:rsidRDefault="00203164" w:rsidP="00A0108D">
            <w:pPr>
              <w:jc w:val="right"/>
            </w:pPr>
            <w:r w:rsidRPr="00203164">
              <w:t>0</w:t>
            </w:r>
          </w:p>
        </w:tc>
        <w:tc>
          <w:tcPr>
            <w:tcW w:w="1417" w:type="dxa"/>
            <w:shd w:val="clear" w:color="auto" w:fill="F2F2F2" w:themeFill="background1" w:themeFillShade="F2"/>
          </w:tcPr>
          <w:p w14:paraId="731F1031" w14:textId="153D5593" w:rsidR="00CB46D7" w:rsidRPr="001C536C" w:rsidRDefault="001C536C" w:rsidP="00A0108D">
            <w:pPr>
              <w:jc w:val="right"/>
            </w:pPr>
            <w:r w:rsidRPr="001C536C">
              <w:t>0</w:t>
            </w:r>
          </w:p>
        </w:tc>
      </w:tr>
      <w:tr w:rsidR="008061CA" w:rsidRPr="00494D5C" w14:paraId="3996EE83" w14:textId="77777777" w:rsidTr="008F1034">
        <w:tc>
          <w:tcPr>
            <w:tcW w:w="2312" w:type="dxa"/>
            <w:shd w:val="clear" w:color="auto" w:fill="CEDCE8"/>
          </w:tcPr>
          <w:p w14:paraId="6DED6B65" w14:textId="1BFA8983" w:rsidR="008061CA" w:rsidRPr="00F12697" w:rsidRDefault="008061CA" w:rsidP="00CB46D7">
            <w:r w:rsidRPr="00F12697">
              <w:t>Pneumoconiosis</w:t>
            </w:r>
            <w:r>
              <w:t xml:space="preserve">, </w:t>
            </w:r>
            <w:r w:rsidRPr="008061CA">
              <w:t>Diffuse Pleural Fibrosis</w:t>
            </w:r>
            <w:r>
              <w:t xml:space="preserve"> &amp; Lung Cancer</w:t>
            </w:r>
          </w:p>
        </w:tc>
        <w:tc>
          <w:tcPr>
            <w:tcW w:w="1232" w:type="dxa"/>
          </w:tcPr>
          <w:p w14:paraId="483DEC2A" w14:textId="54FBF1F5" w:rsidR="008061CA" w:rsidRPr="00203164" w:rsidRDefault="00203164" w:rsidP="00A0108D">
            <w:pPr>
              <w:jc w:val="right"/>
            </w:pPr>
            <w:r w:rsidRPr="00203164">
              <w:t>0</w:t>
            </w:r>
          </w:p>
        </w:tc>
        <w:tc>
          <w:tcPr>
            <w:tcW w:w="1276" w:type="dxa"/>
          </w:tcPr>
          <w:p w14:paraId="0A99E572" w14:textId="619675C7" w:rsidR="008061CA" w:rsidRPr="00203164" w:rsidRDefault="00203164" w:rsidP="00A0108D">
            <w:pPr>
              <w:jc w:val="right"/>
            </w:pPr>
            <w:r w:rsidRPr="00203164">
              <w:t>0</w:t>
            </w:r>
          </w:p>
        </w:tc>
        <w:tc>
          <w:tcPr>
            <w:tcW w:w="1276" w:type="dxa"/>
          </w:tcPr>
          <w:p w14:paraId="4D040641" w14:textId="4EBCB617" w:rsidR="008061CA" w:rsidRPr="00203164" w:rsidRDefault="00203164" w:rsidP="00A0108D">
            <w:pPr>
              <w:jc w:val="right"/>
            </w:pPr>
            <w:r w:rsidRPr="00203164">
              <w:t>2</w:t>
            </w:r>
          </w:p>
        </w:tc>
        <w:tc>
          <w:tcPr>
            <w:tcW w:w="1417" w:type="dxa"/>
          </w:tcPr>
          <w:p w14:paraId="2E70BC2A" w14:textId="4B3B018A" w:rsidR="008061CA" w:rsidRPr="00203164" w:rsidRDefault="00203164" w:rsidP="00A0108D">
            <w:pPr>
              <w:jc w:val="right"/>
            </w:pPr>
            <w:r w:rsidRPr="00203164">
              <w:t>0</w:t>
            </w:r>
          </w:p>
        </w:tc>
        <w:tc>
          <w:tcPr>
            <w:tcW w:w="1417" w:type="dxa"/>
            <w:shd w:val="clear" w:color="auto" w:fill="F2F2F2" w:themeFill="background1" w:themeFillShade="F2"/>
          </w:tcPr>
          <w:p w14:paraId="35EF54DA" w14:textId="13C56FE4" w:rsidR="008061CA" w:rsidRPr="001C536C" w:rsidRDefault="001C536C" w:rsidP="00A0108D">
            <w:pPr>
              <w:jc w:val="right"/>
            </w:pPr>
            <w:r w:rsidRPr="001C536C">
              <w:t>0</w:t>
            </w:r>
          </w:p>
        </w:tc>
      </w:tr>
      <w:tr w:rsidR="00CB46D7" w:rsidRPr="00494D5C" w14:paraId="1456BD42" w14:textId="77777777" w:rsidTr="008F1034">
        <w:tc>
          <w:tcPr>
            <w:tcW w:w="2312" w:type="dxa"/>
            <w:shd w:val="clear" w:color="auto" w:fill="CEDCE8"/>
          </w:tcPr>
          <w:p w14:paraId="36DD1552" w14:textId="77777777" w:rsidR="00CB46D7" w:rsidRPr="00F12697" w:rsidRDefault="00CB46D7" w:rsidP="00CB46D7">
            <w:r w:rsidRPr="00F12697">
              <w:t>Diffuse Pleural Fibrosis</w:t>
            </w:r>
          </w:p>
        </w:tc>
        <w:tc>
          <w:tcPr>
            <w:tcW w:w="1232" w:type="dxa"/>
          </w:tcPr>
          <w:p w14:paraId="5A87BC76" w14:textId="5315D820" w:rsidR="00CB46D7" w:rsidRPr="00203164" w:rsidRDefault="00203164" w:rsidP="00A0108D">
            <w:pPr>
              <w:jc w:val="right"/>
            </w:pPr>
            <w:r w:rsidRPr="00203164">
              <w:t>5</w:t>
            </w:r>
          </w:p>
        </w:tc>
        <w:tc>
          <w:tcPr>
            <w:tcW w:w="1276" w:type="dxa"/>
          </w:tcPr>
          <w:p w14:paraId="2455D442" w14:textId="1405EB82" w:rsidR="00CB46D7" w:rsidRPr="00203164" w:rsidRDefault="00203164" w:rsidP="00A0108D">
            <w:pPr>
              <w:jc w:val="right"/>
            </w:pPr>
            <w:r w:rsidRPr="00203164">
              <w:t>0</w:t>
            </w:r>
          </w:p>
        </w:tc>
        <w:tc>
          <w:tcPr>
            <w:tcW w:w="1276" w:type="dxa"/>
          </w:tcPr>
          <w:p w14:paraId="0BBCB635" w14:textId="2ABF6DD2" w:rsidR="00CB46D7" w:rsidRPr="00203164" w:rsidRDefault="00203164" w:rsidP="00A0108D">
            <w:pPr>
              <w:jc w:val="right"/>
            </w:pPr>
            <w:r w:rsidRPr="00203164">
              <w:t>7</w:t>
            </w:r>
          </w:p>
        </w:tc>
        <w:tc>
          <w:tcPr>
            <w:tcW w:w="1417" w:type="dxa"/>
          </w:tcPr>
          <w:p w14:paraId="61A6B4A4" w14:textId="424E82FE" w:rsidR="00CB46D7" w:rsidRPr="00203164" w:rsidRDefault="00203164" w:rsidP="00A0108D">
            <w:pPr>
              <w:jc w:val="right"/>
            </w:pPr>
            <w:r w:rsidRPr="00203164">
              <w:t>0</w:t>
            </w:r>
          </w:p>
        </w:tc>
        <w:tc>
          <w:tcPr>
            <w:tcW w:w="1417" w:type="dxa"/>
            <w:shd w:val="clear" w:color="auto" w:fill="F2F2F2" w:themeFill="background1" w:themeFillShade="F2"/>
          </w:tcPr>
          <w:p w14:paraId="536CE9EB" w14:textId="66B92FAB" w:rsidR="00CB46D7" w:rsidRPr="001C536C" w:rsidRDefault="001C536C" w:rsidP="00A0108D">
            <w:pPr>
              <w:jc w:val="right"/>
            </w:pPr>
            <w:r w:rsidRPr="001C536C">
              <w:t>3</w:t>
            </w:r>
          </w:p>
        </w:tc>
      </w:tr>
      <w:tr w:rsidR="00CB46D7" w:rsidRPr="00494D5C" w14:paraId="1809489C" w14:textId="77777777" w:rsidTr="008F1034">
        <w:tc>
          <w:tcPr>
            <w:tcW w:w="2312" w:type="dxa"/>
            <w:shd w:val="clear" w:color="auto" w:fill="CEDCE8"/>
          </w:tcPr>
          <w:p w14:paraId="5EA73B21" w14:textId="77777777" w:rsidR="00CB46D7" w:rsidRPr="00F12697" w:rsidRDefault="00CB46D7" w:rsidP="00CB46D7">
            <w:r w:rsidRPr="00F12697">
              <w:t>Mesothelioma</w:t>
            </w:r>
          </w:p>
        </w:tc>
        <w:tc>
          <w:tcPr>
            <w:tcW w:w="1232" w:type="dxa"/>
          </w:tcPr>
          <w:p w14:paraId="50945CFE" w14:textId="55603964" w:rsidR="00CB46D7" w:rsidRPr="00203164" w:rsidRDefault="00203164" w:rsidP="00A0108D">
            <w:pPr>
              <w:jc w:val="right"/>
            </w:pPr>
            <w:r w:rsidRPr="00203164">
              <w:t>12</w:t>
            </w:r>
          </w:p>
        </w:tc>
        <w:tc>
          <w:tcPr>
            <w:tcW w:w="1276" w:type="dxa"/>
          </w:tcPr>
          <w:p w14:paraId="66C06DB6" w14:textId="2F1A27DB" w:rsidR="00CB46D7" w:rsidRPr="00203164" w:rsidRDefault="00203164" w:rsidP="00A0108D">
            <w:pPr>
              <w:jc w:val="right"/>
            </w:pPr>
            <w:r w:rsidRPr="00203164">
              <w:t>6</w:t>
            </w:r>
          </w:p>
        </w:tc>
        <w:tc>
          <w:tcPr>
            <w:tcW w:w="1276" w:type="dxa"/>
          </w:tcPr>
          <w:p w14:paraId="7F3DDF77" w14:textId="232712B9" w:rsidR="00CB46D7" w:rsidRPr="00203164" w:rsidRDefault="00203164" w:rsidP="00A0108D">
            <w:pPr>
              <w:jc w:val="right"/>
            </w:pPr>
            <w:r w:rsidRPr="00203164">
              <w:t>3</w:t>
            </w:r>
          </w:p>
        </w:tc>
        <w:tc>
          <w:tcPr>
            <w:tcW w:w="1417" w:type="dxa"/>
          </w:tcPr>
          <w:p w14:paraId="03B2DE35" w14:textId="5C2B22D6" w:rsidR="00CB46D7" w:rsidRPr="00203164" w:rsidRDefault="00203164" w:rsidP="00A0108D">
            <w:pPr>
              <w:jc w:val="right"/>
            </w:pPr>
            <w:r w:rsidRPr="00203164">
              <w:t>1</w:t>
            </w:r>
          </w:p>
        </w:tc>
        <w:tc>
          <w:tcPr>
            <w:tcW w:w="1417" w:type="dxa"/>
            <w:shd w:val="clear" w:color="auto" w:fill="F2F2F2" w:themeFill="background1" w:themeFillShade="F2"/>
          </w:tcPr>
          <w:p w14:paraId="0003420B" w14:textId="156C55F0" w:rsidR="00CB46D7" w:rsidRPr="001C536C" w:rsidRDefault="001C536C" w:rsidP="00A0108D">
            <w:pPr>
              <w:jc w:val="right"/>
            </w:pPr>
            <w:r w:rsidRPr="001C536C">
              <w:t>1</w:t>
            </w:r>
          </w:p>
        </w:tc>
      </w:tr>
      <w:tr w:rsidR="00CB46D7" w:rsidRPr="00494D5C" w14:paraId="7E190F67" w14:textId="77777777" w:rsidTr="008F1034">
        <w:tc>
          <w:tcPr>
            <w:tcW w:w="2312" w:type="dxa"/>
            <w:shd w:val="clear" w:color="auto" w:fill="CEDCE8"/>
          </w:tcPr>
          <w:p w14:paraId="37334D62" w14:textId="77777777" w:rsidR="00CB46D7" w:rsidRPr="00F12697" w:rsidRDefault="00CB46D7" w:rsidP="00CB46D7">
            <w:r w:rsidRPr="00F12697">
              <w:t>Lung Cancer</w:t>
            </w:r>
          </w:p>
        </w:tc>
        <w:tc>
          <w:tcPr>
            <w:tcW w:w="1232" w:type="dxa"/>
          </w:tcPr>
          <w:p w14:paraId="462C7F8E" w14:textId="39C9D13E" w:rsidR="00CB46D7" w:rsidRPr="00203164" w:rsidRDefault="00203164" w:rsidP="00A0108D">
            <w:pPr>
              <w:jc w:val="right"/>
            </w:pPr>
            <w:r w:rsidRPr="00203164">
              <w:t>9</w:t>
            </w:r>
          </w:p>
        </w:tc>
        <w:tc>
          <w:tcPr>
            <w:tcW w:w="1276" w:type="dxa"/>
          </w:tcPr>
          <w:p w14:paraId="34264FBD" w14:textId="05A2581B" w:rsidR="00CB46D7" w:rsidRPr="00203164" w:rsidRDefault="00203164" w:rsidP="00A0108D">
            <w:pPr>
              <w:jc w:val="right"/>
            </w:pPr>
            <w:r w:rsidRPr="00203164">
              <w:t>1</w:t>
            </w:r>
          </w:p>
        </w:tc>
        <w:tc>
          <w:tcPr>
            <w:tcW w:w="1276" w:type="dxa"/>
          </w:tcPr>
          <w:p w14:paraId="3CCDE7BE" w14:textId="59895920" w:rsidR="00CB46D7" w:rsidRPr="00203164" w:rsidRDefault="00203164" w:rsidP="00A0108D">
            <w:pPr>
              <w:jc w:val="right"/>
            </w:pPr>
            <w:r w:rsidRPr="00203164">
              <w:t>2</w:t>
            </w:r>
          </w:p>
        </w:tc>
        <w:tc>
          <w:tcPr>
            <w:tcW w:w="1417" w:type="dxa"/>
          </w:tcPr>
          <w:p w14:paraId="424034F2" w14:textId="2AAB2C3B" w:rsidR="00CB46D7" w:rsidRPr="00203164" w:rsidRDefault="00203164" w:rsidP="00A0108D">
            <w:pPr>
              <w:jc w:val="right"/>
            </w:pPr>
            <w:r w:rsidRPr="00203164">
              <w:t>3</w:t>
            </w:r>
          </w:p>
        </w:tc>
        <w:tc>
          <w:tcPr>
            <w:tcW w:w="1417" w:type="dxa"/>
            <w:shd w:val="clear" w:color="auto" w:fill="F2F2F2" w:themeFill="background1" w:themeFillShade="F2"/>
          </w:tcPr>
          <w:p w14:paraId="343C0859" w14:textId="28DC4071" w:rsidR="00CB46D7" w:rsidRPr="001C536C" w:rsidRDefault="001C536C" w:rsidP="00A0108D">
            <w:pPr>
              <w:jc w:val="right"/>
            </w:pPr>
            <w:r w:rsidRPr="001C536C">
              <w:t>3</w:t>
            </w:r>
          </w:p>
        </w:tc>
      </w:tr>
      <w:tr w:rsidR="00CB46D7" w:rsidRPr="00494D5C" w14:paraId="0CB0F7EC" w14:textId="77777777" w:rsidTr="008F1034">
        <w:tc>
          <w:tcPr>
            <w:tcW w:w="2312" w:type="dxa"/>
            <w:shd w:val="clear" w:color="auto" w:fill="CEDCE8"/>
          </w:tcPr>
          <w:p w14:paraId="2270D0CA" w14:textId="77777777" w:rsidR="00CB46D7" w:rsidRPr="0044251E" w:rsidRDefault="00CB46D7" w:rsidP="00CB46D7">
            <w:pPr>
              <w:rPr>
                <w:rStyle w:val="Strong"/>
              </w:rPr>
            </w:pPr>
            <w:r w:rsidRPr="0044251E">
              <w:rPr>
                <w:rStyle w:val="Strong"/>
              </w:rPr>
              <w:t>Sub total</w:t>
            </w:r>
          </w:p>
        </w:tc>
        <w:tc>
          <w:tcPr>
            <w:tcW w:w="1232" w:type="dxa"/>
            <w:shd w:val="clear" w:color="auto" w:fill="CEDCE8"/>
          </w:tcPr>
          <w:p w14:paraId="5D069E49" w14:textId="2EC51D03" w:rsidR="00CB46D7" w:rsidRPr="00203164" w:rsidRDefault="00203164" w:rsidP="00A0108D">
            <w:pPr>
              <w:jc w:val="right"/>
            </w:pPr>
            <w:r w:rsidRPr="00203164">
              <w:t>48</w:t>
            </w:r>
          </w:p>
        </w:tc>
        <w:tc>
          <w:tcPr>
            <w:tcW w:w="1276" w:type="dxa"/>
            <w:shd w:val="clear" w:color="auto" w:fill="CEDCE8"/>
          </w:tcPr>
          <w:p w14:paraId="61F34C9B" w14:textId="31E8C4A5" w:rsidR="00CB46D7" w:rsidRPr="00203164" w:rsidRDefault="00203164" w:rsidP="00A0108D">
            <w:pPr>
              <w:jc w:val="right"/>
            </w:pPr>
            <w:r w:rsidRPr="00203164">
              <w:t>41</w:t>
            </w:r>
          </w:p>
        </w:tc>
        <w:tc>
          <w:tcPr>
            <w:tcW w:w="1276" w:type="dxa"/>
            <w:shd w:val="clear" w:color="auto" w:fill="CEDCE8"/>
          </w:tcPr>
          <w:p w14:paraId="4DCEBA56" w14:textId="74D85D9A" w:rsidR="00CB46D7" w:rsidRPr="00203164" w:rsidRDefault="00203164" w:rsidP="00A0108D">
            <w:pPr>
              <w:jc w:val="right"/>
            </w:pPr>
            <w:r w:rsidRPr="00203164">
              <w:t>36</w:t>
            </w:r>
          </w:p>
        </w:tc>
        <w:tc>
          <w:tcPr>
            <w:tcW w:w="1417" w:type="dxa"/>
            <w:shd w:val="clear" w:color="auto" w:fill="CEDCE8"/>
          </w:tcPr>
          <w:p w14:paraId="0ECF61E4" w14:textId="6D4F4E89" w:rsidR="00CB46D7" w:rsidRPr="00203164" w:rsidRDefault="00203164" w:rsidP="00A0108D">
            <w:pPr>
              <w:jc w:val="right"/>
            </w:pPr>
            <w:r w:rsidRPr="00203164">
              <w:t>30</w:t>
            </w:r>
          </w:p>
        </w:tc>
        <w:tc>
          <w:tcPr>
            <w:tcW w:w="1417" w:type="dxa"/>
            <w:shd w:val="clear" w:color="auto" w:fill="CEDCE8"/>
          </w:tcPr>
          <w:p w14:paraId="44EB29D7" w14:textId="79E12650" w:rsidR="00CB46D7" w:rsidRPr="001C536C" w:rsidRDefault="001C536C" w:rsidP="00A0108D">
            <w:pPr>
              <w:jc w:val="right"/>
            </w:pPr>
            <w:r w:rsidRPr="001C536C">
              <w:t>45</w:t>
            </w:r>
          </w:p>
        </w:tc>
      </w:tr>
      <w:tr w:rsidR="00CB46D7" w:rsidRPr="00494D5C" w14:paraId="18B69400" w14:textId="77777777" w:rsidTr="008F1034">
        <w:tc>
          <w:tcPr>
            <w:tcW w:w="2312" w:type="dxa"/>
            <w:shd w:val="clear" w:color="auto" w:fill="CEDCE8"/>
          </w:tcPr>
          <w:p w14:paraId="7C23D1E7" w14:textId="77777777" w:rsidR="00CB46D7" w:rsidRPr="00171726" w:rsidRDefault="00CB46D7" w:rsidP="00CB46D7">
            <w:pPr>
              <w:rPr>
                <w:rStyle w:val="Strong"/>
                <w:b w:val="0"/>
              </w:rPr>
            </w:pPr>
            <w:r w:rsidRPr="00171726">
              <w:rPr>
                <w:rStyle w:val="Strong"/>
                <w:b w:val="0"/>
              </w:rPr>
              <w:t>Determinations where disease not present or disease present but a 0% level of impairment</w:t>
            </w:r>
          </w:p>
        </w:tc>
        <w:tc>
          <w:tcPr>
            <w:tcW w:w="1232" w:type="dxa"/>
          </w:tcPr>
          <w:p w14:paraId="05387B77" w14:textId="7E2E1A46" w:rsidR="00CB46D7" w:rsidRPr="00203164" w:rsidRDefault="00203164" w:rsidP="00A0108D">
            <w:pPr>
              <w:jc w:val="right"/>
            </w:pPr>
            <w:r w:rsidRPr="00203164">
              <w:t>5</w:t>
            </w:r>
          </w:p>
        </w:tc>
        <w:tc>
          <w:tcPr>
            <w:tcW w:w="1276" w:type="dxa"/>
          </w:tcPr>
          <w:p w14:paraId="62E5311C" w14:textId="722F79B2" w:rsidR="00CB46D7" w:rsidRPr="00203164" w:rsidRDefault="00203164" w:rsidP="00A0108D">
            <w:pPr>
              <w:jc w:val="right"/>
            </w:pPr>
            <w:r w:rsidRPr="00203164">
              <w:t>6</w:t>
            </w:r>
          </w:p>
        </w:tc>
        <w:tc>
          <w:tcPr>
            <w:tcW w:w="1276" w:type="dxa"/>
          </w:tcPr>
          <w:p w14:paraId="0D99F7CF" w14:textId="5364D9E1" w:rsidR="00CB46D7" w:rsidRPr="00203164" w:rsidRDefault="00203164" w:rsidP="00A0108D">
            <w:pPr>
              <w:jc w:val="right"/>
            </w:pPr>
            <w:r w:rsidRPr="00203164">
              <w:t>9</w:t>
            </w:r>
          </w:p>
        </w:tc>
        <w:tc>
          <w:tcPr>
            <w:tcW w:w="1417" w:type="dxa"/>
          </w:tcPr>
          <w:p w14:paraId="66C4849B" w14:textId="3B6F9C7F" w:rsidR="00CB46D7" w:rsidRPr="00203164" w:rsidRDefault="00203164" w:rsidP="00A0108D">
            <w:pPr>
              <w:jc w:val="right"/>
            </w:pPr>
            <w:r w:rsidRPr="00203164">
              <w:t>4</w:t>
            </w:r>
          </w:p>
        </w:tc>
        <w:tc>
          <w:tcPr>
            <w:tcW w:w="1417" w:type="dxa"/>
            <w:shd w:val="clear" w:color="auto" w:fill="F2F2F2" w:themeFill="background1" w:themeFillShade="F2"/>
          </w:tcPr>
          <w:p w14:paraId="1C20284B" w14:textId="76EED6AD" w:rsidR="00CB46D7" w:rsidRPr="001C536C" w:rsidRDefault="001C536C" w:rsidP="00A0108D">
            <w:pPr>
              <w:jc w:val="right"/>
            </w:pPr>
            <w:r w:rsidRPr="001C536C">
              <w:t>5</w:t>
            </w:r>
          </w:p>
        </w:tc>
      </w:tr>
      <w:tr w:rsidR="00CB46D7" w:rsidRPr="00CB46D7" w14:paraId="67F8CB55" w14:textId="77777777" w:rsidTr="008F1034">
        <w:tc>
          <w:tcPr>
            <w:tcW w:w="2312" w:type="dxa"/>
            <w:shd w:val="clear" w:color="auto" w:fill="003F5F"/>
          </w:tcPr>
          <w:p w14:paraId="2F5873CE" w14:textId="77777777" w:rsidR="00CB46D7" w:rsidRPr="0044251E" w:rsidRDefault="00CB46D7" w:rsidP="00CB46D7">
            <w:pPr>
              <w:rPr>
                <w:rStyle w:val="Strong"/>
                <w:color w:val="FFFFFF" w:themeColor="background1"/>
              </w:rPr>
            </w:pPr>
            <w:r w:rsidRPr="0044251E">
              <w:rPr>
                <w:rStyle w:val="Strong"/>
                <w:color w:val="FFFFFF" w:themeColor="background1"/>
              </w:rPr>
              <w:t>Total</w:t>
            </w:r>
          </w:p>
        </w:tc>
        <w:tc>
          <w:tcPr>
            <w:tcW w:w="1232" w:type="dxa"/>
            <w:shd w:val="clear" w:color="auto" w:fill="003F5F"/>
          </w:tcPr>
          <w:p w14:paraId="6F5F7B54" w14:textId="1072CEDE" w:rsidR="00CB46D7" w:rsidRPr="00203164" w:rsidRDefault="00203164" w:rsidP="00A0108D">
            <w:pPr>
              <w:jc w:val="right"/>
              <w:rPr>
                <w:rStyle w:val="Strong"/>
                <w:color w:val="FFFFFF" w:themeColor="background2"/>
              </w:rPr>
            </w:pPr>
            <w:r w:rsidRPr="00203164">
              <w:rPr>
                <w:rStyle w:val="Strong"/>
                <w:color w:val="FFFFFF" w:themeColor="background2"/>
              </w:rPr>
              <w:t>53</w:t>
            </w:r>
          </w:p>
        </w:tc>
        <w:tc>
          <w:tcPr>
            <w:tcW w:w="1276" w:type="dxa"/>
            <w:shd w:val="clear" w:color="auto" w:fill="003F5F"/>
          </w:tcPr>
          <w:p w14:paraId="3D0B2905" w14:textId="5538C079" w:rsidR="00CB46D7" w:rsidRPr="00203164" w:rsidRDefault="00203164" w:rsidP="00A0108D">
            <w:pPr>
              <w:jc w:val="right"/>
              <w:rPr>
                <w:rStyle w:val="Strong"/>
                <w:color w:val="FFFFFF" w:themeColor="background2"/>
              </w:rPr>
            </w:pPr>
            <w:r w:rsidRPr="00203164">
              <w:rPr>
                <w:b/>
                <w:color w:val="FFFFFF" w:themeColor="background2"/>
              </w:rPr>
              <w:t>47</w:t>
            </w:r>
          </w:p>
        </w:tc>
        <w:tc>
          <w:tcPr>
            <w:tcW w:w="1276" w:type="dxa"/>
            <w:shd w:val="clear" w:color="auto" w:fill="003F5F"/>
          </w:tcPr>
          <w:p w14:paraId="7031870B" w14:textId="2031656C" w:rsidR="00CB46D7" w:rsidRPr="00203164" w:rsidRDefault="00203164" w:rsidP="00A0108D">
            <w:pPr>
              <w:jc w:val="right"/>
              <w:rPr>
                <w:rStyle w:val="Strong"/>
                <w:b w:val="0"/>
                <w:color w:val="FFFFFF" w:themeColor="background2"/>
              </w:rPr>
            </w:pPr>
            <w:r w:rsidRPr="00203164">
              <w:rPr>
                <w:b/>
                <w:color w:val="FFFFFF" w:themeColor="background2"/>
              </w:rPr>
              <w:t>45</w:t>
            </w:r>
          </w:p>
        </w:tc>
        <w:tc>
          <w:tcPr>
            <w:tcW w:w="1417" w:type="dxa"/>
            <w:shd w:val="clear" w:color="auto" w:fill="003F5F"/>
          </w:tcPr>
          <w:p w14:paraId="3716B638" w14:textId="05A12E0C" w:rsidR="00CB46D7" w:rsidRPr="00203164" w:rsidRDefault="00203164" w:rsidP="00A0108D">
            <w:pPr>
              <w:jc w:val="right"/>
              <w:rPr>
                <w:rStyle w:val="Strong"/>
                <w:b w:val="0"/>
                <w:color w:val="FFFFFF" w:themeColor="background2"/>
              </w:rPr>
            </w:pPr>
            <w:r w:rsidRPr="00203164">
              <w:rPr>
                <w:b/>
                <w:color w:val="FFFFFF" w:themeColor="background2"/>
              </w:rPr>
              <w:t>34</w:t>
            </w:r>
          </w:p>
        </w:tc>
        <w:tc>
          <w:tcPr>
            <w:tcW w:w="1417" w:type="dxa"/>
            <w:shd w:val="clear" w:color="auto" w:fill="003F5F"/>
          </w:tcPr>
          <w:p w14:paraId="7D595AAE" w14:textId="733525FF" w:rsidR="00CB46D7" w:rsidRPr="00203164" w:rsidRDefault="001C536C" w:rsidP="00A0108D">
            <w:pPr>
              <w:jc w:val="right"/>
              <w:rPr>
                <w:rStyle w:val="Strong"/>
                <w:b w:val="0"/>
                <w:color w:val="FF0000"/>
                <w:highlight w:val="yellow"/>
              </w:rPr>
            </w:pPr>
            <w:r w:rsidRPr="001C536C">
              <w:rPr>
                <w:b/>
                <w:color w:val="FFFFFF" w:themeColor="background1"/>
              </w:rPr>
              <w:t>50</w:t>
            </w:r>
          </w:p>
        </w:tc>
      </w:tr>
    </w:tbl>
    <w:p w14:paraId="05BD3C35" w14:textId="77777777" w:rsidR="00C76727" w:rsidRPr="00F75DD8" w:rsidRDefault="00C76727" w:rsidP="00A375C0">
      <w:pPr>
        <w:pStyle w:val="Heading1nonumber"/>
      </w:pPr>
      <w:bookmarkStart w:id="649" w:name="_Toc399317039"/>
      <w:bookmarkStart w:id="650" w:name="_Toc426617590"/>
      <w:bookmarkStart w:id="651" w:name="_Toc450900818"/>
      <w:bookmarkStart w:id="652" w:name="_Toc525122118"/>
      <w:r w:rsidRPr="00F75DD8">
        <w:t xml:space="preserve">Legal </w:t>
      </w:r>
      <w:r w:rsidR="002F30AF" w:rsidRPr="00F75DD8">
        <w:t>c</w:t>
      </w:r>
      <w:r w:rsidRPr="00F75DD8">
        <w:t>ompliance</w:t>
      </w:r>
      <w:bookmarkEnd w:id="649"/>
      <w:bookmarkEnd w:id="650"/>
      <w:bookmarkEnd w:id="651"/>
      <w:bookmarkEnd w:id="652"/>
      <w:r w:rsidRPr="00F75DD8">
        <w:t xml:space="preserve"> </w:t>
      </w:r>
    </w:p>
    <w:p w14:paraId="47BB7A78" w14:textId="77777777" w:rsidR="00F6104A" w:rsidRDefault="00F6104A" w:rsidP="00A375C0">
      <w:pPr>
        <w:pStyle w:val="Heading2nonumber"/>
      </w:pPr>
      <w:bookmarkStart w:id="653" w:name="_Toc399317040"/>
      <w:bookmarkStart w:id="654" w:name="_Toc426617591"/>
      <w:bookmarkStart w:id="655" w:name="_Toc450900819"/>
      <w:bookmarkStart w:id="656" w:name="_Toc525122119"/>
      <w:r w:rsidRPr="00F75DD8">
        <w:t>Public Sector standards and ethical codes</w:t>
      </w:r>
      <w:bookmarkEnd w:id="653"/>
      <w:bookmarkEnd w:id="654"/>
      <w:bookmarkEnd w:id="655"/>
      <w:bookmarkEnd w:id="656"/>
    </w:p>
    <w:p w14:paraId="014E7441" w14:textId="77777777" w:rsidR="009F4436" w:rsidRPr="006A7CD2" w:rsidRDefault="009F4436" w:rsidP="009F4436">
      <w:bookmarkStart w:id="657" w:name="_Toc426617592"/>
      <w:bookmarkStart w:id="658" w:name="_Toc450900820"/>
      <w:r w:rsidRPr="006A7CD2">
        <w:t xml:space="preserve">WorkCover WA has policies, procedures and guidelines in place to ensure the Agency meets all obligations with respect to the Public Sector Standards (Human Resource Management), the WA Public Sector Code of Ethics, and the WorkCover WA Code of Conduct. </w:t>
      </w:r>
    </w:p>
    <w:p w14:paraId="39CE814F" w14:textId="739E83AD" w:rsidR="009F4436" w:rsidRDefault="009F4436" w:rsidP="009F4436">
      <w:r w:rsidRPr="006A7CD2">
        <w:t xml:space="preserve">These policies and supporting guidelines are available to all staff via the WorkCover WA intranet and the online training system. </w:t>
      </w:r>
      <w:r w:rsidR="00EB5925">
        <w:t xml:space="preserve">In 2017/18 all staff completed refresher training on accountable and ethical decision making in the Western Australian public sector. </w:t>
      </w:r>
    </w:p>
    <w:p w14:paraId="07CA41B1" w14:textId="77777777" w:rsidR="00C76727" w:rsidRPr="007E33E1" w:rsidRDefault="00D27C4D" w:rsidP="00A375C0">
      <w:pPr>
        <w:pStyle w:val="Heading3nonumber"/>
      </w:pPr>
      <w:bookmarkStart w:id="659" w:name="_Toc525122120"/>
      <w:r w:rsidRPr="00F75DD8">
        <w:t>Public Sector Code of Ethics</w:t>
      </w:r>
      <w:bookmarkEnd w:id="657"/>
      <w:bookmarkEnd w:id="658"/>
      <w:bookmarkEnd w:id="659"/>
    </w:p>
    <w:p w14:paraId="1D6B6577" w14:textId="245ACCF9" w:rsidR="00867EFA" w:rsidRPr="006C458A" w:rsidRDefault="00A9588E" w:rsidP="00A9588E">
      <w:bookmarkStart w:id="660" w:name="_Toc426617593"/>
      <w:bookmarkStart w:id="661" w:name="_Toc450900821"/>
      <w:r>
        <w:t>There were no breaches of the Public Sector Code of Ethics identified in 2017/18.</w:t>
      </w:r>
    </w:p>
    <w:p w14:paraId="38FB09DB" w14:textId="39E60FE6" w:rsidR="00BF5B3D" w:rsidRPr="0044251E" w:rsidRDefault="00616E8C" w:rsidP="00A375C0">
      <w:pPr>
        <w:pStyle w:val="Heading3nonumber"/>
      </w:pPr>
      <w:bookmarkStart w:id="662" w:name="_Toc525122121"/>
      <w:r>
        <w:t>WorkCover WA</w:t>
      </w:r>
      <w:r w:rsidR="00BF5B3D" w:rsidRPr="0044251E">
        <w:t xml:space="preserve"> Code of Conduct</w:t>
      </w:r>
      <w:bookmarkEnd w:id="660"/>
      <w:bookmarkEnd w:id="661"/>
      <w:bookmarkEnd w:id="662"/>
      <w:r w:rsidR="00BF5B3D" w:rsidRPr="0044251E">
        <w:t xml:space="preserve"> </w:t>
      </w:r>
    </w:p>
    <w:p w14:paraId="7EEA6BD4" w14:textId="7625CA83" w:rsidR="00421991" w:rsidRPr="006C458A" w:rsidRDefault="00A9588E" w:rsidP="00A9588E">
      <w:bookmarkStart w:id="663" w:name="_Toc426617594"/>
      <w:bookmarkStart w:id="664" w:name="_Toc450900822"/>
      <w:r>
        <w:t>There were no claims lodged in 2017/18 relating to the WorkCover WA Code of Conduct.</w:t>
      </w:r>
    </w:p>
    <w:p w14:paraId="1DE6D08C" w14:textId="0971E6C1" w:rsidR="00C33D24" w:rsidRDefault="00C33D24" w:rsidP="006A7CD2">
      <w:pPr>
        <w:pStyle w:val="Heading3nonumber"/>
      </w:pPr>
      <w:bookmarkStart w:id="665" w:name="_Toc525122122"/>
      <w:r>
        <w:t xml:space="preserve">Public Sector Commissioner’s </w:t>
      </w:r>
      <w:r w:rsidR="0014553D">
        <w:t>Instruction Employment Standard</w:t>
      </w:r>
      <w:bookmarkEnd w:id="663"/>
      <w:bookmarkEnd w:id="664"/>
      <w:bookmarkEnd w:id="665"/>
    </w:p>
    <w:p w14:paraId="20074F8C" w14:textId="5E1AED72" w:rsidR="00554850" w:rsidRPr="006C458A" w:rsidRDefault="00785D48" w:rsidP="00785D48">
      <w:pPr>
        <w:rPr>
          <w:rFonts w:cs="Arial"/>
        </w:rPr>
      </w:pPr>
      <w:bookmarkStart w:id="666" w:name="_Toc426617595"/>
      <w:bookmarkStart w:id="667" w:name="_Toc450900823"/>
      <w:r>
        <w:t xml:space="preserve">There were </w:t>
      </w:r>
      <w:r w:rsidR="00EB5925">
        <w:t>no</w:t>
      </w:r>
      <w:r>
        <w:t xml:space="preserve"> breaches of standard claims against the Employment Standard in 2017/18.</w:t>
      </w:r>
    </w:p>
    <w:p w14:paraId="0A51BFA1" w14:textId="77777777" w:rsidR="0014553D" w:rsidRDefault="0014553D" w:rsidP="00A375C0">
      <w:pPr>
        <w:pStyle w:val="Heading3nonumber"/>
      </w:pPr>
      <w:bookmarkStart w:id="668" w:name="_Toc525122123"/>
      <w:r w:rsidRPr="0014553D">
        <w:t>Grievance Resolution Standard</w:t>
      </w:r>
      <w:bookmarkEnd w:id="666"/>
      <w:bookmarkEnd w:id="667"/>
      <w:bookmarkEnd w:id="668"/>
    </w:p>
    <w:p w14:paraId="23EB4DF0" w14:textId="01F30880" w:rsidR="00D530B0" w:rsidRDefault="00785D48" w:rsidP="00D530B0">
      <w:r>
        <w:t>There were no breaches of standard claims against the Grievance Resolution Standard in 2017/18.</w:t>
      </w:r>
      <w:bookmarkStart w:id="669" w:name="_Toc399317041"/>
      <w:bookmarkStart w:id="670" w:name="_Toc426617596"/>
      <w:bookmarkStart w:id="671" w:name="_Toc450900824"/>
    </w:p>
    <w:p w14:paraId="65F0BE10" w14:textId="77777777" w:rsidR="0014553D" w:rsidRDefault="0014553D" w:rsidP="00A375C0">
      <w:pPr>
        <w:pStyle w:val="Heading2nonumber"/>
      </w:pPr>
      <w:bookmarkStart w:id="672" w:name="_Toc525122124"/>
      <w:r w:rsidRPr="00F75DD8">
        <w:t>Disability Access and Inclusion Plan</w:t>
      </w:r>
      <w:bookmarkEnd w:id="669"/>
      <w:bookmarkEnd w:id="670"/>
      <w:bookmarkEnd w:id="671"/>
      <w:bookmarkEnd w:id="672"/>
    </w:p>
    <w:p w14:paraId="5FB84FD7" w14:textId="796AA080" w:rsidR="0014553D" w:rsidRPr="00413736" w:rsidRDefault="00865D08" w:rsidP="00785D48">
      <w:r>
        <w:t xml:space="preserve">The Agency’s Disability Access and Inclusion Plan is outlined on </w:t>
      </w:r>
      <w:r w:rsidRPr="00C817BE">
        <w:t xml:space="preserve">page </w:t>
      </w:r>
      <w:r w:rsidR="00C817BE" w:rsidRPr="00C817BE">
        <w:t>112</w:t>
      </w:r>
      <w:r w:rsidRPr="00C817BE">
        <w:t xml:space="preserve"> </w:t>
      </w:r>
      <w:r>
        <w:t xml:space="preserve">under </w:t>
      </w:r>
      <w:r w:rsidRPr="008F1034">
        <w:t xml:space="preserve">‘Equality and inclusion’ in </w:t>
      </w:r>
      <w:r w:rsidRPr="008F1034">
        <w:rPr>
          <w:i/>
        </w:rPr>
        <w:t>Section 4: Opportunities and challenges.</w:t>
      </w:r>
    </w:p>
    <w:p w14:paraId="3CDBD7C1" w14:textId="2F267002" w:rsidR="00937627" w:rsidRPr="00CA644D" w:rsidRDefault="00937627" w:rsidP="00A375C0">
      <w:pPr>
        <w:pStyle w:val="Heading2nonumber"/>
      </w:pPr>
      <w:bookmarkStart w:id="673" w:name="_Toc399317042"/>
      <w:bookmarkStart w:id="674" w:name="_Toc426617597"/>
      <w:bookmarkStart w:id="675" w:name="_Toc450900825"/>
      <w:bookmarkStart w:id="676" w:name="_Toc525122125"/>
      <w:r w:rsidRPr="00F75DD8">
        <w:t>Recordkeeping Plan</w:t>
      </w:r>
      <w:bookmarkEnd w:id="673"/>
      <w:bookmarkEnd w:id="674"/>
      <w:bookmarkEnd w:id="675"/>
      <w:bookmarkEnd w:id="676"/>
    </w:p>
    <w:p w14:paraId="72313C4F" w14:textId="77777777" w:rsidR="0057572E" w:rsidRDefault="0057572E" w:rsidP="0057572E">
      <w:bookmarkStart w:id="677" w:name="_Toc426617598"/>
      <w:r>
        <w:t>WorkCover WA is compliant with</w:t>
      </w:r>
      <w:r w:rsidRPr="00222893">
        <w:t xml:space="preserve"> the </w:t>
      </w:r>
      <w:r w:rsidRPr="00222893">
        <w:rPr>
          <w:i/>
        </w:rPr>
        <w:t>State Records Act 2000</w:t>
      </w:r>
      <w:r w:rsidRPr="00222893">
        <w:t xml:space="preserve"> </w:t>
      </w:r>
      <w:r>
        <w:t>requirement</w:t>
      </w:r>
      <w:r w:rsidRPr="00222893">
        <w:t xml:space="preserve"> to have </w:t>
      </w:r>
      <w:r w:rsidRPr="004D5ABE">
        <w:t>a Recordkeeping Plan.</w:t>
      </w:r>
      <w:r>
        <w:t xml:space="preserve"> The plan</w:t>
      </w:r>
      <w:r w:rsidRPr="00222893">
        <w:t xml:space="preserve"> </w:t>
      </w:r>
      <w:r>
        <w:t>provides</w:t>
      </w:r>
      <w:r w:rsidRPr="00222893">
        <w:t xml:space="preserve"> an accurate reflection of the recordkeeping program within the organisation and must be complied with by the organisation and its officers. </w:t>
      </w:r>
    </w:p>
    <w:p w14:paraId="65E3A73F" w14:textId="77777777" w:rsidR="0057572E" w:rsidRPr="00222893" w:rsidRDefault="0057572E" w:rsidP="0057572E">
      <w:r w:rsidRPr="00222893">
        <w:t xml:space="preserve">Under Part 3, Division 4 of the </w:t>
      </w:r>
      <w:r w:rsidRPr="00222893">
        <w:rPr>
          <w:i/>
        </w:rPr>
        <w:t>State Records Act 2000</w:t>
      </w:r>
      <w:r w:rsidRPr="00222893">
        <w:t xml:space="preserve">, the </w:t>
      </w:r>
      <w:r>
        <w:t>organisation must review its Recordkeeping Plan</w:t>
      </w:r>
      <w:r w:rsidRPr="00222893">
        <w:t xml:space="preserve"> every five years or when there is any significant change t</w:t>
      </w:r>
      <w:r>
        <w:t>o the organisation’s functions. WorkCover WA’s Recordkeeping Plan</w:t>
      </w:r>
      <w:r w:rsidRPr="00222893">
        <w:t xml:space="preserve"> was reviewed and u</w:t>
      </w:r>
      <w:r w:rsidRPr="002F616C">
        <w:t>pdated in June 2015 to refle</w:t>
      </w:r>
      <w:r w:rsidRPr="00222893">
        <w:t xml:space="preserve">ct </w:t>
      </w:r>
      <w:r w:rsidRPr="00DB32FC">
        <w:t xml:space="preserve">the Agency’s improved recordkeeping practices resulting from the implementation of an EDRMS. The Recordkeeping Plan was approved by the State Records Commission in August </w:t>
      </w:r>
      <w:r w:rsidRPr="00222893">
        <w:t xml:space="preserve">2015. WorkCover WA has actively used the State Records Commission standards and principles to govern best practice recordkeeping across the Agency. The records management framework provides appropriate service delivery to our customers and stakeholders. </w:t>
      </w:r>
    </w:p>
    <w:p w14:paraId="69940229" w14:textId="77777777" w:rsidR="0057572E" w:rsidRPr="00222893" w:rsidRDefault="0057572E" w:rsidP="0057572E">
      <w:r w:rsidRPr="00222893">
        <w:t xml:space="preserve">WorkCover WA’s </w:t>
      </w:r>
      <w:r>
        <w:t>hierarchy of recordkeeping governance instruments is</w:t>
      </w:r>
      <w:r w:rsidRPr="00222893">
        <w:t>:</w:t>
      </w:r>
    </w:p>
    <w:p w14:paraId="6E23DCC6" w14:textId="77777777" w:rsidR="0057572E" w:rsidRPr="00222893" w:rsidRDefault="0057572E" w:rsidP="00026A6F">
      <w:pPr>
        <w:pStyle w:val="ListParagraph"/>
        <w:numPr>
          <w:ilvl w:val="0"/>
          <w:numId w:val="40"/>
        </w:numPr>
        <w:rPr>
          <w:rFonts w:cs="Arial"/>
        </w:rPr>
      </w:pPr>
      <w:r w:rsidRPr="00222893">
        <w:rPr>
          <w:rFonts w:cs="Arial"/>
        </w:rPr>
        <w:t>WorkCover WA – Vision, Goals</w:t>
      </w:r>
      <w:r>
        <w:rPr>
          <w:rFonts w:cs="Arial"/>
        </w:rPr>
        <w:br/>
      </w:r>
    </w:p>
    <w:p w14:paraId="70D977C3" w14:textId="77777777" w:rsidR="0057572E" w:rsidRPr="00222893" w:rsidRDefault="0057572E" w:rsidP="00026A6F">
      <w:pPr>
        <w:pStyle w:val="ListParagraph"/>
        <w:numPr>
          <w:ilvl w:val="0"/>
          <w:numId w:val="40"/>
        </w:numPr>
        <w:rPr>
          <w:rFonts w:cs="Arial"/>
        </w:rPr>
      </w:pPr>
      <w:r w:rsidRPr="00222893">
        <w:rPr>
          <w:rFonts w:cs="Arial"/>
        </w:rPr>
        <w:t>Governance Framework</w:t>
      </w:r>
      <w:r>
        <w:rPr>
          <w:rFonts w:cs="Arial"/>
        </w:rPr>
        <w:br/>
      </w:r>
    </w:p>
    <w:p w14:paraId="61D459F7" w14:textId="77777777" w:rsidR="0057572E" w:rsidRPr="00222893" w:rsidRDefault="0057572E" w:rsidP="00026A6F">
      <w:pPr>
        <w:pStyle w:val="ListParagraph"/>
        <w:numPr>
          <w:ilvl w:val="0"/>
          <w:numId w:val="40"/>
        </w:numPr>
        <w:rPr>
          <w:rFonts w:cs="Arial"/>
        </w:rPr>
      </w:pPr>
      <w:r w:rsidRPr="00222893">
        <w:rPr>
          <w:rFonts w:cs="Arial"/>
        </w:rPr>
        <w:t>Recordkeeping Plan</w:t>
      </w:r>
      <w:r>
        <w:rPr>
          <w:rFonts w:cs="Arial"/>
        </w:rPr>
        <w:br/>
      </w:r>
    </w:p>
    <w:p w14:paraId="2A8C48C0" w14:textId="77777777" w:rsidR="0057572E" w:rsidRPr="00222893" w:rsidRDefault="0057572E" w:rsidP="00026A6F">
      <w:pPr>
        <w:pStyle w:val="ListParagraph"/>
        <w:numPr>
          <w:ilvl w:val="0"/>
          <w:numId w:val="40"/>
        </w:numPr>
        <w:rPr>
          <w:rFonts w:cs="Arial"/>
        </w:rPr>
      </w:pPr>
      <w:r w:rsidRPr="00222893">
        <w:rPr>
          <w:rFonts w:cs="Arial"/>
        </w:rPr>
        <w:t>Records Management Policy, Freedom of Information Policy, Intellectual Property Policy</w:t>
      </w:r>
      <w:r>
        <w:rPr>
          <w:rFonts w:cs="Arial"/>
        </w:rPr>
        <w:br/>
      </w:r>
    </w:p>
    <w:p w14:paraId="55967B24" w14:textId="1C33888A" w:rsidR="0057572E" w:rsidRPr="0057572E" w:rsidRDefault="0057572E" w:rsidP="00026A6F">
      <w:pPr>
        <w:pStyle w:val="ListParagraph"/>
        <w:numPr>
          <w:ilvl w:val="0"/>
          <w:numId w:val="40"/>
        </w:numPr>
        <w:rPr>
          <w:rFonts w:cs="Arial"/>
        </w:rPr>
      </w:pPr>
      <w:r w:rsidRPr="00222893">
        <w:rPr>
          <w:rFonts w:cs="Arial"/>
        </w:rPr>
        <w:t>Records Management Guidelines and Procedures (including awareness, training and induction material).</w:t>
      </w:r>
      <w:r>
        <w:rPr>
          <w:rFonts w:cs="Arial"/>
        </w:rPr>
        <w:br/>
      </w:r>
    </w:p>
    <w:p w14:paraId="3E318B94" w14:textId="10E2282C" w:rsidR="00C66763" w:rsidRPr="0057572E" w:rsidRDefault="0057572E" w:rsidP="0057572E">
      <w:pPr>
        <w:rPr>
          <w:rFonts w:cs="Arial"/>
        </w:rPr>
      </w:pPr>
      <w:r>
        <w:rPr>
          <w:rFonts w:cs="Arial"/>
        </w:rPr>
        <w:t>WorkCover WA’s Records Management Policy was updated in October 2017.</w:t>
      </w:r>
    </w:p>
    <w:p w14:paraId="539F6F5C" w14:textId="77777777" w:rsidR="00BB3984" w:rsidRPr="00222893" w:rsidRDefault="00BB3984" w:rsidP="00BB3984">
      <w:pPr>
        <w:pStyle w:val="ListParagraph"/>
        <w:rPr>
          <w:rFonts w:eastAsiaTheme="minorHAnsi" w:cs="Arial"/>
        </w:rPr>
      </w:pPr>
    </w:p>
    <w:tbl>
      <w:tblPr>
        <w:tblW w:w="9356"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CellMar>
          <w:left w:w="0" w:type="dxa"/>
          <w:right w:w="0" w:type="dxa"/>
        </w:tblCellMar>
        <w:tblLook w:val="04A0" w:firstRow="1" w:lastRow="0" w:firstColumn="1" w:lastColumn="0" w:noHBand="0" w:noVBand="1"/>
        <w:tblCaption w:val="Table 46: WorkCover WA record figures"/>
        <w:tblDescription w:val="This table outlines the number of documents, files and storage boxes created at WorkCover WA in 2017/18 and compares them to the two previous financial years. "/>
      </w:tblPr>
      <w:tblGrid>
        <w:gridCol w:w="2366"/>
        <w:gridCol w:w="2312"/>
        <w:gridCol w:w="2410"/>
        <w:gridCol w:w="2268"/>
      </w:tblGrid>
      <w:tr w:rsidR="00BB3984" w14:paraId="1556CC37" w14:textId="77777777" w:rsidTr="008F1034">
        <w:tc>
          <w:tcPr>
            <w:tcW w:w="9356" w:type="dxa"/>
            <w:gridSpan w:val="4"/>
            <w:shd w:val="clear" w:color="auto" w:fill="003F5F"/>
            <w:tcMar>
              <w:top w:w="0" w:type="dxa"/>
              <w:left w:w="108" w:type="dxa"/>
              <w:bottom w:w="0" w:type="dxa"/>
              <w:right w:w="108" w:type="dxa"/>
            </w:tcMar>
            <w:vAlign w:val="center"/>
          </w:tcPr>
          <w:p w14:paraId="388D071E" w14:textId="6D1ABA4A" w:rsidR="00BB3984" w:rsidRPr="00D52E68" w:rsidRDefault="00413736" w:rsidP="008F1034">
            <w:pPr>
              <w:rPr>
                <w:rStyle w:val="Strong"/>
                <w:color w:val="FFFFFF" w:themeColor="background1"/>
              </w:rPr>
            </w:pPr>
            <w:r w:rsidRPr="008F1034">
              <w:rPr>
                <w:rStyle w:val="Strong"/>
                <w:color w:val="FFFFFF" w:themeColor="background1"/>
              </w:rPr>
              <w:t xml:space="preserve">Table </w:t>
            </w:r>
            <w:r w:rsidR="00E52EA5" w:rsidRPr="008F1034">
              <w:rPr>
                <w:rStyle w:val="Strong"/>
                <w:color w:val="FFFFFF" w:themeColor="background1"/>
              </w:rPr>
              <w:t>4</w:t>
            </w:r>
            <w:r w:rsidR="008F1034" w:rsidRPr="008F1034">
              <w:rPr>
                <w:rStyle w:val="Strong"/>
                <w:color w:val="FFFFFF" w:themeColor="background1"/>
              </w:rPr>
              <w:t>6</w:t>
            </w:r>
            <w:r w:rsidR="00BB3984" w:rsidRPr="008F1034">
              <w:rPr>
                <w:rStyle w:val="Strong"/>
                <w:color w:val="FFFFFF" w:themeColor="background1"/>
              </w:rPr>
              <w:t xml:space="preserve">: </w:t>
            </w:r>
            <w:r w:rsidR="00BB3984" w:rsidRPr="0057572E">
              <w:rPr>
                <w:rStyle w:val="Strong"/>
                <w:color w:val="FFFFFF" w:themeColor="background1"/>
              </w:rPr>
              <w:t xml:space="preserve">WorkCover WA Record Figures </w:t>
            </w:r>
          </w:p>
        </w:tc>
      </w:tr>
      <w:tr w:rsidR="00BB3984" w14:paraId="6813865A" w14:textId="77777777" w:rsidTr="008F1034">
        <w:tc>
          <w:tcPr>
            <w:tcW w:w="2366" w:type="dxa"/>
            <w:shd w:val="clear" w:color="auto" w:fill="CEDCE8"/>
            <w:tcMar>
              <w:top w:w="0" w:type="dxa"/>
              <w:left w:w="108" w:type="dxa"/>
              <w:bottom w:w="0" w:type="dxa"/>
              <w:right w:w="108" w:type="dxa"/>
            </w:tcMar>
            <w:vAlign w:val="center"/>
          </w:tcPr>
          <w:p w14:paraId="3DE503F1" w14:textId="77777777" w:rsidR="00BB3984" w:rsidRPr="00466E1C" w:rsidRDefault="00BB3984" w:rsidP="005611A3">
            <w:pPr>
              <w:rPr>
                <w:rFonts w:cs="Arial"/>
                <w:b/>
              </w:rPr>
            </w:pPr>
            <w:r w:rsidRPr="00466E1C">
              <w:rPr>
                <w:rFonts w:cs="Arial"/>
                <w:b/>
              </w:rPr>
              <w:t>Record Type</w:t>
            </w:r>
          </w:p>
        </w:tc>
        <w:tc>
          <w:tcPr>
            <w:tcW w:w="2312" w:type="dxa"/>
            <w:shd w:val="clear" w:color="auto" w:fill="CEDCE8"/>
            <w:tcMar>
              <w:top w:w="0" w:type="dxa"/>
              <w:left w:w="108" w:type="dxa"/>
              <w:bottom w:w="0" w:type="dxa"/>
              <w:right w:w="108" w:type="dxa"/>
            </w:tcMar>
            <w:vAlign w:val="center"/>
            <w:hideMark/>
          </w:tcPr>
          <w:p w14:paraId="15D5039A" w14:textId="78450FAA" w:rsidR="00BB3984" w:rsidRPr="00466E1C" w:rsidRDefault="00413736" w:rsidP="005611A3">
            <w:pPr>
              <w:jc w:val="right"/>
              <w:rPr>
                <w:rStyle w:val="Strong"/>
              </w:rPr>
            </w:pPr>
            <w:r>
              <w:rPr>
                <w:rStyle w:val="Strong"/>
              </w:rPr>
              <w:t>2015/16</w:t>
            </w:r>
          </w:p>
        </w:tc>
        <w:tc>
          <w:tcPr>
            <w:tcW w:w="2410" w:type="dxa"/>
            <w:shd w:val="clear" w:color="auto" w:fill="CEDCE8"/>
            <w:tcMar>
              <w:top w:w="0" w:type="dxa"/>
              <w:left w:w="108" w:type="dxa"/>
              <w:bottom w:w="0" w:type="dxa"/>
              <w:right w:w="108" w:type="dxa"/>
            </w:tcMar>
            <w:vAlign w:val="center"/>
            <w:hideMark/>
          </w:tcPr>
          <w:p w14:paraId="27F7F6A0" w14:textId="3572CAC4" w:rsidR="00BB3984" w:rsidRPr="00466E1C" w:rsidRDefault="00413736" w:rsidP="005611A3">
            <w:pPr>
              <w:jc w:val="right"/>
              <w:rPr>
                <w:rStyle w:val="Strong"/>
              </w:rPr>
            </w:pPr>
            <w:r>
              <w:rPr>
                <w:rStyle w:val="Strong"/>
              </w:rPr>
              <w:t>2016/17</w:t>
            </w:r>
          </w:p>
        </w:tc>
        <w:tc>
          <w:tcPr>
            <w:tcW w:w="2268" w:type="dxa"/>
            <w:shd w:val="clear" w:color="auto" w:fill="CEDCE8"/>
            <w:tcMar>
              <w:top w:w="0" w:type="dxa"/>
              <w:left w:w="108" w:type="dxa"/>
              <w:bottom w:w="0" w:type="dxa"/>
              <w:right w:w="108" w:type="dxa"/>
            </w:tcMar>
            <w:vAlign w:val="center"/>
            <w:hideMark/>
          </w:tcPr>
          <w:p w14:paraId="6EBD1D22" w14:textId="717DC346" w:rsidR="00BB3984" w:rsidRPr="00466E1C" w:rsidRDefault="00413736" w:rsidP="005611A3">
            <w:pPr>
              <w:jc w:val="right"/>
              <w:rPr>
                <w:rStyle w:val="Strong"/>
              </w:rPr>
            </w:pPr>
            <w:r>
              <w:rPr>
                <w:rStyle w:val="Strong"/>
              </w:rPr>
              <w:t>2017/18</w:t>
            </w:r>
          </w:p>
        </w:tc>
      </w:tr>
      <w:tr w:rsidR="00BB3984" w14:paraId="55B2CE4C" w14:textId="77777777" w:rsidTr="008F1034">
        <w:trPr>
          <w:trHeight w:val="683"/>
        </w:trPr>
        <w:tc>
          <w:tcPr>
            <w:tcW w:w="2366" w:type="dxa"/>
            <w:shd w:val="clear" w:color="auto" w:fill="CEDCE8"/>
            <w:tcMar>
              <w:top w:w="0" w:type="dxa"/>
              <w:left w:w="108" w:type="dxa"/>
              <w:bottom w:w="0" w:type="dxa"/>
              <w:right w:w="108" w:type="dxa"/>
            </w:tcMar>
            <w:vAlign w:val="center"/>
            <w:hideMark/>
          </w:tcPr>
          <w:p w14:paraId="50162534" w14:textId="77777777" w:rsidR="00BB3984" w:rsidRPr="00466E1C" w:rsidRDefault="00BB3984" w:rsidP="005611A3">
            <w:pPr>
              <w:rPr>
                <w:rStyle w:val="Strong"/>
              </w:rPr>
            </w:pPr>
            <w:r>
              <w:rPr>
                <w:rStyle w:val="Strong"/>
              </w:rPr>
              <w:t>Documents c</w:t>
            </w:r>
            <w:r w:rsidRPr="00466E1C">
              <w:rPr>
                <w:rStyle w:val="Strong"/>
              </w:rPr>
              <w:t>reated</w:t>
            </w:r>
          </w:p>
        </w:tc>
        <w:tc>
          <w:tcPr>
            <w:tcW w:w="2312" w:type="dxa"/>
            <w:tcMar>
              <w:top w:w="0" w:type="dxa"/>
              <w:left w:w="108" w:type="dxa"/>
              <w:bottom w:w="0" w:type="dxa"/>
              <w:right w:w="108" w:type="dxa"/>
            </w:tcMar>
            <w:vAlign w:val="center"/>
            <w:hideMark/>
          </w:tcPr>
          <w:p w14:paraId="7C9E150D" w14:textId="5600B5D3" w:rsidR="00BB3984" w:rsidRPr="0057572E" w:rsidRDefault="0057572E" w:rsidP="005611A3">
            <w:pPr>
              <w:jc w:val="right"/>
            </w:pPr>
            <w:r w:rsidRPr="0057572E">
              <w:t>184,452</w:t>
            </w:r>
          </w:p>
        </w:tc>
        <w:tc>
          <w:tcPr>
            <w:tcW w:w="2410" w:type="dxa"/>
            <w:tcMar>
              <w:top w:w="0" w:type="dxa"/>
              <w:left w:w="108" w:type="dxa"/>
              <w:bottom w:w="0" w:type="dxa"/>
              <w:right w:w="108" w:type="dxa"/>
            </w:tcMar>
            <w:vAlign w:val="center"/>
            <w:hideMark/>
          </w:tcPr>
          <w:p w14:paraId="579A99C5" w14:textId="4FCC66F0" w:rsidR="00BB3984" w:rsidRPr="0057572E" w:rsidRDefault="0057572E" w:rsidP="005611A3">
            <w:pPr>
              <w:jc w:val="right"/>
            </w:pPr>
            <w:r w:rsidRPr="0057572E">
              <w:t>249,319</w:t>
            </w:r>
          </w:p>
        </w:tc>
        <w:tc>
          <w:tcPr>
            <w:tcW w:w="2268" w:type="dxa"/>
            <w:shd w:val="clear" w:color="auto" w:fill="auto"/>
            <w:tcMar>
              <w:top w:w="0" w:type="dxa"/>
              <w:left w:w="108" w:type="dxa"/>
              <w:bottom w:w="0" w:type="dxa"/>
              <w:right w:w="108" w:type="dxa"/>
            </w:tcMar>
            <w:vAlign w:val="center"/>
            <w:hideMark/>
          </w:tcPr>
          <w:p w14:paraId="6109F2C1" w14:textId="404B21E8" w:rsidR="00BB3984" w:rsidRPr="00EB5925" w:rsidRDefault="00EB5925" w:rsidP="005611A3">
            <w:pPr>
              <w:jc w:val="right"/>
            </w:pPr>
            <w:r w:rsidRPr="00EB5925">
              <w:t>198,423</w:t>
            </w:r>
          </w:p>
        </w:tc>
      </w:tr>
      <w:tr w:rsidR="00BB3984" w14:paraId="029FE302" w14:textId="77777777" w:rsidTr="008F1034">
        <w:trPr>
          <w:trHeight w:val="199"/>
        </w:trPr>
        <w:tc>
          <w:tcPr>
            <w:tcW w:w="2366" w:type="dxa"/>
            <w:shd w:val="clear" w:color="auto" w:fill="CEDCE8"/>
            <w:tcMar>
              <w:top w:w="0" w:type="dxa"/>
              <w:left w:w="108" w:type="dxa"/>
              <w:bottom w:w="0" w:type="dxa"/>
              <w:right w:w="108" w:type="dxa"/>
            </w:tcMar>
            <w:vAlign w:val="center"/>
            <w:hideMark/>
          </w:tcPr>
          <w:p w14:paraId="47A120EF" w14:textId="77777777" w:rsidR="00BB3984" w:rsidRPr="00466E1C" w:rsidRDefault="00BB3984" w:rsidP="005611A3">
            <w:pPr>
              <w:rPr>
                <w:rStyle w:val="Strong"/>
              </w:rPr>
            </w:pPr>
            <w:r>
              <w:rPr>
                <w:rStyle w:val="Strong"/>
              </w:rPr>
              <w:t>Files c</w:t>
            </w:r>
            <w:r w:rsidRPr="00466E1C">
              <w:rPr>
                <w:rStyle w:val="Strong"/>
              </w:rPr>
              <w:t>reated</w:t>
            </w:r>
          </w:p>
        </w:tc>
        <w:tc>
          <w:tcPr>
            <w:tcW w:w="2312" w:type="dxa"/>
            <w:tcMar>
              <w:top w:w="0" w:type="dxa"/>
              <w:left w:w="108" w:type="dxa"/>
              <w:bottom w:w="0" w:type="dxa"/>
              <w:right w:w="108" w:type="dxa"/>
            </w:tcMar>
            <w:vAlign w:val="center"/>
            <w:hideMark/>
          </w:tcPr>
          <w:p w14:paraId="0B795D2D" w14:textId="300C39FA" w:rsidR="00BB3984" w:rsidRPr="0057572E" w:rsidRDefault="0057572E" w:rsidP="005611A3">
            <w:pPr>
              <w:jc w:val="right"/>
            </w:pPr>
            <w:r w:rsidRPr="0057572E">
              <w:t>14,048</w:t>
            </w:r>
          </w:p>
        </w:tc>
        <w:tc>
          <w:tcPr>
            <w:tcW w:w="2410" w:type="dxa"/>
            <w:tcMar>
              <w:top w:w="0" w:type="dxa"/>
              <w:left w:w="108" w:type="dxa"/>
              <w:bottom w:w="0" w:type="dxa"/>
              <w:right w:w="108" w:type="dxa"/>
            </w:tcMar>
            <w:vAlign w:val="center"/>
            <w:hideMark/>
          </w:tcPr>
          <w:p w14:paraId="49F82D7C" w14:textId="7C04A1D3" w:rsidR="00BB3984" w:rsidRPr="0057572E" w:rsidRDefault="0057572E" w:rsidP="005611A3">
            <w:pPr>
              <w:jc w:val="right"/>
            </w:pPr>
            <w:r w:rsidRPr="0057572E">
              <w:t>12,861</w:t>
            </w:r>
          </w:p>
        </w:tc>
        <w:tc>
          <w:tcPr>
            <w:tcW w:w="2268" w:type="dxa"/>
            <w:shd w:val="clear" w:color="auto" w:fill="auto"/>
            <w:tcMar>
              <w:top w:w="0" w:type="dxa"/>
              <w:left w:w="108" w:type="dxa"/>
              <w:bottom w:w="0" w:type="dxa"/>
              <w:right w:w="108" w:type="dxa"/>
            </w:tcMar>
            <w:vAlign w:val="center"/>
            <w:hideMark/>
          </w:tcPr>
          <w:p w14:paraId="50F5D958" w14:textId="203CC525" w:rsidR="00BB3984" w:rsidRPr="00EB5925" w:rsidRDefault="00EB5925" w:rsidP="005611A3">
            <w:pPr>
              <w:jc w:val="right"/>
            </w:pPr>
            <w:r w:rsidRPr="00EB5925">
              <w:t>14,653</w:t>
            </w:r>
          </w:p>
        </w:tc>
      </w:tr>
      <w:tr w:rsidR="00BB3984" w14:paraId="477EDDD6" w14:textId="77777777" w:rsidTr="008F1034">
        <w:trPr>
          <w:trHeight w:val="642"/>
        </w:trPr>
        <w:tc>
          <w:tcPr>
            <w:tcW w:w="2366" w:type="dxa"/>
            <w:shd w:val="clear" w:color="auto" w:fill="CEDCE8"/>
            <w:tcMar>
              <w:top w:w="0" w:type="dxa"/>
              <w:left w:w="108" w:type="dxa"/>
              <w:bottom w:w="0" w:type="dxa"/>
              <w:right w:w="108" w:type="dxa"/>
            </w:tcMar>
            <w:vAlign w:val="center"/>
            <w:hideMark/>
          </w:tcPr>
          <w:p w14:paraId="4AD475A1" w14:textId="77777777" w:rsidR="00BB3984" w:rsidRPr="00466E1C" w:rsidRDefault="00BB3984" w:rsidP="005611A3">
            <w:pPr>
              <w:rPr>
                <w:rStyle w:val="Strong"/>
              </w:rPr>
            </w:pPr>
            <w:r>
              <w:rPr>
                <w:rStyle w:val="Strong"/>
              </w:rPr>
              <w:t>Storage b</w:t>
            </w:r>
            <w:r w:rsidRPr="00466E1C">
              <w:rPr>
                <w:rStyle w:val="Strong"/>
              </w:rPr>
              <w:t xml:space="preserve">oxes </w:t>
            </w:r>
            <w:r>
              <w:rPr>
                <w:rStyle w:val="Strong"/>
              </w:rPr>
              <w:t>c</w:t>
            </w:r>
            <w:r w:rsidRPr="00466E1C">
              <w:rPr>
                <w:rStyle w:val="Strong"/>
              </w:rPr>
              <w:t>reated</w:t>
            </w:r>
          </w:p>
        </w:tc>
        <w:tc>
          <w:tcPr>
            <w:tcW w:w="2312" w:type="dxa"/>
            <w:tcMar>
              <w:top w:w="0" w:type="dxa"/>
              <w:left w:w="108" w:type="dxa"/>
              <w:bottom w:w="0" w:type="dxa"/>
              <w:right w:w="108" w:type="dxa"/>
            </w:tcMar>
            <w:vAlign w:val="center"/>
            <w:hideMark/>
          </w:tcPr>
          <w:p w14:paraId="53B17A48" w14:textId="38324903" w:rsidR="00BB3984" w:rsidRPr="0057572E" w:rsidRDefault="0057572E" w:rsidP="005611A3">
            <w:pPr>
              <w:jc w:val="right"/>
            </w:pPr>
            <w:r w:rsidRPr="0057572E">
              <w:t>797</w:t>
            </w:r>
          </w:p>
        </w:tc>
        <w:tc>
          <w:tcPr>
            <w:tcW w:w="2410" w:type="dxa"/>
            <w:tcMar>
              <w:top w:w="0" w:type="dxa"/>
              <w:left w:w="108" w:type="dxa"/>
              <w:bottom w:w="0" w:type="dxa"/>
              <w:right w:w="108" w:type="dxa"/>
            </w:tcMar>
            <w:vAlign w:val="center"/>
            <w:hideMark/>
          </w:tcPr>
          <w:p w14:paraId="5AACF000" w14:textId="23012707" w:rsidR="00BB3984" w:rsidRPr="0057572E" w:rsidRDefault="0057572E" w:rsidP="005611A3">
            <w:pPr>
              <w:jc w:val="right"/>
            </w:pPr>
            <w:r w:rsidRPr="0057572E">
              <w:t>2,096*</w:t>
            </w:r>
          </w:p>
        </w:tc>
        <w:tc>
          <w:tcPr>
            <w:tcW w:w="2268" w:type="dxa"/>
            <w:shd w:val="clear" w:color="auto" w:fill="auto"/>
            <w:tcMar>
              <w:top w:w="0" w:type="dxa"/>
              <w:left w:w="108" w:type="dxa"/>
              <w:bottom w:w="0" w:type="dxa"/>
              <w:right w:w="108" w:type="dxa"/>
            </w:tcMar>
            <w:vAlign w:val="center"/>
            <w:hideMark/>
          </w:tcPr>
          <w:p w14:paraId="378013A8" w14:textId="4E181CF3" w:rsidR="00BB3984" w:rsidRPr="00EB5925" w:rsidRDefault="00EB5925" w:rsidP="005611A3">
            <w:pPr>
              <w:jc w:val="right"/>
            </w:pPr>
            <w:r w:rsidRPr="00EB5925">
              <w:t>989</w:t>
            </w:r>
          </w:p>
        </w:tc>
      </w:tr>
    </w:tbl>
    <w:p w14:paraId="2DFFD1F8" w14:textId="201BCA52" w:rsidR="00BB3984" w:rsidRPr="003C2D82" w:rsidRDefault="00BB3984" w:rsidP="00BB3984">
      <w:pPr>
        <w:rPr>
          <w:i/>
        </w:rPr>
      </w:pPr>
      <w:r>
        <w:t xml:space="preserve"> </w:t>
      </w:r>
      <w:r>
        <w:br/>
      </w:r>
      <w:r w:rsidR="0057572E" w:rsidRPr="003C2D82">
        <w:rPr>
          <w:i/>
        </w:rPr>
        <w:t>*During 2016/17 WorkCover WA located approximately 1,000 previously unrecorded archive boxes from failed insurer HIH and the Sta</w:t>
      </w:r>
      <w:r w:rsidR="003C2D82" w:rsidRPr="003C2D82">
        <w:rPr>
          <w:i/>
        </w:rPr>
        <w:t>te Archives. Archiving of dispute case management files was also undertaken and this has increased the amount of boxes created for offsite storage.</w:t>
      </w:r>
    </w:p>
    <w:p w14:paraId="64329A8F" w14:textId="0BAA329A" w:rsidR="00A375C0" w:rsidRPr="00BB3984" w:rsidRDefault="00BF5B3D" w:rsidP="00BB3984">
      <w:pPr>
        <w:pStyle w:val="Heading3nonumber"/>
      </w:pPr>
      <w:bookmarkStart w:id="678" w:name="_Toc450900826"/>
      <w:bookmarkStart w:id="679" w:name="_Toc525122126"/>
      <w:r w:rsidRPr="00F75DD8">
        <w:t xml:space="preserve">Report against </w:t>
      </w:r>
      <w:r w:rsidR="00616E8C">
        <w:t>WorkCover WA</w:t>
      </w:r>
      <w:r w:rsidRPr="00F75DD8">
        <w:t xml:space="preserve"> Recordkeeping Plan</w:t>
      </w:r>
      <w:bookmarkEnd w:id="677"/>
      <w:bookmarkEnd w:id="678"/>
      <w:bookmarkEnd w:id="679"/>
    </w:p>
    <w:p w14:paraId="3D04DEBB" w14:textId="77777777" w:rsidR="00A05C3C" w:rsidRPr="0041618E" w:rsidRDefault="00A05C3C" w:rsidP="0041618E">
      <w:pPr>
        <w:rPr>
          <w:rStyle w:val="Strong"/>
          <w:rFonts w:cs="Arial"/>
          <w:color w:val="FF0000"/>
        </w:rPr>
      </w:pPr>
      <w:r w:rsidRPr="00965ACC">
        <w:rPr>
          <w:rStyle w:val="Strong"/>
          <w:rFonts w:cs="Arial"/>
        </w:rPr>
        <w:t>Evaluation of the efficiency and effectiveness of the organisation’s recordkeeping systems</w:t>
      </w:r>
    </w:p>
    <w:p w14:paraId="7EE17BBB" w14:textId="77777777" w:rsidR="00A05C3C" w:rsidRPr="00965ACC" w:rsidRDefault="00A05C3C" w:rsidP="00516112">
      <w:r w:rsidRPr="00965ACC">
        <w:t xml:space="preserve">WorkCover WA is committed to implementing industry best practice for its recordkeeping and compliance processes and systems. As per Section 19 of the </w:t>
      </w:r>
      <w:r w:rsidRPr="001B06FE">
        <w:rPr>
          <w:i/>
        </w:rPr>
        <w:t>State Records Act 2000</w:t>
      </w:r>
      <w:r w:rsidRPr="00965ACC">
        <w:t>, WorkCover WA has an approved Recordkeeping Plan that is valid until 2020.</w:t>
      </w:r>
    </w:p>
    <w:p w14:paraId="2B549FEF" w14:textId="77777777" w:rsidR="00A05C3C" w:rsidRPr="00965ACC" w:rsidRDefault="00A05C3C" w:rsidP="00516112">
      <w:r w:rsidRPr="00965ACC">
        <w:t xml:space="preserve">In 2017/18, WorkCover WA undertook an upgrade </w:t>
      </w:r>
      <w:r w:rsidRPr="008F1034">
        <w:t xml:space="preserve">of its EDRMS system to ensure up to date functionality is available to staff at WorkCover WA. This </w:t>
      </w:r>
      <w:r w:rsidRPr="00965ACC">
        <w:t xml:space="preserve">upgrade has enabled WorkCover WA to be dynamic in its approach to document management including the development and implementation of relevant workflows to provide best practice records management. </w:t>
      </w:r>
    </w:p>
    <w:p w14:paraId="688855FC" w14:textId="77777777" w:rsidR="00A05C3C" w:rsidRPr="00965ACC" w:rsidRDefault="00A05C3C" w:rsidP="00516112">
      <w:r w:rsidRPr="00965ACC">
        <w:t>Recently WorkCover WA implemented a workflow solution to better manage the retention and disposal of WorkCover WA records. This approach has ensured that WorkCover WA records are continually assessed and disposed of as appropriate and in accordance with</w:t>
      </w:r>
      <w:r>
        <w:t xml:space="preserve"> relevant disposal authorities.</w:t>
      </w:r>
    </w:p>
    <w:p w14:paraId="51578D4C" w14:textId="77777777" w:rsidR="00A05C3C" w:rsidRPr="00516112" w:rsidRDefault="00A05C3C" w:rsidP="0041618E">
      <w:pPr>
        <w:rPr>
          <w:rStyle w:val="Strong"/>
          <w:b w:val="0"/>
          <w:bCs w:val="0"/>
        </w:rPr>
      </w:pPr>
      <w:r w:rsidRPr="00965ACC">
        <w:t>WorkCover WA is committed to working towards best practice information management inclusive of identifying, evaluating, monitoring and managing strategies to support digital continuity.</w:t>
      </w:r>
    </w:p>
    <w:p w14:paraId="26D473E7" w14:textId="77777777" w:rsidR="00A05C3C" w:rsidRPr="00202285" w:rsidRDefault="00A05C3C" w:rsidP="00522089">
      <w:pPr>
        <w:rPr>
          <w:rStyle w:val="Strong"/>
          <w:color w:val="FF0000"/>
        </w:rPr>
      </w:pPr>
      <w:r w:rsidRPr="00965ACC">
        <w:rPr>
          <w:rStyle w:val="Strong"/>
        </w:rPr>
        <w:t>The nature and extent of the recordkeeping training program conducted by or for the organisation</w:t>
      </w:r>
    </w:p>
    <w:p w14:paraId="3F6F2FD9" w14:textId="77777777" w:rsidR="00A05C3C" w:rsidRPr="00965ACC" w:rsidRDefault="00A05C3C" w:rsidP="00516112">
      <w:pPr>
        <w:rPr>
          <w:lang w:val="en-GB" w:eastAsia="en-AU"/>
        </w:rPr>
      </w:pPr>
      <w:r w:rsidRPr="00965ACC">
        <w:rPr>
          <w:lang w:val="en-GB" w:eastAsia="en-AU"/>
        </w:rPr>
        <w:t xml:space="preserve">At WorkCover WA recordkeeping training is conducted through the Records Management training module within the Agency’s online induction program and through a stand-alone records management course. </w:t>
      </w:r>
    </w:p>
    <w:p w14:paraId="2983BCF4" w14:textId="0C9D5BB5" w:rsidR="00A05C3C" w:rsidRPr="00C817BE" w:rsidRDefault="00A05C3C" w:rsidP="00522089">
      <w:pPr>
        <w:rPr>
          <w:rStyle w:val="Strong"/>
          <w:b w:val="0"/>
          <w:bCs w:val="0"/>
          <w:lang w:val="en-GB" w:eastAsia="en-AU"/>
        </w:rPr>
      </w:pPr>
      <w:r w:rsidRPr="00965ACC">
        <w:rPr>
          <w:lang w:val="en-GB" w:eastAsia="en-AU"/>
        </w:rPr>
        <w:t xml:space="preserve">In addition to this training, experienced and knowledgeable staff are available to provide recordkeeping advice </w:t>
      </w:r>
      <w:r>
        <w:rPr>
          <w:lang w:val="en-GB" w:eastAsia="en-AU"/>
        </w:rPr>
        <w:t>and EDRMS training on a one-on-</w:t>
      </w:r>
      <w:r w:rsidRPr="00965ACC">
        <w:rPr>
          <w:lang w:val="en-GB" w:eastAsia="en-AU"/>
        </w:rPr>
        <w:t xml:space="preserve">one, ad hoc or project basis. Recordkeeping policies, procedures and </w:t>
      </w:r>
      <w:r>
        <w:rPr>
          <w:lang w:val="en-GB" w:eastAsia="en-AU"/>
        </w:rPr>
        <w:t>EDRMS</w:t>
      </w:r>
      <w:r w:rsidRPr="00965ACC">
        <w:rPr>
          <w:lang w:val="en-GB" w:eastAsia="en-AU"/>
        </w:rPr>
        <w:t xml:space="preserve"> tips are also available to staff via the WorkCover WA intranet.</w:t>
      </w:r>
      <w:r w:rsidR="00C817BE">
        <w:rPr>
          <w:rStyle w:val="Strong"/>
          <w:b w:val="0"/>
          <w:bCs w:val="0"/>
          <w:lang w:val="en-GB" w:eastAsia="en-AU"/>
        </w:rPr>
        <w:br/>
      </w:r>
      <w:r w:rsidR="005B6DC0">
        <w:rPr>
          <w:rStyle w:val="Strong"/>
        </w:rPr>
        <w:br/>
      </w:r>
      <w:r w:rsidRPr="00965ACC">
        <w:rPr>
          <w:rStyle w:val="Strong"/>
        </w:rPr>
        <w:t>Review of the efficiency and effectiveness of the recordkeeping training program</w:t>
      </w:r>
    </w:p>
    <w:p w14:paraId="3DF4AD0A" w14:textId="77777777" w:rsidR="00A05C3C" w:rsidRDefault="00A05C3C" w:rsidP="00516112">
      <w:r>
        <w:rPr>
          <w:lang w:val="en-GB" w:eastAsia="en-AU"/>
        </w:rPr>
        <w:t xml:space="preserve">In addition to the </w:t>
      </w:r>
      <w:r w:rsidRPr="006F572D">
        <w:rPr>
          <w:rFonts w:cs="Arial"/>
          <w:color w:val="000000"/>
          <w:szCs w:val="22"/>
          <w:lang w:val="en-GB" w:eastAsia="en-AU"/>
        </w:rPr>
        <w:t xml:space="preserve">Records Management training module within the Agency’s online induction program and </w:t>
      </w:r>
      <w:r>
        <w:rPr>
          <w:rFonts w:cs="Arial"/>
          <w:color w:val="000000"/>
          <w:szCs w:val="22"/>
          <w:lang w:val="en-GB" w:eastAsia="en-AU"/>
        </w:rPr>
        <w:t>the</w:t>
      </w:r>
      <w:r w:rsidRPr="006F572D">
        <w:rPr>
          <w:rFonts w:cs="Arial"/>
          <w:color w:val="000000"/>
          <w:szCs w:val="22"/>
          <w:lang w:val="en-GB" w:eastAsia="en-AU"/>
        </w:rPr>
        <w:t xml:space="preserve"> stand-alone records management course</w:t>
      </w:r>
      <w:r>
        <w:rPr>
          <w:lang w:val="en-GB" w:eastAsia="en-AU"/>
        </w:rPr>
        <w:t xml:space="preserve">, </w:t>
      </w:r>
      <w:r w:rsidRPr="009D402D">
        <w:t xml:space="preserve">the Agency </w:t>
      </w:r>
      <w:r>
        <w:t xml:space="preserve">has continued to provide an ongoing </w:t>
      </w:r>
      <w:r w:rsidRPr="009D402D">
        <w:t>education program to assist all staff in gaining greater understanding of specific areas of functionality withi</w:t>
      </w:r>
      <w:r>
        <w:t>n the Agency’s EDRMS relevant to their day</w:t>
      </w:r>
      <w:r>
        <w:noBreakHyphen/>
      </w:r>
      <w:r w:rsidRPr="009D402D">
        <w:t>to-day work</w:t>
      </w:r>
      <w:r>
        <w:t>. This program has enabled the Records Team to provide:</w:t>
      </w:r>
    </w:p>
    <w:p w14:paraId="6E9F2EA6" w14:textId="77777777" w:rsidR="00A05C3C" w:rsidRPr="00450CE2" w:rsidRDefault="00A05C3C" w:rsidP="00450CE2">
      <w:pPr>
        <w:pStyle w:val="BulletListLevel1"/>
      </w:pPr>
      <w:r>
        <w:t>s</w:t>
      </w:r>
      <w:r w:rsidRPr="00450CE2">
        <w:t>pecific advice to business units on managing functional records</w:t>
      </w:r>
    </w:p>
    <w:p w14:paraId="6BCD8439" w14:textId="77777777" w:rsidR="00A05C3C" w:rsidRPr="00450CE2" w:rsidRDefault="00A05C3C" w:rsidP="00450CE2">
      <w:pPr>
        <w:pStyle w:val="BulletListLevel1"/>
      </w:pPr>
      <w:r>
        <w:t>p</w:t>
      </w:r>
      <w:r w:rsidRPr="00450CE2">
        <w:t>roviding training and support to divisional teams and assisting those teams to review and analyse current business practices and enable them to utilise the tools within the EDRMS</w:t>
      </w:r>
    </w:p>
    <w:p w14:paraId="46566A87" w14:textId="77777777" w:rsidR="00A05C3C" w:rsidRPr="00450CE2" w:rsidRDefault="00A05C3C" w:rsidP="00450CE2">
      <w:pPr>
        <w:pStyle w:val="BulletListLevel1"/>
      </w:pPr>
      <w:r>
        <w:t>w</w:t>
      </w:r>
      <w:r w:rsidRPr="00450CE2">
        <w:t>ork with divisional teams to review and identify records</w:t>
      </w:r>
      <w:r>
        <w:t xml:space="preserve"> within existing network drive</w:t>
      </w:r>
      <w:r w:rsidRPr="00450CE2">
        <w:t xml:space="preserve">s with </w:t>
      </w:r>
      <w:r>
        <w:t>the aim to ensure network drive</w:t>
      </w:r>
      <w:r w:rsidRPr="00450CE2">
        <w:t>s are defunct and all core business records are saved and maintained in the EDRMS</w:t>
      </w:r>
      <w:r>
        <w:t>.</w:t>
      </w:r>
    </w:p>
    <w:p w14:paraId="7C41A591" w14:textId="77777777" w:rsidR="00A05C3C" w:rsidRPr="00371CCF" w:rsidRDefault="00A05C3C" w:rsidP="00FC1AE0">
      <w:r>
        <w:t>Staff participation and feedback in these areas has been positive and well received with many agency staff utilising the EDRMS and its many tools in managing their information.</w:t>
      </w:r>
    </w:p>
    <w:p w14:paraId="7D79946C" w14:textId="77777777" w:rsidR="00A05C3C" w:rsidRPr="00202285" w:rsidRDefault="00A05C3C" w:rsidP="00522089">
      <w:pPr>
        <w:rPr>
          <w:rStyle w:val="Strong"/>
          <w:b w:val="0"/>
          <w:color w:val="FF0000"/>
        </w:rPr>
      </w:pPr>
      <w:r w:rsidRPr="00965ACC">
        <w:rPr>
          <w:rStyle w:val="Strong"/>
        </w:rPr>
        <w:t>Assurance that the organisation’s induction program addresses employee roles and responsibilities in regard to their compliance with the organisation’s Recordkeeping Plan</w:t>
      </w:r>
    </w:p>
    <w:p w14:paraId="3C3FF10A" w14:textId="77777777" w:rsidR="00A05C3C" w:rsidRDefault="00A05C3C" w:rsidP="00516112">
      <w:pPr>
        <w:rPr>
          <w:lang w:val="en-GB" w:eastAsia="en-AU"/>
        </w:rPr>
      </w:pPr>
      <w:r w:rsidRPr="006F572D">
        <w:rPr>
          <w:lang w:val="en-GB" w:eastAsia="en-AU"/>
        </w:rPr>
        <w:t>The Records Management induction training module and stand-alone records management course address employee roles and responsibilities t</w:t>
      </w:r>
      <w:r>
        <w:rPr>
          <w:lang w:val="en-GB" w:eastAsia="en-AU"/>
        </w:rPr>
        <w:t>o ensure compliance with the Recordkeeping Plan</w:t>
      </w:r>
      <w:r w:rsidRPr="006F572D">
        <w:rPr>
          <w:lang w:val="en-GB" w:eastAsia="en-AU"/>
        </w:rPr>
        <w:t xml:space="preserve"> and the </w:t>
      </w:r>
      <w:r w:rsidRPr="006F572D">
        <w:rPr>
          <w:i/>
          <w:lang w:val="en-GB" w:eastAsia="en-AU"/>
        </w:rPr>
        <w:t>State Records Act 2000</w:t>
      </w:r>
      <w:r w:rsidRPr="006F572D">
        <w:rPr>
          <w:lang w:val="en-GB" w:eastAsia="en-AU"/>
        </w:rPr>
        <w:t>. The training module and stand-alone course are regularly reviewed to ensure employees are aware of current compliance requirements as relevant to their roles.</w:t>
      </w:r>
    </w:p>
    <w:p w14:paraId="7C0EE592" w14:textId="77777777" w:rsidR="00A05C3C" w:rsidRPr="00202285" w:rsidRDefault="00A05C3C" w:rsidP="00516112">
      <w:pPr>
        <w:rPr>
          <w:rStyle w:val="Strong"/>
          <w:b w:val="0"/>
          <w:color w:val="FF0000"/>
        </w:rPr>
      </w:pPr>
      <w:r w:rsidRPr="009E5523">
        <w:t>Tailored training</w:t>
      </w:r>
      <w:r>
        <w:t xml:space="preserve"> is also </w:t>
      </w:r>
      <w:r w:rsidRPr="009E5523">
        <w:t xml:space="preserve">provided for a divisional area or group. </w:t>
      </w:r>
      <w:r>
        <w:t>In 2017/18 Records staff delivered targeted training for staff dealing with Ministerial correspondence and compliance staff collecting hard copy evidence.</w:t>
      </w:r>
    </w:p>
    <w:p w14:paraId="6D605512" w14:textId="293EC1A7" w:rsidR="00714CBA" w:rsidRPr="004730F5" w:rsidRDefault="00714CBA" w:rsidP="004730F5">
      <w:pPr>
        <w:pStyle w:val="Heading1nonumber"/>
      </w:pPr>
      <w:bookmarkStart w:id="680" w:name="_Toc399317044"/>
      <w:bookmarkStart w:id="681" w:name="_Toc426617599"/>
      <w:bookmarkStart w:id="682" w:name="_Toc450900827"/>
      <w:bookmarkStart w:id="683" w:name="_Toc525122127"/>
      <w:r w:rsidRPr="00F75DD8">
        <w:t xml:space="preserve">Government </w:t>
      </w:r>
      <w:r w:rsidR="002F30AF" w:rsidRPr="00F75DD8">
        <w:t>p</w:t>
      </w:r>
      <w:r w:rsidRPr="00F75DD8">
        <w:t xml:space="preserve">olicy </w:t>
      </w:r>
      <w:r w:rsidR="002F30AF" w:rsidRPr="00F75DD8">
        <w:t>r</w:t>
      </w:r>
      <w:r w:rsidRPr="00F75DD8">
        <w:t>equirements</w:t>
      </w:r>
      <w:bookmarkEnd w:id="680"/>
      <w:bookmarkEnd w:id="681"/>
      <w:bookmarkEnd w:id="682"/>
      <w:bookmarkEnd w:id="683"/>
    </w:p>
    <w:p w14:paraId="23AC8EA6" w14:textId="77777777" w:rsidR="00973F57" w:rsidRDefault="00973F57" w:rsidP="00C00700">
      <w:pPr>
        <w:pStyle w:val="Heading2nonumber"/>
      </w:pPr>
      <w:bookmarkStart w:id="684" w:name="_Toc399317045"/>
      <w:bookmarkStart w:id="685" w:name="_Toc426617600"/>
      <w:bookmarkStart w:id="686" w:name="_Toc450900828"/>
      <w:bookmarkStart w:id="687" w:name="_Toc525122128"/>
      <w:r>
        <w:t>Substantive equality</w:t>
      </w:r>
      <w:bookmarkEnd w:id="684"/>
      <w:bookmarkEnd w:id="685"/>
      <w:bookmarkEnd w:id="686"/>
      <w:bookmarkEnd w:id="687"/>
    </w:p>
    <w:p w14:paraId="2DE93A91" w14:textId="2B315CBD" w:rsidR="00BF5B3D" w:rsidRPr="00413736" w:rsidRDefault="006468F6" w:rsidP="006468F6">
      <w:r>
        <w:t xml:space="preserve">WorkCover WA’s compliance with Public Sector Standards and Ethical Codes is detailed </w:t>
      </w:r>
      <w:r w:rsidRPr="008F1034">
        <w:t xml:space="preserve">under ‘Equality and inclusion’ in </w:t>
      </w:r>
      <w:r w:rsidRPr="008F1034">
        <w:rPr>
          <w:i/>
        </w:rPr>
        <w:t>Section 4: Opportunities and challenges</w:t>
      </w:r>
      <w:r w:rsidRPr="008F1034">
        <w:t xml:space="preserve"> </w:t>
      </w:r>
      <w:r>
        <w:t xml:space="preserve">from </w:t>
      </w:r>
      <w:r w:rsidRPr="00C817BE">
        <w:t xml:space="preserve">page </w:t>
      </w:r>
      <w:r w:rsidR="00C817BE" w:rsidRPr="00C817BE">
        <w:t>112</w:t>
      </w:r>
      <w:r w:rsidRPr="00C817BE">
        <w:t xml:space="preserve"> </w:t>
      </w:r>
      <w:r>
        <w:t>of this report.</w:t>
      </w:r>
    </w:p>
    <w:p w14:paraId="6778925B" w14:textId="77777777" w:rsidR="00973F57" w:rsidRDefault="00973F57" w:rsidP="00C00700">
      <w:pPr>
        <w:pStyle w:val="Heading2nonumber"/>
      </w:pPr>
      <w:bookmarkStart w:id="688" w:name="_Toc399317046"/>
      <w:bookmarkStart w:id="689" w:name="_Toc426617601"/>
      <w:bookmarkStart w:id="690" w:name="_Toc450900829"/>
      <w:bookmarkStart w:id="691" w:name="_Toc525122129"/>
      <w:r>
        <w:t>Occupational safety, health and injury management</w:t>
      </w:r>
      <w:bookmarkEnd w:id="688"/>
      <w:bookmarkEnd w:id="689"/>
      <w:bookmarkEnd w:id="690"/>
      <w:bookmarkEnd w:id="691"/>
    </w:p>
    <w:p w14:paraId="25A1DD5F" w14:textId="00DC3EFA" w:rsidR="006468F6" w:rsidRDefault="006A65AE" w:rsidP="006468F6">
      <w:bookmarkStart w:id="692" w:name="_Toc399317047"/>
      <w:bookmarkStart w:id="693" w:name="_Toc426617602"/>
      <w:bookmarkStart w:id="694" w:name="_Toc450900830"/>
      <w:r w:rsidRPr="008F1034">
        <w:t xml:space="preserve">WorkCover WA’s occupational safety and health (OSH), and injury management policies are detailed </w:t>
      </w:r>
      <w:r w:rsidRPr="00C817BE">
        <w:t xml:space="preserve">under ‘Safety, health and wellbeing’ in </w:t>
      </w:r>
      <w:r w:rsidRPr="00C817BE">
        <w:rPr>
          <w:i/>
        </w:rPr>
        <w:t>Section 4: Opportunities and challenges</w:t>
      </w:r>
      <w:r w:rsidRPr="00C817BE">
        <w:t xml:space="preserve"> from page </w:t>
      </w:r>
      <w:r w:rsidR="00C817BE" w:rsidRPr="00C817BE">
        <w:t>114</w:t>
      </w:r>
      <w:r w:rsidRPr="00C817BE">
        <w:t xml:space="preserve"> </w:t>
      </w:r>
      <w:r>
        <w:t>of this report.</w:t>
      </w:r>
    </w:p>
    <w:p w14:paraId="32056B62" w14:textId="77777777" w:rsidR="00DF2A76" w:rsidRPr="00973F57" w:rsidRDefault="00DF2A76" w:rsidP="00DF2A76">
      <w:pPr>
        <w:pStyle w:val="Heading3nonumber"/>
        <w:tabs>
          <w:tab w:val="left" w:pos="7513"/>
        </w:tabs>
      </w:pPr>
      <w:bookmarkStart w:id="695" w:name="_Toc525122130"/>
      <w:r>
        <w:t>OSH and injury management performance</w:t>
      </w:r>
      <w:bookmarkEnd w:id="695"/>
      <w:r>
        <w:t xml:space="preserve"> </w:t>
      </w:r>
    </w:p>
    <w:p w14:paraId="367C025A" w14:textId="68A34BF1" w:rsidR="002D7A7A" w:rsidRDefault="006A65AE" w:rsidP="006A65AE">
      <w:r w:rsidRPr="008B4483">
        <w:t>WorkCover </w:t>
      </w:r>
      <w:r w:rsidRPr="008F1034">
        <w:t xml:space="preserve">WA’s OSH and injury management data for this reporting period is disclosed in Table </w:t>
      </w:r>
      <w:r w:rsidR="008F1034" w:rsidRPr="008F1034">
        <w:t>47</w:t>
      </w:r>
      <w:r w:rsidRPr="008F1034">
        <w:t xml:space="preserve">. Comparative </w:t>
      </w:r>
      <w:r w:rsidRPr="008B4483">
        <w:t>data has been included where possible.</w:t>
      </w:r>
    </w:p>
    <w:tbl>
      <w:tblPr>
        <w:tblW w:w="9049"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Table 47: Occupational Safety and Health Performance data "/>
        <w:tblDescription w:val="This table outlines the number of fatalities, lost-time injury/disease incidence rate, lost-time injury/disease severity rate, percentage of injured workers returning to work within 13 weeks and 26 weeks and the percentage of managers trained in OSH and injury management responsibilities. The table compares results for the 2017/18 financial year and the previous four financial years. "/>
      </w:tblPr>
      <w:tblGrid>
        <w:gridCol w:w="2245"/>
        <w:gridCol w:w="1134"/>
        <w:gridCol w:w="1134"/>
        <w:gridCol w:w="1134"/>
        <w:gridCol w:w="1134"/>
        <w:gridCol w:w="1134"/>
        <w:gridCol w:w="1134"/>
      </w:tblGrid>
      <w:tr w:rsidR="006468F6" w:rsidRPr="001B7EB9" w14:paraId="6C9F1180" w14:textId="77777777" w:rsidTr="008F1034">
        <w:trPr>
          <w:trHeight w:val="391"/>
          <w:tblHeader/>
        </w:trPr>
        <w:tc>
          <w:tcPr>
            <w:tcW w:w="9049" w:type="dxa"/>
            <w:gridSpan w:val="7"/>
            <w:shd w:val="clear" w:color="auto" w:fill="003F5F"/>
            <w:tcMar>
              <w:top w:w="170" w:type="dxa"/>
              <w:left w:w="113" w:type="dxa"/>
              <w:bottom w:w="170" w:type="dxa"/>
              <w:right w:w="113" w:type="dxa"/>
            </w:tcMar>
            <w:vAlign w:val="center"/>
          </w:tcPr>
          <w:p w14:paraId="0AD370E7" w14:textId="1FF38782" w:rsidR="006468F6" w:rsidRPr="001B7EB9" w:rsidRDefault="006468F6" w:rsidP="008F1034">
            <w:pPr>
              <w:rPr>
                <w:rStyle w:val="Strong"/>
                <w:color w:val="FFFFFF" w:themeColor="background1"/>
              </w:rPr>
            </w:pPr>
            <w:r w:rsidRPr="008F1034">
              <w:rPr>
                <w:rStyle w:val="Strong"/>
                <w:color w:val="FFFFFF" w:themeColor="background1"/>
              </w:rPr>
              <w:t xml:space="preserve">Table </w:t>
            </w:r>
            <w:r w:rsidR="00E52EA5" w:rsidRPr="008F1034">
              <w:rPr>
                <w:rStyle w:val="Strong"/>
                <w:color w:val="FFFFFF" w:themeColor="background1"/>
              </w:rPr>
              <w:t>4</w:t>
            </w:r>
            <w:r w:rsidR="008F1034" w:rsidRPr="008F1034">
              <w:rPr>
                <w:rStyle w:val="Strong"/>
                <w:color w:val="FFFFFF" w:themeColor="background1"/>
              </w:rPr>
              <w:t>7</w:t>
            </w:r>
            <w:r w:rsidRPr="008F1034">
              <w:rPr>
                <w:rStyle w:val="Strong"/>
                <w:color w:val="FFFFFF" w:themeColor="background1"/>
              </w:rPr>
              <w:t xml:space="preserve">: </w:t>
            </w:r>
            <w:r w:rsidRPr="006468F6">
              <w:rPr>
                <w:rStyle w:val="Strong"/>
                <w:color w:val="FFFFFF" w:themeColor="background1"/>
              </w:rPr>
              <w:t>2017/18 OSH performance data</w:t>
            </w:r>
          </w:p>
        </w:tc>
      </w:tr>
      <w:tr w:rsidR="006468F6" w:rsidRPr="008B4483" w14:paraId="0F6E9BA2" w14:textId="77777777" w:rsidTr="008F1034">
        <w:trPr>
          <w:trHeight w:val="617"/>
        </w:trPr>
        <w:tc>
          <w:tcPr>
            <w:tcW w:w="2245" w:type="dxa"/>
            <w:shd w:val="clear" w:color="auto" w:fill="CEDCE8"/>
            <w:tcMar>
              <w:top w:w="170" w:type="dxa"/>
              <w:left w:w="113" w:type="dxa"/>
              <w:bottom w:w="170" w:type="dxa"/>
              <w:right w:w="113" w:type="dxa"/>
            </w:tcMar>
          </w:tcPr>
          <w:p w14:paraId="2D6F558F" w14:textId="77777777" w:rsidR="006468F6" w:rsidRPr="008B4483" w:rsidRDefault="006468F6" w:rsidP="00662BAE">
            <w:pPr>
              <w:rPr>
                <w:rStyle w:val="Strong"/>
              </w:rPr>
            </w:pPr>
            <w:r w:rsidRPr="008B4483">
              <w:rPr>
                <w:rStyle w:val="Strong"/>
              </w:rPr>
              <w:t>OSH indicator</w:t>
            </w:r>
          </w:p>
        </w:tc>
        <w:tc>
          <w:tcPr>
            <w:tcW w:w="1134" w:type="dxa"/>
            <w:shd w:val="clear" w:color="auto" w:fill="CEDCE8"/>
            <w:tcMar>
              <w:top w:w="170" w:type="dxa"/>
              <w:left w:w="113" w:type="dxa"/>
              <w:bottom w:w="170" w:type="dxa"/>
              <w:right w:w="113" w:type="dxa"/>
            </w:tcMar>
          </w:tcPr>
          <w:p w14:paraId="233224BF" w14:textId="77777777" w:rsidR="006468F6" w:rsidRPr="008B4483" w:rsidRDefault="006468F6" w:rsidP="00662BAE">
            <w:pPr>
              <w:jc w:val="right"/>
              <w:rPr>
                <w:rStyle w:val="Strong"/>
              </w:rPr>
            </w:pPr>
            <w:r>
              <w:rPr>
                <w:rStyle w:val="Strong"/>
              </w:rPr>
              <w:t>2013/14</w:t>
            </w:r>
          </w:p>
        </w:tc>
        <w:tc>
          <w:tcPr>
            <w:tcW w:w="1134" w:type="dxa"/>
            <w:shd w:val="clear" w:color="auto" w:fill="CEDCE8"/>
            <w:tcMar>
              <w:top w:w="170" w:type="dxa"/>
              <w:left w:w="113" w:type="dxa"/>
              <w:bottom w:w="170" w:type="dxa"/>
              <w:right w:w="113" w:type="dxa"/>
            </w:tcMar>
          </w:tcPr>
          <w:p w14:paraId="55B8660A" w14:textId="77777777" w:rsidR="006468F6" w:rsidRPr="008B4483" w:rsidRDefault="006468F6" w:rsidP="00662BAE">
            <w:pPr>
              <w:jc w:val="right"/>
              <w:rPr>
                <w:rStyle w:val="Strong"/>
              </w:rPr>
            </w:pPr>
            <w:r>
              <w:rPr>
                <w:rStyle w:val="Strong"/>
              </w:rPr>
              <w:t>2014/15</w:t>
            </w:r>
            <w:r w:rsidRPr="008B4483">
              <w:rPr>
                <w:rStyle w:val="Strong"/>
              </w:rPr>
              <w:br/>
            </w:r>
          </w:p>
        </w:tc>
        <w:tc>
          <w:tcPr>
            <w:tcW w:w="1134" w:type="dxa"/>
            <w:shd w:val="clear" w:color="auto" w:fill="CEDCE8"/>
            <w:tcMar>
              <w:top w:w="170" w:type="dxa"/>
              <w:left w:w="113" w:type="dxa"/>
              <w:bottom w:w="170" w:type="dxa"/>
              <w:right w:w="113" w:type="dxa"/>
            </w:tcMar>
          </w:tcPr>
          <w:p w14:paraId="1E2F5F62" w14:textId="77777777" w:rsidR="006468F6" w:rsidRPr="008B4483" w:rsidRDefault="006468F6" w:rsidP="00662BAE">
            <w:pPr>
              <w:jc w:val="right"/>
              <w:rPr>
                <w:rStyle w:val="Strong"/>
              </w:rPr>
            </w:pPr>
            <w:r>
              <w:rPr>
                <w:rStyle w:val="Strong"/>
              </w:rPr>
              <w:t>2015/16</w:t>
            </w:r>
            <w:r w:rsidRPr="008B4483">
              <w:rPr>
                <w:rStyle w:val="Strong"/>
              </w:rPr>
              <w:t xml:space="preserve"> </w:t>
            </w:r>
          </w:p>
        </w:tc>
        <w:tc>
          <w:tcPr>
            <w:tcW w:w="1134" w:type="dxa"/>
            <w:shd w:val="clear" w:color="auto" w:fill="CEDCE8"/>
          </w:tcPr>
          <w:p w14:paraId="1A6AEC99" w14:textId="77777777" w:rsidR="006468F6" w:rsidRPr="008B4483" w:rsidRDefault="006468F6" w:rsidP="00662BAE">
            <w:pPr>
              <w:ind w:right="118"/>
              <w:jc w:val="right"/>
              <w:rPr>
                <w:rStyle w:val="Strong"/>
              </w:rPr>
            </w:pPr>
            <w:r>
              <w:rPr>
                <w:rStyle w:val="Strong"/>
              </w:rPr>
              <w:t>2016/17</w:t>
            </w:r>
            <w:r w:rsidRPr="008B4483">
              <w:rPr>
                <w:rStyle w:val="Strong"/>
              </w:rPr>
              <w:br/>
            </w:r>
          </w:p>
        </w:tc>
        <w:tc>
          <w:tcPr>
            <w:tcW w:w="1134" w:type="dxa"/>
            <w:shd w:val="clear" w:color="auto" w:fill="CEDCE8"/>
          </w:tcPr>
          <w:p w14:paraId="130373B0" w14:textId="77777777" w:rsidR="006468F6" w:rsidRPr="008B4483" w:rsidRDefault="006468F6" w:rsidP="00662BAE">
            <w:pPr>
              <w:ind w:right="118"/>
              <w:jc w:val="right"/>
              <w:rPr>
                <w:rStyle w:val="Strong"/>
              </w:rPr>
            </w:pPr>
            <w:r>
              <w:rPr>
                <w:rStyle w:val="Strong"/>
              </w:rPr>
              <w:t>2017/18</w:t>
            </w:r>
            <w:r w:rsidRPr="008B4483">
              <w:rPr>
                <w:rStyle w:val="Strong"/>
              </w:rPr>
              <w:br/>
              <w:t>Target</w:t>
            </w:r>
          </w:p>
        </w:tc>
        <w:tc>
          <w:tcPr>
            <w:tcW w:w="1134" w:type="dxa"/>
            <w:shd w:val="clear" w:color="auto" w:fill="CEDCE8"/>
          </w:tcPr>
          <w:p w14:paraId="0679F312" w14:textId="77777777" w:rsidR="006468F6" w:rsidRPr="008B4483" w:rsidRDefault="006468F6" w:rsidP="00662BAE">
            <w:pPr>
              <w:ind w:right="118"/>
              <w:jc w:val="right"/>
              <w:rPr>
                <w:rStyle w:val="Strong"/>
              </w:rPr>
            </w:pPr>
            <w:r w:rsidRPr="008B4483">
              <w:rPr>
                <w:rStyle w:val="Strong"/>
              </w:rPr>
              <w:t>201</w:t>
            </w:r>
            <w:r>
              <w:rPr>
                <w:rStyle w:val="Strong"/>
              </w:rPr>
              <w:t>7</w:t>
            </w:r>
            <w:r w:rsidRPr="008B4483">
              <w:rPr>
                <w:rStyle w:val="Strong"/>
              </w:rPr>
              <w:t>/1</w:t>
            </w:r>
            <w:r>
              <w:rPr>
                <w:rStyle w:val="Strong"/>
              </w:rPr>
              <w:t>8</w:t>
            </w:r>
            <w:r w:rsidRPr="008B4483">
              <w:rPr>
                <w:rStyle w:val="Strong"/>
              </w:rPr>
              <w:br/>
              <w:t>Actual</w:t>
            </w:r>
          </w:p>
        </w:tc>
      </w:tr>
      <w:tr w:rsidR="00EB5925" w:rsidRPr="006D3186" w14:paraId="12D792B8" w14:textId="77777777" w:rsidTr="008F1034">
        <w:trPr>
          <w:trHeight w:val="1002"/>
        </w:trPr>
        <w:tc>
          <w:tcPr>
            <w:tcW w:w="2245" w:type="dxa"/>
            <w:shd w:val="clear" w:color="auto" w:fill="CEDCE8"/>
            <w:tcMar>
              <w:top w:w="113" w:type="dxa"/>
              <w:left w:w="113" w:type="dxa"/>
              <w:bottom w:w="113" w:type="dxa"/>
              <w:right w:w="113" w:type="dxa"/>
            </w:tcMar>
            <w:vAlign w:val="center"/>
          </w:tcPr>
          <w:p w14:paraId="21556221" w14:textId="77777777" w:rsidR="00EB5925" w:rsidRPr="008B4483" w:rsidRDefault="00EB5925" w:rsidP="00EB5925">
            <w:r w:rsidRPr="008B4483">
              <w:t>Number of fatalities</w:t>
            </w:r>
          </w:p>
        </w:tc>
        <w:tc>
          <w:tcPr>
            <w:tcW w:w="1134" w:type="dxa"/>
            <w:tcMar>
              <w:top w:w="113" w:type="dxa"/>
              <w:left w:w="113" w:type="dxa"/>
              <w:bottom w:w="113" w:type="dxa"/>
              <w:right w:w="113" w:type="dxa"/>
            </w:tcMar>
            <w:vAlign w:val="center"/>
          </w:tcPr>
          <w:p w14:paraId="63A26261" w14:textId="1CF2B6F9" w:rsidR="00EB5925" w:rsidRPr="00EB5925" w:rsidRDefault="00EB5925" w:rsidP="00EB5925">
            <w:pPr>
              <w:jc w:val="right"/>
              <w:rPr>
                <w:lang w:val="en-GB" w:eastAsia="en-AU"/>
              </w:rPr>
            </w:pPr>
            <w:r w:rsidRPr="00EB5925">
              <w:rPr>
                <w:lang w:val="en-GB" w:eastAsia="en-AU"/>
              </w:rPr>
              <w:t>0</w:t>
            </w:r>
          </w:p>
        </w:tc>
        <w:tc>
          <w:tcPr>
            <w:tcW w:w="1134" w:type="dxa"/>
            <w:tcMar>
              <w:top w:w="113" w:type="dxa"/>
              <w:left w:w="113" w:type="dxa"/>
              <w:bottom w:w="113" w:type="dxa"/>
              <w:right w:w="113" w:type="dxa"/>
            </w:tcMar>
            <w:vAlign w:val="center"/>
          </w:tcPr>
          <w:p w14:paraId="67A50DA2" w14:textId="1DD87FF8" w:rsidR="00EB5925" w:rsidRPr="00EB5925" w:rsidRDefault="00EB5925" w:rsidP="00EB5925">
            <w:pPr>
              <w:jc w:val="right"/>
              <w:rPr>
                <w:lang w:val="en-GB" w:eastAsia="en-AU"/>
              </w:rPr>
            </w:pPr>
            <w:r w:rsidRPr="00EB5925">
              <w:rPr>
                <w:lang w:val="en-GB" w:eastAsia="en-AU"/>
              </w:rPr>
              <w:t>0</w:t>
            </w:r>
          </w:p>
        </w:tc>
        <w:tc>
          <w:tcPr>
            <w:tcW w:w="1134" w:type="dxa"/>
            <w:tcMar>
              <w:top w:w="113" w:type="dxa"/>
              <w:left w:w="113" w:type="dxa"/>
              <w:bottom w:w="113" w:type="dxa"/>
              <w:right w:w="113" w:type="dxa"/>
            </w:tcMar>
            <w:vAlign w:val="center"/>
          </w:tcPr>
          <w:p w14:paraId="4208FD5B" w14:textId="6BC39091" w:rsidR="00EB5925" w:rsidRPr="00EB5925" w:rsidRDefault="00EB5925" w:rsidP="00EB5925">
            <w:pPr>
              <w:jc w:val="right"/>
              <w:rPr>
                <w:lang w:val="en-GB" w:eastAsia="en-AU"/>
              </w:rPr>
            </w:pPr>
            <w:r w:rsidRPr="00EB5925">
              <w:rPr>
                <w:lang w:val="en-GB" w:eastAsia="en-AU"/>
              </w:rPr>
              <w:t>0</w:t>
            </w:r>
          </w:p>
        </w:tc>
        <w:tc>
          <w:tcPr>
            <w:tcW w:w="1134" w:type="dxa"/>
            <w:vAlign w:val="center"/>
          </w:tcPr>
          <w:p w14:paraId="6DEC6F69" w14:textId="0A220410" w:rsidR="00EB5925" w:rsidRPr="00EB5925" w:rsidRDefault="00EB5925" w:rsidP="00EB5925">
            <w:pPr>
              <w:ind w:right="118"/>
              <w:jc w:val="right"/>
              <w:rPr>
                <w:lang w:val="en-GB" w:eastAsia="en-AU"/>
              </w:rPr>
            </w:pPr>
            <w:r w:rsidRPr="00EB5925">
              <w:rPr>
                <w:lang w:val="en-GB" w:eastAsia="en-AU"/>
              </w:rPr>
              <w:t>0</w:t>
            </w:r>
          </w:p>
        </w:tc>
        <w:tc>
          <w:tcPr>
            <w:tcW w:w="1134" w:type="dxa"/>
            <w:vAlign w:val="center"/>
          </w:tcPr>
          <w:p w14:paraId="227B09CE" w14:textId="38891D5C" w:rsidR="00EB5925" w:rsidRPr="00EB5925" w:rsidRDefault="00EB5925" w:rsidP="00EB5925">
            <w:pPr>
              <w:tabs>
                <w:tab w:val="left" w:pos="747"/>
              </w:tabs>
              <w:ind w:right="118"/>
              <w:jc w:val="right"/>
              <w:rPr>
                <w:lang w:val="en-GB" w:eastAsia="en-AU"/>
              </w:rPr>
            </w:pPr>
            <w:r w:rsidRPr="00EB5925">
              <w:rPr>
                <w:lang w:val="en-GB" w:eastAsia="en-AU"/>
              </w:rPr>
              <w:t>0</w:t>
            </w:r>
          </w:p>
        </w:tc>
        <w:tc>
          <w:tcPr>
            <w:tcW w:w="1134" w:type="dxa"/>
            <w:vAlign w:val="center"/>
          </w:tcPr>
          <w:p w14:paraId="6533E4A6" w14:textId="29827274" w:rsidR="00EB5925" w:rsidRPr="00EB5925" w:rsidRDefault="00EB5925" w:rsidP="00EB5925">
            <w:pPr>
              <w:tabs>
                <w:tab w:val="left" w:pos="747"/>
              </w:tabs>
              <w:ind w:right="118"/>
              <w:jc w:val="right"/>
              <w:rPr>
                <w:lang w:val="en-GB" w:eastAsia="en-AU"/>
              </w:rPr>
            </w:pPr>
            <w:r w:rsidRPr="00EB5925">
              <w:rPr>
                <w:lang w:val="en-GB" w:eastAsia="en-AU"/>
              </w:rPr>
              <w:t>0</w:t>
            </w:r>
          </w:p>
        </w:tc>
      </w:tr>
      <w:tr w:rsidR="006468F6" w:rsidRPr="006D3186" w14:paraId="6C56A92C" w14:textId="77777777" w:rsidTr="008F1034">
        <w:trPr>
          <w:trHeight w:val="1019"/>
        </w:trPr>
        <w:tc>
          <w:tcPr>
            <w:tcW w:w="2245" w:type="dxa"/>
            <w:shd w:val="clear" w:color="auto" w:fill="CEDCE8"/>
            <w:tcMar>
              <w:top w:w="128" w:type="dxa"/>
              <w:left w:w="113" w:type="dxa"/>
              <w:bottom w:w="128" w:type="dxa"/>
              <w:right w:w="113" w:type="dxa"/>
            </w:tcMar>
            <w:vAlign w:val="center"/>
          </w:tcPr>
          <w:p w14:paraId="73244B39" w14:textId="77777777" w:rsidR="006468F6" w:rsidRPr="008B4483" w:rsidRDefault="006468F6" w:rsidP="00662BAE">
            <w:r w:rsidRPr="008B4483">
              <w:t>Lost-time injury/disease incidence rate*</w:t>
            </w:r>
          </w:p>
        </w:tc>
        <w:tc>
          <w:tcPr>
            <w:tcW w:w="1134" w:type="dxa"/>
            <w:tcMar>
              <w:top w:w="128" w:type="dxa"/>
              <w:left w:w="113" w:type="dxa"/>
              <w:bottom w:w="128" w:type="dxa"/>
              <w:right w:w="113" w:type="dxa"/>
            </w:tcMar>
            <w:vAlign w:val="center"/>
          </w:tcPr>
          <w:p w14:paraId="5266B441" w14:textId="44EFABB1" w:rsidR="006468F6" w:rsidRPr="00354AC5" w:rsidRDefault="00354AC5" w:rsidP="006468F6">
            <w:pPr>
              <w:jc w:val="right"/>
              <w:rPr>
                <w:lang w:val="en-GB" w:eastAsia="en-AU"/>
              </w:rPr>
            </w:pPr>
            <w:r w:rsidRPr="00354AC5">
              <w:rPr>
                <w:lang w:val="en-GB" w:eastAsia="en-AU"/>
              </w:rPr>
              <w:t>0.75%</w:t>
            </w:r>
          </w:p>
        </w:tc>
        <w:tc>
          <w:tcPr>
            <w:tcW w:w="1134" w:type="dxa"/>
            <w:tcMar>
              <w:top w:w="128" w:type="dxa"/>
              <w:left w:w="113" w:type="dxa"/>
              <w:bottom w:w="128" w:type="dxa"/>
              <w:right w:w="113" w:type="dxa"/>
            </w:tcMar>
            <w:vAlign w:val="center"/>
          </w:tcPr>
          <w:p w14:paraId="491E06D7" w14:textId="76518227" w:rsidR="006468F6" w:rsidRPr="00354AC5" w:rsidRDefault="00354AC5" w:rsidP="006468F6">
            <w:pPr>
              <w:jc w:val="right"/>
              <w:rPr>
                <w:lang w:val="en-GB" w:eastAsia="en-AU"/>
              </w:rPr>
            </w:pPr>
            <w:r w:rsidRPr="00354AC5">
              <w:rPr>
                <w:lang w:val="en-GB" w:eastAsia="en-AU"/>
              </w:rPr>
              <w:t>0</w:t>
            </w:r>
          </w:p>
        </w:tc>
        <w:tc>
          <w:tcPr>
            <w:tcW w:w="1134" w:type="dxa"/>
            <w:tcMar>
              <w:top w:w="128" w:type="dxa"/>
              <w:left w:w="113" w:type="dxa"/>
              <w:bottom w:w="128" w:type="dxa"/>
              <w:right w:w="113" w:type="dxa"/>
            </w:tcMar>
            <w:vAlign w:val="center"/>
          </w:tcPr>
          <w:p w14:paraId="1FF94F28" w14:textId="7846E81A" w:rsidR="006468F6" w:rsidRPr="00354AC5" w:rsidRDefault="00354AC5" w:rsidP="006468F6">
            <w:pPr>
              <w:jc w:val="right"/>
              <w:rPr>
                <w:lang w:val="en-GB" w:eastAsia="en-AU"/>
              </w:rPr>
            </w:pPr>
            <w:r w:rsidRPr="00354AC5">
              <w:rPr>
                <w:lang w:val="en-GB" w:eastAsia="en-AU"/>
              </w:rPr>
              <w:t>0</w:t>
            </w:r>
          </w:p>
        </w:tc>
        <w:tc>
          <w:tcPr>
            <w:tcW w:w="1134" w:type="dxa"/>
            <w:vAlign w:val="center"/>
          </w:tcPr>
          <w:p w14:paraId="3A5E7E55" w14:textId="50A5E8CC" w:rsidR="006468F6" w:rsidRPr="00354AC5" w:rsidRDefault="00354AC5" w:rsidP="006468F6">
            <w:pPr>
              <w:ind w:right="118"/>
              <w:jc w:val="right"/>
              <w:rPr>
                <w:lang w:val="en-GB" w:eastAsia="en-AU"/>
              </w:rPr>
            </w:pPr>
            <w:r w:rsidRPr="00354AC5">
              <w:rPr>
                <w:lang w:val="en-GB" w:eastAsia="en-AU"/>
              </w:rPr>
              <w:t>0</w:t>
            </w:r>
          </w:p>
        </w:tc>
        <w:tc>
          <w:tcPr>
            <w:tcW w:w="1134" w:type="dxa"/>
            <w:vAlign w:val="center"/>
          </w:tcPr>
          <w:p w14:paraId="562163AF" w14:textId="5D8889DD" w:rsidR="006468F6" w:rsidRPr="00354AC5" w:rsidRDefault="00354AC5" w:rsidP="00354AC5">
            <w:pPr>
              <w:tabs>
                <w:tab w:val="left" w:pos="747"/>
              </w:tabs>
              <w:ind w:right="118"/>
              <w:jc w:val="right"/>
              <w:rPr>
                <w:lang w:val="en-GB" w:eastAsia="en-AU"/>
              </w:rPr>
            </w:pPr>
            <w:r w:rsidRPr="00354AC5">
              <w:rPr>
                <w:lang w:val="en-GB" w:eastAsia="en-AU"/>
              </w:rPr>
              <w:t>0</w:t>
            </w:r>
          </w:p>
        </w:tc>
        <w:tc>
          <w:tcPr>
            <w:tcW w:w="1134" w:type="dxa"/>
            <w:vAlign w:val="center"/>
          </w:tcPr>
          <w:p w14:paraId="59FA247D" w14:textId="05754EA7" w:rsidR="006468F6" w:rsidRPr="00354AC5" w:rsidRDefault="00354AC5" w:rsidP="00354AC5">
            <w:pPr>
              <w:tabs>
                <w:tab w:val="left" w:pos="747"/>
              </w:tabs>
              <w:ind w:right="118"/>
              <w:jc w:val="right"/>
              <w:rPr>
                <w:lang w:val="en-GB" w:eastAsia="en-AU"/>
              </w:rPr>
            </w:pPr>
            <w:r w:rsidRPr="00354AC5">
              <w:rPr>
                <w:lang w:val="en-GB" w:eastAsia="en-AU"/>
              </w:rPr>
              <w:t>0</w:t>
            </w:r>
            <w:r w:rsidR="00863EA4">
              <w:rPr>
                <w:lang w:val="en-GB" w:eastAsia="en-AU"/>
              </w:rPr>
              <w:t>.74%</w:t>
            </w:r>
          </w:p>
        </w:tc>
      </w:tr>
      <w:tr w:rsidR="00354AC5" w:rsidRPr="006D3186" w14:paraId="29511008" w14:textId="77777777" w:rsidTr="008F1034">
        <w:trPr>
          <w:trHeight w:val="983"/>
        </w:trPr>
        <w:tc>
          <w:tcPr>
            <w:tcW w:w="2245" w:type="dxa"/>
            <w:shd w:val="clear" w:color="auto" w:fill="CEDCE8"/>
            <w:tcMar>
              <w:top w:w="128" w:type="dxa"/>
              <w:left w:w="113" w:type="dxa"/>
              <w:bottom w:w="128" w:type="dxa"/>
              <w:right w:w="113" w:type="dxa"/>
            </w:tcMar>
            <w:vAlign w:val="center"/>
          </w:tcPr>
          <w:p w14:paraId="53A4EE0D" w14:textId="77777777" w:rsidR="00354AC5" w:rsidRPr="008B4483" w:rsidRDefault="00354AC5" w:rsidP="00354AC5">
            <w:r w:rsidRPr="008B4483">
              <w:t>Lost-time injury/disease severity rate</w:t>
            </w:r>
          </w:p>
        </w:tc>
        <w:tc>
          <w:tcPr>
            <w:tcW w:w="1134" w:type="dxa"/>
            <w:tcMar>
              <w:top w:w="128" w:type="dxa"/>
              <w:left w:w="113" w:type="dxa"/>
              <w:bottom w:w="128" w:type="dxa"/>
              <w:right w:w="113" w:type="dxa"/>
            </w:tcMar>
            <w:vAlign w:val="center"/>
          </w:tcPr>
          <w:p w14:paraId="794D464E" w14:textId="39A3B9BA" w:rsidR="00354AC5" w:rsidRPr="006468F6" w:rsidRDefault="00354AC5" w:rsidP="00354AC5">
            <w:pPr>
              <w:jc w:val="right"/>
              <w:rPr>
                <w:color w:val="FF0000"/>
                <w:highlight w:val="yellow"/>
                <w:lang w:val="en-GB" w:eastAsia="en-AU"/>
              </w:rPr>
            </w:pPr>
            <w:r w:rsidRPr="00EB5925">
              <w:rPr>
                <w:lang w:val="en-GB" w:eastAsia="en-AU"/>
              </w:rPr>
              <w:t>0</w:t>
            </w:r>
          </w:p>
        </w:tc>
        <w:tc>
          <w:tcPr>
            <w:tcW w:w="1134" w:type="dxa"/>
            <w:tcMar>
              <w:top w:w="128" w:type="dxa"/>
              <w:left w:w="113" w:type="dxa"/>
              <w:bottom w:w="128" w:type="dxa"/>
              <w:right w:w="113" w:type="dxa"/>
            </w:tcMar>
            <w:vAlign w:val="center"/>
          </w:tcPr>
          <w:p w14:paraId="248F1985" w14:textId="298825F6" w:rsidR="00354AC5" w:rsidRPr="006468F6" w:rsidRDefault="00354AC5" w:rsidP="00354AC5">
            <w:pPr>
              <w:jc w:val="right"/>
              <w:rPr>
                <w:color w:val="FF0000"/>
                <w:highlight w:val="yellow"/>
                <w:lang w:val="en-GB" w:eastAsia="en-AU"/>
              </w:rPr>
            </w:pPr>
            <w:r w:rsidRPr="00EB5925">
              <w:rPr>
                <w:lang w:val="en-GB" w:eastAsia="en-AU"/>
              </w:rPr>
              <w:t>0</w:t>
            </w:r>
          </w:p>
        </w:tc>
        <w:tc>
          <w:tcPr>
            <w:tcW w:w="1134" w:type="dxa"/>
            <w:tcMar>
              <w:top w:w="128" w:type="dxa"/>
              <w:left w:w="113" w:type="dxa"/>
              <w:bottom w:w="128" w:type="dxa"/>
              <w:right w:w="113" w:type="dxa"/>
            </w:tcMar>
            <w:vAlign w:val="center"/>
          </w:tcPr>
          <w:p w14:paraId="20D2CE79" w14:textId="13C43620" w:rsidR="00354AC5" w:rsidRPr="006468F6" w:rsidRDefault="00354AC5" w:rsidP="00354AC5">
            <w:pPr>
              <w:jc w:val="right"/>
              <w:rPr>
                <w:color w:val="FF0000"/>
                <w:highlight w:val="yellow"/>
                <w:lang w:val="en-GB" w:eastAsia="en-AU"/>
              </w:rPr>
            </w:pPr>
            <w:r w:rsidRPr="00EB5925">
              <w:rPr>
                <w:lang w:val="en-GB" w:eastAsia="en-AU"/>
              </w:rPr>
              <w:t>0</w:t>
            </w:r>
          </w:p>
        </w:tc>
        <w:tc>
          <w:tcPr>
            <w:tcW w:w="1134" w:type="dxa"/>
            <w:vAlign w:val="center"/>
          </w:tcPr>
          <w:p w14:paraId="5247B28D" w14:textId="336EC8EA" w:rsidR="00354AC5" w:rsidRPr="006468F6" w:rsidRDefault="00354AC5" w:rsidP="00354AC5">
            <w:pPr>
              <w:ind w:right="118"/>
              <w:jc w:val="right"/>
              <w:rPr>
                <w:color w:val="FF0000"/>
                <w:highlight w:val="yellow"/>
                <w:lang w:val="en-GB" w:eastAsia="en-AU"/>
              </w:rPr>
            </w:pPr>
            <w:r w:rsidRPr="00EB5925">
              <w:rPr>
                <w:lang w:val="en-GB" w:eastAsia="en-AU"/>
              </w:rPr>
              <w:t>0</w:t>
            </w:r>
          </w:p>
        </w:tc>
        <w:tc>
          <w:tcPr>
            <w:tcW w:w="1134" w:type="dxa"/>
            <w:vAlign w:val="center"/>
          </w:tcPr>
          <w:p w14:paraId="2399A6B6" w14:textId="77E3CF51" w:rsidR="00354AC5" w:rsidRPr="006468F6" w:rsidRDefault="00354AC5" w:rsidP="00354AC5">
            <w:pPr>
              <w:tabs>
                <w:tab w:val="left" w:pos="747"/>
              </w:tabs>
              <w:ind w:right="118"/>
              <w:jc w:val="right"/>
              <w:rPr>
                <w:color w:val="FF0000"/>
                <w:highlight w:val="yellow"/>
                <w:lang w:val="en-GB" w:eastAsia="en-AU"/>
              </w:rPr>
            </w:pPr>
            <w:r w:rsidRPr="00EB5925">
              <w:rPr>
                <w:lang w:val="en-GB" w:eastAsia="en-AU"/>
              </w:rPr>
              <w:t>0</w:t>
            </w:r>
          </w:p>
        </w:tc>
        <w:tc>
          <w:tcPr>
            <w:tcW w:w="1134" w:type="dxa"/>
            <w:vAlign w:val="center"/>
          </w:tcPr>
          <w:p w14:paraId="589D65A3" w14:textId="70713882" w:rsidR="00354AC5" w:rsidRPr="006468F6" w:rsidRDefault="00354AC5" w:rsidP="00354AC5">
            <w:pPr>
              <w:tabs>
                <w:tab w:val="left" w:pos="747"/>
              </w:tabs>
              <w:ind w:right="118"/>
              <w:jc w:val="right"/>
              <w:rPr>
                <w:color w:val="FF0000"/>
                <w:highlight w:val="yellow"/>
                <w:lang w:val="en-GB" w:eastAsia="en-AU"/>
              </w:rPr>
            </w:pPr>
            <w:r w:rsidRPr="00EB5925">
              <w:rPr>
                <w:lang w:val="en-GB" w:eastAsia="en-AU"/>
              </w:rPr>
              <w:t>0</w:t>
            </w:r>
          </w:p>
        </w:tc>
      </w:tr>
      <w:tr w:rsidR="00354AC5" w:rsidRPr="006D3186" w14:paraId="1E3FD489" w14:textId="77777777" w:rsidTr="008F1034">
        <w:trPr>
          <w:trHeight w:val="1090"/>
        </w:trPr>
        <w:tc>
          <w:tcPr>
            <w:tcW w:w="2245" w:type="dxa"/>
            <w:shd w:val="clear" w:color="auto" w:fill="CEDCE8"/>
            <w:tcMar>
              <w:top w:w="128" w:type="dxa"/>
              <w:left w:w="113" w:type="dxa"/>
              <w:bottom w:w="128" w:type="dxa"/>
              <w:right w:w="113" w:type="dxa"/>
            </w:tcMar>
            <w:vAlign w:val="center"/>
          </w:tcPr>
          <w:p w14:paraId="25E0D960" w14:textId="77777777" w:rsidR="00354AC5" w:rsidRPr="008B4483" w:rsidRDefault="00354AC5" w:rsidP="00354AC5">
            <w:r w:rsidRPr="008B4483">
              <w:t>% injured workers returned to work within 13 weeks</w:t>
            </w:r>
          </w:p>
        </w:tc>
        <w:tc>
          <w:tcPr>
            <w:tcW w:w="1134" w:type="dxa"/>
            <w:tcMar>
              <w:top w:w="128" w:type="dxa"/>
              <w:left w:w="113" w:type="dxa"/>
              <w:bottom w:w="128" w:type="dxa"/>
              <w:right w:w="113" w:type="dxa"/>
            </w:tcMar>
            <w:vAlign w:val="center"/>
          </w:tcPr>
          <w:p w14:paraId="3E0002E1" w14:textId="7F1A917C" w:rsidR="00354AC5" w:rsidRPr="00354AC5" w:rsidRDefault="00354AC5" w:rsidP="00354AC5">
            <w:pPr>
              <w:jc w:val="right"/>
              <w:rPr>
                <w:lang w:val="en-GB" w:eastAsia="en-AU"/>
              </w:rPr>
            </w:pPr>
            <w:r w:rsidRPr="00354AC5">
              <w:rPr>
                <w:lang w:val="en-GB" w:eastAsia="en-AU"/>
              </w:rPr>
              <w:t>100%</w:t>
            </w:r>
          </w:p>
        </w:tc>
        <w:tc>
          <w:tcPr>
            <w:tcW w:w="1134" w:type="dxa"/>
            <w:tcMar>
              <w:top w:w="128" w:type="dxa"/>
              <w:left w:w="113" w:type="dxa"/>
              <w:bottom w:w="128" w:type="dxa"/>
              <w:right w:w="113" w:type="dxa"/>
            </w:tcMar>
            <w:vAlign w:val="center"/>
          </w:tcPr>
          <w:p w14:paraId="217B44C3" w14:textId="652C4A9D" w:rsidR="00354AC5" w:rsidRPr="00354AC5" w:rsidRDefault="00354AC5" w:rsidP="00354AC5">
            <w:pPr>
              <w:jc w:val="right"/>
              <w:rPr>
                <w:lang w:val="en-GB" w:eastAsia="en-AU"/>
              </w:rPr>
            </w:pPr>
            <w:r w:rsidRPr="00354AC5">
              <w:rPr>
                <w:lang w:val="en-GB" w:eastAsia="en-AU"/>
              </w:rPr>
              <w:t>N/A**</w:t>
            </w:r>
          </w:p>
        </w:tc>
        <w:tc>
          <w:tcPr>
            <w:tcW w:w="1134" w:type="dxa"/>
            <w:tcMar>
              <w:top w:w="128" w:type="dxa"/>
              <w:left w:w="113" w:type="dxa"/>
              <w:bottom w:w="128" w:type="dxa"/>
              <w:right w:w="113" w:type="dxa"/>
            </w:tcMar>
            <w:vAlign w:val="center"/>
          </w:tcPr>
          <w:p w14:paraId="1109AA36" w14:textId="1B590B73" w:rsidR="00354AC5" w:rsidRPr="00354AC5" w:rsidRDefault="00354AC5" w:rsidP="00354AC5">
            <w:pPr>
              <w:jc w:val="right"/>
              <w:rPr>
                <w:lang w:val="en-GB" w:eastAsia="en-AU"/>
              </w:rPr>
            </w:pPr>
            <w:r w:rsidRPr="00354AC5">
              <w:rPr>
                <w:lang w:val="en-GB" w:eastAsia="en-AU"/>
              </w:rPr>
              <w:t>N/A**</w:t>
            </w:r>
          </w:p>
        </w:tc>
        <w:tc>
          <w:tcPr>
            <w:tcW w:w="1134" w:type="dxa"/>
            <w:vAlign w:val="center"/>
          </w:tcPr>
          <w:p w14:paraId="3AD38407" w14:textId="51620652" w:rsidR="00354AC5" w:rsidRPr="00354AC5" w:rsidRDefault="00354AC5" w:rsidP="00354AC5">
            <w:pPr>
              <w:ind w:right="118"/>
              <w:jc w:val="right"/>
              <w:rPr>
                <w:lang w:val="en-GB" w:eastAsia="en-AU"/>
              </w:rPr>
            </w:pPr>
            <w:r w:rsidRPr="00354AC5">
              <w:rPr>
                <w:lang w:val="en-GB" w:eastAsia="en-AU"/>
              </w:rPr>
              <w:t>N/A**</w:t>
            </w:r>
          </w:p>
        </w:tc>
        <w:tc>
          <w:tcPr>
            <w:tcW w:w="1134" w:type="dxa"/>
            <w:vAlign w:val="center"/>
          </w:tcPr>
          <w:p w14:paraId="5F7CD30A" w14:textId="089C8B82" w:rsidR="00354AC5" w:rsidRPr="00354AC5" w:rsidRDefault="000202E6" w:rsidP="00354AC5">
            <w:pPr>
              <w:tabs>
                <w:tab w:val="left" w:pos="747"/>
              </w:tabs>
              <w:ind w:right="118"/>
              <w:jc w:val="right"/>
              <w:rPr>
                <w:lang w:val="en-GB" w:eastAsia="en-AU"/>
              </w:rPr>
            </w:pPr>
            <w:r>
              <w:rPr>
                <w:lang w:val="en-GB" w:eastAsia="en-AU"/>
              </w:rPr>
              <w:t>100%</w:t>
            </w:r>
          </w:p>
        </w:tc>
        <w:tc>
          <w:tcPr>
            <w:tcW w:w="1134" w:type="dxa"/>
            <w:vAlign w:val="center"/>
          </w:tcPr>
          <w:p w14:paraId="52B8FFF2" w14:textId="7C0C9A54" w:rsidR="00354AC5" w:rsidRPr="00354AC5" w:rsidRDefault="00245A72" w:rsidP="00354AC5">
            <w:pPr>
              <w:tabs>
                <w:tab w:val="left" w:pos="747"/>
              </w:tabs>
              <w:ind w:right="118"/>
              <w:jc w:val="right"/>
              <w:rPr>
                <w:lang w:val="en-GB" w:eastAsia="en-AU"/>
              </w:rPr>
            </w:pPr>
            <w:r>
              <w:rPr>
                <w:lang w:val="en-GB" w:eastAsia="en-AU"/>
              </w:rPr>
              <w:t>100%</w:t>
            </w:r>
          </w:p>
        </w:tc>
      </w:tr>
      <w:tr w:rsidR="00354AC5" w:rsidRPr="00245A72" w14:paraId="40ABD06E" w14:textId="77777777" w:rsidTr="008F1034">
        <w:trPr>
          <w:trHeight w:val="1195"/>
        </w:trPr>
        <w:tc>
          <w:tcPr>
            <w:tcW w:w="2245" w:type="dxa"/>
            <w:shd w:val="clear" w:color="auto" w:fill="CEDCE8"/>
            <w:tcMar>
              <w:top w:w="128" w:type="dxa"/>
              <w:left w:w="113" w:type="dxa"/>
              <w:bottom w:w="128" w:type="dxa"/>
              <w:right w:w="113" w:type="dxa"/>
            </w:tcMar>
            <w:vAlign w:val="center"/>
          </w:tcPr>
          <w:p w14:paraId="11C95BA5" w14:textId="77777777" w:rsidR="00354AC5" w:rsidRPr="008B4483" w:rsidRDefault="00354AC5" w:rsidP="00354AC5">
            <w:r w:rsidRPr="008B4483">
              <w:t>% injured workers returned to work within 26 weeks</w:t>
            </w:r>
          </w:p>
        </w:tc>
        <w:tc>
          <w:tcPr>
            <w:tcW w:w="1134" w:type="dxa"/>
            <w:tcMar>
              <w:top w:w="128" w:type="dxa"/>
              <w:left w:w="113" w:type="dxa"/>
              <w:bottom w:w="128" w:type="dxa"/>
              <w:right w:w="113" w:type="dxa"/>
            </w:tcMar>
            <w:vAlign w:val="center"/>
          </w:tcPr>
          <w:p w14:paraId="74CD948B" w14:textId="1F32848E" w:rsidR="00354AC5" w:rsidRPr="006468F6" w:rsidRDefault="00354AC5" w:rsidP="00354AC5">
            <w:pPr>
              <w:jc w:val="right"/>
              <w:rPr>
                <w:color w:val="FF0000"/>
                <w:highlight w:val="yellow"/>
                <w:lang w:val="en-GB" w:eastAsia="en-AU"/>
              </w:rPr>
            </w:pPr>
            <w:r w:rsidRPr="00354AC5">
              <w:rPr>
                <w:lang w:val="en-GB" w:eastAsia="en-AU"/>
              </w:rPr>
              <w:t>100%</w:t>
            </w:r>
          </w:p>
        </w:tc>
        <w:tc>
          <w:tcPr>
            <w:tcW w:w="1134" w:type="dxa"/>
            <w:tcMar>
              <w:top w:w="128" w:type="dxa"/>
              <w:left w:w="113" w:type="dxa"/>
              <w:bottom w:w="128" w:type="dxa"/>
              <w:right w:w="113" w:type="dxa"/>
            </w:tcMar>
            <w:vAlign w:val="center"/>
          </w:tcPr>
          <w:p w14:paraId="0DC87CE7" w14:textId="5CAA7DCA" w:rsidR="00354AC5" w:rsidRPr="006468F6" w:rsidRDefault="00354AC5" w:rsidP="00354AC5">
            <w:pPr>
              <w:jc w:val="right"/>
              <w:rPr>
                <w:color w:val="FF0000"/>
                <w:highlight w:val="yellow"/>
                <w:lang w:val="en-GB" w:eastAsia="en-AU"/>
              </w:rPr>
            </w:pPr>
            <w:r w:rsidRPr="00354AC5">
              <w:rPr>
                <w:lang w:val="en-GB" w:eastAsia="en-AU"/>
              </w:rPr>
              <w:t>N/A**</w:t>
            </w:r>
          </w:p>
        </w:tc>
        <w:tc>
          <w:tcPr>
            <w:tcW w:w="1134" w:type="dxa"/>
            <w:tcMar>
              <w:top w:w="128" w:type="dxa"/>
              <w:left w:w="113" w:type="dxa"/>
              <w:bottom w:w="128" w:type="dxa"/>
              <w:right w:w="113" w:type="dxa"/>
            </w:tcMar>
            <w:vAlign w:val="center"/>
          </w:tcPr>
          <w:p w14:paraId="5F6C6CAD" w14:textId="457E6D5C" w:rsidR="00354AC5" w:rsidRPr="006468F6" w:rsidRDefault="00354AC5" w:rsidP="00354AC5">
            <w:pPr>
              <w:jc w:val="right"/>
              <w:rPr>
                <w:color w:val="FF0000"/>
                <w:highlight w:val="yellow"/>
                <w:lang w:val="en-GB" w:eastAsia="en-AU"/>
              </w:rPr>
            </w:pPr>
            <w:r w:rsidRPr="00354AC5">
              <w:rPr>
                <w:lang w:val="en-GB" w:eastAsia="en-AU"/>
              </w:rPr>
              <w:t>N/A**</w:t>
            </w:r>
          </w:p>
        </w:tc>
        <w:tc>
          <w:tcPr>
            <w:tcW w:w="1134" w:type="dxa"/>
            <w:vAlign w:val="center"/>
          </w:tcPr>
          <w:p w14:paraId="5D9222FB" w14:textId="20EF30CF" w:rsidR="00354AC5" w:rsidRPr="006468F6" w:rsidRDefault="00354AC5" w:rsidP="00354AC5">
            <w:pPr>
              <w:ind w:right="118"/>
              <w:jc w:val="right"/>
              <w:rPr>
                <w:color w:val="FF0000"/>
                <w:highlight w:val="yellow"/>
                <w:lang w:val="en-GB" w:eastAsia="en-AU"/>
              </w:rPr>
            </w:pPr>
            <w:r w:rsidRPr="00354AC5">
              <w:rPr>
                <w:lang w:val="en-GB" w:eastAsia="en-AU"/>
              </w:rPr>
              <w:t>N/A**</w:t>
            </w:r>
          </w:p>
        </w:tc>
        <w:tc>
          <w:tcPr>
            <w:tcW w:w="1134" w:type="dxa"/>
            <w:vAlign w:val="center"/>
          </w:tcPr>
          <w:p w14:paraId="4A54D3DF" w14:textId="0E941B7B" w:rsidR="00354AC5" w:rsidRPr="006468F6" w:rsidRDefault="000202E6" w:rsidP="00354AC5">
            <w:pPr>
              <w:tabs>
                <w:tab w:val="left" w:pos="747"/>
              </w:tabs>
              <w:ind w:right="118"/>
              <w:jc w:val="right"/>
              <w:rPr>
                <w:color w:val="FF0000"/>
                <w:highlight w:val="yellow"/>
                <w:lang w:val="en-GB" w:eastAsia="en-AU"/>
              </w:rPr>
            </w:pPr>
            <w:r w:rsidRPr="00E52EA5">
              <w:rPr>
                <w:lang w:val="en-GB" w:eastAsia="en-AU"/>
              </w:rPr>
              <w:t>100%</w:t>
            </w:r>
          </w:p>
        </w:tc>
        <w:tc>
          <w:tcPr>
            <w:tcW w:w="1134" w:type="dxa"/>
            <w:vAlign w:val="center"/>
          </w:tcPr>
          <w:p w14:paraId="3350DFF0" w14:textId="76605DB0" w:rsidR="00354AC5" w:rsidRPr="00245A72" w:rsidRDefault="00245A72" w:rsidP="00354AC5">
            <w:pPr>
              <w:tabs>
                <w:tab w:val="left" w:pos="747"/>
              </w:tabs>
              <w:ind w:right="118"/>
              <w:jc w:val="right"/>
              <w:rPr>
                <w:lang w:val="en-GB" w:eastAsia="en-AU"/>
              </w:rPr>
            </w:pPr>
            <w:r w:rsidRPr="00245A72">
              <w:rPr>
                <w:lang w:val="en-GB" w:eastAsia="en-AU"/>
              </w:rPr>
              <w:t>100%</w:t>
            </w:r>
          </w:p>
        </w:tc>
      </w:tr>
      <w:tr w:rsidR="00354AC5" w:rsidRPr="006D3186" w14:paraId="6F91C24F" w14:textId="77777777" w:rsidTr="008F1034">
        <w:trPr>
          <w:trHeight w:val="2138"/>
        </w:trPr>
        <w:tc>
          <w:tcPr>
            <w:tcW w:w="2245" w:type="dxa"/>
            <w:shd w:val="clear" w:color="auto" w:fill="CEDCE8"/>
            <w:tcMar>
              <w:top w:w="128" w:type="dxa"/>
              <w:left w:w="113" w:type="dxa"/>
              <w:bottom w:w="128" w:type="dxa"/>
              <w:right w:w="113" w:type="dxa"/>
            </w:tcMar>
            <w:vAlign w:val="center"/>
          </w:tcPr>
          <w:p w14:paraId="1A67E86D" w14:textId="77777777" w:rsidR="00354AC5" w:rsidRPr="008B4483" w:rsidRDefault="00354AC5" w:rsidP="00354AC5">
            <w:r w:rsidRPr="008B4483">
              <w:t xml:space="preserve">% managers trained in </w:t>
            </w:r>
            <w:r>
              <w:t>OSH</w:t>
            </w:r>
            <w:r w:rsidRPr="008B4483">
              <w:t xml:space="preserve"> and injury management responsibilities</w:t>
            </w:r>
          </w:p>
        </w:tc>
        <w:tc>
          <w:tcPr>
            <w:tcW w:w="1134" w:type="dxa"/>
            <w:tcMar>
              <w:top w:w="128" w:type="dxa"/>
              <w:left w:w="113" w:type="dxa"/>
              <w:bottom w:w="128" w:type="dxa"/>
              <w:right w:w="113" w:type="dxa"/>
            </w:tcMar>
            <w:vAlign w:val="center"/>
          </w:tcPr>
          <w:p w14:paraId="1F4C569F" w14:textId="1C28855A" w:rsidR="00354AC5" w:rsidRPr="00354AC5" w:rsidRDefault="00354AC5" w:rsidP="00354AC5">
            <w:pPr>
              <w:jc w:val="right"/>
              <w:rPr>
                <w:lang w:val="en-GB" w:eastAsia="en-AU"/>
              </w:rPr>
            </w:pPr>
            <w:r w:rsidRPr="00354AC5">
              <w:rPr>
                <w:lang w:val="en-GB" w:eastAsia="en-AU"/>
              </w:rPr>
              <w:t>92%</w:t>
            </w:r>
          </w:p>
        </w:tc>
        <w:tc>
          <w:tcPr>
            <w:tcW w:w="1134" w:type="dxa"/>
            <w:tcMar>
              <w:top w:w="128" w:type="dxa"/>
              <w:left w:w="113" w:type="dxa"/>
              <w:bottom w:w="128" w:type="dxa"/>
              <w:right w:w="113" w:type="dxa"/>
            </w:tcMar>
            <w:vAlign w:val="center"/>
          </w:tcPr>
          <w:p w14:paraId="4EA3CE01" w14:textId="12C0C5C8" w:rsidR="00354AC5" w:rsidRPr="00354AC5" w:rsidRDefault="00354AC5" w:rsidP="00354AC5">
            <w:pPr>
              <w:jc w:val="right"/>
              <w:rPr>
                <w:lang w:val="en-GB" w:eastAsia="en-AU"/>
              </w:rPr>
            </w:pPr>
            <w:r w:rsidRPr="00354AC5">
              <w:rPr>
                <w:lang w:val="en-GB" w:eastAsia="en-AU"/>
              </w:rPr>
              <w:t>99%</w:t>
            </w:r>
          </w:p>
        </w:tc>
        <w:tc>
          <w:tcPr>
            <w:tcW w:w="1134" w:type="dxa"/>
            <w:tcMar>
              <w:top w:w="128" w:type="dxa"/>
              <w:left w:w="113" w:type="dxa"/>
              <w:bottom w:w="128" w:type="dxa"/>
              <w:right w:w="113" w:type="dxa"/>
            </w:tcMar>
            <w:vAlign w:val="center"/>
          </w:tcPr>
          <w:p w14:paraId="7D22D7B3" w14:textId="2AB1C841" w:rsidR="00354AC5" w:rsidRPr="00354AC5" w:rsidRDefault="00354AC5" w:rsidP="00354AC5">
            <w:pPr>
              <w:jc w:val="right"/>
              <w:rPr>
                <w:lang w:val="en-GB" w:eastAsia="en-AU"/>
              </w:rPr>
            </w:pPr>
            <w:r w:rsidRPr="00354AC5">
              <w:t>100%</w:t>
            </w:r>
          </w:p>
        </w:tc>
        <w:tc>
          <w:tcPr>
            <w:tcW w:w="1134" w:type="dxa"/>
            <w:vAlign w:val="center"/>
          </w:tcPr>
          <w:p w14:paraId="3CB9D7FA" w14:textId="3CB5AE5D" w:rsidR="00354AC5" w:rsidRPr="006468F6" w:rsidRDefault="00354AC5" w:rsidP="00354AC5">
            <w:pPr>
              <w:ind w:right="118"/>
              <w:jc w:val="right"/>
              <w:rPr>
                <w:color w:val="FF0000"/>
                <w:highlight w:val="yellow"/>
                <w:lang w:val="en-GB" w:eastAsia="en-AU"/>
              </w:rPr>
            </w:pPr>
            <w:r w:rsidRPr="001C2396">
              <w:t>100%</w:t>
            </w:r>
          </w:p>
        </w:tc>
        <w:tc>
          <w:tcPr>
            <w:tcW w:w="1134" w:type="dxa"/>
            <w:vAlign w:val="center"/>
          </w:tcPr>
          <w:p w14:paraId="409F65AA" w14:textId="0B0557FC" w:rsidR="00354AC5" w:rsidRPr="006468F6" w:rsidRDefault="00354AC5" w:rsidP="00354AC5">
            <w:pPr>
              <w:ind w:right="118"/>
              <w:jc w:val="right"/>
              <w:rPr>
                <w:color w:val="FF0000"/>
                <w:highlight w:val="yellow"/>
                <w:lang w:val="en-GB" w:eastAsia="en-AU"/>
              </w:rPr>
            </w:pPr>
            <w:r w:rsidRPr="001C2396">
              <w:t>100%</w:t>
            </w:r>
          </w:p>
        </w:tc>
        <w:tc>
          <w:tcPr>
            <w:tcW w:w="1134" w:type="dxa"/>
            <w:vAlign w:val="center"/>
          </w:tcPr>
          <w:p w14:paraId="3E0C0E6A" w14:textId="7942FB53" w:rsidR="00354AC5" w:rsidRPr="006468F6" w:rsidRDefault="00354AC5" w:rsidP="00354AC5">
            <w:pPr>
              <w:ind w:right="118"/>
              <w:jc w:val="right"/>
              <w:rPr>
                <w:color w:val="FF0000"/>
                <w:highlight w:val="yellow"/>
                <w:lang w:val="en-GB" w:eastAsia="en-AU"/>
              </w:rPr>
            </w:pPr>
            <w:r w:rsidRPr="001C2396">
              <w:t>100%</w:t>
            </w:r>
          </w:p>
        </w:tc>
      </w:tr>
    </w:tbl>
    <w:p w14:paraId="6716BD4E" w14:textId="77777777" w:rsidR="006A65AE" w:rsidRDefault="006A65AE" w:rsidP="006468F6">
      <w:pPr>
        <w:rPr>
          <w:i/>
          <w:color w:val="FF0000"/>
          <w:lang w:eastAsia="en-AU"/>
        </w:rPr>
      </w:pPr>
    </w:p>
    <w:p w14:paraId="27617D63" w14:textId="0CF9461A" w:rsidR="00E63A53" w:rsidRPr="006A65AE" w:rsidRDefault="006468F6" w:rsidP="006A65AE">
      <w:pPr>
        <w:rPr>
          <w:rStyle w:val="Strong"/>
          <w:b w:val="0"/>
          <w:bCs w:val="0"/>
          <w:i/>
          <w:color w:val="FF0000"/>
          <w:lang w:eastAsia="en-AU"/>
        </w:rPr>
      </w:pPr>
      <w:r w:rsidRPr="00354AC5">
        <w:rPr>
          <w:i/>
          <w:lang w:eastAsia="en-AU"/>
        </w:rPr>
        <w:t xml:space="preserve">* The lost-time injury/disease incidence rate is the number of lost-time injuries/diseases where one day/shift or more was lost in the financial year per 100 employees. </w:t>
      </w:r>
      <w:r w:rsidRPr="00354AC5">
        <w:rPr>
          <w:i/>
          <w:lang w:eastAsia="en-AU"/>
        </w:rPr>
        <w:br/>
      </w:r>
      <w:r w:rsidRPr="00354AC5">
        <w:rPr>
          <w:i/>
          <w:lang w:eastAsia="en-AU"/>
        </w:rPr>
        <w:br/>
        <w:t xml:space="preserve">** Not applicable – no </w:t>
      </w:r>
      <w:r w:rsidR="000243F1">
        <w:rPr>
          <w:i/>
          <w:lang w:eastAsia="en-AU"/>
        </w:rPr>
        <w:t>lost time injuries</w:t>
      </w:r>
      <w:r w:rsidRPr="00354AC5">
        <w:rPr>
          <w:i/>
          <w:lang w:eastAsia="en-AU"/>
        </w:rPr>
        <w:t xml:space="preserve"> we</w:t>
      </w:r>
      <w:r w:rsidR="000243F1">
        <w:rPr>
          <w:i/>
          <w:lang w:eastAsia="en-AU"/>
        </w:rPr>
        <w:t>re recorded in 2014/15, 2015/16 or</w:t>
      </w:r>
      <w:r w:rsidR="000202E6">
        <w:rPr>
          <w:i/>
          <w:lang w:eastAsia="en-AU"/>
        </w:rPr>
        <w:t xml:space="preserve"> </w:t>
      </w:r>
      <w:r w:rsidRPr="00354AC5">
        <w:rPr>
          <w:i/>
          <w:lang w:eastAsia="en-AU"/>
        </w:rPr>
        <w:t>2016/17.</w:t>
      </w:r>
      <w:bookmarkEnd w:id="692"/>
      <w:bookmarkEnd w:id="693"/>
      <w:bookmarkEnd w:id="694"/>
      <w:r w:rsidR="006A65AE" w:rsidRPr="00354AC5">
        <w:rPr>
          <w:i/>
          <w:lang w:eastAsia="en-AU"/>
        </w:rPr>
        <w:br/>
      </w:r>
      <w:r w:rsidR="006D3186">
        <w:rPr>
          <w:rStyle w:val="Strong"/>
          <w:rFonts w:cs="Arial"/>
        </w:rPr>
        <w:br/>
      </w:r>
      <w:r w:rsidR="00E63A53" w:rsidRPr="00F75DD8">
        <w:rPr>
          <w:rStyle w:val="Strong"/>
          <w:rFonts w:cs="Arial"/>
        </w:rPr>
        <w:t xml:space="preserve">OSH </w:t>
      </w:r>
      <w:r w:rsidR="00180DE3" w:rsidRPr="00F75DD8">
        <w:rPr>
          <w:rStyle w:val="Strong"/>
          <w:rFonts w:cs="Arial"/>
        </w:rPr>
        <w:t>t</w:t>
      </w:r>
      <w:r w:rsidR="00E63A53" w:rsidRPr="00F75DD8">
        <w:rPr>
          <w:rStyle w:val="Strong"/>
          <w:rFonts w:cs="Arial"/>
        </w:rPr>
        <w:t xml:space="preserve">raining for </w:t>
      </w:r>
      <w:r w:rsidR="007F4FCA" w:rsidRPr="00F75DD8">
        <w:rPr>
          <w:rStyle w:val="Strong"/>
          <w:rFonts w:cs="Arial"/>
        </w:rPr>
        <w:t>staff</w:t>
      </w:r>
      <w:r w:rsidR="00E63A53" w:rsidRPr="00F75DD8">
        <w:rPr>
          <w:rStyle w:val="Strong"/>
          <w:rFonts w:cs="Arial"/>
        </w:rPr>
        <w:t xml:space="preserve"> </w:t>
      </w:r>
    </w:p>
    <w:p w14:paraId="7815FEA5" w14:textId="77777777" w:rsidR="006A65AE" w:rsidRPr="008533F1" w:rsidRDefault="006A65AE" w:rsidP="006A65AE">
      <w:pPr>
        <w:rPr>
          <w:szCs w:val="22"/>
        </w:rPr>
      </w:pPr>
      <w:bookmarkStart w:id="696" w:name="_Toc450900831"/>
      <w:r w:rsidRPr="00AE742A">
        <w:t xml:space="preserve">WorkCover WA staff undertake </w:t>
      </w:r>
      <w:r w:rsidRPr="00DB32FC">
        <w:t xml:space="preserve">online </w:t>
      </w:r>
      <w:r w:rsidRPr="00F73E08">
        <w:t xml:space="preserve">OSH training </w:t>
      </w:r>
      <w:r w:rsidRPr="00AE742A">
        <w:t xml:space="preserve">which aims to provide an </w:t>
      </w:r>
      <w:r w:rsidRPr="008533F1">
        <w:rPr>
          <w:szCs w:val="22"/>
        </w:rPr>
        <w:t xml:space="preserve">understanding of OSH responsibilities. The OSH training includes five modules: </w:t>
      </w:r>
    </w:p>
    <w:p w14:paraId="7ED6F1AE" w14:textId="77777777" w:rsidR="006A65AE" w:rsidRPr="00DF2A76" w:rsidRDefault="006A65AE" w:rsidP="006A65AE">
      <w:pPr>
        <w:pStyle w:val="BulletListLevel1"/>
      </w:pPr>
      <w:r w:rsidRPr="00DF2A76">
        <w:t>WorkCover WA OSH Management System</w:t>
      </w:r>
    </w:p>
    <w:p w14:paraId="1702963A" w14:textId="77777777" w:rsidR="006A65AE" w:rsidRPr="00DF2A76" w:rsidRDefault="006A65AE" w:rsidP="006A65AE">
      <w:pPr>
        <w:pStyle w:val="BulletListLevel1"/>
      </w:pPr>
      <w:r w:rsidRPr="00DF2A76">
        <w:t>OSH Management and OSH Law</w:t>
      </w:r>
    </w:p>
    <w:p w14:paraId="5949E5D7" w14:textId="77777777" w:rsidR="006A65AE" w:rsidRPr="00DF2A76" w:rsidRDefault="006A65AE" w:rsidP="006A65AE">
      <w:pPr>
        <w:pStyle w:val="BulletListLevel1"/>
      </w:pPr>
      <w:r w:rsidRPr="00DF2A76">
        <w:t>Hazard Identification and OSH Risk Management</w:t>
      </w:r>
    </w:p>
    <w:p w14:paraId="030360D8" w14:textId="77777777" w:rsidR="006A65AE" w:rsidRPr="00DF2A76" w:rsidRDefault="006A65AE" w:rsidP="006A65AE">
      <w:pPr>
        <w:pStyle w:val="BulletListLevel1"/>
      </w:pPr>
      <w:r w:rsidRPr="00DF2A76">
        <w:t>Managing Hazards in an Office Environment</w:t>
      </w:r>
    </w:p>
    <w:p w14:paraId="33A6FBFC" w14:textId="77777777" w:rsidR="006A65AE" w:rsidRPr="00DF2A76" w:rsidRDefault="006A65AE" w:rsidP="006A65AE">
      <w:pPr>
        <w:pStyle w:val="BulletListLevel1"/>
      </w:pPr>
      <w:r w:rsidRPr="00DF2A76">
        <w:t>OSH Incident and Injury Management.</w:t>
      </w:r>
    </w:p>
    <w:p w14:paraId="462E23DB" w14:textId="77777777" w:rsidR="006A65AE" w:rsidRDefault="006A65AE" w:rsidP="006A65AE">
      <w:r w:rsidRPr="008533F1">
        <w:t>In 201</w:t>
      </w:r>
      <w:r>
        <w:t>7/18</w:t>
      </w:r>
      <w:r w:rsidRPr="008533F1">
        <w:t xml:space="preserve">, all new staff completed the online OSH Training successfully. </w:t>
      </w:r>
    </w:p>
    <w:p w14:paraId="6663676D" w14:textId="7322743A" w:rsidR="005C2408" w:rsidRDefault="005C2408" w:rsidP="006A65AE">
      <w:pPr>
        <w:pStyle w:val="Heading2nonumber"/>
      </w:pPr>
      <w:bookmarkStart w:id="697" w:name="_Toc525122131"/>
      <w:r w:rsidRPr="00F75DD8">
        <w:t>Government Building Training Policy</w:t>
      </w:r>
      <w:bookmarkEnd w:id="696"/>
      <w:bookmarkEnd w:id="697"/>
    </w:p>
    <w:p w14:paraId="51624431" w14:textId="695B0B93" w:rsidR="006F47A8" w:rsidRDefault="003A2181" w:rsidP="003A2181">
      <w:r w:rsidRPr="001E6478">
        <w:t>WorkCover WA does not issue contracts within the scope of the Government Building Training Policy.</w:t>
      </w:r>
      <w:r w:rsidR="006F47A8">
        <w:br w:type="page"/>
      </w:r>
    </w:p>
    <w:p w14:paraId="57CEF365" w14:textId="29CFD107" w:rsidR="006F47A8" w:rsidRPr="006F47A8" w:rsidRDefault="006F47A8" w:rsidP="00AC772D">
      <w:pPr>
        <w:pStyle w:val="CoverTitle"/>
        <w:ind w:left="0"/>
      </w:pPr>
      <w:bookmarkStart w:id="698" w:name="_Toc271030789"/>
      <w:bookmarkStart w:id="699" w:name="_Toc271030927"/>
      <w:bookmarkStart w:id="700" w:name="_Ref271097874"/>
      <w:bookmarkStart w:id="701" w:name="_Toc271273340"/>
      <w:bookmarkStart w:id="702" w:name="_Toc392689883"/>
      <w:bookmarkStart w:id="703" w:name="_Toc392690093"/>
      <w:bookmarkStart w:id="704" w:name="_Toc392690156"/>
      <w:bookmarkStart w:id="705" w:name="_Toc426617603"/>
      <w:bookmarkStart w:id="706" w:name="_Toc430091334"/>
      <w:bookmarkStart w:id="707" w:name="_Toc268874448"/>
      <w:bookmarkStart w:id="708" w:name="_Toc268874451"/>
      <w:r>
        <w:t>Section 6</w:t>
      </w:r>
      <w:r w:rsidRPr="00AB4A73">
        <w:t xml:space="preserve">: </w:t>
      </w:r>
      <w:r>
        <w:t>Key Performance Indicators</w:t>
      </w:r>
    </w:p>
    <w:p w14:paraId="303F62F6" w14:textId="62626FB3" w:rsidR="006F47A8" w:rsidRPr="00AC772D" w:rsidRDefault="006F47A8" w:rsidP="00AC772D">
      <w:pPr>
        <w:pStyle w:val="Heading1nonumber"/>
      </w:pPr>
      <w:bookmarkStart w:id="709" w:name="_Toc525122132"/>
      <w:r w:rsidRPr="00AC772D">
        <w:t>Key Performance Indicator information</w:t>
      </w:r>
      <w:bookmarkEnd w:id="698"/>
      <w:bookmarkEnd w:id="699"/>
      <w:bookmarkEnd w:id="700"/>
      <w:bookmarkEnd w:id="701"/>
      <w:bookmarkEnd w:id="702"/>
      <w:bookmarkEnd w:id="703"/>
      <w:bookmarkEnd w:id="704"/>
      <w:bookmarkEnd w:id="705"/>
      <w:bookmarkEnd w:id="706"/>
      <w:bookmarkEnd w:id="709"/>
    </w:p>
    <w:p w14:paraId="0AC43C4E" w14:textId="77777777" w:rsidR="006F47A8" w:rsidRPr="00AC772D" w:rsidRDefault="006F47A8" w:rsidP="00AC772D">
      <w:pPr>
        <w:pStyle w:val="Heading2nonumber"/>
      </w:pPr>
      <w:bookmarkStart w:id="710" w:name="_Toc426617604"/>
      <w:bookmarkStart w:id="711" w:name="_Toc430091335"/>
      <w:bookmarkStart w:id="712" w:name="_Toc525122133"/>
      <w:r w:rsidRPr="00AC772D">
        <w:t>Certification of KPIs</w:t>
      </w:r>
      <w:bookmarkEnd w:id="710"/>
      <w:bookmarkEnd w:id="711"/>
      <w:bookmarkEnd w:id="712"/>
    </w:p>
    <w:p w14:paraId="254A3402" w14:textId="5D6CFF2A" w:rsidR="006F47A8" w:rsidRPr="00E724DF" w:rsidRDefault="006F47A8" w:rsidP="00AC772D">
      <w:r w:rsidRPr="00E724DF">
        <w:t>We hereby certify the key performance indicators are based on proper records, are relevant and appropriate for assisting users to assess WorkCover WA’s performance, and fairly represent the performance of WorkCover WA for the financial year ended 30 June 201</w:t>
      </w:r>
      <w:r w:rsidR="006D3186">
        <w:t>8</w:t>
      </w:r>
      <w:r w:rsidRPr="00E724DF">
        <w:t>.</w:t>
      </w:r>
    </w:p>
    <w:p w14:paraId="2ABA08FE" w14:textId="3B0D93F5" w:rsidR="006F47A8" w:rsidRPr="00E724DF" w:rsidRDefault="008F1034" w:rsidP="006F47A8">
      <w:r w:rsidRPr="00F60AD9">
        <w:rPr>
          <w:noProof/>
          <w:lang w:eastAsia="en-AU"/>
        </w:rPr>
        <w:drawing>
          <wp:anchor distT="0" distB="0" distL="114300" distR="114300" simplePos="0" relativeHeight="251662336" behindDoc="1" locked="0" layoutInCell="1" allowOverlap="1" wp14:anchorId="71199035" wp14:editId="2FAA4AB4">
            <wp:simplePos x="0" y="0"/>
            <wp:positionH relativeFrom="column">
              <wp:posOffset>-171450</wp:posOffset>
            </wp:positionH>
            <wp:positionV relativeFrom="paragraph">
              <wp:posOffset>170815</wp:posOffset>
            </wp:positionV>
            <wp:extent cx="1435100" cy="544349"/>
            <wp:effectExtent l="0" t="0" r="0" b="8255"/>
            <wp:wrapTight wrapText="bothSides">
              <wp:wrapPolygon edited="0">
                <wp:start x="0" y="0"/>
                <wp:lineTo x="0" y="21172"/>
                <wp:lineTo x="21218" y="21172"/>
                <wp:lineTo x="21218" y="0"/>
                <wp:lineTo x="0" y="0"/>
              </wp:wrapPolygon>
            </wp:wrapTight>
            <wp:docPr id="34" name="Picture 1" descr="Chairman Greg Joyce's signature" title="Chairman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35100" cy="544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7D110" w14:textId="070DE4C2" w:rsidR="006F47A8" w:rsidRPr="00E724DF" w:rsidRDefault="006F47A8" w:rsidP="006F47A8"/>
    <w:p w14:paraId="671C3604" w14:textId="579B21FE" w:rsidR="006F47A8" w:rsidRPr="00E724DF" w:rsidRDefault="006F47A8" w:rsidP="00AC772D">
      <w:r w:rsidRPr="00E724DF">
        <w:t>Greg Joyce</w:t>
      </w:r>
      <w:r w:rsidRPr="00E724DF">
        <w:br/>
        <w:t>Chairman</w:t>
      </w:r>
      <w:r w:rsidRPr="00E724DF">
        <w:br/>
        <w:t>WorkCover Western Australia Authority</w:t>
      </w:r>
      <w:r w:rsidRPr="00E724DF">
        <w:br/>
      </w:r>
      <w:r w:rsidR="0084068B" w:rsidRPr="0084068B">
        <w:t>31</w:t>
      </w:r>
      <w:r w:rsidRPr="0084068B">
        <w:t xml:space="preserve"> August 201</w:t>
      </w:r>
      <w:r w:rsidR="006D3186" w:rsidRPr="0084068B">
        <w:t>8</w:t>
      </w:r>
      <w:r w:rsidRPr="0084068B">
        <w:t xml:space="preserve"> </w:t>
      </w:r>
    </w:p>
    <w:p w14:paraId="4051242D" w14:textId="77777777" w:rsidR="006F47A8" w:rsidRPr="00E724DF" w:rsidRDefault="006F47A8" w:rsidP="006F47A8"/>
    <w:p w14:paraId="1A84BC36" w14:textId="635DED72" w:rsidR="006F47A8" w:rsidRPr="00E724DF" w:rsidRDefault="006164D5" w:rsidP="006F47A8">
      <w:r>
        <w:rPr>
          <w:noProof/>
          <w:lang w:eastAsia="en-AU"/>
        </w:rPr>
        <w:drawing>
          <wp:inline distT="0" distB="0" distL="0" distR="0" wp14:anchorId="55644BB2" wp14:editId="69574877">
            <wp:extent cx="1435100" cy="520700"/>
            <wp:effectExtent l="0" t="0" r="0" b="0"/>
            <wp:docPr id="35" name="Picture 35"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p>
    <w:p w14:paraId="1DAC9AEB" w14:textId="3A163BEF" w:rsidR="006F47A8" w:rsidRPr="00E724DF" w:rsidRDefault="00AC772D" w:rsidP="00AC772D">
      <w:r>
        <w:t>Chris White</w:t>
      </w:r>
      <w:r>
        <w:br/>
      </w:r>
      <w:r w:rsidR="006F47A8">
        <w:t>A/</w:t>
      </w:r>
      <w:r w:rsidR="006F47A8" w:rsidRPr="00E724DF">
        <w:t>Chief Executive Officer</w:t>
      </w:r>
      <w:r w:rsidR="006F47A8" w:rsidRPr="00E724DF">
        <w:br/>
        <w:t>WorkCov</w:t>
      </w:r>
      <w:r w:rsidR="006D3186">
        <w:t>er Western Australia Authority</w:t>
      </w:r>
      <w:r w:rsidR="006D3186">
        <w:br/>
      </w:r>
      <w:r w:rsidR="0084068B">
        <w:t>31</w:t>
      </w:r>
      <w:r w:rsidR="006F47A8" w:rsidRPr="00E724DF">
        <w:t xml:space="preserve"> August 201</w:t>
      </w:r>
      <w:r w:rsidR="006D3186">
        <w:t>8</w:t>
      </w:r>
    </w:p>
    <w:bookmarkEnd w:id="707"/>
    <w:bookmarkEnd w:id="708"/>
    <w:p w14:paraId="1F9FEECB" w14:textId="77777777" w:rsidR="00CB4909" w:rsidRDefault="00BB3960" w:rsidP="00CB4909">
      <w:pPr>
        <w:pStyle w:val="Heading1nonumber"/>
      </w:pPr>
      <w:r>
        <w:br w:type="page"/>
      </w:r>
      <w:bookmarkStart w:id="713" w:name="_Toc525122134"/>
      <w:r w:rsidR="00CB4909">
        <w:t>Detailed information in support of Key Performance Indicators</w:t>
      </w:r>
      <w:bookmarkEnd w:id="713"/>
    </w:p>
    <w:p w14:paraId="5598B12B" w14:textId="77777777" w:rsidR="00CB4909" w:rsidRDefault="00CB4909" w:rsidP="00CB4909">
      <w:r>
        <w:t xml:space="preserve">Government Goals provide the high level basis of the Government’s vision to improve the quality of life for all Western Australians and are supported at departmental level by Agency specific desired outcomes. </w:t>
      </w:r>
    </w:p>
    <w:p w14:paraId="5DD1AD24" w14:textId="77777777" w:rsidR="00CB4909" w:rsidRDefault="00CB4909" w:rsidP="00CB4909">
      <w:r>
        <w:t>Outcomes are defined as the effects, impacts, results on or consequences for the community, environment or target clients of government services and clarify the contributions each agency is expected to make towards achieving these government policies and priorities. Agency Level Desired Outcomes are intended to bring about behavioural change or satisfy a community or client need and must link to the government goals.</w:t>
      </w:r>
    </w:p>
    <w:p w14:paraId="4FEC14D8" w14:textId="77777777" w:rsidR="00CB4909" w:rsidRDefault="00CB4909" w:rsidP="00CB4909">
      <w:r>
        <w:t xml:space="preserve">Agencies deliver services to achieve these desired outcomes which ultimately contribute to meeting Government goals. This linkage creates a hierarchy in which the purpose of each service provided by an Agency can be traced to a Government goal and is referred to as Outcome Based Management (OBM). </w:t>
      </w:r>
    </w:p>
    <w:p w14:paraId="2EE88959" w14:textId="740D87A4" w:rsidR="00CB4909" w:rsidRDefault="00CB4909" w:rsidP="00CB4909">
      <w:r>
        <w:t xml:space="preserve">Key Performance Indicators are part of the OBM and provide an overview of the critical or material aspects of outcome achievement (effectiveness indicators) and service delivery (efficiency indicators). </w:t>
      </w:r>
    </w:p>
    <w:p w14:paraId="29E9DDDF" w14:textId="77777777" w:rsidR="00CB4909" w:rsidRDefault="00CB4909" w:rsidP="00CB4909">
      <w:r>
        <w:t>New Government Goals introduced for the 2017/18 reporting year and announced during the 2017/18 Budget process are:</w:t>
      </w:r>
    </w:p>
    <w:p w14:paraId="52B569FF" w14:textId="49F0E4CF" w:rsidR="00CB4909" w:rsidRDefault="00CB4909" w:rsidP="00026A6F">
      <w:pPr>
        <w:pStyle w:val="ListParagraph"/>
        <w:numPr>
          <w:ilvl w:val="0"/>
          <w:numId w:val="43"/>
        </w:numPr>
      </w:pPr>
      <w:r w:rsidRPr="00CB4909">
        <w:rPr>
          <w:b/>
        </w:rPr>
        <w:t>Sustainable Finances:</w:t>
      </w:r>
      <w:r>
        <w:t xml:space="preserve"> Responsible financial management and better service delivery</w:t>
      </w:r>
      <w:r>
        <w:br/>
      </w:r>
    </w:p>
    <w:p w14:paraId="14B04AAF" w14:textId="3986C399" w:rsidR="00CB4909" w:rsidRDefault="00CB4909" w:rsidP="00026A6F">
      <w:pPr>
        <w:pStyle w:val="ListParagraph"/>
        <w:numPr>
          <w:ilvl w:val="0"/>
          <w:numId w:val="43"/>
        </w:numPr>
      </w:pPr>
      <w:r w:rsidRPr="00CB4909">
        <w:rPr>
          <w:b/>
        </w:rPr>
        <w:t>Future Jobs and Skills:</w:t>
      </w:r>
      <w:r>
        <w:t xml:space="preserve"> Grow and diversify the economy, create jobs and support skills development</w:t>
      </w:r>
      <w:r>
        <w:br/>
      </w:r>
    </w:p>
    <w:p w14:paraId="4A2DD665" w14:textId="020A9BBA" w:rsidR="00CB4909" w:rsidRDefault="00CB4909" w:rsidP="00026A6F">
      <w:pPr>
        <w:pStyle w:val="ListParagraph"/>
        <w:numPr>
          <w:ilvl w:val="0"/>
          <w:numId w:val="43"/>
        </w:numPr>
      </w:pPr>
      <w:r w:rsidRPr="00CB4909">
        <w:rPr>
          <w:b/>
        </w:rPr>
        <w:t>Strong Communities:</w:t>
      </w:r>
      <w:r>
        <w:t xml:space="preserve"> Safe communities and supported families </w:t>
      </w:r>
      <w:r>
        <w:br/>
      </w:r>
    </w:p>
    <w:p w14:paraId="5B86AAB8" w14:textId="77777777" w:rsidR="00CB4909" w:rsidRDefault="00CB4909" w:rsidP="00026A6F">
      <w:pPr>
        <w:pStyle w:val="ListParagraph"/>
        <w:numPr>
          <w:ilvl w:val="0"/>
          <w:numId w:val="43"/>
        </w:numPr>
      </w:pPr>
      <w:r w:rsidRPr="00CB4909">
        <w:rPr>
          <w:b/>
        </w:rPr>
        <w:t>Better Places:</w:t>
      </w:r>
      <w:r>
        <w:t xml:space="preserve"> A quality environment with liveable and affordable communities and vibrant regions. </w:t>
      </w:r>
    </w:p>
    <w:p w14:paraId="4C256C37" w14:textId="77777777" w:rsidR="00CB4909" w:rsidRDefault="00CB4909" w:rsidP="00CB4909">
      <w:pPr>
        <w:keepLines w:val="0"/>
        <w:spacing w:after="0" w:line="240" w:lineRule="auto"/>
      </w:pPr>
    </w:p>
    <w:p w14:paraId="491147E2" w14:textId="77777777" w:rsidR="00CB4909" w:rsidRDefault="00CB4909" w:rsidP="00CB4909">
      <w:r>
        <w:t>WorkCover WA contributes to Government Goal 1, ‘</w:t>
      </w:r>
      <w:r w:rsidRPr="00CB4909">
        <w:rPr>
          <w:b/>
        </w:rPr>
        <w:t>Sustainable Finances</w:t>
      </w:r>
      <w:r>
        <w:t xml:space="preserve">’ by delivering services aimed at minimising the social and economic impact of </w:t>
      </w:r>
      <w:r>
        <w:br/>
        <w:t>work-related injury and disease on workers, employers and the Western Australian community.</w:t>
      </w:r>
    </w:p>
    <w:p w14:paraId="0349697C" w14:textId="77777777" w:rsidR="00CB4909" w:rsidRDefault="00CB4909">
      <w:pPr>
        <w:keepLines w:val="0"/>
        <w:spacing w:after="0" w:line="240" w:lineRule="auto"/>
      </w:pPr>
      <w:r>
        <w:br w:type="page"/>
      </w:r>
    </w:p>
    <w:p w14:paraId="2041E4AC" w14:textId="77777777" w:rsidR="00CB4909" w:rsidRPr="00CB4909" w:rsidRDefault="00CB4909" w:rsidP="00CB4909">
      <w:r w:rsidRPr="00CB4909">
        <w:t>WorkCover WA’s purpose is to lead a contemporary, healthy and integrated workers’ compensation scheme that is fair, accessible and cost effective for all participants, through:</w:t>
      </w:r>
    </w:p>
    <w:p w14:paraId="1AEE6351" w14:textId="77777777" w:rsidR="00CB4909" w:rsidRPr="00CB4909" w:rsidRDefault="00CB4909" w:rsidP="00026A6F">
      <w:pPr>
        <w:numPr>
          <w:ilvl w:val="0"/>
          <w:numId w:val="44"/>
        </w:numPr>
      </w:pPr>
      <w:r w:rsidRPr="00CB4909">
        <w:t>providing advice and guidance on workers’ compensation, injury management and return to work practices</w:t>
      </w:r>
    </w:p>
    <w:p w14:paraId="4664E32E" w14:textId="77777777" w:rsidR="00CB4909" w:rsidRPr="00CB4909" w:rsidRDefault="00CB4909" w:rsidP="00026A6F">
      <w:pPr>
        <w:numPr>
          <w:ilvl w:val="0"/>
          <w:numId w:val="44"/>
        </w:numPr>
      </w:pPr>
      <w:r w:rsidRPr="00CB4909">
        <w:t>active, responsive and transparent management of the scheme</w:t>
      </w:r>
    </w:p>
    <w:p w14:paraId="276C43DD" w14:textId="77777777" w:rsidR="00CB4909" w:rsidRPr="00CB4909" w:rsidRDefault="00CB4909" w:rsidP="00026A6F">
      <w:pPr>
        <w:numPr>
          <w:ilvl w:val="0"/>
          <w:numId w:val="44"/>
        </w:numPr>
      </w:pPr>
      <w:r w:rsidRPr="00CB4909">
        <w:t>focused information, education and compliance activities</w:t>
      </w:r>
    </w:p>
    <w:p w14:paraId="7F743B31" w14:textId="77777777" w:rsidR="00CB4909" w:rsidRPr="00CB4909" w:rsidRDefault="00CB4909" w:rsidP="00026A6F">
      <w:pPr>
        <w:numPr>
          <w:ilvl w:val="0"/>
          <w:numId w:val="44"/>
        </w:numPr>
      </w:pPr>
      <w:r w:rsidRPr="00CB4909">
        <w:t>fair and timely dispute resolution</w:t>
      </w:r>
    </w:p>
    <w:p w14:paraId="290FB2B3" w14:textId="77777777" w:rsidR="00CB4909" w:rsidRPr="00CB4909" w:rsidRDefault="00CB4909" w:rsidP="00026A6F">
      <w:pPr>
        <w:numPr>
          <w:ilvl w:val="0"/>
          <w:numId w:val="44"/>
        </w:numPr>
      </w:pPr>
      <w:r w:rsidRPr="00CB4909">
        <w:t>a strong service focus.</w:t>
      </w:r>
    </w:p>
    <w:p w14:paraId="5A474615" w14:textId="77777777" w:rsidR="00CB4909" w:rsidRPr="00CB4909" w:rsidRDefault="00CB4909" w:rsidP="00CB4909">
      <w:r w:rsidRPr="00CB4909">
        <w:t xml:space="preserve">WorkCover WA strives to achieve its outcome through the effective administration of the </w:t>
      </w:r>
      <w:r w:rsidRPr="00CB4909">
        <w:rPr>
          <w:i/>
        </w:rPr>
        <w:t xml:space="preserve">Workers’ Compensation and Injury Management Act 1981 </w:t>
      </w:r>
      <w:r w:rsidRPr="00CB4909">
        <w:t>(the Act), the provision of quality policy advice to Government, and excellent stakeholder relationships.</w:t>
      </w:r>
    </w:p>
    <w:p w14:paraId="7B587149" w14:textId="77777777" w:rsidR="00CB4909" w:rsidRPr="00CB4909" w:rsidRDefault="00CB4909" w:rsidP="00CB4909">
      <w:pPr>
        <w:rPr>
          <w:bCs/>
        </w:rPr>
      </w:pPr>
      <w:r w:rsidRPr="00CB4909">
        <w:rPr>
          <w:bCs/>
        </w:rPr>
        <w:t>Our Agency Level Desired Outcome relates directly to our vision and purpose:</w:t>
      </w:r>
      <w:r w:rsidRPr="00CB4909">
        <w:rPr>
          <w:bCs/>
          <w:i/>
          <w:iCs/>
        </w:rPr>
        <w:t xml:space="preserve"> “To ensure a workers’ compensation and injury management scheme that is financially viable, contemporary and integrated whilst providing services that are fair, accessible, timely and cost effective for all participants”.</w:t>
      </w:r>
    </w:p>
    <w:p w14:paraId="0AFEFFAC" w14:textId="77777777" w:rsidR="00CB4909" w:rsidRPr="00CB4909" w:rsidRDefault="00CB4909" w:rsidP="00CB4909">
      <w:pPr>
        <w:rPr>
          <w:bCs/>
        </w:rPr>
      </w:pPr>
      <w:r w:rsidRPr="00CB4909">
        <w:rPr>
          <w:bCs/>
        </w:rPr>
        <w:t>The Agency Services provided to ensure WorkCover WA achieves its desired outcome are:</w:t>
      </w:r>
    </w:p>
    <w:p w14:paraId="73A33097" w14:textId="77777777" w:rsidR="00CB4909" w:rsidRPr="00CB4909" w:rsidRDefault="00CB4909" w:rsidP="00026A6F">
      <w:pPr>
        <w:numPr>
          <w:ilvl w:val="0"/>
          <w:numId w:val="45"/>
        </w:numPr>
        <w:rPr>
          <w:bCs/>
        </w:rPr>
      </w:pPr>
      <w:r w:rsidRPr="00CB4909">
        <w:rPr>
          <w:b/>
          <w:bCs/>
        </w:rPr>
        <w:t xml:space="preserve">Scheme Regulation </w:t>
      </w:r>
      <w:r w:rsidRPr="00CB4909">
        <w:rPr>
          <w:bCs/>
        </w:rPr>
        <w:t>-</w:t>
      </w:r>
      <w:r w:rsidRPr="00CB4909">
        <w:rPr>
          <w:b/>
          <w:bCs/>
        </w:rPr>
        <w:t xml:space="preserve"> </w:t>
      </w:r>
      <w:r w:rsidRPr="00CB4909">
        <w:rPr>
          <w:bCs/>
        </w:rPr>
        <w:t>regulation of workers' compensation scheme participants for compliance with legislative requirements</w:t>
      </w:r>
    </w:p>
    <w:p w14:paraId="568BF928" w14:textId="77777777" w:rsidR="00CB4909" w:rsidRPr="00CB4909" w:rsidRDefault="00CB4909" w:rsidP="00026A6F">
      <w:pPr>
        <w:numPr>
          <w:ilvl w:val="0"/>
          <w:numId w:val="45"/>
        </w:numPr>
        <w:rPr>
          <w:bCs/>
        </w:rPr>
      </w:pPr>
      <w:r w:rsidRPr="00CB4909">
        <w:rPr>
          <w:b/>
          <w:bCs/>
        </w:rPr>
        <w:t xml:space="preserve">Scheme Services </w:t>
      </w:r>
      <w:r w:rsidRPr="00CB4909">
        <w:rPr>
          <w:bCs/>
        </w:rPr>
        <w:t>- provision of effective and equitable dispute resolution and other services to scheme participants.</w:t>
      </w:r>
    </w:p>
    <w:p w14:paraId="1CB851B4" w14:textId="20ECAEC5" w:rsidR="00CB4909" w:rsidRPr="00E724DF" w:rsidRDefault="00CB4909" w:rsidP="00CB4909">
      <w:pPr>
        <w:pStyle w:val="WCHeading1"/>
        <w:numPr>
          <w:ilvl w:val="0"/>
          <w:numId w:val="0"/>
        </w:numPr>
        <w:spacing w:after="120"/>
        <w:rPr>
          <w:b w:val="0"/>
        </w:rPr>
      </w:pPr>
      <w:r>
        <w:br w:type="page"/>
      </w:r>
      <w:r w:rsidRPr="00E724DF">
        <w:rPr>
          <w:b w:val="0"/>
        </w:rPr>
        <w:t>The following table shows the WorkCover WA Outcome Based Management (OBM) Structure.</w:t>
      </w:r>
    </w:p>
    <w:tbl>
      <w:tblPr>
        <w:tblW w:w="9450" w:type="dxa"/>
        <w:tblInd w:w="131" w:type="dxa"/>
        <w:tblBorders>
          <w:top w:val="single" w:sz="4" w:space="0" w:color="446055"/>
          <w:left w:val="single" w:sz="4" w:space="0" w:color="446055"/>
          <w:bottom w:val="single" w:sz="4" w:space="0" w:color="446055"/>
          <w:right w:val="single" w:sz="4" w:space="0" w:color="446055"/>
          <w:insideH w:val="single" w:sz="4" w:space="0" w:color="446055"/>
          <w:insideV w:val="single" w:sz="4" w:space="0" w:color="446055"/>
        </w:tblBorders>
        <w:tblLook w:val="04E0" w:firstRow="1" w:lastRow="1" w:firstColumn="1" w:lastColumn="0" w:noHBand="0" w:noVBand="1"/>
      </w:tblPr>
      <w:tblGrid>
        <w:gridCol w:w="4725"/>
        <w:gridCol w:w="4725"/>
      </w:tblGrid>
      <w:tr w:rsidR="00CB4909" w:rsidRPr="00A173D1" w14:paraId="707553D6" w14:textId="77777777" w:rsidTr="00AD0CE9">
        <w:trPr>
          <w:trHeight w:val="894"/>
        </w:trPr>
        <w:tc>
          <w:tcPr>
            <w:tcW w:w="9450" w:type="dxa"/>
            <w:gridSpan w:val="2"/>
            <w:shd w:val="clear" w:color="auto" w:fill="003F5F"/>
            <w:vAlign w:val="center"/>
            <w:hideMark/>
          </w:tcPr>
          <w:p w14:paraId="66233A02" w14:textId="46CC4630" w:rsidR="00CB4909" w:rsidRPr="00A173D1" w:rsidRDefault="00CB4909" w:rsidP="00CB4909">
            <w:pPr>
              <w:spacing w:before="80" w:after="80"/>
              <w:rPr>
                <w:rStyle w:val="Strong"/>
                <w:color w:val="FFFFFF"/>
                <w:highlight w:val="darkYellow"/>
              </w:rPr>
            </w:pPr>
            <w:r w:rsidRPr="00A173D1">
              <w:rPr>
                <w:rStyle w:val="Strong"/>
                <w:color w:val="FFFFFF"/>
              </w:rPr>
              <w:t xml:space="preserve">Table </w:t>
            </w:r>
            <w:r>
              <w:rPr>
                <w:rStyle w:val="Strong"/>
                <w:color w:val="FFFFFF"/>
              </w:rPr>
              <w:t>48</w:t>
            </w:r>
            <w:r w:rsidRPr="00A173D1">
              <w:rPr>
                <w:rStyle w:val="Strong"/>
                <w:color w:val="FFFFFF"/>
              </w:rPr>
              <w:t>: WorkCover WA’s links to Government Goals through its Agency Desired Outcome</w:t>
            </w:r>
            <w:r>
              <w:rPr>
                <w:rStyle w:val="Strong"/>
                <w:color w:val="FFFFFF"/>
              </w:rPr>
              <w:t>,</w:t>
            </w:r>
            <w:r w:rsidRPr="00A173D1">
              <w:rPr>
                <w:rStyle w:val="Strong"/>
                <w:color w:val="FFFFFF"/>
              </w:rPr>
              <w:t xml:space="preserve"> Services</w:t>
            </w:r>
            <w:r>
              <w:rPr>
                <w:rStyle w:val="Strong"/>
                <w:color w:val="FFFFFF"/>
              </w:rPr>
              <w:t xml:space="preserve"> and Key Performance Indicators</w:t>
            </w:r>
            <w:r w:rsidRPr="00A173D1">
              <w:rPr>
                <w:rStyle w:val="Strong"/>
                <w:color w:val="FFFFFF"/>
              </w:rPr>
              <w:t xml:space="preserve"> </w:t>
            </w:r>
          </w:p>
        </w:tc>
      </w:tr>
      <w:tr w:rsidR="00CB4909" w:rsidRPr="00A173D1" w14:paraId="01EE9414" w14:textId="77777777" w:rsidTr="00AD0CE9">
        <w:trPr>
          <w:trHeight w:val="425"/>
        </w:trPr>
        <w:tc>
          <w:tcPr>
            <w:tcW w:w="9450" w:type="dxa"/>
            <w:gridSpan w:val="2"/>
            <w:shd w:val="clear" w:color="auto" w:fill="003F5F"/>
            <w:vAlign w:val="center"/>
            <w:hideMark/>
          </w:tcPr>
          <w:p w14:paraId="601E3545" w14:textId="77777777" w:rsidR="00CB4909" w:rsidRPr="005D7063" w:rsidRDefault="00CB4909" w:rsidP="00CB4909">
            <w:pPr>
              <w:spacing w:before="80" w:after="80" w:line="240" w:lineRule="auto"/>
              <w:jc w:val="center"/>
              <w:rPr>
                <w:rFonts w:cs="Arial"/>
                <w:b/>
                <w:bCs/>
                <w:lang w:eastAsia="en-AU"/>
              </w:rPr>
            </w:pPr>
            <w:r w:rsidRPr="00254EEA">
              <w:rPr>
                <w:rFonts w:cs="Arial"/>
                <w:b/>
                <w:bCs/>
                <w:color w:val="FFFFFF" w:themeColor="background1"/>
                <w:lang w:eastAsia="en-AU"/>
              </w:rPr>
              <w:t>Government Goal</w:t>
            </w:r>
          </w:p>
        </w:tc>
      </w:tr>
      <w:tr w:rsidR="00CB4909" w:rsidRPr="00A173D1" w14:paraId="4AF9A898" w14:textId="77777777" w:rsidTr="00CB4909">
        <w:trPr>
          <w:trHeight w:val="655"/>
        </w:trPr>
        <w:tc>
          <w:tcPr>
            <w:tcW w:w="9450" w:type="dxa"/>
            <w:gridSpan w:val="2"/>
            <w:shd w:val="clear" w:color="000000" w:fill="FFFFFF"/>
            <w:hideMark/>
          </w:tcPr>
          <w:p w14:paraId="38B367FB" w14:textId="77777777" w:rsidR="00CB4909" w:rsidRPr="00A173D1" w:rsidRDefault="00CB4909" w:rsidP="00CB4909">
            <w:pPr>
              <w:spacing w:before="80" w:after="80" w:line="240" w:lineRule="auto"/>
              <w:jc w:val="center"/>
              <w:rPr>
                <w:rStyle w:val="Strong"/>
              </w:rPr>
            </w:pPr>
            <w:r>
              <w:rPr>
                <w:rStyle w:val="Strong"/>
              </w:rPr>
              <w:t>Sustainable Finances</w:t>
            </w:r>
          </w:p>
          <w:p w14:paraId="55A8E22C" w14:textId="77777777" w:rsidR="00CB4909" w:rsidRPr="00A173D1" w:rsidRDefault="00CB4909" w:rsidP="00CB4909">
            <w:pPr>
              <w:spacing w:before="80" w:after="80"/>
              <w:jc w:val="center"/>
              <w:rPr>
                <w:b/>
                <w:bCs/>
                <w:lang w:eastAsia="en-AU"/>
              </w:rPr>
            </w:pPr>
            <w:r>
              <w:rPr>
                <w:lang w:eastAsia="en-AU"/>
              </w:rPr>
              <w:t>Responsible financial management and better service delivery</w:t>
            </w:r>
          </w:p>
        </w:tc>
      </w:tr>
      <w:tr w:rsidR="00CB4909" w:rsidRPr="00A173D1" w14:paraId="4B09F28E" w14:textId="77777777" w:rsidTr="00AD0CE9">
        <w:trPr>
          <w:trHeight w:val="528"/>
        </w:trPr>
        <w:tc>
          <w:tcPr>
            <w:tcW w:w="9450" w:type="dxa"/>
            <w:gridSpan w:val="2"/>
            <w:shd w:val="clear" w:color="auto" w:fill="003F5F"/>
            <w:vAlign w:val="center"/>
            <w:hideMark/>
          </w:tcPr>
          <w:p w14:paraId="66C5BDA9" w14:textId="77777777" w:rsidR="00CB4909" w:rsidRPr="005D7063" w:rsidRDefault="00CB4909" w:rsidP="00CB4909">
            <w:pPr>
              <w:spacing w:before="80" w:after="80" w:line="240" w:lineRule="auto"/>
              <w:jc w:val="center"/>
              <w:rPr>
                <w:rFonts w:cs="Arial"/>
                <w:b/>
                <w:bCs/>
                <w:lang w:eastAsia="en-AU"/>
              </w:rPr>
            </w:pPr>
            <w:r w:rsidRPr="00254EEA">
              <w:rPr>
                <w:rFonts w:cs="Arial"/>
                <w:b/>
                <w:bCs/>
                <w:color w:val="FFFFFF" w:themeColor="background1"/>
                <w:lang w:eastAsia="en-AU"/>
              </w:rPr>
              <w:t>WorkCover WA’s Agency Level Desired Outcome</w:t>
            </w:r>
          </w:p>
        </w:tc>
      </w:tr>
      <w:tr w:rsidR="00CB4909" w:rsidRPr="00A173D1" w14:paraId="5A7468A7" w14:textId="77777777" w:rsidTr="00CB4909">
        <w:trPr>
          <w:trHeight w:val="1086"/>
        </w:trPr>
        <w:tc>
          <w:tcPr>
            <w:tcW w:w="9450" w:type="dxa"/>
            <w:gridSpan w:val="2"/>
            <w:hideMark/>
          </w:tcPr>
          <w:p w14:paraId="57AB1C95" w14:textId="77777777" w:rsidR="00CB4909" w:rsidRPr="00A173D1" w:rsidRDefault="00CB4909" w:rsidP="00CB4909">
            <w:pPr>
              <w:spacing w:before="80" w:after="80"/>
              <w:rPr>
                <w:lang w:eastAsia="en-AU"/>
              </w:rPr>
            </w:pPr>
            <w:r w:rsidRPr="00A173D1">
              <w:t>To ensure a workers’ compensation and injury management scheme that is financially viable, contemporary and integrated whilst providing services that are fair, accessible, timely and cost effective for all participants.</w:t>
            </w:r>
          </w:p>
        </w:tc>
      </w:tr>
      <w:tr w:rsidR="00CB4909" w:rsidRPr="00A173D1" w14:paraId="278C5B2A" w14:textId="77777777" w:rsidTr="00AD0CE9">
        <w:trPr>
          <w:trHeight w:val="396"/>
        </w:trPr>
        <w:tc>
          <w:tcPr>
            <w:tcW w:w="9450" w:type="dxa"/>
            <w:gridSpan w:val="2"/>
            <w:shd w:val="clear" w:color="auto" w:fill="003F5F"/>
          </w:tcPr>
          <w:p w14:paraId="3EDFB76B" w14:textId="77777777" w:rsidR="00CB4909" w:rsidRPr="00B20D1F" w:rsidRDefault="00CB4909" w:rsidP="00CB4909">
            <w:pPr>
              <w:spacing w:before="80" w:after="80"/>
              <w:jc w:val="center"/>
              <w:rPr>
                <w:b/>
                <w:color w:val="FF0000"/>
              </w:rPr>
            </w:pPr>
            <w:r w:rsidRPr="00254EEA">
              <w:rPr>
                <w:b/>
                <w:color w:val="FFFFFF" w:themeColor="background1"/>
              </w:rPr>
              <w:t>Indicators of Outcome Achievement</w:t>
            </w:r>
          </w:p>
        </w:tc>
      </w:tr>
      <w:tr w:rsidR="00CB4909" w:rsidRPr="00A173D1" w14:paraId="57A96E7D" w14:textId="77777777" w:rsidTr="00CB4909">
        <w:trPr>
          <w:trHeight w:val="365"/>
        </w:trPr>
        <w:tc>
          <w:tcPr>
            <w:tcW w:w="9450" w:type="dxa"/>
            <w:gridSpan w:val="2"/>
          </w:tcPr>
          <w:p w14:paraId="4E92252F" w14:textId="77777777" w:rsidR="00CB4909" w:rsidRPr="00B20D1F" w:rsidRDefault="00CB4909" w:rsidP="00CB4909">
            <w:pPr>
              <w:spacing w:before="80" w:after="80"/>
              <w:jc w:val="center"/>
              <w:rPr>
                <w:color w:val="FF0000"/>
              </w:rPr>
            </w:pPr>
            <w:r w:rsidRPr="00254EEA">
              <w:t>Key Effectiveness Performance Indicators</w:t>
            </w:r>
          </w:p>
        </w:tc>
      </w:tr>
      <w:tr w:rsidR="00CB4909" w:rsidRPr="00A173D1" w14:paraId="24046FBD" w14:textId="77777777" w:rsidTr="00AD0CE9">
        <w:trPr>
          <w:trHeight w:val="495"/>
        </w:trPr>
        <w:tc>
          <w:tcPr>
            <w:tcW w:w="9450" w:type="dxa"/>
            <w:gridSpan w:val="2"/>
            <w:shd w:val="clear" w:color="auto" w:fill="003F5F"/>
            <w:vAlign w:val="center"/>
            <w:hideMark/>
          </w:tcPr>
          <w:p w14:paraId="1A009943" w14:textId="77777777" w:rsidR="00CB4909" w:rsidRPr="00A173D1" w:rsidRDefault="00CB4909" w:rsidP="00CB4909">
            <w:pPr>
              <w:spacing w:before="80" w:after="80" w:line="240" w:lineRule="auto"/>
              <w:jc w:val="center"/>
              <w:rPr>
                <w:rFonts w:cs="Arial"/>
                <w:lang w:eastAsia="en-AU"/>
              </w:rPr>
            </w:pPr>
            <w:r w:rsidRPr="00254EEA">
              <w:rPr>
                <w:rFonts w:cs="Arial"/>
                <w:b/>
                <w:bCs/>
                <w:color w:val="FFFFFF" w:themeColor="background1"/>
                <w:sz w:val="22"/>
                <w:szCs w:val="22"/>
                <w:lang w:eastAsia="en-AU"/>
              </w:rPr>
              <w:t xml:space="preserve">WorkCover WA’s </w:t>
            </w:r>
            <w:r w:rsidRPr="00254EEA">
              <w:rPr>
                <w:rFonts w:cs="Arial"/>
                <w:b/>
                <w:bCs/>
                <w:color w:val="FFFFFF" w:themeColor="background1"/>
                <w:lang w:eastAsia="en-AU"/>
              </w:rPr>
              <w:t>Agency</w:t>
            </w:r>
            <w:r w:rsidRPr="00254EEA">
              <w:rPr>
                <w:rFonts w:cs="Arial"/>
                <w:b/>
                <w:bCs/>
                <w:color w:val="FFFFFF" w:themeColor="background1"/>
                <w:sz w:val="22"/>
                <w:szCs w:val="22"/>
                <w:lang w:eastAsia="en-AU"/>
              </w:rPr>
              <w:t xml:space="preserve"> Services</w:t>
            </w:r>
          </w:p>
        </w:tc>
      </w:tr>
      <w:tr w:rsidR="00CB4909" w:rsidRPr="00A173D1" w14:paraId="724A0FF3" w14:textId="77777777" w:rsidTr="00CB4909">
        <w:trPr>
          <w:trHeight w:val="1227"/>
        </w:trPr>
        <w:tc>
          <w:tcPr>
            <w:tcW w:w="4725" w:type="dxa"/>
            <w:hideMark/>
          </w:tcPr>
          <w:p w14:paraId="593F7BAD" w14:textId="77777777" w:rsidR="00CB4909" w:rsidRPr="00A173D1" w:rsidRDefault="00CB4909" w:rsidP="00CB4909">
            <w:pPr>
              <w:spacing w:before="80" w:after="80" w:line="240" w:lineRule="auto"/>
              <w:rPr>
                <w:rFonts w:cs="Arial"/>
                <w:b/>
                <w:bCs/>
                <w:lang w:eastAsia="en-AU"/>
              </w:rPr>
            </w:pPr>
            <w:r w:rsidRPr="00A173D1">
              <w:rPr>
                <w:rStyle w:val="Strong"/>
              </w:rPr>
              <w:t xml:space="preserve">1. Scheme Regulation - </w:t>
            </w:r>
            <w:r w:rsidRPr="00A173D1">
              <w:rPr>
                <w:rStyle w:val="TableTextChar"/>
              </w:rPr>
              <w:t>regulation of workers' compensation scheme participants for compliance with legislative requirements</w:t>
            </w:r>
          </w:p>
        </w:tc>
        <w:tc>
          <w:tcPr>
            <w:tcW w:w="4725" w:type="dxa"/>
          </w:tcPr>
          <w:p w14:paraId="737889C4" w14:textId="77777777" w:rsidR="00CB4909" w:rsidRPr="00A173D1" w:rsidRDefault="00CB4909" w:rsidP="00CB4909">
            <w:pPr>
              <w:spacing w:before="80" w:after="80" w:line="240" w:lineRule="auto"/>
              <w:rPr>
                <w:rFonts w:cs="Arial"/>
                <w:lang w:eastAsia="en-AU"/>
              </w:rPr>
            </w:pPr>
            <w:r w:rsidRPr="00A173D1">
              <w:rPr>
                <w:rStyle w:val="Strong"/>
              </w:rPr>
              <w:t>2. Scheme Services</w:t>
            </w:r>
            <w:r w:rsidRPr="00A173D1">
              <w:rPr>
                <w:rFonts w:cs="Arial"/>
                <w:sz w:val="22"/>
                <w:szCs w:val="22"/>
                <w:lang w:eastAsia="en-AU"/>
              </w:rPr>
              <w:t xml:space="preserve"> - </w:t>
            </w:r>
            <w:r w:rsidRPr="00A173D1">
              <w:t>provision of effective and equitable dispute resolution and other services to scheme participants</w:t>
            </w:r>
          </w:p>
        </w:tc>
      </w:tr>
      <w:tr w:rsidR="00CB4909" w:rsidRPr="00A173D1" w14:paraId="6772BE31" w14:textId="77777777" w:rsidTr="00AD0CE9">
        <w:trPr>
          <w:trHeight w:val="451"/>
        </w:trPr>
        <w:tc>
          <w:tcPr>
            <w:tcW w:w="9450" w:type="dxa"/>
            <w:gridSpan w:val="2"/>
            <w:shd w:val="clear" w:color="auto" w:fill="003F5F"/>
          </w:tcPr>
          <w:p w14:paraId="1E52BEE9" w14:textId="77777777" w:rsidR="00CB4909" w:rsidRPr="00B20D1F" w:rsidRDefault="00CB4909" w:rsidP="00CB4909">
            <w:pPr>
              <w:tabs>
                <w:tab w:val="left" w:pos="2925"/>
                <w:tab w:val="center" w:pos="4617"/>
              </w:tabs>
              <w:spacing w:before="80" w:after="80" w:line="240" w:lineRule="auto"/>
              <w:rPr>
                <w:rStyle w:val="Strong"/>
                <w:color w:val="FF0000"/>
              </w:rPr>
            </w:pPr>
            <w:r>
              <w:rPr>
                <w:b/>
                <w:color w:val="FFFFFF" w:themeColor="background1"/>
              </w:rPr>
              <w:tab/>
            </w:r>
            <w:r>
              <w:rPr>
                <w:b/>
                <w:color w:val="FFFFFF" w:themeColor="background1"/>
              </w:rPr>
              <w:tab/>
              <w:t>Indicators of Service D</w:t>
            </w:r>
            <w:r w:rsidRPr="00254EEA">
              <w:rPr>
                <w:b/>
                <w:color w:val="FFFFFF" w:themeColor="background1"/>
              </w:rPr>
              <w:t>elivery</w:t>
            </w:r>
          </w:p>
        </w:tc>
      </w:tr>
      <w:tr w:rsidR="00CB4909" w:rsidRPr="00A173D1" w14:paraId="27DB3E2B" w14:textId="77777777" w:rsidTr="00CB4909">
        <w:trPr>
          <w:trHeight w:val="463"/>
        </w:trPr>
        <w:tc>
          <w:tcPr>
            <w:tcW w:w="9450" w:type="dxa"/>
            <w:gridSpan w:val="2"/>
          </w:tcPr>
          <w:p w14:paraId="37F75DEE" w14:textId="77777777" w:rsidR="00CB4909" w:rsidRPr="00B20D1F" w:rsidRDefault="00CB4909" w:rsidP="00CB4909">
            <w:pPr>
              <w:spacing w:before="80" w:after="80" w:line="240" w:lineRule="auto"/>
              <w:jc w:val="center"/>
              <w:rPr>
                <w:rStyle w:val="Strong"/>
                <w:b w:val="0"/>
                <w:color w:val="FF0000"/>
              </w:rPr>
            </w:pPr>
            <w:r w:rsidRPr="00254EEA">
              <w:rPr>
                <w:rStyle w:val="Strong"/>
                <w:b w:val="0"/>
              </w:rPr>
              <w:t>Key Efficiency Performance Indicators</w:t>
            </w:r>
          </w:p>
        </w:tc>
      </w:tr>
    </w:tbl>
    <w:p w14:paraId="6A81009C" w14:textId="663E6BDF" w:rsidR="00CB4909" w:rsidRDefault="00CB4909">
      <w:pPr>
        <w:keepLines w:val="0"/>
        <w:spacing w:after="0" w:line="240" w:lineRule="auto"/>
      </w:pPr>
    </w:p>
    <w:p w14:paraId="70AE10C5" w14:textId="77777777" w:rsidR="00AD0CE9" w:rsidRDefault="00AD0CE9" w:rsidP="00AD0CE9">
      <w:pPr>
        <w:pStyle w:val="Heading2nonumber"/>
      </w:pPr>
      <w:bookmarkStart w:id="714" w:name="_Toc525122135"/>
      <w:r>
        <w:t>Changes to the Outcomes Based Management Structure (OBM)</w:t>
      </w:r>
      <w:bookmarkEnd w:id="714"/>
      <w:r>
        <w:t xml:space="preserve"> </w:t>
      </w:r>
    </w:p>
    <w:p w14:paraId="60C654DE" w14:textId="77777777" w:rsidR="00AD0CE9" w:rsidRDefault="00AD0CE9" w:rsidP="00AD0CE9">
      <w:r>
        <w:t>WorkCover WA undertakes regular reviews of its Outcome Based Management Structure (OBM) and KPI framework to ensure it provides the most suitable measures to indicate the Agency’s performance.</w:t>
      </w:r>
    </w:p>
    <w:p w14:paraId="33B2B9DE" w14:textId="77777777" w:rsidR="00AD0CE9" w:rsidRDefault="00AD0CE9" w:rsidP="00AD0CE9">
      <w:r>
        <w:t>The Agency did not make any changes to its OBM in 2017/18 as the Agency desired Outcomes, Services and KPIs remain relevant and appropriate. The last changes were made in 2014 and included in our 2014/15 Annual Report.</w:t>
      </w:r>
    </w:p>
    <w:p w14:paraId="6A913EBB" w14:textId="77777777" w:rsidR="00AD0CE9" w:rsidRDefault="00AD0CE9" w:rsidP="00AD0CE9">
      <w:pPr>
        <w:pStyle w:val="Heading2nonumber"/>
      </w:pPr>
      <w:bookmarkStart w:id="715" w:name="_Toc525122136"/>
      <w:r>
        <w:t>Independent audit opinion</w:t>
      </w:r>
      <w:bookmarkEnd w:id="715"/>
      <w:r>
        <w:t xml:space="preserve"> </w:t>
      </w:r>
    </w:p>
    <w:p w14:paraId="67BA8482" w14:textId="025729E3" w:rsidR="004564BF" w:rsidRPr="004564BF" w:rsidRDefault="00AD0CE9" w:rsidP="004564BF">
      <w:pPr>
        <w:rPr>
          <w:i/>
        </w:rPr>
        <w:sectPr w:rsidR="004564BF" w:rsidRPr="004564BF" w:rsidSect="004564BF">
          <w:headerReference w:type="default" r:id="rId31"/>
          <w:footerReference w:type="default" r:id="rId32"/>
          <w:pgSz w:w="11906" w:h="16838"/>
          <w:pgMar w:top="1440" w:right="1440" w:bottom="1440" w:left="1440" w:header="709" w:footer="0" w:gutter="0"/>
          <w:cols w:space="708"/>
          <w:docGrid w:linePitch="360"/>
        </w:sectPr>
      </w:pPr>
      <w:r>
        <w:t xml:space="preserve">KPIs are audited annually by the Auditor General and results included in the Independent Auditor’s Report published in </w:t>
      </w:r>
      <w:r w:rsidRPr="00AD0CE9">
        <w:rPr>
          <w:i/>
        </w:rPr>
        <w:t>Section 7:</w:t>
      </w:r>
      <w:bookmarkStart w:id="716" w:name="_Toc392690097"/>
      <w:bookmarkStart w:id="717" w:name="_Toc392690160"/>
      <w:r w:rsidR="004564BF">
        <w:rPr>
          <w:i/>
        </w:rPr>
        <w:t xml:space="preserve"> Financial statements and notes</w:t>
      </w:r>
      <w:r w:rsidR="0000700F">
        <w:rPr>
          <w:i/>
        </w:rPr>
        <w:t>.</w:t>
      </w:r>
    </w:p>
    <w:p w14:paraId="11B9CD15" w14:textId="77777777" w:rsidR="004564BF" w:rsidRPr="00F94728" w:rsidRDefault="004564BF" w:rsidP="004564BF">
      <w:pPr>
        <w:pStyle w:val="Heading1nonumber"/>
        <w:rPr>
          <w:rFonts w:eastAsia="Times New Roman"/>
        </w:rPr>
      </w:pPr>
      <w:bookmarkStart w:id="718" w:name="_Toc392689886"/>
      <w:bookmarkStart w:id="719" w:name="_Toc392690096"/>
      <w:bookmarkStart w:id="720" w:name="_Toc392690159"/>
      <w:bookmarkStart w:id="721" w:name="_Toc426617609"/>
      <w:bookmarkStart w:id="722" w:name="_Toc430091340"/>
      <w:bookmarkStart w:id="723" w:name="_Toc525122137"/>
      <w:r w:rsidRPr="00F94728">
        <w:rPr>
          <w:rFonts w:eastAsia="Times New Roman"/>
        </w:rPr>
        <w:t>Key Performance Indicators</w:t>
      </w:r>
      <w:bookmarkEnd w:id="718"/>
      <w:bookmarkEnd w:id="719"/>
      <w:bookmarkEnd w:id="720"/>
      <w:bookmarkEnd w:id="721"/>
      <w:bookmarkEnd w:id="722"/>
      <w:bookmarkEnd w:id="723"/>
    </w:p>
    <w:tbl>
      <w:tblPr>
        <w:tblpPr w:leftFromText="180" w:rightFromText="180" w:vertAnchor="text" w:horzAnchor="margin" w:tblpY="-5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28"/>
        <w:gridCol w:w="2341"/>
        <w:gridCol w:w="2515"/>
        <w:gridCol w:w="2428"/>
        <w:gridCol w:w="2428"/>
      </w:tblGrid>
      <w:tr w:rsidR="004564BF" w:rsidRPr="00A173D1" w14:paraId="59363D4A" w14:textId="77777777" w:rsidTr="004564BF">
        <w:trPr>
          <w:trHeight w:val="340"/>
        </w:trPr>
        <w:tc>
          <w:tcPr>
            <w:tcW w:w="14567" w:type="dxa"/>
            <w:gridSpan w:val="6"/>
            <w:shd w:val="clear" w:color="auto" w:fill="898D91"/>
            <w:vAlign w:val="center"/>
          </w:tcPr>
          <w:p w14:paraId="448FBC43" w14:textId="77777777" w:rsidR="004564BF" w:rsidRPr="00A173D1" w:rsidRDefault="004564BF" w:rsidP="004564BF">
            <w:pPr>
              <w:pStyle w:val="ListParagraph"/>
              <w:spacing w:before="240"/>
              <w:rPr>
                <w:b/>
                <w:color w:val="FFFFFF"/>
                <w:lang w:eastAsia="en-AU"/>
              </w:rPr>
            </w:pPr>
            <w:r w:rsidRPr="00A173D1">
              <w:rPr>
                <w:b/>
                <w:color w:val="FFFFFF"/>
                <w:lang w:eastAsia="en-AU"/>
              </w:rPr>
              <w:t>Table 2: WorkCover WA’s Key Performance Indicators and their relationship with the Agency’s Outcome Based Management Structure</w:t>
            </w:r>
            <w:r>
              <w:rPr>
                <w:b/>
                <w:color w:val="FFFFFF"/>
                <w:lang w:eastAsia="en-AU"/>
              </w:rPr>
              <w:br/>
            </w:r>
          </w:p>
        </w:tc>
      </w:tr>
      <w:tr w:rsidR="004564BF" w:rsidRPr="00A173D1" w14:paraId="1D66B9DC" w14:textId="77777777" w:rsidTr="004564BF">
        <w:trPr>
          <w:trHeight w:val="471"/>
        </w:trPr>
        <w:tc>
          <w:tcPr>
            <w:tcW w:w="14567" w:type="dxa"/>
            <w:gridSpan w:val="6"/>
            <w:shd w:val="clear" w:color="auto" w:fill="D0D0D0"/>
            <w:vAlign w:val="center"/>
          </w:tcPr>
          <w:p w14:paraId="10DA2FC1" w14:textId="5B5C838F" w:rsidR="004564BF" w:rsidRPr="00A173D1" w:rsidRDefault="004564BF" w:rsidP="004564BF">
            <w:pPr>
              <w:pStyle w:val="ListParagraph"/>
              <w:spacing w:after="120"/>
              <w:jc w:val="center"/>
              <w:rPr>
                <w:lang w:eastAsia="en-AU"/>
              </w:rPr>
            </w:pPr>
            <w:r w:rsidRPr="00A173D1">
              <w:rPr>
                <w:b/>
                <w:lang w:eastAsia="en-AU"/>
              </w:rPr>
              <w:t xml:space="preserve">Agency </w:t>
            </w:r>
            <w:r>
              <w:rPr>
                <w:b/>
                <w:lang w:eastAsia="en-AU"/>
              </w:rPr>
              <w:t xml:space="preserve">Level </w:t>
            </w:r>
            <w:r w:rsidRPr="00A173D1">
              <w:rPr>
                <w:b/>
                <w:lang w:eastAsia="en-AU"/>
              </w:rPr>
              <w:t>Desired Outcome</w:t>
            </w:r>
          </w:p>
        </w:tc>
      </w:tr>
      <w:tr w:rsidR="004564BF" w:rsidRPr="00A173D1" w14:paraId="37A75FD4" w14:textId="77777777" w:rsidTr="004564BF">
        <w:trPr>
          <w:trHeight w:val="902"/>
        </w:trPr>
        <w:tc>
          <w:tcPr>
            <w:tcW w:w="14567" w:type="dxa"/>
            <w:gridSpan w:val="6"/>
            <w:tcBorders>
              <w:bottom w:val="single" w:sz="4" w:space="0" w:color="auto"/>
            </w:tcBorders>
            <w:shd w:val="clear" w:color="auto" w:fill="auto"/>
          </w:tcPr>
          <w:p w14:paraId="08F4EFFD" w14:textId="77777777" w:rsidR="004564BF" w:rsidRPr="00A173D1" w:rsidRDefault="004564BF" w:rsidP="004564BF">
            <w:pPr>
              <w:spacing w:after="120" w:line="240" w:lineRule="auto"/>
              <w:rPr>
                <w:sz w:val="22"/>
                <w:szCs w:val="22"/>
                <w:lang w:eastAsia="en-AU"/>
              </w:rPr>
            </w:pPr>
            <w:r w:rsidRPr="00A173D1">
              <w:rPr>
                <w:sz w:val="22"/>
                <w:szCs w:val="22"/>
                <w:lang w:eastAsia="en-AU"/>
              </w:rPr>
              <w:t>To ensure a workers’ compensation and injury management scheme that is financially viable, contemporary, and integrated whilst providing services that are fair, accessible, timely and cost effective for all participants.</w:t>
            </w:r>
          </w:p>
        </w:tc>
      </w:tr>
      <w:tr w:rsidR="004564BF" w:rsidRPr="00A173D1" w14:paraId="3C5877C5" w14:textId="77777777" w:rsidTr="004564BF">
        <w:trPr>
          <w:trHeight w:val="413"/>
        </w:trPr>
        <w:tc>
          <w:tcPr>
            <w:tcW w:w="14567" w:type="dxa"/>
            <w:gridSpan w:val="6"/>
            <w:shd w:val="clear" w:color="auto" w:fill="D0D0D0"/>
            <w:vAlign w:val="center"/>
          </w:tcPr>
          <w:p w14:paraId="2B141438" w14:textId="072FE3D0" w:rsidR="004564BF" w:rsidRPr="00A173D1" w:rsidRDefault="004564BF" w:rsidP="004564BF">
            <w:pPr>
              <w:spacing w:after="120" w:line="240" w:lineRule="auto"/>
              <w:jc w:val="center"/>
              <w:rPr>
                <w:sz w:val="20"/>
                <w:szCs w:val="20"/>
                <w:lang w:eastAsia="en-AU"/>
              </w:rPr>
            </w:pPr>
            <w:r w:rsidRPr="00A173D1">
              <w:rPr>
                <w:b/>
                <w:lang w:eastAsia="en-AU"/>
              </w:rPr>
              <w:t>Effectiveness Indicators</w:t>
            </w:r>
          </w:p>
        </w:tc>
      </w:tr>
      <w:tr w:rsidR="004564BF" w:rsidRPr="00A173D1" w14:paraId="2D028FC8" w14:textId="77777777" w:rsidTr="004564BF">
        <w:trPr>
          <w:trHeight w:val="879"/>
        </w:trPr>
        <w:tc>
          <w:tcPr>
            <w:tcW w:w="4855" w:type="dxa"/>
            <w:gridSpan w:val="2"/>
            <w:tcBorders>
              <w:bottom w:val="single" w:sz="4" w:space="0" w:color="auto"/>
            </w:tcBorders>
            <w:shd w:val="clear" w:color="auto" w:fill="auto"/>
          </w:tcPr>
          <w:p w14:paraId="28F788B9" w14:textId="77777777" w:rsidR="004564BF" w:rsidRPr="00A173D1" w:rsidRDefault="004564BF" w:rsidP="00026A6F">
            <w:pPr>
              <w:pStyle w:val="ListParagraph"/>
              <w:keepLines w:val="0"/>
              <w:numPr>
                <w:ilvl w:val="1"/>
                <w:numId w:val="47"/>
              </w:numPr>
              <w:spacing w:before="120"/>
              <w:rPr>
                <w:sz w:val="20"/>
                <w:szCs w:val="20"/>
                <w:lang w:eastAsia="en-AU"/>
              </w:rPr>
            </w:pPr>
            <w:r w:rsidRPr="00A173D1">
              <w:rPr>
                <w:sz w:val="22"/>
                <w:szCs w:val="22"/>
                <w:lang w:eastAsia="en-AU"/>
              </w:rPr>
              <w:t>The number of non-compliance events identified as a result of a claim on the General Account</w:t>
            </w:r>
          </w:p>
        </w:tc>
        <w:tc>
          <w:tcPr>
            <w:tcW w:w="4856" w:type="dxa"/>
            <w:gridSpan w:val="2"/>
            <w:tcBorders>
              <w:bottom w:val="single" w:sz="4" w:space="0" w:color="auto"/>
            </w:tcBorders>
            <w:shd w:val="clear" w:color="auto" w:fill="auto"/>
          </w:tcPr>
          <w:p w14:paraId="3B44F7F9" w14:textId="77777777" w:rsidR="004564BF" w:rsidRPr="00A173D1" w:rsidRDefault="004564BF" w:rsidP="004564BF">
            <w:pPr>
              <w:spacing w:after="0" w:line="240" w:lineRule="auto"/>
              <w:rPr>
                <w:sz w:val="22"/>
                <w:szCs w:val="22"/>
              </w:rPr>
            </w:pPr>
            <w:r w:rsidRPr="00A173D1">
              <w:rPr>
                <w:b/>
                <w:sz w:val="22"/>
                <w:szCs w:val="22"/>
                <w:lang w:eastAsia="en-AU"/>
              </w:rPr>
              <w:t>1.2</w:t>
            </w:r>
            <w:r w:rsidRPr="00A173D1">
              <w:rPr>
                <w:sz w:val="22"/>
                <w:szCs w:val="22"/>
                <w:lang w:eastAsia="en-AU"/>
              </w:rPr>
              <w:t xml:space="preserve"> The proportion of conciliations completed within 8 weeks</w:t>
            </w:r>
          </w:p>
        </w:tc>
        <w:tc>
          <w:tcPr>
            <w:tcW w:w="4856" w:type="dxa"/>
            <w:gridSpan w:val="2"/>
            <w:tcBorders>
              <w:bottom w:val="single" w:sz="4" w:space="0" w:color="auto"/>
            </w:tcBorders>
            <w:shd w:val="clear" w:color="auto" w:fill="auto"/>
          </w:tcPr>
          <w:p w14:paraId="5FE9F255" w14:textId="77777777" w:rsidR="004564BF" w:rsidRPr="00A173D1" w:rsidRDefault="004564BF" w:rsidP="004564BF">
            <w:pPr>
              <w:spacing w:after="0" w:line="240" w:lineRule="auto"/>
              <w:rPr>
                <w:sz w:val="22"/>
                <w:szCs w:val="22"/>
              </w:rPr>
            </w:pPr>
            <w:r w:rsidRPr="00A173D1">
              <w:rPr>
                <w:rFonts w:cs="Arial"/>
                <w:b/>
                <w:sz w:val="22"/>
                <w:szCs w:val="22"/>
                <w:lang w:eastAsia="en-AU"/>
              </w:rPr>
              <w:t>1.3</w:t>
            </w:r>
            <w:r w:rsidRPr="00A173D1">
              <w:rPr>
                <w:rFonts w:cs="Arial"/>
                <w:sz w:val="22"/>
                <w:szCs w:val="22"/>
                <w:lang w:eastAsia="en-AU"/>
              </w:rPr>
              <w:t xml:space="preserve"> The proportion of disputes resolved within 6 months</w:t>
            </w:r>
          </w:p>
        </w:tc>
      </w:tr>
      <w:tr w:rsidR="004564BF" w:rsidRPr="00A173D1" w14:paraId="3C64995E" w14:textId="77777777" w:rsidTr="004564BF">
        <w:tc>
          <w:tcPr>
            <w:tcW w:w="14567" w:type="dxa"/>
            <w:gridSpan w:val="6"/>
            <w:shd w:val="clear" w:color="auto" w:fill="D0D0D0"/>
          </w:tcPr>
          <w:p w14:paraId="5652AA85" w14:textId="53435464" w:rsidR="004564BF" w:rsidRPr="00A173D1" w:rsidRDefault="004564BF" w:rsidP="004564BF">
            <w:pPr>
              <w:spacing w:after="120" w:line="240" w:lineRule="auto"/>
              <w:jc w:val="center"/>
              <w:rPr>
                <w:sz w:val="20"/>
                <w:szCs w:val="20"/>
                <w:lang w:eastAsia="en-AU"/>
              </w:rPr>
            </w:pPr>
            <w:r w:rsidRPr="00A173D1">
              <w:rPr>
                <w:b/>
                <w:lang w:eastAsia="en-AU"/>
              </w:rPr>
              <w:t>Agency Services</w:t>
            </w:r>
          </w:p>
        </w:tc>
      </w:tr>
      <w:tr w:rsidR="004564BF" w:rsidRPr="00A173D1" w14:paraId="3C89F943" w14:textId="77777777" w:rsidTr="004564BF">
        <w:trPr>
          <w:trHeight w:val="702"/>
        </w:trPr>
        <w:tc>
          <w:tcPr>
            <w:tcW w:w="7196" w:type="dxa"/>
            <w:gridSpan w:val="3"/>
            <w:shd w:val="clear" w:color="auto" w:fill="auto"/>
          </w:tcPr>
          <w:p w14:paraId="7A5C77F2" w14:textId="77777777" w:rsidR="004564BF" w:rsidRPr="00A173D1" w:rsidRDefault="004564BF" w:rsidP="00026A6F">
            <w:pPr>
              <w:pStyle w:val="ListParagraph"/>
              <w:keepLines w:val="0"/>
              <w:numPr>
                <w:ilvl w:val="0"/>
                <w:numId w:val="48"/>
              </w:numPr>
              <w:spacing w:before="120"/>
              <w:rPr>
                <w:sz w:val="22"/>
                <w:szCs w:val="22"/>
                <w:lang w:eastAsia="en-AU"/>
              </w:rPr>
            </w:pPr>
            <w:r w:rsidRPr="00A173D1">
              <w:rPr>
                <w:b/>
                <w:sz w:val="22"/>
                <w:szCs w:val="22"/>
                <w:lang w:eastAsia="en-AU"/>
              </w:rPr>
              <w:t>Scheme Regulation</w:t>
            </w:r>
            <w:r w:rsidRPr="00A173D1">
              <w:rPr>
                <w:sz w:val="22"/>
                <w:szCs w:val="22"/>
                <w:lang w:eastAsia="en-AU"/>
              </w:rPr>
              <w:t xml:space="preserve"> - regulation of workers’ compensation scheme participants for compliance with legislative requirements.</w:t>
            </w:r>
          </w:p>
          <w:p w14:paraId="48728616" w14:textId="77777777" w:rsidR="004564BF" w:rsidRPr="00A173D1" w:rsidRDefault="004564BF" w:rsidP="004564BF">
            <w:pPr>
              <w:spacing w:after="0" w:line="240" w:lineRule="auto"/>
              <w:rPr>
                <w:sz w:val="22"/>
                <w:szCs w:val="22"/>
                <w:lang w:eastAsia="en-AU"/>
              </w:rPr>
            </w:pPr>
          </w:p>
        </w:tc>
        <w:tc>
          <w:tcPr>
            <w:tcW w:w="7371" w:type="dxa"/>
            <w:gridSpan w:val="3"/>
            <w:shd w:val="clear" w:color="auto" w:fill="auto"/>
          </w:tcPr>
          <w:p w14:paraId="6C8EC78A" w14:textId="77777777" w:rsidR="004564BF" w:rsidRPr="004564BF" w:rsidRDefault="004564BF" w:rsidP="00026A6F">
            <w:pPr>
              <w:pStyle w:val="ListParagraph"/>
              <w:keepLines w:val="0"/>
              <w:numPr>
                <w:ilvl w:val="0"/>
                <w:numId w:val="48"/>
              </w:numPr>
              <w:spacing w:before="120"/>
              <w:rPr>
                <w:rFonts w:cs="Arial"/>
                <w:sz w:val="22"/>
                <w:szCs w:val="22"/>
                <w:lang w:eastAsia="en-AU"/>
              </w:rPr>
            </w:pPr>
            <w:r w:rsidRPr="004564BF">
              <w:rPr>
                <w:rFonts w:cs="Arial"/>
                <w:b/>
                <w:sz w:val="22"/>
                <w:szCs w:val="22"/>
                <w:lang w:eastAsia="en-AU"/>
              </w:rPr>
              <w:t>Scheme Services</w:t>
            </w:r>
            <w:r w:rsidRPr="004564BF">
              <w:rPr>
                <w:rFonts w:cs="Arial"/>
                <w:sz w:val="22"/>
                <w:szCs w:val="22"/>
                <w:lang w:eastAsia="en-AU"/>
              </w:rPr>
              <w:t xml:space="preserve"> - provision of effective and equitable dispute resolution and other services to scheme participants.</w:t>
            </w:r>
          </w:p>
        </w:tc>
      </w:tr>
      <w:tr w:rsidR="004564BF" w:rsidRPr="00A173D1" w14:paraId="02272541" w14:textId="77777777" w:rsidTr="004564BF">
        <w:tc>
          <w:tcPr>
            <w:tcW w:w="14567" w:type="dxa"/>
            <w:gridSpan w:val="6"/>
            <w:shd w:val="clear" w:color="auto" w:fill="D0D0D0"/>
          </w:tcPr>
          <w:p w14:paraId="142C4A32" w14:textId="59095226" w:rsidR="004564BF" w:rsidRPr="00A173D1" w:rsidRDefault="004564BF" w:rsidP="004564BF">
            <w:pPr>
              <w:spacing w:after="120" w:line="240" w:lineRule="auto"/>
              <w:jc w:val="center"/>
              <w:rPr>
                <w:sz w:val="20"/>
                <w:szCs w:val="20"/>
                <w:lang w:eastAsia="en-AU"/>
              </w:rPr>
            </w:pPr>
            <w:r w:rsidRPr="00A173D1">
              <w:rPr>
                <w:b/>
                <w:lang w:eastAsia="en-AU"/>
              </w:rPr>
              <w:t>Efficiency Indicators</w:t>
            </w:r>
          </w:p>
        </w:tc>
      </w:tr>
      <w:tr w:rsidR="004564BF" w:rsidRPr="00A173D1" w14:paraId="0D13097B" w14:textId="77777777" w:rsidTr="004564BF">
        <w:trPr>
          <w:trHeight w:val="1266"/>
        </w:trPr>
        <w:tc>
          <w:tcPr>
            <w:tcW w:w="2427" w:type="dxa"/>
            <w:shd w:val="clear" w:color="auto" w:fill="auto"/>
          </w:tcPr>
          <w:p w14:paraId="32CCCDDC" w14:textId="77777777" w:rsidR="004564BF" w:rsidRPr="00A173D1" w:rsidRDefault="004564BF" w:rsidP="004564BF">
            <w:pPr>
              <w:spacing w:after="0" w:line="240" w:lineRule="auto"/>
              <w:rPr>
                <w:sz w:val="22"/>
                <w:szCs w:val="22"/>
                <w:lang w:eastAsia="en-AU"/>
              </w:rPr>
            </w:pPr>
            <w:r w:rsidRPr="00A173D1">
              <w:rPr>
                <w:b/>
                <w:sz w:val="22"/>
                <w:szCs w:val="22"/>
                <w:lang w:eastAsia="en-AU"/>
              </w:rPr>
              <w:t>1.1</w:t>
            </w:r>
            <w:r w:rsidRPr="00A173D1">
              <w:rPr>
                <w:sz w:val="22"/>
                <w:szCs w:val="22"/>
                <w:lang w:eastAsia="en-AU"/>
              </w:rPr>
              <w:t xml:space="preserve"> Average cost per employer compliance activity</w:t>
            </w:r>
          </w:p>
        </w:tc>
        <w:tc>
          <w:tcPr>
            <w:tcW w:w="2428" w:type="dxa"/>
            <w:shd w:val="clear" w:color="auto" w:fill="auto"/>
          </w:tcPr>
          <w:p w14:paraId="760240F2" w14:textId="77777777" w:rsidR="004564BF" w:rsidRPr="00A173D1" w:rsidRDefault="004564BF" w:rsidP="004564BF">
            <w:pPr>
              <w:spacing w:after="0" w:line="240" w:lineRule="auto"/>
              <w:rPr>
                <w:sz w:val="22"/>
                <w:szCs w:val="22"/>
                <w:lang w:eastAsia="en-AU"/>
              </w:rPr>
            </w:pPr>
            <w:r w:rsidRPr="00A173D1">
              <w:rPr>
                <w:b/>
                <w:sz w:val="22"/>
                <w:szCs w:val="22"/>
                <w:lang w:eastAsia="en-AU"/>
              </w:rPr>
              <w:t>1.2</w:t>
            </w:r>
            <w:r>
              <w:rPr>
                <w:sz w:val="22"/>
                <w:szCs w:val="22"/>
                <w:lang w:eastAsia="en-AU"/>
              </w:rPr>
              <w:t xml:space="preserve"> Average cost </w:t>
            </w:r>
            <w:r w:rsidRPr="00A173D1">
              <w:rPr>
                <w:sz w:val="22"/>
                <w:szCs w:val="22"/>
                <w:lang w:eastAsia="en-AU"/>
              </w:rPr>
              <w:t>per approved and monitored service provider</w:t>
            </w:r>
          </w:p>
        </w:tc>
        <w:tc>
          <w:tcPr>
            <w:tcW w:w="2341" w:type="dxa"/>
            <w:shd w:val="clear" w:color="auto" w:fill="auto"/>
          </w:tcPr>
          <w:p w14:paraId="4F827475" w14:textId="77777777" w:rsidR="004564BF" w:rsidRPr="00A173D1" w:rsidRDefault="004564BF" w:rsidP="004564BF">
            <w:pPr>
              <w:spacing w:after="0" w:line="240" w:lineRule="auto"/>
              <w:rPr>
                <w:sz w:val="22"/>
                <w:szCs w:val="22"/>
                <w:lang w:eastAsia="en-AU"/>
              </w:rPr>
            </w:pPr>
            <w:r w:rsidRPr="00A173D1">
              <w:rPr>
                <w:b/>
                <w:sz w:val="22"/>
                <w:szCs w:val="22"/>
                <w:lang w:eastAsia="en-AU"/>
              </w:rPr>
              <w:t>1.3</w:t>
            </w:r>
            <w:r w:rsidRPr="00A173D1">
              <w:rPr>
                <w:sz w:val="22"/>
                <w:szCs w:val="22"/>
                <w:lang w:eastAsia="en-AU"/>
              </w:rPr>
              <w:t xml:space="preserve"> Average cost per client contact to provide information and advice</w:t>
            </w:r>
          </w:p>
        </w:tc>
        <w:tc>
          <w:tcPr>
            <w:tcW w:w="2515" w:type="dxa"/>
            <w:shd w:val="clear" w:color="auto" w:fill="auto"/>
          </w:tcPr>
          <w:p w14:paraId="5ABA7FBF" w14:textId="77777777" w:rsidR="004564BF" w:rsidRPr="00A173D1" w:rsidRDefault="004564BF" w:rsidP="004564BF">
            <w:pPr>
              <w:spacing w:after="0" w:line="240" w:lineRule="auto"/>
              <w:rPr>
                <w:sz w:val="22"/>
                <w:szCs w:val="22"/>
                <w:lang w:eastAsia="en-AU"/>
              </w:rPr>
            </w:pPr>
            <w:r w:rsidRPr="00A173D1">
              <w:rPr>
                <w:b/>
                <w:sz w:val="22"/>
                <w:szCs w:val="22"/>
                <w:lang w:eastAsia="en-AU"/>
              </w:rPr>
              <w:t>2.1</w:t>
            </w:r>
            <w:r w:rsidRPr="00A173D1">
              <w:rPr>
                <w:sz w:val="22"/>
                <w:szCs w:val="22"/>
                <w:lang w:eastAsia="en-AU"/>
              </w:rPr>
              <w:t xml:space="preserve"> Average cost to complete a conciliation</w:t>
            </w:r>
          </w:p>
        </w:tc>
        <w:tc>
          <w:tcPr>
            <w:tcW w:w="2428" w:type="dxa"/>
            <w:shd w:val="clear" w:color="auto" w:fill="auto"/>
          </w:tcPr>
          <w:p w14:paraId="3FC3BB06" w14:textId="77777777" w:rsidR="004564BF" w:rsidRPr="00A173D1" w:rsidRDefault="004564BF" w:rsidP="004564BF">
            <w:pPr>
              <w:spacing w:after="0" w:line="240" w:lineRule="auto"/>
              <w:rPr>
                <w:sz w:val="22"/>
                <w:szCs w:val="22"/>
                <w:lang w:eastAsia="en-AU"/>
              </w:rPr>
            </w:pPr>
            <w:r w:rsidRPr="00A173D1">
              <w:rPr>
                <w:b/>
                <w:sz w:val="22"/>
                <w:szCs w:val="22"/>
                <w:lang w:eastAsia="en-AU"/>
              </w:rPr>
              <w:t>2.2</w:t>
            </w:r>
            <w:r w:rsidRPr="00A173D1">
              <w:rPr>
                <w:sz w:val="22"/>
                <w:szCs w:val="22"/>
                <w:lang w:eastAsia="en-AU"/>
              </w:rPr>
              <w:t xml:space="preserve"> Average cost to complete an arbitration</w:t>
            </w:r>
          </w:p>
        </w:tc>
        <w:tc>
          <w:tcPr>
            <w:tcW w:w="2428" w:type="dxa"/>
            <w:shd w:val="clear" w:color="auto" w:fill="auto"/>
          </w:tcPr>
          <w:p w14:paraId="52EA9997" w14:textId="77777777" w:rsidR="004564BF" w:rsidRPr="00A173D1" w:rsidRDefault="004564BF" w:rsidP="004564BF">
            <w:pPr>
              <w:spacing w:after="0" w:line="240" w:lineRule="auto"/>
              <w:rPr>
                <w:sz w:val="22"/>
                <w:szCs w:val="22"/>
                <w:lang w:eastAsia="en-AU"/>
              </w:rPr>
            </w:pPr>
            <w:r w:rsidRPr="00A173D1">
              <w:rPr>
                <w:b/>
                <w:sz w:val="22"/>
                <w:szCs w:val="22"/>
                <w:lang w:eastAsia="en-AU"/>
              </w:rPr>
              <w:t>2.3</w:t>
            </w:r>
            <w:r w:rsidRPr="00A173D1">
              <w:rPr>
                <w:sz w:val="22"/>
                <w:szCs w:val="22"/>
                <w:lang w:eastAsia="en-AU"/>
              </w:rPr>
              <w:t xml:space="preserve"> Average cost to process a Memorandum of Agreement</w:t>
            </w:r>
          </w:p>
        </w:tc>
      </w:tr>
    </w:tbl>
    <w:p w14:paraId="0FEABB59" w14:textId="77777777" w:rsidR="004564BF" w:rsidRDefault="004564BF" w:rsidP="0023517A">
      <w:pPr>
        <w:pStyle w:val="Heading2nonumber"/>
        <w:spacing w:after="120" w:line="240" w:lineRule="auto"/>
        <w:sectPr w:rsidR="004564BF" w:rsidSect="004564BF">
          <w:pgSz w:w="16838" w:h="11906" w:orient="landscape"/>
          <w:pgMar w:top="1440" w:right="1440" w:bottom="1440" w:left="1440" w:header="709" w:footer="0" w:gutter="0"/>
          <w:cols w:space="708"/>
          <w:docGrid w:linePitch="360"/>
        </w:sectPr>
      </w:pPr>
    </w:p>
    <w:p w14:paraId="114E0D65" w14:textId="26FFFD9E" w:rsidR="00AD0CE9" w:rsidRPr="00A173D1" w:rsidRDefault="00AD0CE9" w:rsidP="00F73E08">
      <w:pPr>
        <w:pStyle w:val="Heading2nonumber"/>
        <w:spacing w:before="120" w:after="120" w:line="240" w:lineRule="auto"/>
      </w:pPr>
      <w:bookmarkStart w:id="724" w:name="_Toc525122138"/>
      <w:r w:rsidRPr="00A173D1">
        <w:t>Summary of Key Performance Indicators</w:t>
      </w:r>
      <w:bookmarkEnd w:id="716"/>
      <w:bookmarkEnd w:id="717"/>
      <w:bookmarkEnd w:id="724"/>
    </w:p>
    <w:tbl>
      <w:tblPr>
        <w:tblW w:w="10261"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704"/>
        <w:gridCol w:w="2555"/>
        <w:gridCol w:w="1167"/>
        <w:gridCol w:w="1167"/>
        <w:gridCol w:w="1167"/>
        <w:gridCol w:w="1167"/>
        <w:gridCol w:w="1167"/>
        <w:gridCol w:w="1167"/>
      </w:tblGrid>
      <w:tr w:rsidR="00AD0CE9" w:rsidRPr="00A173D1" w14:paraId="7FC6AB6D" w14:textId="77777777" w:rsidTr="00E21EB5">
        <w:trPr>
          <w:trHeight w:val="567"/>
          <w:jc w:val="center"/>
        </w:trPr>
        <w:tc>
          <w:tcPr>
            <w:tcW w:w="10261" w:type="dxa"/>
            <w:gridSpan w:val="8"/>
            <w:shd w:val="clear" w:color="auto" w:fill="898D91"/>
            <w:vAlign w:val="center"/>
          </w:tcPr>
          <w:p w14:paraId="7A649575" w14:textId="77777777" w:rsidR="00AD0CE9" w:rsidRPr="00A173D1" w:rsidRDefault="00AD0CE9" w:rsidP="00E21EB5">
            <w:pPr>
              <w:spacing w:after="0" w:line="240" w:lineRule="auto"/>
              <w:rPr>
                <w:rStyle w:val="Strong"/>
                <w:color w:val="FFFFFF"/>
              </w:rPr>
            </w:pPr>
            <w:r w:rsidRPr="00A173D1">
              <w:rPr>
                <w:rStyle w:val="Strong"/>
                <w:color w:val="FFFFFF"/>
              </w:rPr>
              <w:t>Table 3: Key Performance Indicators of Effectiveness</w:t>
            </w:r>
          </w:p>
        </w:tc>
      </w:tr>
      <w:tr w:rsidR="00AD0CE9" w:rsidRPr="00A173D1" w14:paraId="16844339" w14:textId="77777777" w:rsidTr="00E21EB5">
        <w:trPr>
          <w:trHeight w:val="567"/>
          <w:jc w:val="center"/>
        </w:trPr>
        <w:tc>
          <w:tcPr>
            <w:tcW w:w="704" w:type="dxa"/>
            <w:tcBorders>
              <w:top w:val="single" w:sz="4" w:space="0" w:color="auto"/>
              <w:left w:val="single" w:sz="4" w:space="0" w:color="auto"/>
              <w:bottom w:val="single" w:sz="4" w:space="0" w:color="auto"/>
              <w:right w:val="single" w:sz="4" w:space="0" w:color="auto"/>
            </w:tcBorders>
            <w:shd w:val="clear" w:color="auto" w:fill="D0D0D0"/>
            <w:vAlign w:val="center"/>
          </w:tcPr>
          <w:p w14:paraId="03AB739B" w14:textId="77777777" w:rsidR="00AD0CE9" w:rsidRPr="00A173D1" w:rsidRDefault="00AD0CE9" w:rsidP="006841E5">
            <w:pPr>
              <w:pStyle w:val="TableHeading"/>
              <w:rPr>
                <w:rFonts w:cs="Arial"/>
                <w:color w:val="auto"/>
                <w:sz w:val="21"/>
                <w:szCs w:val="21"/>
              </w:rPr>
            </w:pPr>
            <w:r w:rsidRPr="00A173D1">
              <w:rPr>
                <w:rFonts w:cs="Arial"/>
                <w:color w:val="auto"/>
                <w:sz w:val="21"/>
                <w:szCs w:val="21"/>
              </w:rPr>
              <w:t>#</w:t>
            </w:r>
          </w:p>
        </w:tc>
        <w:tc>
          <w:tcPr>
            <w:tcW w:w="2555" w:type="dxa"/>
            <w:tcBorders>
              <w:top w:val="single" w:sz="4" w:space="0" w:color="auto"/>
              <w:left w:val="single" w:sz="4" w:space="0" w:color="auto"/>
              <w:bottom w:val="single" w:sz="4" w:space="0" w:color="auto"/>
              <w:right w:val="single" w:sz="4" w:space="0" w:color="auto"/>
            </w:tcBorders>
            <w:shd w:val="clear" w:color="auto" w:fill="D0D0D0"/>
            <w:vAlign w:val="center"/>
          </w:tcPr>
          <w:p w14:paraId="637EB049" w14:textId="77777777" w:rsidR="00AD0CE9" w:rsidRPr="00A173D1" w:rsidRDefault="00AD0CE9" w:rsidP="006841E5">
            <w:pPr>
              <w:pStyle w:val="TableHeading"/>
              <w:rPr>
                <w:rFonts w:cs="Arial"/>
                <w:color w:val="auto"/>
                <w:sz w:val="21"/>
                <w:szCs w:val="21"/>
              </w:rPr>
            </w:pPr>
            <w:r w:rsidRPr="00A173D1">
              <w:rPr>
                <w:rFonts w:cs="Arial"/>
                <w:color w:val="auto"/>
                <w:sz w:val="21"/>
                <w:szCs w:val="21"/>
              </w:rPr>
              <w:t>Indicator</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hideMark/>
          </w:tcPr>
          <w:p w14:paraId="0E3DDC74"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2013/14</w:t>
            </w:r>
          </w:p>
          <w:p w14:paraId="763F123F"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tcPr>
          <w:p w14:paraId="6CABFF5C"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2014/15</w:t>
            </w:r>
          </w:p>
          <w:p w14:paraId="1D704BA8" w14:textId="77777777" w:rsidR="00AD0CE9" w:rsidRPr="00A173D1" w:rsidRDefault="00AD0CE9" w:rsidP="006841E5">
            <w:pPr>
              <w:pStyle w:val="TableHeading"/>
              <w:spacing w:before="0" w:after="0"/>
              <w:jc w:val="center"/>
              <w:rPr>
                <w:rFonts w:cs="Arial"/>
                <w:color w:val="auto"/>
                <w:sz w:val="21"/>
                <w:szCs w:val="21"/>
              </w:rPr>
            </w:pPr>
            <w:r w:rsidRPr="00A173D1">
              <w:rPr>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tcPr>
          <w:p w14:paraId="781340C6"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2015/16</w:t>
            </w:r>
          </w:p>
          <w:p w14:paraId="15A8D67B"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hideMark/>
          </w:tcPr>
          <w:p w14:paraId="0938EB8D" w14:textId="77777777" w:rsidR="00AD0CE9" w:rsidRPr="00A173D1" w:rsidRDefault="00AD0CE9" w:rsidP="006841E5">
            <w:pPr>
              <w:pStyle w:val="TableHeading"/>
              <w:spacing w:before="0" w:after="0"/>
              <w:jc w:val="center"/>
              <w:rPr>
                <w:rFonts w:cs="Arial"/>
                <w:color w:val="auto"/>
                <w:sz w:val="21"/>
                <w:szCs w:val="21"/>
              </w:rPr>
            </w:pPr>
            <w:r w:rsidRPr="00A173D1">
              <w:rPr>
                <w:color w:val="auto"/>
                <w:sz w:val="21"/>
                <w:szCs w:val="21"/>
              </w:rPr>
              <w:t xml:space="preserve">2016/17 Actual </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hideMark/>
          </w:tcPr>
          <w:p w14:paraId="67B142E8" w14:textId="77777777" w:rsidR="00AD0CE9" w:rsidRPr="00A173D1" w:rsidRDefault="00AD0CE9" w:rsidP="006841E5">
            <w:pPr>
              <w:pStyle w:val="TableHeading"/>
              <w:spacing w:before="0" w:after="0"/>
              <w:jc w:val="center"/>
              <w:rPr>
                <w:color w:val="auto"/>
                <w:sz w:val="21"/>
                <w:szCs w:val="21"/>
              </w:rPr>
            </w:pPr>
            <w:r>
              <w:rPr>
                <w:color w:val="auto"/>
                <w:sz w:val="21"/>
                <w:szCs w:val="21"/>
              </w:rPr>
              <w:t>2017/18</w:t>
            </w:r>
            <w:r w:rsidRPr="00A173D1">
              <w:rPr>
                <w:color w:val="auto"/>
                <w:sz w:val="21"/>
                <w:szCs w:val="21"/>
              </w:rPr>
              <w:t xml:space="preserve"> </w:t>
            </w:r>
            <w:r>
              <w:rPr>
                <w:color w:val="auto"/>
                <w:sz w:val="21"/>
                <w:szCs w:val="21"/>
              </w:rPr>
              <w:t>Actual</w:t>
            </w:r>
            <w:r w:rsidRPr="00A173D1">
              <w:rPr>
                <w:color w:val="auto"/>
                <w:sz w:val="21"/>
                <w:szCs w:val="21"/>
              </w:rPr>
              <w:t xml:space="preserve"> </w:t>
            </w:r>
          </w:p>
        </w:tc>
        <w:tc>
          <w:tcPr>
            <w:tcW w:w="1167" w:type="dxa"/>
            <w:tcBorders>
              <w:top w:val="single" w:sz="4" w:space="0" w:color="auto"/>
              <w:left w:val="single" w:sz="4" w:space="0" w:color="auto"/>
              <w:bottom w:val="single" w:sz="4" w:space="0" w:color="auto"/>
              <w:right w:val="single" w:sz="4" w:space="0" w:color="auto"/>
            </w:tcBorders>
            <w:shd w:val="clear" w:color="auto" w:fill="D0D0D0"/>
            <w:vAlign w:val="center"/>
            <w:hideMark/>
          </w:tcPr>
          <w:p w14:paraId="1660B173" w14:textId="77777777" w:rsidR="00AD0CE9" w:rsidRPr="00A173D1" w:rsidRDefault="00AD0CE9" w:rsidP="006841E5">
            <w:pPr>
              <w:pStyle w:val="TableHeading"/>
              <w:spacing w:before="0" w:after="0"/>
              <w:jc w:val="center"/>
              <w:rPr>
                <w:color w:val="auto"/>
                <w:sz w:val="21"/>
                <w:szCs w:val="21"/>
              </w:rPr>
            </w:pPr>
            <w:r>
              <w:rPr>
                <w:color w:val="auto"/>
                <w:sz w:val="21"/>
                <w:szCs w:val="21"/>
              </w:rPr>
              <w:t>2017/18</w:t>
            </w:r>
            <w:r w:rsidRPr="00A173D1">
              <w:rPr>
                <w:color w:val="auto"/>
                <w:sz w:val="21"/>
                <w:szCs w:val="21"/>
              </w:rPr>
              <w:t xml:space="preserve"> Target</w:t>
            </w:r>
          </w:p>
        </w:tc>
      </w:tr>
      <w:tr w:rsidR="00AD0CE9" w:rsidRPr="00A173D1" w14:paraId="19980EFF" w14:textId="77777777" w:rsidTr="0023517A">
        <w:trPr>
          <w:trHeight w:val="567"/>
          <w:jc w:val="center"/>
        </w:trPr>
        <w:tc>
          <w:tcPr>
            <w:tcW w:w="704" w:type="dxa"/>
            <w:tcBorders>
              <w:top w:val="single" w:sz="4" w:space="0" w:color="AD9600"/>
              <w:left w:val="single" w:sz="4" w:space="0" w:color="AD9600"/>
              <w:bottom w:val="single" w:sz="4" w:space="0" w:color="AD9600"/>
              <w:right w:val="single" w:sz="4" w:space="0" w:color="auto"/>
            </w:tcBorders>
            <w:shd w:val="clear" w:color="auto" w:fill="D0D0D0"/>
            <w:vAlign w:val="center"/>
            <w:hideMark/>
          </w:tcPr>
          <w:p w14:paraId="6B13AF41" w14:textId="77777777" w:rsidR="00AD0CE9" w:rsidRPr="00A173D1" w:rsidRDefault="00AD0CE9" w:rsidP="006841E5">
            <w:pPr>
              <w:pStyle w:val="TableText"/>
            </w:pPr>
            <w:r w:rsidRPr="00A173D1">
              <w:rPr>
                <w:b/>
              </w:rPr>
              <w:t>1.1</w:t>
            </w:r>
            <w:r w:rsidRPr="00A173D1">
              <w:t xml:space="preserve"> </w:t>
            </w:r>
          </w:p>
        </w:tc>
        <w:tc>
          <w:tcPr>
            <w:tcW w:w="2555" w:type="dxa"/>
            <w:tcBorders>
              <w:top w:val="single" w:sz="4" w:space="0" w:color="auto"/>
              <w:left w:val="single" w:sz="4" w:space="0" w:color="auto"/>
              <w:bottom w:val="single" w:sz="4" w:space="0" w:color="auto"/>
              <w:right w:val="single" w:sz="4" w:space="0" w:color="auto"/>
            </w:tcBorders>
            <w:vAlign w:val="center"/>
          </w:tcPr>
          <w:p w14:paraId="6D3750BD" w14:textId="77777777" w:rsidR="00AD0CE9" w:rsidRPr="00A173D1" w:rsidRDefault="00AD0CE9" w:rsidP="006841E5">
            <w:pPr>
              <w:pStyle w:val="TableText"/>
            </w:pPr>
            <w:r w:rsidRPr="00A173D1">
              <w:t>The number of non-compliance events identified as a result of a claim on the General Account</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153E0" w14:textId="77777777" w:rsidR="00AD0CE9" w:rsidRPr="00A173D1" w:rsidRDefault="00AD0CE9" w:rsidP="006841E5">
            <w:pPr>
              <w:pStyle w:val="TableText"/>
              <w:jc w:val="center"/>
            </w:pPr>
            <w:r w:rsidRPr="00A173D1">
              <w:t>4</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5F9BA3E5" w14:textId="77777777" w:rsidR="00AD0CE9" w:rsidRPr="00A173D1" w:rsidRDefault="00AD0CE9" w:rsidP="006841E5">
            <w:pPr>
              <w:pStyle w:val="TableText"/>
              <w:jc w:val="center"/>
            </w:pPr>
            <w:r w:rsidRPr="00A173D1">
              <w:t>3</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0EB7B34" w14:textId="77777777" w:rsidR="00AD0CE9" w:rsidRPr="00A173D1" w:rsidRDefault="00AD0CE9" w:rsidP="006841E5">
            <w:pPr>
              <w:pStyle w:val="TableText"/>
              <w:jc w:val="center"/>
            </w:pPr>
            <w:r w:rsidRPr="00A173D1">
              <w:t>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27321" w14:textId="77777777" w:rsidR="00AD0CE9" w:rsidRPr="00A173D1" w:rsidRDefault="00AD0CE9" w:rsidP="006841E5">
            <w:pPr>
              <w:pStyle w:val="TableText"/>
              <w:jc w:val="center"/>
            </w:pPr>
            <w:r w:rsidRPr="00A173D1">
              <w:t>2</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4E676891" w14:textId="77777777" w:rsidR="00AD0CE9" w:rsidRPr="0023517A" w:rsidRDefault="00AD0CE9" w:rsidP="006841E5">
            <w:pPr>
              <w:pStyle w:val="TableText"/>
              <w:jc w:val="center"/>
              <w:rPr>
                <w:color w:val="FFFFFF" w:themeColor="background1"/>
              </w:rPr>
            </w:pPr>
            <w:r w:rsidRPr="0023517A">
              <w:rPr>
                <w:color w:val="FFFFFF" w:themeColor="background1"/>
              </w:rPr>
              <w:t>4</w:t>
            </w:r>
          </w:p>
        </w:tc>
        <w:tc>
          <w:tcPr>
            <w:tcW w:w="1167"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702369A0" w14:textId="77777777" w:rsidR="00AD0CE9" w:rsidRPr="0023517A" w:rsidRDefault="00AD0CE9" w:rsidP="006841E5">
            <w:pPr>
              <w:spacing w:after="120"/>
              <w:jc w:val="center"/>
              <w:rPr>
                <w:rFonts w:cs="Arial"/>
                <w:bCs/>
                <w:color w:val="FFFFFF" w:themeColor="background1"/>
                <w:lang w:eastAsia="en-AU"/>
              </w:rPr>
            </w:pPr>
            <w:r w:rsidRPr="0023517A">
              <w:rPr>
                <w:rFonts w:cs="Arial"/>
                <w:bCs/>
                <w:color w:val="FFFFFF" w:themeColor="background1"/>
                <w:sz w:val="22"/>
                <w:szCs w:val="22"/>
                <w:lang w:eastAsia="en-AU"/>
              </w:rPr>
              <w:t>6</w:t>
            </w:r>
          </w:p>
        </w:tc>
      </w:tr>
      <w:tr w:rsidR="00AD0CE9" w:rsidRPr="00A173D1" w14:paraId="1ACF26B9" w14:textId="77777777" w:rsidTr="0023517A">
        <w:trPr>
          <w:trHeight w:val="567"/>
          <w:jc w:val="center"/>
        </w:trPr>
        <w:tc>
          <w:tcPr>
            <w:tcW w:w="704" w:type="dxa"/>
            <w:tcBorders>
              <w:top w:val="single" w:sz="4" w:space="0" w:color="AD9600"/>
              <w:left w:val="single" w:sz="4" w:space="0" w:color="AD9600"/>
              <w:bottom w:val="single" w:sz="4" w:space="0" w:color="AD9600"/>
              <w:right w:val="single" w:sz="4" w:space="0" w:color="auto"/>
            </w:tcBorders>
            <w:shd w:val="clear" w:color="auto" w:fill="D0D0D0"/>
            <w:vAlign w:val="center"/>
          </w:tcPr>
          <w:p w14:paraId="79840774" w14:textId="77777777" w:rsidR="00AD0CE9" w:rsidRPr="00A173D1" w:rsidRDefault="00AD0CE9" w:rsidP="006841E5">
            <w:pPr>
              <w:pStyle w:val="TableText"/>
              <w:spacing w:before="60" w:after="60"/>
            </w:pPr>
            <w:r w:rsidRPr="00A173D1">
              <w:rPr>
                <w:b/>
              </w:rPr>
              <w:t>1.2</w:t>
            </w:r>
            <w:r w:rsidRPr="00A173D1">
              <w:t xml:space="preserve"> </w:t>
            </w:r>
          </w:p>
        </w:tc>
        <w:tc>
          <w:tcPr>
            <w:tcW w:w="2555" w:type="dxa"/>
            <w:tcBorders>
              <w:top w:val="single" w:sz="4" w:space="0" w:color="auto"/>
              <w:left w:val="single" w:sz="4" w:space="0" w:color="auto"/>
              <w:bottom w:val="single" w:sz="4" w:space="0" w:color="auto"/>
              <w:right w:val="single" w:sz="4" w:space="0" w:color="auto"/>
            </w:tcBorders>
            <w:vAlign w:val="center"/>
          </w:tcPr>
          <w:p w14:paraId="591EDD88" w14:textId="77777777" w:rsidR="00AD0CE9" w:rsidRPr="00A173D1" w:rsidRDefault="00AD0CE9" w:rsidP="006841E5">
            <w:pPr>
              <w:pStyle w:val="TableText"/>
              <w:spacing w:before="60" w:after="60"/>
            </w:pPr>
            <w:r w:rsidRPr="00A173D1">
              <w:t>The proportion of conciliations completed within 8 weeks</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102595EE" w14:textId="77777777" w:rsidR="00AD0CE9" w:rsidRPr="00A173D1" w:rsidRDefault="00AD0CE9" w:rsidP="006841E5">
            <w:pPr>
              <w:pStyle w:val="TableText"/>
              <w:jc w:val="center"/>
            </w:pPr>
            <w:r w:rsidRPr="00A173D1">
              <w:t>96.8%</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0CF5980B" w14:textId="77777777" w:rsidR="00AD0CE9" w:rsidRPr="00A173D1" w:rsidRDefault="00AD0CE9" w:rsidP="006841E5">
            <w:pPr>
              <w:pStyle w:val="TableText"/>
              <w:jc w:val="center"/>
            </w:pPr>
            <w:r w:rsidRPr="00A173D1">
              <w:t>96.3%</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4D68389" w14:textId="77777777" w:rsidR="00AD0CE9" w:rsidRPr="00A173D1" w:rsidRDefault="00AD0CE9" w:rsidP="006841E5">
            <w:pPr>
              <w:pStyle w:val="TableText"/>
              <w:jc w:val="center"/>
            </w:pPr>
            <w:r w:rsidRPr="00A173D1">
              <w:t>96.2%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480F8AE" w14:textId="77777777" w:rsidR="00AD0CE9" w:rsidRPr="00A173D1" w:rsidRDefault="00AD0CE9" w:rsidP="006841E5">
            <w:pPr>
              <w:pStyle w:val="TableText"/>
              <w:jc w:val="center"/>
            </w:pPr>
            <w:r w:rsidRPr="00A173D1">
              <w:t>97.1%</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tcPr>
          <w:p w14:paraId="12D12A38" w14:textId="77777777" w:rsidR="00AD0CE9" w:rsidRPr="0023517A" w:rsidRDefault="00AD0CE9" w:rsidP="006841E5">
            <w:pPr>
              <w:pStyle w:val="TableText"/>
              <w:jc w:val="center"/>
              <w:rPr>
                <w:color w:val="FFFFFF" w:themeColor="background1"/>
              </w:rPr>
            </w:pPr>
            <w:r w:rsidRPr="0023517A">
              <w:rPr>
                <w:color w:val="FFFFFF" w:themeColor="background1"/>
              </w:rPr>
              <w:t>96.7%</w:t>
            </w:r>
          </w:p>
        </w:tc>
        <w:tc>
          <w:tcPr>
            <w:tcW w:w="1167" w:type="dxa"/>
            <w:tcBorders>
              <w:top w:val="single" w:sz="4" w:space="0" w:color="auto"/>
              <w:left w:val="single" w:sz="4" w:space="0" w:color="auto"/>
              <w:bottom w:val="single" w:sz="4" w:space="0" w:color="auto"/>
              <w:right w:val="single" w:sz="4" w:space="0" w:color="auto"/>
            </w:tcBorders>
            <w:shd w:val="clear" w:color="auto" w:fill="898D91"/>
            <w:vAlign w:val="center"/>
          </w:tcPr>
          <w:p w14:paraId="7D4D5552" w14:textId="77777777" w:rsidR="00AD0CE9" w:rsidRPr="0023517A" w:rsidRDefault="00AD0CE9" w:rsidP="006841E5">
            <w:pPr>
              <w:pStyle w:val="TableText"/>
              <w:jc w:val="center"/>
              <w:rPr>
                <w:color w:val="FFFFFF" w:themeColor="background1"/>
              </w:rPr>
            </w:pPr>
            <w:r w:rsidRPr="0023517A">
              <w:rPr>
                <w:color w:val="FFFFFF" w:themeColor="background1"/>
              </w:rPr>
              <w:t>97.0%</w:t>
            </w:r>
          </w:p>
        </w:tc>
      </w:tr>
      <w:tr w:rsidR="00AD0CE9" w:rsidRPr="00A173D1" w14:paraId="7D8D3AF9" w14:textId="77777777" w:rsidTr="0023517A">
        <w:trPr>
          <w:trHeight w:val="567"/>
          <w:jc w:val="center"/>
        </w:trPr>
        <w:tc>
          <w:tcPr>
            <w:tcW w:w="704" w:type="dxa"/>
            <w:tcBorders>
              <w:top w:val="single" w:sz="4" w:space="0" w:color="AD9600"/>
              <w:left w:val="single" w:sz="4" w:space="0" w:color="AD9600"/>
              <w:bottom w:val="single" w:sz="4" w:space="0" w:color="AD9600"/>
              <w:right w:val="single" w:sz="4" w:space="0" w:color="auto"/>
            </w:tcBorders>
            <w:shd w:val="clear" w:color="auto" w:fill="D0D0D0"/>
          </w:tcPr>
          <w:p w14:paraId="180D4B78" w14:textId="77777777" w:rsidR="00AD0CE9" w:rsidRPr="00A173D1" w:rsidRDefault="00AD0CE9" w:rsidP="006841E5">
            <w:pPr>
              <w:pStyle w:val="TableText"/>
            </w:pPr>
            <w:r w:rsidRPr="00A173D1">
              <w:rPr>
                <w:b/>
              </w:rPr>
              <w:t>1.3</w:t>
            </w:r>
            <w:r w:rsidRPr="00A173D1">
              <w:t xml:space="preserve"> </w:t>
            </w:r>
          </w:p>
        </w:tc>
        <w:tc>
          <w:tcPr>
            <w:tcW w:w="2555" w:type="dxa"/>
            <w:tcBorders>
              <w:top w:val="single" w:sz="4" w:space="0" w:color="auto"/>
              <w:left w:val="single" w:sz="4" w:space="0" w:color="auto"/>
              <w:bottom w:val="single" w:sz="4" w:space="0" w:color="auto"/>
              <w:right w:val="single" w:sz="4" w:space="0" w:color="auto"/>
            </w:tcBorders>
          </w:tcPr>
          <w:p w14:paraId="51150047" w14:textId="77777777" w:rsidR="00AD0CE9" w:rsidRPr="00A173D1" w:rsidRDefault="00AD0CE9" w:rsidP="006841E5">
            <w:pPr>
              <w:pStyle w:val="TableText"/>
            </w:pPr>
            <w:r w:rsidRPr="00A173D1">
              <w:t>The proportion of disputes resolved within 6 months</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2DB87AC9" w14:textId="77777777" w:rsidR="00AD0CE9" w:rsidRPr="00A173D1" w:rsidRDefault="00AD0CE9" w:rsidP="006841E5">
            <w:pPr>
              <w:pStyle w:val="TableText"/>
              <w:jc w:val="center"/>
            </w:pPr>
            <w:r w:rsidRPr="00A173D1">
              <w:t>89.5%</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194B4671" w14:textId="77777777" w:rsidR="00AD0CE9" w:rsidRPr="00A173D1" w:rsidRDefault="00AD0CE9" w:rsidP="006841E5">
            <w:pPr>
              <w:pStyle w:val="TableText"/>
              <w:jc w:val="center"/>
            </w:pPr>
            <w:r w:rsidRPr="00A173D1">
              <w:t>88.8%</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7DA1339" w14:textId="77777777" w:rsidR="00AD0CE9" w:rsidRPr="00A173D1" w:rsidRDefault="00AD0CE9" w:rsidP="006841E5">
            <w:pPr>
              <w:pStyle w:val="TableText"/>
              <w:jc w:val="center"/>
            </w:pPr>
            <w:r w:rsidRPr="00A173D1">
              <w:t>86.8%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4205810" w14:textId="77777777" w:rsidR="00AD0CE9" w:rsidRPr="00A173D1" w:rsidRDefault="00AD0CE9" w:rsidP="006841E5">
            <w:pPr>
              <w:pStyle w:val="TableText"/>
              <w:jc w:val="center"/>
            </w:pPr>
            <w:r w:rsidRPr="00A173D1">
              <w:t>87.9%</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tcPr>
          <w:p w14:paraId="67DF1615" w14:textId="77777777" w:rsidR="00AD0CE9" w:rsidRPr="0023517A" w:rsidRDefault="00AD0CE9" w:rsidP="006841E5">
            <w:pPr>
              <w:pStyle w:val="TableText"/>
              <w:jc w:val="center"/>
              <w:rPr>
                <w:color w:val="FFFFFF" w:themeColor="background1"/>
              </w:rPr>
            </w:pPr>
            <w:r w:rsidRPr="0023517A">
              <w:rPr>
                <w:color w:val="FFFFFF" w:themeColor="background1"/>
              </w:rPr>
              <w:t>84.1%</w:t>
            </w:r>
          </w:p>
        </w:tc>
        <w:tc>
          <w:tcPr>
            <w:tcW w:w="1167" w:type="dxa"/>
            <w:tcBorders>
              <w:top w:val="single" w:sz="4" w:space="0" w:color="auto"/>
              <w:left w:val="single" w:sz="4" w:space="0" w:color="auto"/>
              <w:bottom w:val="single" w:sz="4" w:space="0" w:color="auto"/>
              <w:right w:val="single" w:sz="4" w:space="0" w:color="auto"/>
            </w:tcBorders>
            <w:shd w:val="clear" w:color="auto" w:fill="898D91"/>
            <w:vAlign w:val="center"/>
          </w:tcPr>
          <w:p w14:paraId="745F0D46" w14:textId="77777777" w:rsidR="00AD0CE9" w:rsidRPr="0023517A" w:rsidRDefault="00AD0CE9" w:rsidP="006841E5">
            <w:pPr>
              <w:pStyle w:val="TableText"/>
              <w:jc w:val="center"/>
              <w:rPr>
                <w:color w:val="FFFFFF" w:themeColor="background1"/>
              </w:rPr>
            </w:pPr>
            <w:r w:rsidRPr="0023517A">
              <w:rPr>
                <w:color w:val="FFFFFF" w:themeColor="background1"/>
              </w:rPr>
              <w:t>90.0%</w:t>
            </w:r>
          </w:p>
        </w:tc>
      </w:tr>
      <w:tr w:rsidR="00AD0CE9" w:rsidRPr="00A173D1" w14:paraId="13DEE9AD" w14:textId="77777777" w:rsidTr="0023517A">
        <w:trPr>
          <w:trHeight w:val="567"/>
          <w:jc w:val="center"/>
        </w:trPr>
        <w:tc>
          <w:tcPr>
            <w:tcW w:w="10261" w:type="dxa"/>
            <w:gridSpan w:val="8"/>
            <w:tcBorders>
              <w:top w:val="single" w:sz="4" w:space="0" w:color="auto"/>
              <w:left w:val="single" w:sz="4" w:space="0" w:color="auto"/>
              <w:bottom w:val="single" w:sz="4" w:space="0" w:color="auto"/>
            </w:tcBorders>
            <w:shd w:val="clear" w:color="auto" w:fill="003F5F"/>
            <w:vAlign w:val="center"/>
          </w:tcPr>
          <w:p w14:paraId="2E1C6F19" w14:textId="77777777" w:rsidR="00AD0CE9" w:rsidRPr="00A173D1" w:rsidRDefault="00AD0CE9" w:rsidP="006841E5">
            <w:pPr>
              <w:pStyle w:val="TableHeading"/>
              <w:spacing w:before="0" w:after="0"/>
              <w:rPr>
                <w:rFonts w:cs="Arial"/>
                <w:sz w:val="24"/>
                <w:szCs w:val="24"/>
              </w:rPr>
            </w:pPr>
            <w:r w:rsidRPr="00A173D1">
              <w:rPr>
                <w:rFonts w:cs="Arial"/>
                <w:sz w:val="24"/>
                <w:szCs w:val="24"/>
              </w:rPr>
              <w:t>Table 4: Key Performance Indicators of Efficiency</w:t>
            </w:r>
            <w:r>
              <w:rPr>
                <w:rStyle w:val="FootnoteReference"/>
                <w:rFonts w:cs="Arial"/>
                <w:szCs w:val="24"/>
              </w:rPr>
              <w:footnoteReference w:id="1"/>
            </w:r>
          </w:p>
        </w:tc>
      </w:tr>
      <w:tr w:rsidR="00AD0CE9" w:rsidRPr="00A173D1" w14:paraId="1675882C" w14:textId="77777777" w:rsidTr="0023517A">
        <w:trPr>
          <w:trHeight w:val="567"/>
          <w:jc w:val="center"/>
        </w:trPr>
        <w:tc>
          <w:tcPr>
            <w:tcW w:w="704" w:type="dxa"/>
            <w:tcBorders>
              <w:top w:val="single" w:sz="4" w:space="0" w:color="auto"/>
              <w:left w:val="single" w:sz="4" w:space="0" w:color="auto"/>
              <w:bottom w:val="single" w:sz="4" w:space="0" w:color="auto"/>
              <w:right w:val="single" w:sz="4" w:space="0" w:color="auto"/>
            </w:tcBorders>
            <w:shd w:val="clear" w:color="auto" w:fill="CEDCE8"/>
            <w:vAlign w:val="center"/>
          </w:tcPr>
          <w:p w14:paraId="69B75249"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w:t>
            </w:r>
          </w:p>
        </w:tc>
        <w:tc>
          <w:tcPr>
            <w:tcW w:w="2555" w:type="dxa"/>
            <w:tcBorders>
              <w:top w:val="single" w:sz="4" w:space="0" w:color="auto"/>
              <w:left w:val="single" w:sz="4" w:space="0" w:color="auto"/>
              <w:bottom w:val="single" w:sz="4" w:space="0" w:color="auto"/>
              <w:right w:val="single" w:sz="4" w:space="0" w:color="auto"/>
            </w:tcBorders>
            <w:shd w:val="clear" w:color="auto" w:fill="CEDCE8"/>
            <w:vAlign w:val="center"/>
          </w:tcPr>
          <w:p w14:paraId="38DC9C74"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Indicators</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tcPr>
          <w:p w14:paraId="026AD121"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2013/14</w:t>
            </w:r>
          </w:p>
          <w:p w14:paraId="56E5A14C" w14:textId="77777777" w:rsidR="00AD0CE9" w:rsidRPr="00A173D1" w:rsidRDefault="00AD0CE9" w:rsidP="006841E5">
            <w:pPr>
              <w:pStyle w:val="TableHeading"/>
              <w:spacing w:before="0" w:after="0"/>
              <w:jc w:val="center"/>
              <w:rPr>
                <w:rFonts w:cs="Arial"/>
                <w:color w:val="auto"/>
                <w:sz w:val="21"/>
                <w:szCs w:val="21"/>
              </w:rPr>
            </w:pPr>
            <w:r w:rsidRPr="00A173D1">
              <w:rPr>
                <w:rFonts w:cs="Arial"/>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hideMark/>
          </w:tcPr>
          <w:p w14:paraId="4269D74C"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2014/15</w:t>
            </w:r>
          </w:p>
          <w:p w14:paraId="717564A9"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tcPr>
          <w:p w14:paraId="3FA3905F"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2015/16</w:t>
            </w:r>
          </w:p>
          <w:p w14:paraId="00E6526D" w14:textId="77777777" w:rsidR="00AD0CE9" w:rsidRPr="00A173D1" w:rsidRDefault="00AD0CE9" w:rsidP="006841E5">
            <w:pPr>
              <w:pStyle w:val="TableHeading"/>
              <w:spacing w:before="0" w:after="0"/>
              <w:jc w:val="center"/>
              <w:rPr>
                <w:rFonts w:cs="Arial"/>
                <w:color w:val="auto"/>
                <w:sz w:val="21"/>
                <w:szCs w:val="21"/>
              </w:rPr>
            </w:pPr>
            <w:r w:rsidRPr="00A173D1">
              <w:rPr>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hideMark/>
          </w:tcPr>
          <w:p w14:paraId="1EF4BEC5" w14:textId="77777777" w:rsidR="00AD0CE9" w:rsidRPr="00A173D1" w:rsidRDefault="00AD0CE9" w:rsidP="006841E5">
            <w:pPr>
              <w:pStyle w:val="TableHeading"/>
              <w:spacing w:before="0" w:after="0"/>
              <w:jc w:val="center"/>
              <w:rPr>
                <w:color w:val="auto"/>
                <w:sz w:val="21"/>
                <w:szCs w:val="21"/>
              </w:rPr>
            </w:pPr>
            <w:r w:rsidRPr="00A173D1">
              <w:rPr>
                <w:color w:val="auto"/>
                <w:sz w:val="21"/>
                <w:szCs w:val="21"/>
              </w:rPr>
              <w:t>2016/17  Actual</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hideMark/>
          </w:tcPr>
          <w:p w14:paraId="2E4754A0" w14:textId="77777777" w:rsidR="00AD0CE9" w:rsidRPr="00A173D1" w:rsidRDefault="00AD0CE9" w:rsidP="006841E5">
            <w:pPr>
              <w:pStyle w:val="TableHeading"/>
              <w:spacing w:before="0" w:after="0"/>
              <w:jc w:val="center"/>
              <w:rPr>
                <w:color w:val="auto"/>
                <w:sz w:val="21"/>
                <w:szCs w:val="21"/>
              </w:rPr>
            </w:pPr>
            <w:r>
              <w:rPr>
                <w:color w:val="auto"/>
                <w:sz w:val="21"/>
                <w:szCs w:val="21"/>
              </w:rPr>
              <w:t>2017/18</w:t>
            </w:r>
            <w:r w:rsidRPr="00A173D1">
              <w:rPr>
                <w:color w:val="auto"/>
                <w:sz w:val="21"/>
                <w:szCs w:val="21"/>
              </w:rPr>
              <w:t xml:space="preserve">  </w:t>
            </w:r>
            <w:r>
              <w:rPr>
                <w:color w:val="auto"/>
                <w:sz w:val="21"/>
                <w:szCs w:val="21"/>
              </w:rPr>
              <w:t>Actual</w:t>
            </w:r>
          </w:p>
        </w:tc>
        <w:tc>
          <w:tcPr>
            <w:tcW w:w="1167" w:type="dxa"/>
            <w:tcBorders>
              <w:top w:val="single" w:sz="4" w:space="0" w:color="auto"/>
              <w:left w:val="single" w:sz="4" w:space="0" w:color="auto"/>
              <w:bottom w:val="single" w:sz="4" w:space="0" w:color="auto"/>
              <w:right w:val="single" w:sz="4" w:space="0" w:color="auto"/>
            </w:tcBorders>
            <w:shd w:val="clear" w:color="auto" w:fill="CEDCE8"/>
            <w:vAlign w:val="center"/>
            <w:hideMark/>
          </w:tcPr>
          <w:p w14:paraId="018640ED" w14:textId="77777777" w:rsidR="00AD0CE9" w:rsidRPr="00A173D1" w:rsidRDefault="00AD0CE9" w:rsidP="006841E5">
            <w:pPr>
              <w:pStyle w:val="TableHeading"/>
              <w:spacing w:before="0" w:after="0"/>
              <w:jc w:val="center"/>
              <w:rPr>
                <w:color w:val="auto"/>
                <w:sz w:val="21"/>
                <w:szCs w:val="21"/>
              </w:rPr>
            </w:pPr>
            <w:r>
              <w:rPr>
                <w:color w:val="auto"/>
                <w:sz w:val="21"/>
                <w:szCs w:val="21"/>
              </w:rPr>
              <w:t>2017/18</w:t>
            </w:r>
            <w:r w:rsidRPr="00A173D1">
              <w:rPr>
                <w:color w:val="auto"/>
                <w:sz w:val="21"/>
                <w:szCs w:val="21"/>
              </w:rPr>
              <w:t xml:space="preserve"> Target</w:t>
            </w:r>
          </w:p>
        </w:tc>
      </w:tr>
      <w:tr w:rsidR="00AD0CE9" w:rsidRPr="00A173D1" w14:paraId="799D9A73" w14:textId="77777777" w:rsidTr="0023517A">
        <w:trPr>
          <w:trHeight w:val="567"/>
          <w:jc w:val="center"/>
        </w:trPr>
        <w:tc>
          <w:tcPr>
            <w:tcW w:w="704" w:type="dxa"/>
            <w:tcBorders>
              <w:top w:val="single" w:sz="4" w:space="0" w:color="AD9600"/>
              <w:left w:val="single" w:sz="4" w:space="0" w:color="AD9600"/>
              <w:bottom w:val="single" w:sz="4" w:space="0" w:color="AD9600"/>
              <w:right w:val="single" w:sz="4" w:space="0" w:color="auto"/>
            </w:tcBorders>
            <w:shd w:val="clear" w:color="auto" w:fill="CEDCE8"/>
            <w:vAlign w:val="center"/>
            <w:hideMark/>
          </w:tcPr>
          <w:p w14:paraId="35F5C76E" w14:textId="77777777" w:rsidR="00AD0CE9" w:rsidRPr="00A173D1" w:rsidRDefault="00AD0CE9" w:rsidP="006841E5">
            <w:pPr>
              <w:pStyle w:val="TableText"/>
            </w:pPr>
            <w:r w:rsidRPr="00A173D1">
              <w:rPr>
                <w:b/>
              </w:rPr>
              <w:t>1.1</w:t>
            </w:r>
            <w:r w:rsidRPr="00A173D1">
              <w:t xml:space="preserve"> </w:t>
            </w:r>
          </w:p>
        </w:tc>
        <w:tc>
          <w:tcPr>
            <w:tcW w:w="2555" w:type="dxa"/>
            <w:tcBorders>
              <w:top w:val="single" w:sz="4" w:space="0" w:color="auto"/>
              <w:left w:val="single" w:sz="4" w:space="0" w:color="auto"/>
              <w:bottom w:val="single" w:sz="4" w:space="0" w:color="auto"/>
              <w:right w:val="single" w:sz="4" w:space="0" w:color="auto"/>
            </w:tcBorders>
            <w:vAlign w:val="center"/>
          </w:tcPr>
          <w:p w14:paraId="30F0A094" w14:textId="77777777" w:rsidR="00AD0CE9" w:rsidRPr="00A173D1" w:rsidRDefault="00AD0CE9" w:rsidP="006841E5">
            <w:pPr>
              <w:pStyle w:val="TableText"/>
            </w:pPr>
            <w:r w:rsidRPr="00A173D1">
              <w:t>Average cost per employer compliance activity</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1A4D0A89" w14:textId="77777777" w:rsidR="00AD0CE9" w:rsidRPr="00A173D1" w:rsidRDefault="00AD0CE9" w:rsidP="006841E5">
            <w:pPr>
              <w:pStyle w:val="TableText"/>
              <w:spacing w:before="60" w:after="60"/>
              <w:jc w:val="center"/>
            </w:pPr>
            <w:r w:rsidRPr="00A173D1">
              <w:t>$198</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99E929" w14:textId="77777777" w:rsidR="00AD0CE9" w:rsidRPr="00A173D1" w:rsidRDefault="00AD0CE9" w:rsidP="006841E5">
            <w:pPr>
              <w:pStyle w:val="TableText"/>
              <w:spacing w:before="60" w:after="60"/>
              <w:jc w:val="center"/>
            </w:pPr>
            <w:r w:rsidRPr="00A173D1">
              <w:t>$255</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639296FE" w14:textId="77777777" w:rsidR="00AD0CE9" w:rsidRPr="00A173D1" w:rsidRDefault="00AD0CE9" w:rsidP="006841E5">
            <w:pPr>
              <w:pStyle w:val="TableText"/>
              <w:spacing w:before="60" w:after="60"/>
              <w:jc w:val="center"/>
            </w:pPr>
            <w:r w:rsidRPr="00A173D1">
              <w:t>$281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78AF5" w14:textId="77777777" w:rsidR="00AD0CE9" w:rsidRPr="00A173D1" w:rsidRDefault="00AD0CE9" w:rsidP="006841E5">
            <w:pPr>
              <w:pStyle w:val="TableText"/>
              <w:spacing w:before="60" w:after="60"/>
              <w:jc w:val="center"/>
            </w:pPr>
            <w:r w:rsidRPr="00A173D1">
              <w:t>$251</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615A9612"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$261</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6B3C0BCD" w14:textId="77777777" w:rsidR="00AD0CE9" w:rsidRPr="0023517A" w:rsidRDefault="00AD0CE9" w:rsidP="006841E5">
            <w:pPr>
              <w:pStyle w:val="TableText"/>
              <w:spacing w:before="60" w:after="60"/>
              <w:jc w:val="center"/>
              <w:rPr>
                <w:color w:val="FFFFFF" w:themeColor="background1"/>
              </w:rPr>
            </w:pPr>
            <w:r w:rsidRPr="0023517A">
              <w:rPr>
                <w:color w:val="FFFFFF" w:themeColor="background1"/>
              </w:rPr>
              <w:t>$290</w:t>
            </w:r>
          </w:p>
        </w:tc>
      </w:tr>
      <w:tr w:rsidR="00AD0CE9" w:rsidRPr="00A173D1" w14:paraId="22F1CD89" w14:textId="77777777" w:rsidTr="0023517A">
        <w:trPr>
          <w:trHeight w:val="850"/>
          <w:jc w:val="center"/>
        </w:trPr>
        <w:tc>
          <w:tcPr>
            <w:tcW w:w="704" w:type="dxa"/>
            <w:tcBorders>
              <w:top w:val="single" w:sz="4" w:space="0" w:color="AD9600"/>
              <w:left w:val="single" w:sz="4" w:space="0" w:color="AD9600"/>
              <w:bottom w:val="single" w:sz="4" w:space="0" w:color="AD9600"/>
              <w:right w:val="single" w:sz="4" w:space="0" w:color="auto"/>
            </w:tcBorders>
            <w:shd w:val="clear" w:color="auto" w:fill="CEDCE8"/>
            <w:vAlign w:val="center"/>
            <w:hideMark/>
          </w:tcPr>
          <w:p w14:paraId="2E3B2C08" w14:textId="77777777" w:rsidR="00AD0CE9" w:rsidRPr="00A173D1" w:rsidRDefault="00AD0CE9" w:rsidP="006841E5">
            <w:pPr>
              <w:pStyle w:val="TableText"/>
            </w:pPr>
            <w:r w:rsidRPr="00A173D1">
              <w:rPr>
                <w:b/>
              </w:rPr>
              <w:t>1.2</w:t>
            </w:r>
            <w:r w:rsidRPr="00A173D1">
              <w:t xml:space="preserve"> </w:t>
            </w:r>
          </w:p>
        </w:tc>
        <w:tc>
          <w:tcPr>
            <w:tcW w:w="2555" w:type="dxa"/>
            <w:tcBorders>
              <w:top w:val="single" w:sz="4" w:space="0" w:color="auto"/>
              <w:left w:val="single" w:sz="4" w:space="0" w:color="auto"/>
              <w:bottom w:val="single" w:sz="4" w:space="0" w:color="auto"/>
              <w:right w:val="single" w:sz="4" w:space="0" w:color="auto"/>
            </w:tcBorders>
            <w:vAlign w:val="center"/>
          </w:tcPr>
          <w:p w14:paraId="2F150B4B" w14:textId="77777777" w:rsidR="00AD0CE9" w:rsidRPr="00A173D1" w:rsidRDefault="00AD0CE9" w:rsidP="006841E5">
            <w:pPr>
              <w:pStyle w:val="TableText"/>
            </w:pPr>
            <w:r w:rsidRPr="00A173D1">
              <w:t>Average cost per approved and monitored service provider</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555F14A9" w14:textId="77777777" w:rsidR="00AD0CE9" w:rsidRPr="00A173D1" w:rsidRDefault="00AD0CE9" w:rsidP="006841E5">
            <w:pPr>
              <w:pStyle w:val="TableText"/>
              <w:spacing w:before="60" w:after="60"/>
              <w:jc w:val="center"/>
            </w:pPr>
            <w:r w:rsidRPr="00A173D1">
              <w:t>$3,047</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3BA87E1F" w14:textId="77777777" w:rsidR="00AD0CE9" w:rsidRPr="00A173D1" w:rsidRDefault="00AD0CE9" w:rsidP="006841E5">
            <w:pPr>
              <w:pStyle w:val="TableText"/>
              <w:spacing w:before="60" w:after="60"/>
              <w:jc w:val="center"/>
            </w:pPr>
            <w:r w:rsidRPr="00A173D1">
              <w:t>$3,250</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9FB4639" w14:textId="77777777" w:rsidR="00AD0CE9" w:rsidRPr="00A173D1" w:rsidRDefault="00AD0CE9" w:rsidP="006841E5">
            <w:pPr>
              <w:pStyle w:val="TableText"/>
              <w:spacing w:before="60" w:after="60"/>
              <w:jc w:val="center"/>
            </w:pPr>
            <w:r w:rsidRPr="00A173D1">
              <w:t>$3,472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7C1E62D" w14:textId="77777777" w:rsidR="00AD0CE9" w:rsidRPr="00A173D1" w:rsidRDefault="00AD0CE9" w:rsidP="006841E5">
            <w:pPr>
              <w:pStyle w:val="TableText"/>
              <w:spacing w:before="60" w:after="60"/>
              <w:jc w:val="center"/>
            </w:pPr>
            <w:r w:rsidRPr="00A173D1">
              <w:t>$3,177</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tcPr>
          <w:p w14:paraId="74A834A5"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$3,522</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tcPr>
          <w:p w14:paraId="73F89826"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$3,221</w:t>
            </w:r>
          </w:p>
        </w:tc>
      </w:tr>
      <w:tr w:rsidR="00AD0CE9" w:rsidRPr="00A173D1" w14:paraId="1D6AFC94" w14:textId="77777777" w:rsidTr="0023517A">
        <w:trPr>
          <w:trHeight w:val="850"/>
          <w:jc w:val="center"/>
        </w:trPr>
        <w:tc>
          <w:tcPr>
            <w:tcW w:w="704" w:type="dxa"/>
            <w:tcBorders>
              <w:top w:val="single" w:sz="4" w:space="0" w:color="AD9600"/>
              <w:left w:val="single" w:sz="4" w:space="0" w:color="AD9600"/>
              <w:bottom w:val="single" w:sz="4" w:space="0" w:color="auto"/>
              <w:right w:val="single" w:sz="4" w:space="0" w:color="auto"/>
            </w:tcBorders>
            <w:shd w:val="clear" w:color="auto" w:fill="CEDCE8"/>
            <w:vAlign w:val="center"/>
            <w:hideMark/>
          </w:tcPr>
          <w:p w14:paraId="3166D19E" w14:textId="77777777" w:rsidR="00AD0CE9" w:rsidRPr="00A173D1" w:rsidRDefault="00AD0CE9" w:rsidP="006841E5">
            <w:pPr>
              <w:pStyle w:val="TableText"/>
            </w:pPr>
            <w:r w:rsidRPr="00A173D1">
              <w:rPr>
                <w:b/>
              </w:rPr>
              <w:t>1.3</w:t>
            </w:r>
            <w:r w:rsidRPr="00A173D1">
              <w:t xml:space="preserve"> </w:t>
            </w:r>
          </w:p>
        </w:tc>
        <w:tc>
          <w:tcPr>
            <w:tcW w:w="2555" w:type="dxa"/>
            <w:tcBorders>
              <w:top w:val="single" w:sz="4" w:space="0" w:color="auto"/>
              <w:left w:val="single" w:sz="4" w:space="0" w:color="auto"/>
              <w:bottom w:val="single" w:sz="4" w:space="0" w:color="auto"/>
              <w:right w:val="single" w:sz="4" w:space="0" w:color="auto"/>
            </w:tcBorders>
            <w:vAlign w:val="center"/>
          </w:tcPr>
          <w:p w14:paraId="508473DD" w14:textId="77777777" w:rsidR="00AD0CE9" w:rsidRPr="00A173D1" w:rsidRDefault="00AD0CE9" w:rsidP="006841E5">
            <w:pPr>
              <w:pStyle w:val="TableText"/>
            </w:pPr>
            <w:r>
              <w:t xml:space="preserve">Average cost </w:t>
            </w:r>
            <w:r w:rsidRPr="00A173D1">
              <w:t>per client contact to provide information and advice</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045DBA7C" w14:textId="77777777" w:rsidR="00AD0CE9" w:rsidRPr="00A173D1" w:rsidRDefault="00AD0CE9" w:rsidP="006841E5">
            <w:pPr>
              <w:pStyle w:val="TableText"/>
              <w:spacing w:before="60" w:after="60"/>
              <w:jc w:val="center"/>
            </w:pPr>
            <w:r w:rsidRPr="00A173D1">
              <w:t>$120</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C7C851" w14:textId="77777777" w:rsidR="00AD0CE9" w:rsidRPr="00A173D1" w:rsidRDefault="00AD0CE9" w:rsidP="006841E5">
            <w:pPr>
              <w:pStyle w:val="TableText"/>
              <w:spacing w:before="60" w:after="60"/>
              <w:jc w:val="center"/>
            </w:pPr>
            <w:r w:rsidRPr="00A173D1">
              <w:t>$120</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D5C97C6" w14:textId="77777777" w:rsidR="00AD0CE9" w:rsidRPr="00A173D1" w:rsidRDefault="00AD0CE9" w:rsidP="006841E5">
            <w:pPr>
              <w:pStyle w:val="TableText"/>
              <w:spacing w:before="60" w:after="60"/>
              <w:jc w:val="center"/>
            </w:pPr>
            <w:r w:rsidRPr="00A173D1">
              <w:t>$106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78AA7" w14:textId="77777777" w:rsidR="00AD0CE9" w:rsidRPr="00A173D1" w:rsidRDefault="00AD0CE9" w:rsidP="006841E5">
            <w:pPr>
              <w:pStyle w:val="TableText"/>
              <w:spacing w:before="60" w:after="60"/>
              <w:jc w:val="center"/>
            </w:pPr>
            <w:r w:rsidRPr="00A173D1">
              <w:t>$110</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41CF0F18"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$75</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3F82F12C" w14:textId="77777777" w:rsidR="00AD0CE9" w:rsidRPr="0023517A" w:rsidRDefault="00AD0CE9" w:rsidP="006841E5">
            <w:pPr>
              <w:pStyle w:val="TableText"/>
              <w:spacing w:before="60" w:after="60"/>
              <w:jc w:val="center"/>
              <w:rPr>
                <w:color w:val="FFFFFF" w:themeColor="background1"/>
              </w:rPr>
            </w:pPr>
            <w:r w:rsidRPr="0023517A">
              <w:rPr>
                <w:color w:val="FFFFFF" w:themeColor="background1"/>
              </w:rPr>
              <w:t>$104</w:t>
            </w:r>
          </w:p>
        </w:tc>
      </w:tr>
      <w:tr w:rsidR="00AD0CE9" w:rsidRPr="00A173D1" w14:paraId="597F7D55" w14:textId="77777777" w:rsidTr="0023517A">
        <w:trPr>
          <w:trHeight w:val="850"/>
          <w:jc w:val="center"/>
        </w:trPr>
        <w:tc>
          <w:tcPr>
            <w:tcW w:w="704" w:type="dxa"/>
            <w:tcBorders>
              <w:top w:val="single" w:sz="4" w:space="0" w:color="auto"/>
              <w:left w:val="single" w:sz="4" w:space="0" w:color="AD9600"/>
              <w:bottom w:val="single" w:sz="4" w:space="0" w:color="AD9600"/>
              <w:right w:val="single" w:sz="4" w:space="0" w:color="auto"/>
            </w:tcBorders>
            <w:shd w:val="clear" w:color="auto" w:fill="CEDCE8"/>
            <w:vAlign w:val="center"/>
            <w:hideMark/>
          </w:tcPr>
          <w:p w14:paraId="2C687A35" w14:textId="77777777" w:rsidR="00AD0CE9" w:rsidRPr="00A173D1" w:rsidRDefault="00AD0CE9" w:rsidP="006841E5">
            <w:pPr>
              <w:pStyle w:val="TableText"/>
              <w:spacing w:before="0" w:after="0"/>
            </w:pPr>
            <w:r w:rsidRPr="00A173D1">
              <w:rPr>
                <w:b/>
              </w:rPr>
              <w:t xml:space="preserve">2.1 </w:t>
            </w:r>
          </w:p>
        </w:tc>
        <w:tc>
          <w:tcPr>
            <w:tcW w:w="2555" w:type="dxa"/>
            <w:tcBorders>
              <w:top w:val="single" w:sz="4" w:space="0" w:color="auto"/>
              <w:left w:val="single" w:sz="4" w:space="0" w:color="auto"/>
              <w:bottom w:val="single" w:sz="4" w:space="0" w:color="auto"/>
              <w:right w:val="single" w:sz="4" w:space="0" w:color="auto"/>
            </w:tcBorders>
            <w:vAlign w:val="center"/>
          </w:tcPr>
          <w:p w14:paraId="3F24FED3" w14:textId="77777777" w:rsidR="00AD0CE9" w:rsidRPr="00A173D1" w:rsidRDefault="00AD0CE9" w:rsidP="006841E5">
            <w:pPr>
              <w:pStyle w:val="TableText"/>
              <w:spacing w:before="0" w:after="0"/>
            </w:pPr>
            <w:r w:rsidRPr="00A173D1">
              <w:t>Average cost to complete a conciliation</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0950A7A4" w14:textId="77777777" w:rsidR="00AD0CE9" w:rsidRPr="00A173D1" w:rsidRDefault="00AD0CE9" w:rsidP="006841E5">
            <w:pPr>
              <w:pStyle w:val="TableText"/>
              <w:spacing w:before="60" w:after="60"/>
              <w:jc w:val="center"/>
            </w:pPr>
            <w:r w:rsidRPr="00A173D1">
              <w:t>$2,268</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63C00E3" w14:textId="77777777" w:rsidR="00AD0CE9" w:rsidRPr="00A173D1" w:rsidRDefault="00AD0CE9" w:rsidP="006841E5">
            <w:pPr>
              <w:pStyle w:val="TableText"/>
              <w:spacing w:before="60" w:after="60"/>
              <w:jc w:val="center"/>
            </w:pPr>
            <w:r w:rsidRPr="00A173D1">
              <w:t>$1,966</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76FAFB26" w14:textId="77777777" w:rsidR="00AD0CE9" w:rsidRPr="00A173D1" w:rsidRDefault="00AD0CE9" w:rsidP="006841E5">
            <w:pPr>
              <w:pStyle w:val="TableText"/>
              <w:spacing w:before="60" w:after="60"/>
              <w:jc w:val="center"/>
            </w:pPr>
            <w:r w:rsidRPr="00A173D1">
              <w:t>$2,095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1D638" w14:textId="77777777" w:rsidR="00AD0CE9" w:rsidRPr="00A173D1" w:rsidRDefault="00AD0CE9" w:rsidP="006841E5">
            <w:pPr>
              <w:pStyle w:val="TableText"/>
              <w:spacing w:before="60" w:after="60"/>
              <w:jc w:val="center"/>
            </w:pPr>
            <w:r w:rsidRPr="00A173D1">
              <w:t>$2,208</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3103EE19"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$2,353</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tcPr>
          <w:p w14:paraId="7ED2010E" w14:textId="77777777" w:rsidR="00AD0CE9" w:rsidRPr="0023517A" w:rsidRDefault="00AD0CE9" w:rsidP="006841E5">
            <w:pPr>
              <w:pStyle w:val="TableText"/>
              <w:spacing w:before="60" w:after="60"/>
              <w:jc w:val="center"/>
              <w:rPr>
                <w:color w:val="FFFFFF" w:themeColor="background1"/>
              </w:rPr>
            </w:pPr>
            <w:r w:rsidRPr="0023517A">
              <w:rPr>
                <w:color w:val="FFFFFF" w:themeColor="background1"/>
              </w:rPr>
              <w:t>$2,194</w:t>
            </w:r>
          </w:p>
        </w:tc>
      </w:tr>
      <w:tr w:rsidR="00AD0CE9" w:rsidRPr="00A173D1" w14:paraId="1957014C" w14:textId="77777777" w:rsidTr="0023517A">
        <w:trPr>
          <w:trHeight w:val="850"/>
          <w:jc w:val="center"/>
        </w:trPr>
        <w:tc>
          <w:tcPr>
            <w:tcW w:w="704" w:type="dxa"/>
            <w:tcBorders>
              <w:top w:val="single" w:sz="4" w:space="0" w:color="AD9600"/>
              <w:left w:val="single" w:sz="4" w:space="0" w:color="AD9600"/>
              <w:bottom w:val="single" w:sz="4" w:space="0" w:color="AD9600"/>
              <w:right w:val="single" w:sz="4" w:space="0" w:color="auto"/>
            </w:tcBorders>
            <w:shd w:val="clear" w:color="auto" w:fill="CEDCE8"/>
            <w:vAlign w:val="center"/>
            <w:hideMark/>
          </w:tcPr>
          <w:p w14:paraId="0AF7FA7A" w14:textId="77777777" w:rsidR="00AD0CE9" w:rsidRPr="00A173D1" w:rsidRDefault="00AD0CE9" w:rsidP="006841E5">
            <w:pPr>
              <w:pStyle w:val="TableText"/>
              <w:spacing w:before="0" w:after="0"/>
            </w:pPr>
            <w:r w:rsidRPr="00A173D1">
              <w:rPr>
                <w:b/>
              </w:rPr>
              <w:t xml:space="preserve">2.2 </w:t>
            </w:r>
          </w:p>
        </w:tc>
        <w:tc>
          <w:tcPr>
            <w:tcW w:w="2555" w:type="dxa"/>
            <w:tcBorders>
              <w:top w:val="single" w:sz="4" w:space="0" w:color="auto"/>
              <w:left w:val="single" w:sz="4" w:space="0" w:color="auto"/>
              <w:bottom w:val="single" w:sz="4" w:space="0" w:color="auto"/>
              <w:right w:val="single" w:sz="4" w:space="0" w:color="auto"/>
            </w:tcBorders>
            <w:vAlign w:val="center"/>
          </w:tcPr>
          <w:p w14:paraId="6650D091" w14:textId="77777777" w:rsidR="00AD0CE9" w:rsidRPr="00A173D1" w:rsidRDefault="00AD0CE9" w:rsidP="006841E5">
            <w:pPr>
              <w:pStyle w:val="TableText"/>
              <w:spacing w:before="0" w:after="0"/>
            </w:pPr>
            <w:r w:rsidRPr="00A173D1">
              <w:t>Average cost to complete an arbitration</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55E37FF" w14:textId="77777777" w:rsidR="00AD0CE9" w:rsidRPr="00A173D1" w:rsidRDefault="00AD0CE9" w:rsidP="006841E5">
            <w:pPr>
              <w:pStyle w:val="TableText"/>
              <w:spacing w:before="60" w:after="60"/>
              <w:jc w:val="center"/>
            </w:pPr>
            <w:r w:rsidRPr="00A173D1">
              <w:t>$11,153</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4A970C00" w14:textId="77777777" w:rsidR="00AD0CE9" w:rsidRPr="00A173D1" w:rsidRDefault="00AD0CE9" w:rsidP="006841E5">
            <w:pPr>
              <w:pStyle w:val="TableText"/>
              <w:spacing w:before="60" w:after="60"/>
              <w:jc w:val="center"/>
            </w:pPr>
            <w:r w:rsidRPr="00A173D1">
              <w:t>$10,042</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1FB43817" w14:textId="77777777" w:rsidR="00AD0CE9" w:rsidRPr="00A173D1" w:rsidRDefault="00AD0CE9" w:rsidP="006841E5">
            <w:pPr>
              <w:pStyle w:val="TableText"/>
              <w:spacing w:before="60" w:after="60"/>
              <w:jc w:val="center"/>
            </w:pPr>
            <w:r w:rsidRPr="00A173D1">
              <w:t>$10,084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886E5" w14:textId="77777777" w:rsidR="00AD0CE9" w:rsidRPr="00A173D1" w:rsidRDefault="00AD0CE9" w:rsidP="006841E5">
            <w:pPr>
              <w:pStyle w:val="TableText"/>
              <w:spacing w:before="60" w:after="60"/>
              <w:jc w:val="center"/>
            </w:pPr>
            <w:r w:rsidRPr="00A173D1">
              <w:t>$9,587</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10BBF668"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 xml:space="preserve"> $8,579</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15E8A6E3" w14:textId="77777777" w:rsidR="00AD0CE9" w:rsidRPr="0023517A" w:rsidRDefault="00AD0CE9" w:rsidP="006841E5">
            <w:pPr>
              <w:pStyle w:val="TableText"/>
              <w:spacing w:before="60" w:after="60"/>
              <w:jc w:val="center"/>
              <w:rPr>
                <w:color w:val="FFFFFF" w:themeColor="background1"/>
              </w:rPr>
            </w:pPr>
            <w:r w:rsidRPr="0023517A">
              <w:rPr>
                <w:color w:val="FFFFFF" w:themeColor="background1"/>
              </w:rPr>
              <w:t>$10,819</w:t>
            </w:r>
          </w:p>
        </w:tc>
      </w:tr>
      <w:tr w:rsidR="00AD0CE9" w:rsidRPr="00A173D1" w14:paraId="574937C4" w14:textId="77777777" w:rsidTr="0023517A">
        <w:trPr>
          <w:trHeight w:val="850"/>
          <w:jc w:val="center"/>
        </w:trPr>
        <w:tc>
          <w:tcPr>
            <w:tcW w:w="704" w:type="dxa"/>
            <w:tcBorders>
              <w:top w:val="single" w:sz="4" w:space="0" w:color="AD9600"/>
              <w:left w:val="single" w:sz="4" w:space="0" w:color="AD9600"/>
              <w:bottom w:val="single" w:sz="4" w:space="0" w:color="AD9600"/>
              <w:right w:val="single" w:sz="4" w:space="0" w:color="auto"/>
            </w:tcBorders>
            <w:shd w:val="clear" w:color="auto" w:fill="CEDCE8"/>
            <w:vAlign w:val="center"/>
          </w:tcPr>
          <w:p w14:paraId="39D9883E" w14:textId="77777777" w:rsidR="00AD0CE9" w:rsidRPr="00A173D1" w:rsidRDefault="00AD0CE9" w:rsidP="006841E5">
            <w:pPr>
              <w:pStyle w:val="TableText"/>
              <w:spacing w:before="0" w:after="0"/>
              <w:rPr>
                <w:b/>
              </w:rPr>
            </w:pPr>
            <w:r w:rsidRPr="00A173D1">
              <w:rPr>
                <w:b/>
              </w:rPr>
              <w:t xml:space="preserve">2.3 </w:t>
            </w:r>
          </w:p>
        </w:tc>
        <w:tc>
          <w:tcPr>
            <w:tcW w:w="2555" w:type="dxa"/>
            <w:tcBorders>
              <w:top w:val="single" w:sz="4" w:space="0" w:color="auto"/>
              <w:left w:val="single" w:sz="4" w:space="0" w:color="auto"/>
              <w:bottom w:val="single" w:sz="4" w:space="0" w:color="auto"/>
              <w:right w:val="single" w:sz="4" w:space="0" w:color="auto"/>
            </w:tcBorders>
            <w:vAlign w:val="center"/>
          </w:tcPr>
          <w:p w14:paraId="694C7EE0" w14:textId="77777777" w:rsidR="00AD0CE9" w:rsidRPr="00A173D1" w:rsidRDefault="00AD0CE9" w:rsidP="006841E5">
            <w:pPr>
              <w:pStyle w:val="TableText"/>
              <w:rPr>
                <w:b/>
              </w:rPr>
            </w:pPr>
            <w:r w:rsidRPr="00A173D1">
              <w:t>Averag</w:t>
            </w:r>
            <w:r>
              <w:t xml:space="preserve">e cost to process a Memorandum </w:t>
            </w:r>
            <w:r w:rsidRPr="00A173D1">
              <w:t>of Agreement</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36AC34BD" w14:textId="77777777" w:rsidR="00AD0CE9" w:rsidRPr="00A173D1" w:rsidRDefault="00AD0CE9" w:rsidP="006841E5">
            <w:pPr>
              <w:pStyle w:val="TableText"/>
              <w:spacing w:before="60" w:after="60"/>
              <w:jc w:val="center"/>
            </w:pPr>
            <w:r w:rsidRPr="00A173D1">
              <w:t>$389</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076FF694" w14:textId="77777777" w:rsidR="00AD0CE9" w:rsidRPr="00A173D1" w:rsidRDefault="00AD0CE9" w:rsidP="006841E5">
            <w:pPr>
              <w:pStyle w:val="TableText"/>
              <w:spacing w:before="60" w:after="60"/>
              <w:jc w:val="center"/>
            </w:pPr>
            <w:r w:rsidRPr="00A173D1">
              <w:t>$342</w:t>
            </w:r>
          </w:p>
        </w:tc>
        <w:tc>
          <w:tcPr>
            <w:tcW w:w="1167" w:type="dxa"/>
            <w:tcBorders>
              <w:top w:val="single" w:sz="4" w:space="0" w:color="auto"/>
              <w:left w:val="single" w:sz="4" w:space="0" w:color="auto"/>
              <w:bottom w:val="single" w:sz="4" w:space="0" w:color="auto"/>
              <w:right w:val="single" w:sz="4" w:space="0" w:color="auto"/>
            </w:tcBorders>
            <w:shd w:val="clear" w:color="auto" w:fill="FFFFFF"/>
            <w:vAlign w:val="center"/>
          </w:tcPr>
          <w:p w14:paraId="6D533CEB" w14:textId="77777777" w:rsidR="00AD0CE9" w:rsidRPr="00A173D1" w:rsidRDefault="00AD0CE9" w:rsidP="006841E5">
            <w:pPr>
              <w:pStyle w:val="TableText"/>
              <w:spacing w:before="60" w:after="60"/>
              <w:jc w:val="center"/>
            </w:pPr>
            <w:r w:rsidRPr="00A173D1">
              <w:t>$339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D54E335" w14:textId="77777777" w:rsidR="00AD0CE9" w:rsidRPr="00A173D1" w:rsidRDefault="00AD0CE9" w:rsidP="006841E5">
            <w:pPr>
              <w:pStyle w:val="TableText"/>
              <w:spacing w:before="60" w:after="60"/>
              <w:jc w:val="center"/>
            </w:pPr>
            <w:r w:rsidRPr="00A173D1">
              <w:t>$341</w:t>
            </w:r>
          </w:p>
        </w:tc>
        <w:tc>
          <w:tcPr>
            <w:tcW w:w="1167" w:type="dxa"/>
            <w:tcBorders>
              <w:top w:val="single" w:sz="4" w:space="0" w:color="auto"/>
              <w:left w:val="single" w:sz="4" w:space="0" w:color="auto"/>
              <w:bottom w:val="single" w:sz="4" w:space="0" w:color="auto"/>
              <w:right w:val="single" w:sz="4" w:space="0" w:color="auto"/>
            </w:tcBorders>
            <w:shd w:val="clear" w:color="auto" w:fill="EE7D31"/>
            <w:vAlign w:val="center"/>
          </w:tcPr>
          <w:p w14:paraId="2C9D2805" w14:textId="77777777" w:rsidR="00AD0CE9" w:rsidRPr="0023517A" w:rsidRDefault="00AD0CE9" w:rsidP="006841E5">
            <w:pPr>
              <w:pStyle w:val="TableText"/>
              <w:spacing w:before="60" w:after="60"/>
              <w:jc w:val="center"/>
              <w:rPr>
                <w:color w:val="FFFFFF" w:themeColor="background1"/>
                <w:highlight w:val="yellow"/>
              </w:rPr>
            </w:pPr>
            <w:r w:rsidRPr="0023517A">
              <w:rPr>
                <w:color w:val="FFFFFF" w:themeColor="background1"/>
              </w:rPr>
              <w:t>$348</w:t>
            </w:r>
          </w:p>
        </w:tc>
        <w:tc>
          <w:tcPr>
            <w:tcW w:w="1167" w:type="dxa"/>
            <w:tcBorders>
              <w:top w:val="single" w:sz="4" w:space="0" w:color="auto"/>
              <w:left w:val="single" w:sz="4" w:space="0" w:color="auto"/>
              <w:bottom w:val="single" w:sz="4" w:space="0" w:color="auto"/>
              <w:right w:val="single" w:sz="4" w:space="0" w:color="auto"/>
            </w:tcBorders>
            <w:shd w:val="clear" w:color="auto" w:fill="003F5F"/>
            <w:vAlign w:val="center"/>
          </w:tcPr>
          <w:p w14:paraId="24151166" w14:textId="77777777" w:rsidR="00AD0CE9" w:rsidRPr="0023517A" w:rsidRDefault="00AD0CE9" w:rsidP="006841E5">
            <w:pPr>
              <w:pStyle w:val="TableText"/>
              <w:spacing w:before="60" w:after="60"/>
              <w:jc w:val="center"/>
              <w:rPr>
                <w:color w:val="FFFFFF" w:themeColor="background1"/>
              </w:rPr>
            </w:pPr>
            <w:r w:rsidRPr="0023517A">
              <w:rPr>
                <w:color w:val="FFFFFF" w:themeColor="background1"/>
              </w:rPr>
              <w:t>$345</w:t>
            </w:r>
          </w:p>
        </w:tc>
      </w:tr>
    </w:tbl>
    <w:p w14:paraId="1DCE8C4F" w14:textId="77777777" w:rsidR="0023517A" w:rsidRPr="00A173D1" w:rsidRDefault="0023517A" w:rsidP="0023517A">
      <w:pPr>
        <w:pStyle w:val="Heading2nonumber"/>
      </w:pPr>
      <w:bookmarkStart w:id="725" w:name="_Toc525122139"/>
      <w:r w:rsidRPr="00A173D1">
        <w:t>Key Performance Indicators of Effectiveness</w:t>
      </w:r>
      <w:bookmarkEnd w:id="725"/>
    </w:p>
    <w:p w14:paraId="17E98114" w14:textId="77777777" w:rsidR="0023517A" w:rsidRPr="00A034A5" w:rsidRDefault="0023517A" w:rsidP="00261280">
      <w:r>
        <w:t>Agency level government desired outcomes should reflect the purpose of the agency. WorkCover WA’s Agency Desired Outcome is</w:t>
      </w:r>
      <w:r w:rsidRPr="00A034A5">
        <w:t xml:space="preserve">: </w:t>
      </w:r>
      <w:r w:rsidRPr="00261280">
        <w:rPr>
          <w:rStyle w:val="Normal-ActChar"/>
        </w:rPr>
        <w:t xml:space="preserve">“To ensure a workers’ compensation and injury management scheme that is financially viable, contemporary, and integrated whilst providing services that are fair, accessible, timely and cost effective for all participants.” </w:t>
      </w:r>
    </w:p>
    <w:p w14:paraId="74098F97" w14:textId="77777777" w:rsidR="0023517A" w:rsidRDefault="0023517A" w:rsidP="0023517A">
      <w:pPr>
        <w:rPr>
          <w:rFonts w:cs="Arial"/>
          <w:lang w:eastAsia="en-AU"/>
        </w:rPr>
      </w:pPr>
      <w:r>
        <w:t xml:space="preserve">WorkCover WA measures its success in achieving its outcome through effectiveness indicators. </w:t>
      </w:r>
      <w:r w:rsidRPr="000A156C">
        <w:rPr>
          <w:rFonts w:cs="Arial"/>
          <w:iCs/>
          <w:lang w:eastAsia="en-AU"/>
        </w:rPr>
        <w:t xml:space="preserve">Effectiveness </w:t>
      </w:r>
      <w:r w:rsidRPr="000A156C">
        <w:rPr>
          <w:rFonts w:cs="Arial"/>
          <w:lang w:eastAsia="en-AU"/>
        </w:rPr>
        <w:t xml:space="preserve">indicators provide information on the extent to which </w:t>
      </w:r>
      <w:r>
        <w:rPr>
          <w:rFonts w:cs="Arial"/>
          <w:lang w:eastAsia="en-AU"/>
        </w:rPr>
        <w:t>the A</w:t>
      </w:r>
      <w:r w:rsidRPr="000A156C">
        <w:rPr>
          <w:rFonts w:cs="Arial"/>
          <w:lang w:eastAsia="en-AU"/>
        </w:rPr>
        <w:t>gency desired outcome ha</w:t>
      </w:r>
      <w:r>
        <w:rPr>
          <w:rFonts w:cs="Arial"/>
          <w:lang w:eastAsia="en-AU"/>
        </w:rPr>
        <w:t>s</w:t>
      </w:r>
      <w:r w:rsidRPr="000A156C">
        <w:rPr>
          <w:rFonts w:cs="Arial"/>
          <w:lang w:eastAsia="en-AU"/>
        </w:rPr>
        <w:t xml:space="preserve"> been achieved, or contributed to, through the</w:t>
      </w:r>
      <w:r>
        <w:rPr>
          <w:rFonts w:cs="Arial"/>
          <w:lang w:eastAsia="en-AU"/>
        </w:rPr>
        <w:t xml:space="preserve"> </w:t>
      </w:r>
      <w:r w:rsidRPr="000A156C">
        <w:rPr>
          <w:rFonts w:cs="Arial"/>
          <w:lang w:eastAsia="en-AU"/>
        </w:rPr>
        <w:t>delivery of service</w:t>
      </w:r>
      <w:r>
        <w:rPr>
          <w:rFonts w:cs="Arial"/>
          <w:lang w:eastAsia="en-AU"/>
        </w:rPr>
        <w:t>s.</w:t>
      </w:r>
    </w:p>
    <w:p w14:paraId="2DD67DF5" w14:textId="77777777" w:rsidR="0023517A" w:rsidRDefault="0023517A" w:rsidP="0023517A">
      <w:pPr>
        <w:rPr>
          <w:rFonts w:cs="Arial"/>
          <w:lang w:eastAsia="en-AU"/>
        </w:rPr>
      </w:pPr>
      <w:r>
        <w:rPr>
          <w:rFonts w:cs="Arial"/>
          <w:lang w:eastAsia="en-AU"/>
        </w:rPr>
        <w:t xml:space="preserve">The effectiveness indicators chosen by WorkCover WA provide information in relation to workers’ compensation compliance activities and timeframes for managing conciliation and arbitration processes. </w:t>
      </w:r>
    </w:p>
    <w:p w14:paraId="18AADB46" w14:textId="77777777" w:rsidR="0023517A" w:rsidRDefault="0023517A" w:rsidP="0023517A">
      <w:pPr>
        <w:rPr>
          <w:rFonts w:cs="Arial"/>
        </w:rPr>
      </w:pPr>
      <w:r>
        <w:rPr>
          <w:rFonts w:cs="Arial"/>
          <w:lang w:eastAsia="en-AU"/>
        </w:rPr>
        <w:t>The indicators relate directly to the two services provided by WorkCover WA: Scheme Regulation and Scheme Services.</w:t>
      </w:r>
    </w:p>
    <w:p w14:paraId="6DAAD9E7" w14:textId="77777777" w:rsidR="0023517A" w:rsidRDefault="0023517A" w:rsidP="0023517A">
      <w:r>
        <w:t>The commentary below explains the rationale behind each effectiveness indicator and how it measures success in achieving our outcome.</w:t>
      </w:r>
    </w:p>
    <w:p w14:paraId="5A7568BA" w14:textId="77777777" w:rsidR="0023517A" w:rsidRPr="0023517A" w:rsidRDefault="0023517A" w:rsidP="0023517A">
      <w:pPr>
        <w:rPr>
          <w:b/>
        </w:rPr>
      </w:pPr>
      <w:r w:rsidRPr="0023517A">
        <w:rPr>
          <w:b/>
        </w:rPr>
        <w:t xml:space="preserve">Indicator 1.1 </w:t>
      </w:r>
    </w:p>
    <w:p w14:paraId="75BC1D55" w14:textId="77777777" w:rsidR="0023517A" w:rsidRDefault="0023517A" w:rsidP="0023517A">
      <w:pPr>
        <w:pStyle w:val="Normal-Act"/>
      </w:pPr>
      <w:r>
        <w:t xml:space="preserve">Number of non-compliance events identified as a result of a claim on the General Account </w:t>
      </w:r>
    </w:p>
    <w:tbl>
      <w:tblPr>
        <w:tblW w:w="9456" w:type="dxa"/>
        <w:jc w:val="center"/>
        <w:tblBorders>
          <w:top w:val="single" w:sz="4" w:space="0" w:color="9E8E00"/>
          <w:left w:val="single" w:sz="4" w:space="0" w:color="9E8E00"/>
          <w:bottom w:val="single" w:sz="4" w:space="0" w:color="9E8E00"/>
          <w:right w:val="single" w:sz="4" w:space="0" w:color="9E8E00"/>
          <w:insideH w:val="single" w:sz="4" w:space="0" w:color="9E8E00"/>
          <w:insideV w:val="single" w:sz="4" w:space="0" w:color="9E8E00"/>
        </w:tblBorders>
        <w:tblLayout w:type="fixed"/>
        <w:tblLook w:val="04A0" w:firstRow="1" w:lastRow="0" w:firstColumn="1" w:lastColumn="0" w:noHBand="0" w:noVBand="1"/>
      </w:tblPr>
      <w:tblGrid>
        <w:gridCol w:w="2983"/>
        <w:gridCol w:w="1078"/>
        <w:gridCol w:w="1079"/>
        <w:gridCol w:w="1079"/>
        <w:gridCol w:w="1079"/>
        <w:gridCol w:w="1079"/>
        <w:gridCol w:w="1079"/>
      </w:tblGrid>
      <w:tr w:rsidR="008068EC" w:rsidRPr="00A173D1" w14:paraId="3F8B99EE" w14:textId="77777777" w:rsidTr="008068EC">
        <w:trPr>
          <w:trHeight w:val="567"/>
          <w:jc w:val="center"/>
        </w:trPr>
        <w:tc>
          <w:tcPr>
            <w:tcW w:w="2983" w:type="dxa"/>
            <w:tcBorders>
              <w:top w:val="single" w:sz="4" w:space="0" w:color="auto"/>
              <w:left w:val="single" w:sz="4" w:space="0" w:color="auto"/>
              <w:bottom w:val="single" w:sz="4" w:space="0" w:color="auto"/>
              <w:right w:val="single" w:sz="4" w:space="0" w:color="auto"/>
            </w:tcBorders>
            <w:shd w:val="clear" w:color="auto" w:fill="898D91"/>
            <w:vAlign w:val="center"/>
          </w:tcPr>
          <w:p w14:paraId="01511F16" w14:textId="77777777" w:rsidR="0023517A" w:rsidRPr="00CF4068" w:rsidRDefault="0023517A" w:rsidP="006841E5">
            <w:pPr>
              <w:pStyle w:val="TableHeading"/>
              <w:spacing w:before="0" w:after="0"/>
            </w:pPr>
            <w:r w:rsidRPr="00CF4068">
              <w:t>Indicator 1.1</w:t>
            </w:r>
          </w:p>
        </w:tc>
        <w:tc>
          <w:tcPr>
            <w:tcW w:w="1078" w:type="dxa"/>
            <w:tcBorders>
              <w:top w:val="single" w:sz="4" w:space="0" w:color="auto"/>
              <w:left w:val="single" w:sz="4" w:space="0" w:color="auto"/>
              <w:bottom w:val="single" w:sz="4" w:space="0" w:color="auto"/>
              <w:right w:val="single" w:sz="4" w:space="0" w:color="auto"/>
            </w:tcBorders>
            <w:shd w:val="clear" w:color="auto" w:fill="898D91"/>
            <w:vAlign w:val="center"/>
          </w:tcPr>
          <w:p w14:paraId="20223AC1" w14:textId="77777777" w:rsidR="0023517A" w:rsidRPr="00CF4068" w:rsidRDefault="0023517A" w:rsidP="006841E5">
            <w:pPr>
              <w:pStyle w:val="TableHeading"/>
              <w:spacing w:before="0" w:after="0"/>
              <w:jc w:val="center"/>
              <w:rPr>
                <w:rFonts w:cs="Arial"/>
              </w:rPr>
            </w:pPr>
            <w:r w:rsidRPr="00CF4068">
              <w:rPr>
                <w:rFonts w:cs="Arial"/>
              </w:rPr>
              <w:t>2013/14</w:t>
            </w:r>
          </w:p>
          <w:p w14:paraId="5C34B496" w14:textId="77777777" w:rsidR="0023517A" w:rsidRPr="00CF4068" w:rsidRDefault="0023517A" w:rsidP="006841E5">
            <w:pPr>
              <w:pStyle w:val="TableHeading"/>
              <w:spacing w:before="0" w:after="0"/>
              <w:jc w:val="center"/>
              <w:rPr>
                <w:rFonts w:cs="Arial"/>
              </w:rPr>
            </w:pPr>
            <w:r w:rsidRPr="00CF4068">
              <w:rPr>
                <w:rFonts w:cs="Arial"/>
              </w:rPr>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vAlign w:val="center"/>
          </w:tcPr>
          <w:p w14:paraId="6D00C5DA" w14:textId="77777777" w:rsidR="0023517A" w:rsidRPr="00CF4068" w:rsidRDefault="0023517A" w:rsidP="006841E5">
            <w:pPr>
              <w:pStyle w:val="TableHeading"/>
              <w:spacing w:before="0" w:after="0"/>
              <w:jc w:val="center"/>
            </w:pPr>
            <w:r w:rsidRPr="00CF4068">
              <w:t>2014/15</w:t>
            </w:r>
          </w:p>
          <w:p w14:paraId="51B33F2B" w14:textId="77777777" w:rsidR="0023517A" w:rsidRPr="00CF4068" w:rsidRDefault="0023517A" w:rsidP="006841E5">
            <w:pPr>
              <w:pStyle w:val="TableHeading"/>
              <w:spacing w:before="0" w:after="0"/>
              <w:jc w:val="center"/>
            </w:pPr>
            <w:r w:rsidRPr="00CF4068">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648B41F1" w14:textId="77777777" w:rsidR="0023517A" w:rsidRPr="00CF4068" w:rsidRDefault="0023517A" w:rsidP="006841E5">
            <w:pPr>
              <w:pStyle w:val="TableHeading"/>
              <w:spacing w:before="0" w:after="0"/>
              <w:jc w:val="center"/>
            </w:pPr>
            <w:r w:rsidRPr="00CF4068">
              <w:t>2015/16</w:t>
            </w:r>
          </w:p>
          <w:p w14:paraId="4D6D94EA" w14:textId="77777777" w:rsidR="0023517A" w:rsidRPr="00CF4068" w:rsidRDefault="0023517A" w:rsidP="006841E5">
            <w:pPr>
              <w:pStyle w:val="TableHeading"/>
              <w:spacing w:before="0" w:after="0"/>
              <w:jc w:val="center"/>
              <w:rPr>
                <w:rFonts w:cs="Arial"/>
              </w:rPr>
            </w:pPr>
            <w:r w:rsidRPr="00CF4068">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7FF6B117" w14:textId="77777777" w:rsidR="0023517A" w:rsidRPr="00CF4068" w:rsidRDefault="0023517A" w:rsidP="006841E5">
            <w:pPr>
              <w:pStyle w:val="TableHeading"/>
              <w:spacing w:before="0" w:after="0"/>
              <w:jc w:val="center"/>
              <w:rPr>
                <w:rFonts w:cs="Arial"/>
              </w:rPr>
            </w:pPr>
            <w:r w:rsidRPr="00CF4068">
              <w:rPr>
                <w:rFonts w:cs="Arial"/>
              </w:rPr>
              <w:t>2016/17</w:t>
            </w:r>
          </w:p>
          <w:p w14:paraId="35F4C8A0" w14:textId="77777777" w:rsidR="0023517A" w:rsidRPr="00CF4068" w:rsidRDefault="0023517A" w:rsidP="006841E5">
            <w:pPr>
              <w:pStyle w:val="TableHeading"/>
              <w:spacing w:before="0" w:after="0"/>
              <w:jc w:val="center"/>
              <w:rPr>
                <w:rFonts w:cs="Arial"/>
              </w:rPr>
            </w:pPr>
            <w:r w:rsidRPr="00CF4068">
              <w:rPr>
                <w:rFonts w:cs="Arial"/>
              </w:rPr>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0AC172FA" w14:textId="77777777" w:rsidR="0023517A" w:rsidRPr="00CF4068" w:rsidRDefault="0023517A" w:rsidP="006841E5">
            <w:pPr>
              <w:pStyle w:val="TableHeading"/>
              <w:spacing w:before="0" w:after="0"/>
              <w:jc w:val="center"/>
            </w:pPr>
            <w:r w:rsidRPr="00CF4068">
              <w:t xml:space="preserve">2017/18 Actual  </w:t>
            </w:r>
          </w:p>
        </w:tc>
        <w:tc>
          <w:tcPr>
            <w:tcW w:w="1079"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3A6493EC" w14:textId="77777777" w:rsidR="0023517A" w:rsidRPr="00CF4068" w:rsidRDefault="0023517A" w:rsidP="006841E5">
            <w:pPr>
              <w:pStyle w:val="TableHeading"/>
              <w:spacing w:before="0" w:after="0"/>
              <w:jc w:val="center"/>
            </w:pPr>
            <w:r w:rsidRPr="00CF4068">
              <w:t>2017/18 Target</w:t>
            </w:r>
          </w:p>
        </w:tc>
      </w:tr>
      <w:tr w:rsidR="0023517A" w:rsidRPr="00A173D1" w14:paraId="2BD39981" w14:textId="77777777" w:rsidTr="008068EC">
        <w:trPr>
          <w:trHeight w:val="567"/>
          <w:jc w:val="center"/>
        </w:trPr>
        <w:tc>
          <w:tcPr>
            <w:tcW w:w="2983" w:type="dxa"/>
            <w:tcBorders>
              <w:top w:val="single" w:sz="4" w:space="0" w:color="auto"/>
              <w:left w:val="single" w:sz="4" w:space="0" w:color="auto"/>
              <w:bottom w:val="single" w:sz="4" w:space="0" w:color="auto"/>
              <w:right w:val="single" w:sz="4" w:space="0" w:color="auto"/>
            </w:tcBorders>
            <w:vAlign w:val="center"/>
            <w:hideMark/>
          </w:tcPr>
          <w:p w14:paraId="699D0717" w14:textId="77777777" w:rsidR="0023517A" w:rsidRPr="00CF4068" w:rsidRDefault="0023517A" w:rsidP="006841E5">
            <w:pPr>
              <w:pStyle w:val="TableText"/>
              <w:spacing w:before="60" w:after="60"/>
              <w:rPr>
                <w:sz w:val="22"/>
                <w:szCs w:val="22"/>
              </w:rPr>
            </w:pPr>
            <w:r w:rsidRPr="00CF4068">
              <w:rPr>
                <w:sz w:val="22"/>
                <w:szCs w:val="22"/>
              </w:rPr>
              <w:t>The number of non-compliance events identified as a result of a claim on the General Account</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14:paraId="4825F012" w14:textId="77777777" w:rsidR="0023517A" w:rsidRPr="00CF4068" w:rsidRDefault="0023517A" w:rsidP="006841E5">
            <w:pPr>
              <w:pStyle w:val="TableText"/>
              <w:jc w:val="center"/>
              <w:rPr>
                <w:sz w:val="22"/>
                <w:szCs w:val="22"/>
              </w:rPr>
            </w:pPr>
            <w:r w:rsidRPr="00CF4068">
              <w:rPr>
                <w:sz w:val="22"/>
                <w:szCs w:val="22"/>
              </w:rPr>
              <w:t>4</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7277BFE6" w14:textId="77777777" w:rsidR="0023517A" w:rsidRPr="00CF4068" w:rsidRDefault="0023517A" w:rsidP="006841E5">
            <w:pPr>
              <w:pStyle w:val="TableText"/>
              <w:jc w:val="center"/>
              <w:rPr>
                <w:sz w:val="22"/>
                <w:szCs w:val="22"/>
              </w:rPr>
            </w:pPr>
            <w:r w:rsidRPr="00CF4068">
              <w:rPr>
                <w:sz w:val="22"/>
                <w:szCs w:val="22"/>
              </w:rPr>
              <w:t>3</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09C0D4" w14:textId="77777777" w:rsidR="0023517A" w:rsidRPr="00CF4068" w:rsidRDefault="0023517A" w:rsidP="006841E5">
            <w:pPr>
              <w:pStyle w:val="TableText"/>
              <w:jc w:val="center"/>
              <w:rPr>
                <w:sz w:val="22"/>
                <w:szCs w:val="22"/>
              </w:rPr>
            </w:pPr>
            <w:r w:rsidRPr="00CF4068">
              <w:rPr>
                <w:sz w:val="22"/>
                <w:szCs w:val="22"/>
              </w:rPr>
              <w:t>9</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82F8" w14:textId="77777777" w:rsidR="0023517A" w:rsidRPr="00CF4068" w:rsidRDefault="0023517A" w:rsidP="006841E5">
            <w:pPr>
              <w:pStyle w:val="TableText"/>
              <w:jc w:val="center"/>
              <w:rPr>
                <w:sz w:val="22"/>
                <w:szCs w:val="22"/>
              </w:rPr>
            </w:pPr>
            <w:r w:rsidRPr="00CF4068">
              <w:rPr>
                <w:sz w:val="22"/>
                <w:szCs w:val="22"/>
              </w:rPr>
              <w:t>2</w:t>
            </w:r>
          </w:p>
        </w:tc>
        <w:tc>
          <w:tcPr>
            <w:tcW w:w="1079"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08A84AF9" w14:textId="77777777" w:rsidR="0023517A" w:rsidRPr="00CF4068" w:rsidRDefault="0023517A" w:rsidP="006841E5">
            <w:pPr>
              <w:pStyle w:val="TableText"/>
              <w:jc w:val="center"/>
              <w:rPr>
                <w:color w:val="FFFFFF" w:themeColor="background1"/>
                <w:sz w:val="22"/>
                <w:szCs w:val="22"/>
              </w:rPr>
            </w:pPr>
            <w:r w:rsidRPr="00CF4068">
              <w:rPr>
                <w:color w:val="FFFFFF" w:themeColor="background1"/>
                <w:sz w:val="22"/>
                <w:szCs w:val="22"/>
              </w:rPr>
              <w:t>4</w:t>
            </w:r>
          </w:p>
        </w:tc>
        <w:tc>
          <w:tcPr>
            <w:tcW w:w="1079"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3B50F4FE" w14:textId="77777777" w:rsidR="0023517A" w:rsidRPr="00CF4068" w:rsidRDefault="0023517A" w:rsidP="006841E5">
            <w:pPr>
              <w:spacing w:after="120"/>
              <w:jc w:val="center"/>
              <w:rPr>
                <w:rFonts w:cs="Arial"/>
                <w:bCs/>
                <w:color w:val="FFFFFF" w:themeColor="background1"/>
                <w:sz w:val="22"/>
                <w:szCs w:val="22"/>
                <w:lang w:eastAsia="en-AU"/>
              </w:rPr>
            </w:pPr>
            <w:r w:rsidRPr="00CF4068">
              <w:rPr>
                <w:rFonts w:cs="Arial"/>
                <w:bCs/>
                <w:color w:val="FFFFFF" w:themeColor="background1"/>
                <w:sz w:val="22"/>
                <w:szCs w:val="22"/>
                <w:lang w:eastAsia="en-AU"/>
              </w:rPr>
              <w:t>6</w:t>
            </w:r>
          </w:p>
        </w:tc>
      </w:tr>
    </w:tbl>
    <w:p w14:paraId="61FA5894" w14:textId="77777777" w:rsidR="006841E5" w:rsidRDefault="006841E5" w:rsidP="006841E5">
      <w:pPr>
        <w:rPr>
          <w:b/>
        </w:rPr>
      </w:pPr>
    </w:p>
    <w:p w14:paraId="2C2F15BA" w14:textId="1C361618" w:rsidR="006841E5" w:rsidRPr="006841E5" w:rsidRDefault="006841E5" w:rsidP="006841E5">
      <w:pPr>
        <w:rPr>
          <w:b/>
        </w:rPr>
      </w:pPr>
      <w:r w:rsidRPr="006841E5">
        <w:rPr>
          <w:b/>
        </w:rPr>
        <w:t>Description</w:t>
      </w:r>
    </w:p>
    <w:p w14:paraId="25614714" w14:textId="77777777" w:rsidR="006841E5" w:rsidRPr="008721BB" w:rsidRDefault="006841E5" w:rsidP="006841E5">
      <w:r w:rsidRPr="008721BB">
        <w:t xml:space="preserve">WorkCover WA is responsible under the </w:t>
      </w:r>
      <w:r w:rsidRPr="008721BB">
        <w:rPr>
          <w:i/>
        </w:rPr>
        <w:t>Workers’ Compensation and Injury Management Act</w:t>
      </w:r>
      <w:r w:rsidRPr="008721BB">
        <w:t xml:space="preserve"> </w:t>
      </w:r>
      <w:r w:rsidRPr="008721BB">
        <w:rPr>
          <w:i/>
        </w:rPr>
        <w:t xml:space="preserve">1981, </w:t>
      </w:r>
      <w:r w:rsidRPr="008721BB">
        <w:t>to ensure all employers are insured for workers’ compensation for their full liability.</w:t>
      </w:r>
    </w:p>
    <w:p w14:paraId="1FF0A12F" w14:textId="562A0E73" w:rsidR="006841E5" w:rsidRDefault="006841E5" w:rsidP="006841E5">
      <w:r>
        <w:t xml:space="preserve">This indicator indicates </w:t>
      </w:r>
      <w:r w:rsidRPr="00421A61">
        <w:t xml:space="preserve">the number of </w:t>
      </w:r>
      <w:r>
        <w:t>new claims with payments made from</w:t>
      </w:r>
      <w:r w:rsidRPr="00421A61">
        <w:t xml:space="preserve"> </w:t>
      </w:r>
      <w:r>
        <w:t>WorkCover WA’s</w:t>
      </w:r>
      <w:r w:rsidRPr="00421A61">
        <w:t xml:space="preserve"> General Account</w:t>
      </w:r>
      <w:r>
        <w:t xml:space="preserve"> (as a safety net payment) to workers</w:t>
      </w:r>
      <w:r w:rsidRPr="00421A61">
        <w:t xml:space="preserve">, </w:t>
      </w:r>
      <w:r>
        <w:t xml:space="preserve">due to employers not having the required insurance to cover such payments </w:t>
      </w:r>
      <w:r w:rsidR="00C934DE">
        <w:br/>
      </w:r>
      <w:r>
        <w:t>(non-compliance)</w:t>
      </w:r>
      <w:r w:rsidRPr="00421A61">
        <w:t>.</w:t>
      </w:r>
    </w:p>
    <w:p w14:paraId="5F713AC9" w14:textId="77777777" w:rsidR="00654D3C" w:rsidRPr="008721BB" w:rsidRDefault="00654D3C" w:rsidP="00654D3C">
      <w:pPr>
        <w:rPr>
          <w:i/>
        </w:rPr>
      </w:pPr>
      <w:r w:rsidRPr="008721BB">
        <w:t>A non-compliance event is defined as “</w:t>
      </w:r>
      <w:r w:rsidRPr="008721BB">
        <w:rPr>
          <w:i/>
        </w:rPr>
        <w:t xml:space="preserve">an occupational safety and health incident to a worker or workers of an uninsured employer, which has a financial impact on WorkCover WA’s General Account by way of an uninsured claim payment”. </w:t>
      </w:r>
    </w:p>
    <w:p w14:paraId="15E92C0E" w14:textId="77777777" w:rsidR="00654D3C" w:rsidRDefault="00654D3C" w:rsidP="00654D3C">
      <w:r w:rsidRPr="008721BB">
        <w:t xml:space="preserve">Claims involving asbestos and industrial disease are made years after the causal exposure. </w:t>
      </w:r>
      <w:r>
        <w:t xml:space="preserve">For example, the four main diseases associated with the inhalation of asbestos fibres (i.e. asbestosis, mesothelioma, asbestos-related lung cancer and diffuse pleural fibrosis) generally take many years, if not decades, to develop after a worker has been exposed to asbestos. </w:t>
      </w:r>
      <w:r w:rsidRPr="008721BB">
        <w:t xml:space="preserve">Accordingly, these are excluded from the definition of an ‘event’ as they bear no reflection on the current insurance levels of employers. </w:t>
      </w:r>
    </w:p>
    <w:p w14:paraId="2D4BD24E" w14:textId="77777777" w:rsidR="00654D3C" w:rsidRDefault="00654D3C" w:rsidP="00654D3C">
      <w:r w:rsidRPr="00277610">
        <w:t xml:space="preserve">Common law damages claims paid from the General Account due to insurers declining to indemnify the claim are also excluded. This exclusion is limited to claims where a court finds the insured employer breached </w:t>
      </w:r>
      <w:r>
        <w:t>its</w:t>
      </w:r>
      <w:r w:rsidRPr="00277610">
        <w:t xml:space="preserve"> insurance policy by recklessly disregarding the risk to the worker.</w:t>
      </w:r>
    </w:p>
    <w:p w14:paraId="50CFBD2C" w14:textId="77777777" w:rsidR="00654D3C" w:rsidRPr="008721BB" w:rsidRDefault="00654D3C" w:rsidP="00654D3C">
      <w:bookmarkStart w:id="726" w:name="_5.2_New_Effectiveness"/>
      <w:bookmarkEnd w:id="726"/>
      <w:r w:rsidRPr="000A0AFF">
        <w:t xml:space="preserve">To determine the target for this KPI, a benchmark of two uninsured claims per 10,000 claims was established and for many years the overall number of insured claims was consistent in the </w:t>
      </w:r>
      <w:r w:rsidRPr="00462664">
        <w:t>vicinity of 40,000 per annum, giving a target figure of eight. However, in recent years this figure has continued to decline (33,914 in 2014/15, 32,225 in 2015/16, and 28,161 in 2016/17</w:t>
      </w:r>
      <w:r w:rsidRPr="00462664">
        <w:rPr>
          <w:rStyle w:val="FootnoteReference"/>
        </w:rPr>
        <w:footnoteReference w:id="2"/>
      </w:r>
      <w:r w:rsidRPr="00462664">
        <w:t>). Using the same</w:t>
      </w:r>
      <w:r w:rsidRPr="000A0AFF">
        <w:t xml:space="preserve"> methodology of two uninsured claims per 10,000 claims, the target for 2017/18 was maintained at six.</w:t>
      </w:r>
    </w:p>
    <w:p w14:paraId="4C991BB9" w14:textId="77777777" w:rsidR="00654D3C" w:rsidRPr="007E4536" w:rsidRDefault="00654D3C" w:rsidP="00654D3C">
      <w:r w:rsidRPr="007E4536">
        <w:t>The information to inform this indicator is derived from two Agency information systems. The total number of claims is reported from the Q2 database which captures details of all claims as reported by approved insurers and self-insurers.</w:t>
      </w:r>
    </w:p>
    <w:p w14:paraId="49316F3D" w14:textId="77777777" w:rsidR="00CF4068" w:rsidRDefault="00654D3C" w:rsidP="00CF4068">
      <w:pPr>
        <w:rPr>
          <w:b/>
        </w:rPr>
      </w:pPr>
      <w:bookmarkStart w:id="727" w:name="_Analysis"/>
      <w:bookmarkEnd w:id="727"/>
      <w:r w:rsidRPr="007E4536">
        <w:t>The number of General Account claims is derived from the Agency Financial Management Information System (FMIS) which reports the commencement of any payments to a worker or service provider made from the General Account.</w:t>
      </w:r>
    </w:p>
    <w:p w14:paraId="6A01E138" w14:textId="08855DD1" w:rsidR="00654D3C" w:rsidRPr="00654D3C" w:rsidRDefault="00654D3C" w:rsidP="00CF4068">
      <w:pPr>
        <w:rPr>
          <w:b/>
        </w:rPr>
      </w:pPr>
      <w:r w:rsidRPr="00654D3C">
        <w:rPr>
          <w:b/>
        </w:rPr>
        <w:t xml:space="preserve">Analysis </w:t>
      </w:r>
    </w:p>
    <w:p w14:paraId="652A18B4" w14:textId="77777777" w:rsidR="00654D3C" w:rsidRDefault="00654D3C" w:rsidP="00654D3C">
      <w:pPr>
        <w:rPr>
          <w:b/>
        </w:rPr>
      </w:pPr>
      <w:bookmarkStart w:id="728" w:name="_Effectiveness_Indicator_1.2"/>
      <w:bookmarkEnd w:id="728"/>
      <w:r w:rsidRPr="00E80ADA">
        <w:t xml:space="preserve">In </w:t>
      </w:r>
      <w:r>
        <w:t>2017/18</w:t>
      </w:r>
      <w:r w:rsidRPr="00E80ADA">
        <w:t xml:space="preserve"> there were </w:t>
      </w:r>
      <w:r>
        <w:t>four</w:t>
      </w:r>
      <w:r w:rsidRPr="00E80ADA">
        <w:t xml:space="preserve"> non-compliance events </w:t>
      </w:r>
      <w:r>
        <w:t xml:space="preserve">resulting </w:t>
      </w:r>
      <w:r w:rsidRPr="00E80ADA">
        <w:t xml:space="preserve">in a claim paid from the General Account (see Figure 1). This is </w:t>
      </w:r>
      <w:r>
        <w:t>two</w:t>
      </w:r>
      <w:r w:rsidRPr="00E80ADA">
        <w:t xml:space="preserve"> less than the target of six, and </w:t>
      </w:r>
      <w:r>
        <w:t>two more than 2016/17</w:t>
      </w:r>
      <w:r w:rsidRPr="00E80ADA">
        <w:t>. The number of uninsured claims against the general account continue to remain low in the context of approximately 30,000 insured claims for the year.  The higher than normal figure in 2015/16 included four claims for injuries sustained in prior years and appears to be an anomaly.</w:t>
      </w:r>
    </w:p>
    <w:p w14:paraId="7004FCBA" w14:textId="77777777" w:rsidR="00654D3C" w:rsidRDefault="00654D3C" w:rsidP="00654D3C">
      <w:pPr>
        <w:rPr>
          <w:b/>
        </w:rPr>
      </w:pPr>
      <w:r w:rsidRPr="00D55700">
        <w:t xml:space="preserve">The continued low number of claims on the General Account can be </w:t>
      </w:r>
      <w:r>
        <w:t xml:space="preserve">partially </w:t>
      </w:r>
      <w:r w:rsidRPr="00D55700">
        <w:t xml:space="preserve">attributed </w:t>
      </w:r>
      <w:r>
        <w:t>to</w:t>
      </w:r>
      <w:r w:rsidRPr="00D55700">
        <w:t xml:space="preserve"> WorkCover WA’s compliance activities and information and education to </w:t>
      </w:r>
      <w:r>
        <w:t xml:space="preserve">stakeholders. </w:t>
      </w:r>
    </w:p>
    <w:p w14:paraId="0A605C91" w14:textId="77777777" w:rsidR="00654D3C" w:rsidRDefault="00654D3C" w:rsidP="00654D3C">
      <w:r>
        <w:t xml:space="preserve">Total payments for these new claims in 2017/18 is $191,332. The Agency attempts recovery action against all uninsured employers. </w:t>
      </w:r>
    </w:p>
    <w:p w14:paraId="251A6B3B" w14:textId="01908304" w:rsidR="00654D3C" w:rsidRDefault="00654D3C" w:rsidP="00654D3C">
      <w:pPr>
        <w:rPr>
          <w:b/>
        </w:rPr>
      </w:pPr>
      <w:r w:rsidRPr="00384F34">
        <w:rPr>
          <w:i/>
          <w:noProof/>
          <w:lang w:eastAsia="en-AU"/>
        </w:rPr>
        <w:drawing>
          <wp:inline distT="0" distB="0" distL="0" distR="0" wp14:anchorId="1FFED5FF" wp14:editId="647F7D0C">
            <wp:extent cx="5731510" cy="3191597"/>
            <wp:effectExtent l="0" t="0" r="2540" b="8890"/>
            <wp:docPr id="8" name="Object 1" descr="This indicator highlights the number of new claims with payments made from WorkCover WA’s General Account (as a safety net payment) to workers, due to employers not having the required insurance to cover such payments (non-compliance)." title="Figure 1: New claims on the General Account"/>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F1DC2C" w14:textId="77777777" w:rsidR="00654D3C" w:rsidRPr="00C80F6E" w:rsidRDefault="00654D3C" w:rsidP="00654D3C">
      <w:pPr>
        <w:pStyle w:val="Normal-Act"/>
        <w:rPr>
          <w:b/>
          <w:i w:val="0"/>
        </w:rPr>
      </w:pPr>
      <w:r w:rsidRPr="00C80F6E">
        <w:rPr>
          <w:b/>
          <w:i w:val="0"/>
        </w:rPr>
        <w:t>Indicator 1.2</w:t>
      </w:r>
    </w:p>
    <w:p w14:paraId="53984E76" w14:textId="5EED1A40" w:rsidR="00654D3C" w:rsidRPr="00C80F6E" w:rsidRDefault="00654D3C" w:rsidP="00654D3C">
      <w:pPr>
        <w:rPr>
          <w:i/>
        </w:rPr>
      </w:pPr>
      <w:r w:rsidRPr="00C80F6E">
        <w:rPr>
          <w:i/>
        </w:rPr>
        <w:t xml:space="preserve">The proportion of conciliations completed within 8 weeks </w:t>
      </w:r>
    </w:p>
    <w:tbl>
      <w:tblPr>
        <w:tblpPr w:leftFromText="180" w:rightFromText="180" w:vertAnchor="text" w:horzAnchor="margin" w:tblpY="78"/>
        <w:tblW w:w="9396" w:type="dxa"/>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858"/>
        <w:gridCol w:w="1089"/>
        <w:gridCol w:w="1089"/>
        <w:gridCol w:w="1090"/>
        <w:gridCol w:w="1090"/>
        <w:gridCol w:w="1090"/>
        <w:gridCol w:w="1090"/>
      </w:tblGrid>
      <w:tr w:rsidR="00637B51" w:rsidRPr="00A173D1" w14:paraId="605C3CA9" w14:textId="77777777" w:rsidTr="00637B51">
        <w:trPr>
          <w:trHeight w:val="515"/>
        </w:trPr>
        <w:tc>
          <w:tcPr>
            <w:tcW w:w="2858" w:type="dxa"/>
            <w:tcBorders>
              <w:top w:val="single" w:sz="4" w:space="0" w:color="auto"/>
              <w:left w:val="single" w:sz="4" w:space="0" w:color="auto"/>
              <w:bottom w:val="nil"/>
              <w:right w:val="single" w:sz="4" w:space="0" w:color="auto"/>
            </w:tcBorders>
            <w:shd w:val="clear" w:color="auto" w:fill="898D91"/>
            <w:vAlign w:val="center"/>
            <w:hideMark/>
          </w:tcPr>
          <w:p w14:paraId="26CE6F5B" w14:textId="77777777" w:rsidR="00637B51" w:rsidRPr="00C80F6E" w:rsidRDefault="00637B51" w:rsidP="00637B51">
            <w:pPr>
              <w:pStyle w:val="TableText"/>
              <w:rPr>
                <w:sz w:val="22"/>
                <w:szCs w:val="22"/>
              </w:rPr>
            </w:pPr>
            <w:r w:rsidRPr="00C80F6E">
              <w:rPr>
                <w:b/>
                <w:color w:val="FFFFFF"/>
                <w:sz w:val="22"/>
                <w:szCs w:val="22"/>
              </w:rPr>
              <w:t xml:space="preserve">Indicator 1.2 </w:t>
            </w:r>
          </w:p>
        </w:tc>
        <w:tc>
          <w:tcPr>
            <w:tcW w:w="1089" w:type="dxa"/>
            <w:tcBorders>
              <w:top w:val="single" w:sz="4" w:space="0" w:color="auto"/>
              <w:left w:val="single" w:sz="4" w:space="0" w:color="auto"/>
              <w:bottom w:val="single" w:sz="4" w:space="0" w:color="auto"/>
              <w:right w:val="single" w:sz="4" w:space="0" w:color="auto"/>
            </w:tcBorders>
            <w:shd w:val="clear" w:color="auto" w:fill="898D91"/>
            <w:vAlign w:val="center"/>
          </w:tcPr>
          <w:p w14:paraId="5892C16F" w14:textId="77777777" w:rsidR="00637B51" w:rsidRPr="00C80F6E" w:rsidRDefault="00637B51" w:rsidP="00637B51">
            <w:pPr>
              <w:pStyle w:val="TableHeading"/>
              <w:spacing w:before="0" w:after="0"/>
              <w:jc w:val="center"/>
              <w:rPr>
                <w:rFonts w:cs="Arial"/>
              </w:rPr>
            </w:pPr>
            <w:r w:rsidRPr="00C80F6E">
              <w:rPr>
                <w:rFonts w:cs="Arial"/>
              </w:rPr>
              <w:t>2013/14</w:t>
            </w:r>
          </w:p>
          <w:p w14:paraId="1113B531" w14:textId="77777777" w:rsidR="00637B51" w:rsidRPr="00C80F6E" w:rsidRDefault="00637B51" w:rsidP="00637B51">
            <w:pPr>
              <w:pStyle w:val="TableHeading"/>
              <w:spacing w:before="0" w:after="0"/>
              <w:jc w:val="center"/>
              <w:rPr>
                <w:rFonts w:cs="Arial"/>
              </w:rPr>
            </w:pPr>
            <w:r w:rsidRPr="00C80F6E">
              <w:rPr>
                <w:rFonts w:cs="Arial"/>
              </w:rPr>
              <w:t>Actual</w:t>
            </w:r>
          </w:p>
        </w:tc>
        <w:tc>
          <w:tcPr>
            <w:tcW w:w="1089" w:type="dxa"/>
            <w:tcBorders>
              <w:top w:val="single" w:sz="4" w:space="0" w:color="auto"/>
              <w:left w:val="single" w:sz="4" w:space="0" w:color="auto"/>
              <w:bottom w:val="single" w:sz="4" w:space="0" w:color="auto"/>
              <w:right w:val="single" w:sz="4" w:space="0" w:color="auto"/>
            </w:tcBorders>
            <w:shd w:val="clear" w:color="auto" w:fill="898D91"/>
            <w:vAlign w:val="center"/>
          </w:tcPr>
          <w:p w14:paraId="3C1AC190" w14:textId="77777777" w:rsidR="00637B51" w:rsidRPr="00C80F6E" w:rsidRDefault="00637B51" w:rsidP="00637B51">
            <w:pPr>
              <w:pStyle w:val="TableHeading"/>
              <w:spacing w:before="0" w:after="0"/>
              <w:jc w:val="center"/>
            </w:pPr>
            <w:r w:rsidRPr="00C80F6E">
              <w:t>2014/15</w:t>
            </w:r>
          </w:p>
          <w:p w14:paraId="698083F5" w14:textId="77777777" w:rsidR="00637B51" w:rsidRPr="00C80F6E" w:rsidRDefault="00637B51" w:rsidP="00637B51">
            <w:pPr>
              <w:pStyle w:val="TableHeading"/>
              <w:spacing w:before="0" w:after="0"/>
              <w:jc w:val="center"/>
            </w:pPr>
            <w:r w:rsidRPr="00C80F6E">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02533542" w14:textId="77777777" w:rsidR="00637B51" w:rsidRPr="00C80F6E" w:rsidRDefault="00637B51" w:rsidP="00637B51">
            <w:pPr>
              <w:pStyle w:val="TableHeading"/>
              <w:spacing w:before="0" w:after="0"/>
              <w:jc w:val="center"/>
            </w:pPr>
            <w:r w:rsidRPr="00C80F6E">
              <w:t>2015/16</w:t>
            </w:r>
          </w:p>
          <w:p w14:paraId="4D2EE3FE" w14:textId="77777777" w:rsidR="00637B51" w:rsidRPr="00C80F6E" w:rsidRDefault="00637B51" w:rsidP="00637B51">
            <w:pPr>
              <w:pStyle w:val="TableHeading"/>
              <w:spacing w:before="0" w:after="0"/>
              <w:jc w:val="center"/>
              <w:rPr>
                <w:rFonts w:cs="Arial"/>
              </w:rPr>
            </w:pPr>
            <w:r w:rsidRPr="00C80F6E">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1AED57E7" w14:textId="77777777" w:rsidR="00637B51" w:rsidRPr="00C80F6E" w:rsidRDefault="00637B51" w:rsidP="00637B51">
            <w:pPr>
              <w:pStyle w:val="TableHeading"/>
              <w:spacing w:before="0" w:after="0"/>
              <w:jc w:val="center"/>
            </w:pPr>
            <w:r w:rsidRPr="00C80F6E">
              <w:t xml:space="preserve">2016/17  Actual </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1E51EE1F" w14:textId="77777777" w:rsidR="00637B51" w:rsidRPr="00C80F6E" w:rsidRDefault="00637B51" w:rsidP="00637B51">
            <w:pPr>
              <w:pStyle w:val="TableHeading"/>
              <w:spacing w:before="0" w:after="0"/>
              <w:jc w:val="center"/>
            </w:pPr>
            <w:r w:rsidRPr="00C80F6E">
              <w:t>2017/18Actual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4828CD63" w14:textId="77777777" w:rsidR="00637B51" w:rsidRPr="00C80F6E" w:rsidRDefault="00637B51" w:rsidP="00637B51">
            <w:pPr>
              <w:pStyle w:val="TableHeading"/>
              <w:spacing w:before="0" w:after="0"/>
              <w:jc w:val="center"/>
            </w:pPr>
            <w:r w:rsidRPr="00C80F6E">
              <w:t>2017/18 Target</w:t>
            </w:r>
          </w:p>
        </w:tc>
      </w:tr>
      <w:tr w:rsidR="00637B51" w:rsidRPr="00A173D1" w14:paraId="24361E68" w14:textId="77777777" w:rsidTr="00637B51">
        <w:trPr>
          <w:trHeight w:val="291"/>
        </w:trPr>
        <w:tc>
          <w:tcPr>
            <w:tcW w:w="2858" w:type="dxa"/>
            <w:tcBorders>
              <w:top w:val="single" w:sz="4" w:space="0" w:color="AD9600"/>
              <w:left w:val="single" w:sz="4" w:space="0" w:color="auto"/>
              <w:bottom w:val="single" w:sz="4" w:space="0" w:color="auto"/>
              <w:right w:val="single" w:sz="4" w:space="0" w:color="auto"/>
            </w:tcBorders>
            <w:vAlign w:val="center"/>
            <w:hideMark/>
          </w:tcPr>
          <w:p w14:paraId="4D8FF63C" w14:textId="77777777" w:rsidR="00637B51" w:rsidRPr="00C80F6E" w:rsidRDefault="00637B51" w:rsidP="00637B51">
            <w:pPr>
              <w:pStyle w:val="TableText"/>
              <w:rPr>
                <w:sz w:val="22"/>
                <w:szCs w:val="22"/>
              </w:rPr>
            </w:pPr>
            <w:r w:rsidRPr="00C80F6E">
              <w:rPr>
                <w:sz w:val="22"/>
                <w:szCs w:val="22"/>
              </w:rPr>
              <w:t xml:space="preserve">The proportion of conciliations completed within 8 weeks </w:t>
            </w:r>
          </w:p>
        </w:tc>
        <w:tc>
          <w:tcPr>
            <w:tcW w:w="1089" w:type="dxa"/>
            <w:tcBorders>
              <w:top w:val="single" w:sz="4" w:space="0" w:color="auto"/>
              <w:left w:val="single" w:sz="4" w:space="0" w:color="auto"/>
              <w:bottom w:val="single" w:sz="4" w:space="0" w:color="auto"/>
              <w:right w:val="single" w:sz="4" w:space="0" w:color="auto"/>
            </w:tcBorders>
            <w:vAlign w:val="center"/>
          </w:tcPr>
          <w:p w14:paraId="26E649A5" w14:textId="77777777" w:rsidR="00637B51" w:rsidRPr="00C80F6E" w:rsidRDefault="00637B51" w:rsidP="00637B51">
            <w:pPr>
              <w:jc w:val="center"/>
              <w:rPr>
                <w:sz w:val="22"/>
                <w:szCs w:val="22"/>
              </w:rPr>
            </w:pPr>
            <w:r w:rsidRPr="00C80F6E">
              <w:rPr>
                <w:sz w:val="22"/>
                <w:szCs w:val="22"/>
              </w:rPr>
              <w:t>96.8%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6BA3FD5B" w14:textId="77777777" w:rsidR="00637B51" w:rsidRPr="00C80F6E" w:rsidRDefault="00637B51" w:rsidP="00637B51">
            <w:pPr>
              <w:jc w:val="center"/>
              <w:rPr>
                <w:sz w:val="22"/>
                <w:szCs w:val="22"/>
              </w:rPr>
            </w:pPr>
            <w:r w:rsidRPr="00C80F6E">
              <w:rPr>
                <w:sz w:val="22"/>
                <w:szCs w:val="22"/>
              </w:rPr>
              <w:t>96.3%</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0D3B71AA" w14:textId="77777777" w:rsidR="00637B51" w:rsidRPr="00C80F6E" w:rsidRDefault="00637B51" w:rsidP="00637B51">
            <w:pPr>
              <w:jc w:val="center"/>
              <w:rPr>
                <w:sz w:val="22"/>
                <w:szCs w:val="22"/>
              </w:rPr>
            </w:pPr>
            <w:r w:rsidRPr="00C80F6E">
              <w:rPr>
                <w:sz w:val="22"/>
                <w:szCs w:val="22"/>
              </w:rPr>
              <w:t>96.2%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3C8445EC" w14:textId="77777777" w:rsidR="00637B51" w:rsidRPr="00C80F6E" w:rsidRDefault="00637B51" w:rsidP="00637B51">
            <w:pPr>
              <w:jc w:val="center"/>
              <w:rPr>
                <w:sz w:val="22"/>
                <w:szCs w:val="22"/>
              </w:rPr>
            </w:pPr>
            <w:r w:rsidRPr="00C80F6E">
              <w:rPr>
                <w:sz w:val="22"/>
                <w:szCs w:val="22"/>
              </w:rPr>
              <w:t>97.1%</w:t>
            </w:r>
          </w:p>
        </w:tc>
        <w:tc>
          <w:tcPr>
            <w:tcW w:w="1090"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397B4D4B" w14:textId="77777777" w:rsidR="00637B51" w:rsidRPr="00C80F6E" w:rsidRDefault="00637B51" w:rsidP="00637B51">
            <w:pPr>
              <w:jc w:val="center"/>
              <w:rPr>
                <w:sz w:val="22"/>
                <w:szCs w:val="22"/>
              </w:rPr>
            </w:pPr>
            <w:r w:rsidRPr="00C80F6E">
              <w:rPr>
                <w:color w:val="FFFFFF" w:themeColor="background1"/>
                <w:sz w:val="22"/>
                <w:szCs w:val="22"/>
              </w:rPr>
              <w:t>96.7%</w:t>
            </w:r>
          </w:p>
        </w:tc>
        <w:tc>
          <w:tcPr>
            <w:tcW w:w="1090"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4A5118ED" w14:textId="77777777" w:rsidR="00637B51" w:rsidRPr="00C80F6E" w:rsidRDefault="00637B51" w:rsidP="00637B51">
            <w:pPr>
              <w:jc w:val="center"/>
              <w:rPr>
                <w:sz w:val="22"/>
                <w:szCs w:val="22"/>
              </w:rPr>
            </w:pPr>
            <w:r w:rsidRPr="00C80F6E">
              <w:rPr>
                <w:sz w:val="22"/>
                <w:szCs w:val="22"/>
              </w:rPr>
              <w:t>97.0%</w:t>
            </w:r>
          </w:p>
        </w:tc>
      </w:tr>
    </w:tbl>
    <w:p w14:paraId="7443DA42" w14:textId="4B393B3F" w:rsidR="00654D3C" w:rsidRPr="00C80F6E" w:rsidRDefault="00654D3C" w:rsidP="00637B51">
      <w:pPr>
        <w:spacing w:before="240"/>
        <w:rPr>
          <w:b/>
        </w:rPr>
      </w:pPr>
      <w:r w:rsidRPr="00C80F6E">
        <w:rPr>
          <w:b/>
        </w:rPr>
        <w:t>Description</w:t>
      </w:r>
    </w:p>
    <w:p w14:paraId="6A190A1D" w14:textId="77777777" w:rsidR="00654D3C" w:rsidRPr="00421A61" w:rsidRDefault="00654D3C" w:rsidP="00654D3C">
      <w:pPr>
        <w:rPr>
          <w:rFonts w:cs="Arial"/>
        </w:rPr>
      </w:pPr>
      <w:r>
        <w:rPr>
          <w:rFonts w:cs="Arial"/>
        </w:rPr>
        <w:t>T</w:t>
      </w:r>
      <w:r w:rsidRPr="00421A61">
        <w:rPr>
          <w:rFonts w:cs="Arial"/>
        </w:rPr>
        <w:t xml:space="preserve">he </w:t>
      </w:r>
      <w:r w:rsidRPr="00421A61">
        <w:rPr>
          <w:rStyle w:val="Emphasis"/>
        </w:rPr>
        <w:t>Workers’ Compensation and Injury Management Conciliation Rules 2011</w:t>
      </w:r>
      <w:r w:rsidRPr="00421A61">
        <w:rPr>
          <w:rFonts w:cs="Arial"/>
        </w:rPr>
        <w:t xml:space="preserve"> </w:t>
      </w:r>
      <w:r>
        <w:rPr>
          <w:rFonts w:cs="Arial"/>
        </w:rPr>
        <w:t xml:space="preserve">set </w:t>
      </w:r>
      <w:r w:rsidRPr="00421A61">
        <w:rPr>
          <w:rFonts w:cs="Arial"/>
        </w:rPr>
        <w:t xml:space="preserve">the time limit for conciliation </w:t>
      </w:r>
      <w:r>
        <w:rPr>
          <w:rFonts w:cs="Arial"/>
        </w:rPr>
        <w:t xml:space="preserve">at </w:t>
      </w:r>
      <w:r w:rsidRPr="00421A61">
        <w:rPr>
          <w:rFonts w:cs="Arial"/>
        </w:rPr>
        <w:t>56 days (eight weeks) from the day on which the Director accepts an application, unless an extension is granted by the Director for a period not exceeding a further eight weeks.</w:t>
      </w:r>
    </w:p>
    <w:p w14:paraId="5DA5E95A" w14:textId="77777777" w:rsidR="00654D3C" w:rsidRDefault="00654D3C" w:rsidP="00654D3C">
      <w:pPr>
        <w:rPr>
          <w:lang w:val="en-US"/>
        </w:rPr>
      </w:pPr>
      <w:r>
        <w:t>This timeframe is reflected in this KPI which reports the percentage of conciliation applications completed within the initial eight weeks.</w:t>
      </w:r>
      <w:r w:rsidRPr="00140534">
        <w:rPr>
          <w:lang w:val="en-US"/>
        </w:rPr>
        <w:t xml:space="preserve"> </w:t>
      </w:r>
    </w:p>
    <w:p w14:paraId="25CA2B49" w14:textId="77777777" w:rsidR="00C80F6E" w:rsidRPr="0012241A" w:rsidRDefault="00C80F6E" w:rsidP="00C80F6E">
      <w:pPr>
        <w:pStyle w:val="Indenta"/>
        <w:tabs>
          <w:tab w:val="clear" w:pos="1616"/>
          <w:tab w:val="left" w:pos="0"/>
          <w:tab w:val="left" w:pos="284"/>
          <w:tab w:val="right" w:pos="709"/>
        </w:tabs>
        <w:spacing w:before="120" w:after="240" w:line="276" w:lineRule="auto"/>
        <w:ind w:left="0" w:firstLine="0"/>
        <w:rPr>
          <w:rFonts w:ascii="Arial" w:hAnsi="Arial" w:cs="Arial"/>
        </w:rPr>
      </w:pPr>
      <w:r w:rsidRPr="00B02FEC">
        <w:rPr>
          <w:rFonts w:ascii="Arial" w:hAnsi="Arial" w:cs="Arial"/>
        </w:rPr>
        <w:t xml:space="preserve">Time taken to complete an application for conciliation is measured from the date </w:t>
      </w:r>
      <w:r>
        <w:rPr>
          <w:rFonts w:ascii="Arial" w:hAnsi="Arial" w:cs="Arial"/>
        </w:rPr>
        <w:t xml:space="preserve">an </w:t>
      </w:r>
      <w:r w:rsidRPr="00B02FEC">
        <w:rPr>
          <w:rFonts w:ascii="Arial" w:hAnsi="Arial" w:cs="Arial"/>
        </w:rPr>
        <w:t xml:space="preserve">application </w:t>
      </w:r>
      <w:r>
        <w:rPr>
          <w:rFonts w:ascii="Arial" w:hAnsi="Arial" w:cs="Arial"/>
        </w:rPr>
        <w:t xml:space="preserve">for conciliation </w:t>
      </w:r>
      <w:r w:rsidRPr="00B02FEC">
        <w:rPr>
          <w:rFonts w:ascii="Arial" w:hAnsi="Arial" w:cs="Arial"/>
        </w:rPr>
        <w:t>is accepted to the date a certificate of outcome is issued by the Conciliation Officer</w:t>
      </w:r>
      <w:r>
        <w:rPr>
          <w:rFonts w:ascii="Arial" w:hAnsi="Arial" w:cs="Arial"/>
        </w:rPr>
        <w:t>.</w:t>
      </w:r>
    </w:p>
    <w:p w14:paraId="57EB5474" w14:textId="77777777" w:rsidR="00C80F6E" w:rsidRDefault="00C80F6E" w:rsidP="00C80F6E">
      <w:pPr>
        <w:rPr>
          <w:rFonts w:cs="Arial"/>
        </w:rPr>
      </w:pPr>
      <w:r w:rsidRPr="00206E72">
        <w:rPr>
          <w:rFonts w:cs="Arial"/>
        </w:rPr>
        <w:t>This indicator is produced directly from data extracted from the Dispute Case Management System (DCMS) which supports the business needs of the Conciliation and Arbitration Services (CAS).</w:t>
      </w:r>
    </w:p>
    <w:p w14:paraId="7A13C42C" w14:textId="77777777" w:rsidR="00C80F6E" w:rsidRDefault="00C80F6E" w:rsidP="00C80F6E">
      <w:r w:rsidRPr="000A0AFF">
        <w:rPr>
          <w:rFonts w:cs="Arial"/>
        </w:rPr>
        <w:t>The target for this KPI has been set based on the previous year target and performance.</w:t>
      </w:r>
      <w:r w:rsidRPr="00724DF4">
        <w:rPr>
          <w:rFonts w:cs="Arial"/>
        </w:rPr>
        <w:t xml:space="preserve">  </w:t>
      </w:r>
    </w:p>
    <w:p w14:paraId="114DF810" w14:textId="77777777" w:rsidR="00C80F6E" w:rsidRPr="00C80F6E" w:rsidRDefault="00C80F6E" w:rsidP="00C80F6E">
      <w:pPr>
        <w:rPr>
          <w:b/>
        </w:rPr>
      </w:pPr>
      <w:r w:rsidRPr="00C80F6E">
        <w:rPr>
          <w:b/>
        </w:rPr>
        <w:t xml:space="preserve">Analysis </w:t>
      </w:r>
    </w:p>
    <w:p w14:paraId="7732478A" w14:textId="77777777" w:rsidR="00C80F6E" w:rsidRPr="001C6194" w:rsidRDefault="00C80F6E" w:rsidP="00C80F6E">
      <w:pPr>
        <w:rPr>
          <w:b/>
        </w:rPr>
      </w:pPr>
      <w:r w:rsidRPr="001C6194">
        <w:t xml:space="preserve">In </w:t>
      </w:r>
      <w:r>
        <w:t>2017/18</w:t>
      </w:r>
      <w:r w:rsidRPr="001C6194">
        <w:t xml:space="preserve"> </w:t>
      </w:r>
      <w:r w:rsidRPr="003B6BAB">
        <w:t>96.7</w:t>
      </w:r>
      <w:r w:rsidRPr="001C6194">
        <w:t xml:space="preserve"> percent of conciliations were completed within the eight week statutory timeframe (see Figure 2).  This is consistent with the target of 97.0 percent and the outcome for </w:t>
      </w:r>
      <w:r>
        <w:t>2016/17</w:t>
      </w:r>
      <w:r w:rsidRPr="001C6194">
        <w:t>.</w:t>
      </w:r>
    </w:p>
    <w:p w14:paraId="5EEF6F25" w14:textId="77777777" w:rsidR="00C80F6E" w:rsidRDefault="00C80F6E" w:rsidP="00C80F6E">
      <w:r w:rsidRPr="001C6194">
        <w:t xml:space="preserve">The eight week timeframe for </w:t>
      </w:r>
      <w:r w:rsidRPr="001B2A70">
        <w:t>completing a</w:t>
      </w:r>
      <w:r w:rsidRPr="001C6194">
        <w:t xml:space="preserve"> conciliation is a statutory requirement. There </w:t>
      </w:r>
      <w:r>
        <w:t>are</w:t>
      </w:r>
      <w:r w:rsidRPr="001C6194">
        <w:t xml:space="preserve"> some cases that cannot reasonably be dealt with within the initial eight week period in which case the Director may grant an extension for a further eight week period. </w:t>
      </w:r>
      <w:r>
        <w:t>In 2017/18 all</w:t>
      </w:r>
      <w:r w:rsidRPr="001C6194">
        <w:t xml:space="preserve"> matters not completed within the initial eight weeks were completed within the extended timeframe.</w:t>
      </w:r>
    </w:p>
    <w:p w14:paraId="4279E582" w14:textId="7AD9EF8B" w:rsidR="006841E5" w:rsidRPr="00421A61" w:rsidRDefault="00C80F6E" w:rsidP="006841E5">
      <w:pPr>
        <w:rPr>
          <w:b/>
        </w:rPr>
      </w:pPr>
      <w:r w:rsidRPr="00384F34">
        <w:rPr>
          <w:noProof/>
          <w:lang w:eastAsia="en-AU"/>
        </w:rPr>
        <w:drawing>
          <wp:inline distT="0" distB="0" distL="0" distR="0" wp14:anchorId="15C78E3A" wp14:editId="2F3A2054">
            <wp:extent cx="5731510" cy="3025342"/>
            <wp:effectExtent l="0" t="0" r="2540" b="3810"/>
            <wp:docPr id="12" name="Object 2" descr="This KPI highlights the percentage of conciliations completed within eight weeks. " title="Figure 2: Proportion of conciliations completed within 8 week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880D68" w14:textId="77777777" w:rsidR="003C2AD0" w:rsidRPr="003C2AD0" w:rsidRDefault="003C2AD0" w:rsidP="003C2AD0">
      <w:pPr>
        <w:rPr>
          <w:b/>
        </w:rPr>
      </w:pPr>
      <w:r w:rsidRPr="003C2AD0">
        <w:rPr>
          <w:b/>
        </w:rPr>
        <w:t xml:space="preserve">Indicator 1.3 </w:t>
      </w:r>
    </w:p>
    <w:p w14:paraId="64771789" w14:textId="2034F177" w:rsidR="003C2AD0" w:rsidRPr="00A173D1" w:rsidRDefault="003C2AD0" w:rsidP="003C2AD0">
      <w:pPr>
        <w:pStyle w:val="Normal-Act"/>
      </w:pPr>
      <w:r w:rsidRPr="00A173D1">
        <w:t>The proportion of disputes resolved within six months</w:t>
      </w:r>
      <w:r>
        <w:br/>
      </w:r>
      <w:r>
        <w:br/>
      </w:r>
    </w:p>
    <w:tbl>
      <w:tblPr>
        <w:tblpPr w:leftFromText="180" w:rightFromText="180" w:vertAnchor="text" w:horzAnchor="margin" w:tblpY="78"/>
        <w:tblW w:w="9396" w:type="dxa"/>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858"/>
        <w:gridCol w:w="1089"/>
        <w:gridCol w:w="1089"/>
        <w:gridCol w:w="1090"/>
        <w:gridCol w:w="1090"/>
        <w:gridCol w:w="1090"/>
        <w:gridCol w:w="1090"/>
      </w:tblGrid>
      <w:tr w:rsidR="003C2AD0" w:rsidRPr="00A173D1" w14:paraId="080375CF" w14:textId="77777777" w:rsidTr="005F280C">
        <w:trPr>
          <w:trHeight w:val="515"/>
        </w:trPr>
        <w:tc>
          <w:tcPr>
            <w:tcW w:w="2858" w:type="dxa"/>
            <w:tcBorders>
              <w:top w:val="single" w:sz="4" w:space="0" w:color="auto"/>
              <w:left w:val="single" w:sz="4" w:space="0" w:color="auto"/>
              <w:bottom w:val="nil"/>
              <w:right w:val="single" w:sz="4" w:space="0" w:color="auto"/>
            </w:tcBorders>
            <w:shd w:val="clear" w:color="auto" w:fill="898D91"/>
            <w:vAlign w:val="center"/>
            <w:hideMark/>
          </w:tcPr>
          <w:p w14:paraId="07139707" w14:textId="6C031301" w:rsidR="003C2AD0" w:rsidRPr="00C80F6E" w:rsidRDefault="003C2AD0" w:rsidP="0058631D">
            <w:pPr>
              <w:pStyle w:val="TableText"/>
              <w:rPr>
                <w:sz w:val="22"/>
                <w:szCs w:val="22"/>
              </w:rPr>
            </w:pPr>
            <w:r w:rsidRPr="00C80F6E">
              <w:rPr>
                <w:b/>
                <w:color w:val="FFFFFF"/>
                <w:sz w:val="22"/>
                <w:szCs w:val="22"/>
              </w:rPr>
              <w:t>Indicator 1.</w:t>
            </w:r>
            <w:r w:rsidR="0058631D">
              <w:rPr>
                <w:b/>
                <w:color w:val="FFFFFF"/>
                <w:sz w:val="22"/>
                <w:szCs w:val="22"/>
              </w:rPr>
              <w:t>3</w:t>
            </w:r>
            <w:r w:rsidRPr="00C80F6E">
              <w:rPr>
                <w:b/>
                <w:color w:val="FFFFFF"/>
                <w:sz w:val="22"/>
                <w:szCs w:val="22"/>
              </w:rPr>
              <w:t xml:space="preserve"> </w:t>
            </w:r>
          </w:p>
        </w:tc>
        <w:tc>
          <w:tcPr>
            <w:tcW w:w="1089" w:type="dxa"/>
            <w:tcBorders>
              <w:top w:val="single" w:sz="4" w:space="0" w:color="auto"/>
              <w:left w:val="single" w:sz="4" w:space="0" w:color="auto"/>
              <w:bottom w:val="single" w:sz="4" w:space="0" w:color="auto"/>
              <w:right w:val="single" w:sz="4" w:space="0" w:color="auto"/>
            </w:tcBorders>
            <w:shd w:val="clear" w:color="auto" w:fill="898D91"/>
            <w:vAlign w:val="center"/>
          </w:tcPr>
          <w:p w14:paraId="15958B36" w14:textId="77777777" w:rsidR="003C2AD0" w:rsidRPr="00C80F6E" w:rsidRDefault="003C2AD0" w:rsidP="005F280C">
            <w:pPr>
              <w:pStyle w:val="TableHeading"/>
              <w:spacing w:before="0" w:after="0"/>
              <w:jc w:val="center"/>
              <w:rPr>
                <w:rFonts w:cs="Arial"/>
              </w:rPr>
            </w:pPr>
            <w:r w:rsidRPr="00C80F6E">
              <w:rPr>
                <w:rFonts w:cs="Arial"/>
              </w:rPr>
              <w:t>2013/14</w:t>
            </w:r>
          </w:p>
          <w:p w14:paraId="250A5BC7" w14:textId="77777777" w:rsidR="003C2AD0" w:rsidRPr="00C80F6E" w:rsidRDefault="003C2AD0" w:rsidP="005F280C">
            <w:pPr>
              <w:pStyle w:val="TableHeading"/>
              <w:spacing w:before="0" w:after="0"/>
              <w:jc w:val="center"/>
              <w:rPr>
                <w:rFonts w:cs="Arial"/>
              </w:rPr>
            </w:pPr>
            <w:r w:rsidRPr="00C80F6E">
              <w:rPr>
                <w:rFonts w:cs="Arial"/>
              </w:rPr>
              <w:t>Actual</w:t>
            </w:r>
          </w:p>
        </w:tc>
        <w:tc>
          <w:tcPr>
            <w:tcW w:w="1089" w:type="dxa"/>
            <w:tcBorders>
              <w:top w:val="single" w:sz="4" w:space="0" w:color="auto"/>
              <w:left w:val="single" w:sz="4" w:space="0" w:color="auto"/>
              <w:bottom w:val="single" w:sz="4" w:space="0" w:color="auto"/>
              <w:right w:val="single" w:sz="4" w:space="0" w:color="auto"/>
            </w:tcBorders>
            <w:shd w:val="clear" w:color="auto" w:fill="898D91"/>
            <w:vAlign w:val="center"/>
          </w:tcPr>
          <w:p w14:paraId="196FADDF" w14:textId="77777777" w:rsidR="003C2AD0" w:rsidRPr="00C80F6E" w:rsidRDefault="003C2AD0" w:rsidP="005F280C">
            <w:pPr>
              <w:pStyle w:val="TableHeading"/>
              <w:spacing w:before="0" w:after="0"/>
              <w:jc w:val="center"/>
            </w:pPr>
            <w:r w:rsidRPr="00C80F6E">
              <w:t>2014/15</w:t>
            </w:r>
          </w:p>
          <w:p w14:paraId="6C6E0FE9" w14:textId="77777777" w:rsidR="003C2AD0" w:rsidRPr="00C80F6E" w:rsidRDefault="003C2AD0" w:rsidP="005F280C">
            <w:pPr>
              <w:pStyle w:val="TableHeading"/>
              <w:spacing w:before="0" w:after="0"/>
              <w:jc w:val="center"/>
            </w:pPr>
            <w:r w:rsidRPr="00C80F6E">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55655DEC" w14:textId="77777777" w:rsidR="003C2AD0" w:rsidRPr="00C80F6E" w:rsidRDefault="003C2AD0" w:rsidP="005F280C">
            <w:pPr>
              <w:pStyle w:val="TableHeading"/>
              <w:spacing w:before="0" w:after="0"/>
              <w:jc w:val="center"/>
            </w:pPr>
            <w:r w:rsidRPr="00C80F6E">
              <w:t>2015/16</w:t>
            </w:r>
          </w:p>
          <w:p w14:paraId="2CD0FF60" w14:textId="77777777" w:rsidR="003C2AD0" w:rsidRPr="00C80F6E" w:rsidRDefault="003C2AD0" w:rsidP="005F280C">
            <w:pPr>
              <w:pStyle w:val="TableHeading"/>
              <w:spacing w:before="0" w:after="0"/>
              <w:jc w:val="center"/>
              <w:rPr>
                <w:rFonts w:cs="Arial"/>
              </w:rPr>
            </w:pPr>
            <w:r w:rsidRPr="00C80F6E">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68E1DB24" w14:textId="77777777" w:rsidR="003C2AD0" w:rsidRPr="00C80F6E" w:rsidRDefault="003C2AD0" w:rsidP="005F280C">
            <w:pPr>
              <w:pStyle w:val="TableHeading"/>
              <w:spacing w:before="0" w:after="0"/>
              <w:jc w:val="center"/>
            </w:pPr>
            <w:r w:rsidRPr="00C80F6E">
              <w:t xml:space="preserve">2016/17  Actual </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3BA0E90B" w14:textId="77777777" w:rsidR="003C2AD0" w:rsidRPr="00C80F6E" w:rsidRDefault="003C2AD0" w:rsidP="005F280C">
            <w:pPr>
              <w:pStyle w:val="TableHeading"/>
              <w:spacing w:before="0" w:after="0"/>
              <w:jc w:val="center"/>
            </w:pPr>
            <w:r w:rsidRPr="00C80F6E">
              <w:t>2017/18Actual</w:t>
            </w:r>
          </w:p>
        </w:tc>
        <w:tc>
          <w:tcPr>
            <w:tcW w:w="1090" w:type="dxa"/>
            <w:tcBorders>
              <w:top w:val="single" w:sz="4" w:space="0" w:color="auto"/>
              <w:left w:val="single" w:sz="4" w:space="0" w:color="auto"/>
              <w:bottom w:val="single" w:sz="4" w:space="0" w:color="auto"/>
              <w:right w:val="single" w:sz="4" w:space="0" w:color="auto"/>
            </w:tcBorders>
            <w:shd w:val="clear" w:color="auto" w:fill="898D91"/>
            <w:vAlign w:val="center"/>
          </w:tcPr>
          <w:p w14:paraId="2719133B" w14:textId="77777777" w:rsidR="003C2AD0" w:rsidRPr="00C80F6E" w:rsidRDefault="003C2AD0" w:rsidP="005F280C">
            <w:pPr>
              <w:pStyle w:val="TableHeading"/>
              <w:spacing w:before="0" w:after="0"/>
              <w:jc w:val="center"/>
            </w:pPr>
            <w:r w:rsidRPr="00C80F6E">
              <w:t>2017/18 Target</w:t>
            </w:r>
          </w:p>
        </w:tc>
      </w:tr>
      <w:tr w:rsidR="003C2AD0" w:rsidRPr="00A173D1" w14:paraId="00BE813B" w14:textId="77777777" w:rsidTr="005F280C">
        <w:trPr>
          <w:trHeight w:val="291"/>
        </w:trPr>
        <w:tc>
          <w:tcPr>
            <w:tcW w:w="2858" w:type="dxa"/>
            <w:tcBorders>
              <w:top w:val="single" w:sz="4" w:space="0" w:color="AD9600"/>
              <w:left w:val="single" w:sz="4" w:space="0" w:color="auto"/>
              <w:bottom w:val="single" w:sz="4" w:space="0" w:color="auto"/>
              <w:right w:val="single" w:sz="4" w:space="0" w:color="auto"/>
            </w:tcBorders>
            <w:vAlign w:val="center"/>
            <w:hideMark/>
          </w:tcPr>
          <w:p w14:paraId="07CB4298" w14:textId="12FDF2FE" w:rsidR="003C2AD0" w:rsidRPr="003C2AD0" w:rsidRDefault="003C2AD0" w:rsidP="003C2AD0">
            <w:pPr>
              <w:pStyle w:val="TableText"/>
              <w:rPr>
                <w:sz w:val="22"/>
                <w:szCs w:val="22"/>
              </w:rPr>
            </w:pPr>
            <w:bookmarkStart w:id="729" w:name="_Toc392690101"/>
            <w:bookmarkStart w:id="730" w:name="_Toc392690164"/>
            <w:r w:rsidRPr="003C2AD0">
              <w:rPr>
                <w:sz w:val="22"/>
              </w:rPr>
              <w:t>The proportion of disputes resolved within 6 months</w:t>
            </w:r>
            <w:bookmarkEnd w:id="729"/>
            <w:bookmarkEnd w:id="730"/>
          </w:p>
        </w:tc>
        <w:tc>
          <w:tcPr>
            <w:tcW w:w="1089" w:type="dxa"/>
            <w:tcBorders>
              <w:top w:val="single" w:sz="4" w:space="0" w:color="auto"/>
              <w:left w:val="single" w:sz="4" w:space="0" w:color="auto"/>
              <w:bottom w:val="single" w:sz="4" w:space="0" w:color="auto"/>
              <w:right w:val="single" w:sz="4" w:space="0" w:color="auto"/>
            </w:tcBorders>
            <w:vAlign w:val="center"/>
          </w:tcPr>
          <w:p w14:paraId="1BC68422" w14:textId="7A03A020" w:rsidR="003C2AD0" w:rsidRPr="003C2AD0" w:rsidRDefault="003C2AD0" w:rsidP="003C2AD0">
            <w:pPr>
              <w:jc w:val="center"/>
              <w:rPr>
                <w:sz w:val="22"/>
                <w:szCs w:val="22"/>
              </w:rPr>
            </w:pPr>
            <w:r w:rsidRPr="003C2AD0">
              <w:rPr>
                <w:rFonts w:cs="Arial"/>
                <w:sz w:val="22"/>
                <w:szCs w:val="20"/>
              </w:rPr>
              <w:t>89.5%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29C7C7B2" w14:textId="6B9919F9" w:rsidR="003C2AD0" w:rsidRPr="003C2AD0" w:rsidRDefault="003C2AD0" w:rsidP="003C2AD0">
            <w:pPr>
              <w:jc w:val="center"/>
              <w:rPr>
                <w:sz w:val="22"/>
                <w:szCs w:val="22"/>
              </w:rPr>
            </w:pPr>
            <w:r w:rsidRPr="003C2AD0">
              <w:rPr>
                <w:rFonts w:cs="Arial"/>
                <w:sz w:val="22"/>
                <w:szCs w:val="20"/>
              </w:rPr>
              <w:t>88.8%</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7044CC1B" w14:textId="19A707CE" w:rsidR="003C2AD0" w:rsidRPr="003C2AD0" w:rsidRDefault="003C2AD0" w:rsidP="003C2AD0">
            <w:pPr>
              <w:jc w:val="center"/>
              <w:rPr>
                <w:sz w:val="22"/>
                <w:szCs w:val="22"/>
              </w:rPr>
            </w:pPr>
            <w:r w:rsidRPr="003C2AD0">
              <w:rPr>
                <w:rFonts w:cs="Arial"/>
                <w:sz w:val="22"/>
                <w:szCs w:val="20"/>
              </w:rPr>
              <w:t>86.8%</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1A571CD9" w14:textId="21553BCD" w:rsidR="003C2AD0" w:rsidRPr="003C2AD0" w:rsidRDefault="003C2AD0" w:rsidP="003C2AD0">
            <w:pPr>
              <w:jc w:val="center"/>
              <w:rPr>
                <w:sz w:val="22"/>
                <w:szCs w:val="22"/>
              </w:rPr>
            </w:pPr>
            <w:r w:rsidRPr="003C2AD0">
              <w:rPr>
                <w:rFonts w:cs="Arial"/>
                <w:sz w:val="22"/>
                <w:szCs w:val="20"/>
              </w:rPr>
              <w:t>87.9%</w:t>
            </w:r>
          </w:p>
        </w:tc>
        <w:tc>
          <w:tcPr>
            <w:tcW w:w="1090"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1AFA802F" w14:textId="0DD6F9F7" w:rsidR="003C2AD0" w:rsidRPr="003C2AD0" w:rsidRDefault="003C2AD0" w:rsidP="003C2AD0">
            <w:pPr>
              <w:jc w:val="center"/>
              <w:rPr>
                <w:color w:val="FFFFFF" w:themeColor="background1"/>
                <w:sz w:val="22"/>
                <w:szCs w:val="22"/>
              </w:rPr>
            </w:pPr>
            <w:r w:rsidRPr="003C2AD0">
              <w:rPr>
                <w:rFonts w:cs="Arial"/>
                <w:color w:val="FFFFFF" w:themeColor="background1"/>
                <w:sz w:val="22"/>
                <w:szCs w:val="20"/>
              </w:rPr>
              <w:t>84.1%</w:t>
            </w:r>
          </w:p>
        </w:tc>
        <w:tc>
          <w:tcPr>
            <w:tcW w:w="1090"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17144C44" w14:textId="36CD4BDC" w:rsidR="003C2AD0" w:rsidRPr="003C2AD0" w:rsidRDefault="003C2AD0" w:rsidP="003C2AD0">
            <w:pPr>
              <w:jc w:val="center"/>
              <w:rPr>
                <w:color w:val="FFFFFF" w:themeColor="background1"/>
                <w:sz w:val="22"/>
                <w:szCs w:val="22"/>
              </w:rPr>
            </w:pPr>
            <w:r w:rsidRPr="003C2AD0">
              <w:rPr>
                <w:color w:val="FFFFFF" w:themeColor="background1"/>
                <w:sz w:val="22"/>
              </w:rPr>
              <w:t>90.0%</w:t>
            </w:r>
          </w:p>
        </w:tc>
      </w:tr>
    </w:tbl>
    <w:p w14:paraId="2D5E87AF" w14:textId="77777777" w:rsidR="003C2AD0" w:rsidRDefault="003C2AD0" w:rsidP="00C80F6E">
      <w:pPr>
        <w:rPr>
          <w:b/>
        </w:rPr>
      </w:pPr>
    </w:p>
    <w:p w14:paraId="1B434F63" w14:textId="77777777" w:rsidR="00C80F6E" w:rsidRPr="00C80F6E" w:rsidRDefault="00C80F6E" w:rsidP="00C80F6E">
      <w:pPr>
        <w:rPr>
          <w:b/>
        </w:rPr>
      </w:pPr>
      <w:r w:rsidRPr="00C80F6E">
        <w:rPr>
          <w:b/>
        </w:rPr>
        <w:t>Description</w:t>
      </w:r>
    </w:p>
    <w:p w14:paraId="17B70929" w14:textId="0F0D6808" w:rsidR="00C80F6E" w:rsidRPr="00637B51" w:rsidRDefault="00C80F6E" w:rsidP="00637B51">
      <w:r w:rsidRPr="00623E73">
        <w:t>This KPI reports the time taken to resolve a dispute and is consistent with Part XI, Section 177 of the Act, which states:</w:t>
      </w:r>
      <w:r w:rsidR="00637B51">
        <w:rPr>
          <w:rFonts w:cs="Arial"/>
          <w:bCs/>
        </w:rPr>
        <w:br/>
      </w:r>
      <w:r w:rsidR="00637B51">
        <w:rPr>
          <w:rFonts w:cs="Arial"/>
          <w:bCs/>
        </w:rPr>
        <w:br/>
      </w:r>
      <w:r w:rsidRPr="00623E73">
        <w:rPr>
          <w:rFonts w:cs="Arial"/>
          <w:bCs/>
        </w:rPr>
        <w:t xml:space="preserve">The main objectives of the </w:t>
      </w:r>
      <w:r>
        <w:rPr>
          <w:rFonts w:cs="Arial"/>
          <w:bCs/>
        </w:rPr>
        <w:t>c</w:t>
      </w:r>
      <w:r w:rsidRPr="00623E73">
        <w:rPr>
          <w:rFonts w:cs="Arial"/>
        </w:rPr>
        <w:t xml:space="preserve">onciliation and </w:t>
      </w:r>
      <w:r>
        <w:rPr>
          <w:rFonts w:cs="Arial"/>
        </w:rPr>
        <w:t>a</w:t>
      </w:r>
      <w:r w:rsidRPr="00623E73">
        <w:rPr>
          <w:rFonts w:cs="Arial"/>
        </w:rPr>
        <w:t>rbitration functions are to:</w:t>
      </w:r>
    </w:p>
    <w:p w14:paraId="63E72E87" w14:textId="77777777" w:rsidR="00C80F6E" w:rsidRPr="00623E73" w:rsidRDefault="00C80F6E" w:rsidP="00C80F6E">
      <w:pPr>
        <w:pStyle w:val="ListParagraph"/>
        <w:ind w:left="0"/>
      </w:pPr>
      <w:r w:rsidRPr="00623E73">
        <w:t>Provide a fair and cost effective system for the resol</w:t>
      </w:r>
      <w:r>
        <w:t xml:space="preserve">ution of disputes under the Act </w:t>
      </w:r>
      <w:r w:rsidRPr="00623E73">
        <w:t>that</w:t>
      </w:r>
      <w:r>
        <w:t xml:space="preserve"> </w:t>
      </w:r>
      <w:r w:rsidRPr="00623E73">
        <w:t xml:space="preserve">- </w:t>
      </w:r>
    </w:p>
    <w:p w14:paraId="36F0E7F0" w14:textId="77777777" w:rsidR="00C80F6E" w:rsidRPr="00623E73" w:rsidRDefault="00C80F6E" w:rsidP="00026A6F">
      <w:pPr>
        <w:pStyle w:val="ListParagraph"/>
        <w:keepLines w:val="0"/>
        <w:numPr>
          <w:ilvl w:val="0"/>
          <w:numId w:val="46"/>
        </w:numPr>
        <w:spacing w:before="120" w:after="240" w:line="360" w:lineRule="auto"/>
        <w:ind w:left="1418" w:hanging="284"/>
      </w:pPr>
      <w:r>
        <w:t>is timely</w:t>
      </w:r>
    </w:p>
    <w:p w14:paraId="52FEA7A5" w14:textId="77777777" w:rsidR="00C80F6E" w:rsidRPr="00623E73" w:rsidRDefault="00C80F6E" w:rsidP="00026A6F">
      <w:pPr>
        <w:pStyle w:val="ListParagraph"/>
        <w:keepLines w:val="0"/>
        <w:numPr>
          <w:ilvl w:val="0"/>
          <w:numId w:val="46"/>
        </w:numPr>
        <w:spacing w:before="120" w:after="240" w:line="360" w:lineRule="auto"/>
        <w:ind w:left="1418" w:hanging="284"/>
      </w:pPr>
      <w:r>
        <w:t>i</w:t>
      </w:r>
      <w:r w:rsidRPr="00623E73">
        <w:t>s accessible,</w:t>
      </w:r>
      <w:r>
        <w:t xml:space="preserve"> approachable and professional</w:t>
      </w:r>
    </w:p>
    <w:p w14:paraId="0E724D65" w14:textId="77777777" w:rsidR="00C80F6E" w:rsidRPr="00623E73" w:rsidRDefault="00C80F6E" w:rsidP="00026A6F">
      <w:pPr>
        <w:pStyle w:val="ListParagraph"/>
        <w:keepLines w:val="0"/>
        <w:numPr>
          <w:ilvl w:val="0"/>
          <w:numId w:val="46"/>
        </w:numPr>
        <w:spacing w:before="120" w:after="240" w:line="360" w:lineRule="auto"/>
        <w:ind w:left="1418" w:hanging="284"/>
      </w:pPr>
      <w:r>
        <w:t>m</w:t>
      </w:r>
      <w:r w:rsidRPr="00623E73">
        <w:t>inimise</w:t>
      </w:r>
      <w:r>
        <w:t>s costs to parties to disputes</w:t>
      </w:r>
    </w:p>
    <w:p w14:paraId="520FD71C" w14:textId="77777777" w:rsidR="00C80F6E" w:rsidRDefault="00C80F6E" w:rsidP="00026A6F">
      <w:pPr>
        <w:pStyle w:val="ListParagraph"/>
        <w:keepLines w:val="0"/>
        <w:numPr>
          <w:ilvl w:val="0"/>
          <w:numId w:val="46"/>
        </w:numPr>
        <w:spacing w:line="276" w:lineRule="auto"/>
        <w:ind w:left="1418" w:hanging="284"/>
      </w:pPr>
      <w:r>
        <w:t>i</w:t>
      </w:r>
      <w:r w:rsidRPr="00623E73">
        <w:t>n the case of conciliation, leads to final and appropriate agreements between parti</w:t>
      </w:r>
      <w:r>
        <w:t>es in relation to disputes</w:t>
      </w:r>
    </w:p>
    <w:p w14:paraId="44BC2896" w14:textId="77777777" w:rsidR="00C80F6E" w:rsidRPr="00BA4F0C" w:rsidRDefault="00C80F6E" w:rsidP="00C80F6E">
      <w:pPr>
        <w:pStyle w:val="ListParagraph"/>
        <w:ind w:left="1418"/>
        <w:rPr>
          <w:sz w:val="6"/>
          <w:szCs w:val="6"/>
        </w:rPr>
      </w:pPr>
    </w:p>
    <w:p w14:paraId="399D8B58" w14:textId="5E08D3E5" w:rsidR="00AD0CE9" w:rsidRPr="00C80F6E" w:rsidRDefault="00C80F6E" w:rsidP="00026A6F">
      <w:pPr>
        <w:pStyle w:val="ListParagraph"/>
        <w:keepLines w:val="0"/>
        <w:numPr>
          <w:ilvl w:val="0"/>
          <w:numId w:val="46"/>
        </w:numPr>
        <w:spacing w:line="276" w:lineRule="auto"/>
        <w:ind w:left="1418" w:hanging="284"/>
      </w:pPr>
      <w:r>
        <w:t>i</w:t>
      </w:r>
      <w:r w:rsidRPr="00623E73">
        <w:t>n the case of arbitration, enables disputes not resolved by conciliation to be determined according to their substantial merits with as little formality and technicality as practicable</w:t>
      </w:r>
      <w:r>
        <w:t>.</w:t>
      </w:r>
      <w:r>
        <w:br/>
      </w:r>
    </w:p>
    <w:p w14:paraId="7167340D" w14:textId="1DB771D2" w:rsidR="00C80F6E" w:rsidRPr="00CF4068" w:rsidRDefault="00C80F6E" w:rsidP="00CF4068">
      <w:pPr>
        <w:rPr>
          <w:rFonts w:cs="Arial"/>
        </w:rPr>
      </w:pPr>
      <w:r>
        <w:t>This KPI measures the proportion of disputes resolved within a six month timeframe from the day an application for conciliation is accepted through to the day it is completed, either via conciliation or arbitration.  For those disputes progressing to arbitration the 28 day statutory gap (or portion of) in which an application for arbitration can be made, and the time between lodgement and acceptance of an application, is not included in the timeframe</w:t>
      </w:r>
      <w:r w:rsidRPr="00757C51">
        <w:t>.</w:t>
      </w:r>
      <w:r w:rsidRPr="00757C51">
        <w:rPr>
          <w:rFonts w:cs="Arial"/>
        </w:rPr>
        <w:t xml:space="preserve"> </w:t>
      </w:r>
      <w:r w:rsidRPr="00757C51">
        <w:rPr>
          <w:iCs/>
        </w:rPr>
        <w:t xml:space="preserve">Acceptance of an application (after lodgement) can be delayed due to the provision of </w:t>
      </w:r>
      <w:r>
        <w:rPr>
          <w:iCs/>
        </w:rPr>
        <w:t xml:space="preserve">incomplete or </w:t>
      </w:r>
      <w:r w:rsidRPr="00757C51">
        <w:rPr>
          <w:iCs/>
        </w:rPr>
        <w:t xml:space="preserve">inadequate documentation. </w:t>
      </w:r>
    </w:p>
    <w:p w14:paraId="5B7A5621" w14:textId="77777777" w:rsidR="00C80F6E" w:rsidRPr="00216C38" w:rsidRDefault="00C80F6E" w:rsidP="00C80F6E">
      <w:pPr>
        <w:rPr>
          <w:bCs/>
        </w:rPr>
      </w:pPr>
      <w:r w:rsidRPr="00216C38">
        <w:rPr>
          <w:bCs/>
        </w:rPr>
        <w:t>Data for this KPI is drawn from the DCMS, and establishes the timeframe by counting disputes from the day a dispute is registered as accepted for conciliation through to the day the dispute is either recorded as completed (for conciliation) or closed and/or final orders issued, where the matter has proceeded to arbitration.</w:t>
      </w:r>
    </w:p>
    <w:p w14:paraId="7F471909" w14:textId="77777777" w:rsidR="00C80F6E" w:rsidRDefault="00C80F6E" w:rsidP="00C80F6E">
      <w:bookmarkStart w:id="731" w:name="_Analysis_1"/>
      <w:bookmarkEnd w:id="731"/>
      <w:r w:rsidRPr="000A0AFF">
        <w:t>The target for this KPI has been set based on the previous year target and performance.</w:t>
      </w:r>
    </w:p>
    <w:p w14:paraId="09778E15" w14:textId="77777777" w:rsidR="00EF5729" w:rsidRPr="00EF5729" w:rsidRDefault="00EF5729" w:rsidP="00EF5729">
      <w:pPr>
        <w:rPr>
          <w:b/>
        </w:rPr>
      </w:pPr>
      <w:r w:rsidRPr="00EF5729">
        <w:rPr>
          <w:b/>
        </w:rPr>
        <w:t xml:space="preserve">Analysis </w:t>
      </w:r>
    </w:p>
    <w:p w14:paraId="4A927DDD" w14:textId="77777777" w:rsidR="00EF5729" w:rsidRDefault="00EF5729" w:rsidP="00EF5729">
      <w:pPr>
        <w:rPr>
          <w:b/>
        </w:rPr>
      </w:pPr>
      <w:r w:rsidRPr="000A47CE">
        <w:t xml:space="preserve">In </w:t>
      </w:r>
      <w:r>
        <w:t>2017/</w:t>
      </w:r>
      <w:r w:rsidRPr="00F23EA3">
        <w:t>18 84.</w:t>
      </w:r>
      <w:r>
        <w:t>1</w:t>
      </w:r>
      <w:r w:rsidRPr="000A47CE">
        <w:t xml:space="preserve"> percent of all disputes were resolved within 6 months (see Figure 3). This is </w:t>
      </w:r>
      <w:r>
        <w:t xml:space="preserve">6.6 percent </w:t>
      </w:r>
      <w:r w:rsidRPr="000A47CE">
        <w:t xml:space="preserve">less than the target of 90.0 percent and </w:t>
      </w:r>
      <w:r>
        <w:t xml:space="preserve">a 4.3 percent reduction on </w:t>
      </w:r>
      <w:r w:rsidRPr="000A47CE">
        <w:t xml:space="preserve">the </w:t>
      </w:r>
      <w:r>
        <w:t>2016/17</w:t>
      </w:r>
      <w:r w:rsidRPr="000A47CE">
        <w:t xml:space="preserve"> result. </w:t>
      </w:r>
    </w:p>
    <w:p w14:paraId="70F37700" w14:textId="77777777" w:rsidR="00EF5729" w:rsidRPr="00BA4F0C" w:rsidRDefault="00EF5729" w:rsidP="00EF5729">
      <w:r>
        <w:t xml:space="preserve">A reduction in the availability of skilled/experienced resources due to unplanned staff absences and an increase in arbitration applications contributed to this outcome.  </w:t>
      </w:r>
    </w:p>
    <w:p w14:paraId="47293489" w14:textId="77777777" w:rsidR="00EF5729" w:rsidRDefault="00EF5729" w:rsidP="00EF5729">
      <w:pPr>
        <w:spacing w:before="240"/>
      </w:pPr>
      <w:r w:rsidRPr="000A47CE">
        <w:t xml:space="preserve">These results are published in a long standing comparative performance monitoring report produced by Safe Work Australia and shows dispute resolution within the Western Australian workers’ compensation scheme performs well compared with other jurisdictions. The latest available national data shows </w:t>
      </w:r>
      <w:r w:rsidRPr="0079608C">
        <w:t xml:space="preserve">the 2015/16 </w:t>
      </w:r>
      <w:r>
        <w:t>n</w:t>
      </w:r>
      <w:r w:rsidRPr="0079608C">
        <w:t>ational</w:t>
      </w:r>
      <w:r w:rsidRPr="000A47CE">
        <w:t xml:space="preserve"> average for disputes resolved within 6 months w</w:t>
      </w:r>
      <w:r>
        <w:t>as</w:t>
      </w:r>
      <w:r w:rsidRPr="000A47CE">
        <w:t xml:space="preserve"> </w:t>
      </w:r>
      <w:r>
        <w:t>82.6</w:t>
      </w:r>
      <w:r w:rsidRPr="000A47CE">
        <w:t xml:space="preserve"> percent</w:t>
      </w:r>
      <w:r>
        <w:t>.</w:t>
      </w:r>
      <w:r w:rsidRPr="000A47CE">
        <w:t xml:space="preserve"> </w:t>
      </w:r>
    </w:p>
    <w:p w14:paraId="6598616F" w14:textId="05D43249" w:rsidR="00C80F6E" w:rsidRDefault="00EF5729" w:rsidP="00C80F6E">
      <w:pPr>
        <w:rPr>
          <w:b/>
        </w:rPr>
      </w:pPr>
      <w:r w:rsidRPr="00384F34">
        <w:rPr>
          <w:noProof/>
          <w:lang w:eastAsia="en-AU"/>
        </w:rPr>
        <w:drawing>
          <wp:inline distT="0" distB="0" distL="0" distR="0" wp14:anchorId="3899C707" wp14:editId="0BB85739">
            <wp:extent cx="5731510" cy="3191597"/>
            <wp:effectExtent l="0" t="0" r="2540" b="0"/>
            <wp:docPr id="13" name="Object 3" descr="This KPI measures the proportion of disputes resolved within a six month timeframe from the day an application for conciliation is accepted through to the day it is completed, either via conciliation or arbitration.  " title="Figure 3: Proportion of disputes resolved within 6 month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A2ED39" w14:textId="39B04F37" w:rsidR="00EF5729" w:rsidRPr="00CF4068" w:rsidRDefault="00EF5729" w:rsidP="00CF4068">
      <w:bookmarkStart w:id="732" w:name="_Toc426617613"/>
      <w:bookmarkStart w:id="733" w:name="_Toc430091344"/>
      <w:bookmarkStart w:id="734" w:name="_Toc525122140"/>
      <w:r w:rsidRPr="00CF4068">
        <w:rPr>
          <w:rStyle w:val="Heading2nonumberChar"/>
        </w:rPr>
        <w:t>Allocation of Agency costs</w:t>
      </w:r>
      <w:bookmarkEnd w:id="732"/>
      <w:bookmarkEnd w:id="733"/>
      <w:bookmarkEnd w:id="734"/>
      <w:r w:rsidR="00CF4068">
        <w:rPr>
          <w:rStyle w:val="Heading2nonumberChar"/>
        </w:rPr>
        <w:br/>
      </w:r>
      <w:r w:rsidR="00CF4068">
        <w:br/>
      </w:r>
      <w:r w:rsidRPr="00685BA8">
        <w:rPr>
          <w:lang w:val="en-GB"/>
        </w:rPr>
        <w:t xml:space="preserve">To ensure accurate allocations of costs to the KPIs across the Agency, </w:t>
      </w:r>
      <w:r>
        <w:rPr>
          <w:lang w:val="en-GB"/>
        </w:rPr>
        <w:t xml:space="preserve">a formal </w:t>
      </w:r>
      <w:r w:rsidRPr="00685BA8">
        <w:rPr>
          <w:lang w:val="en-GB"/>
        </w:rPr>
        <w:t xml:space="preserve">Agency cost mapping </w:t>
      </w:r>
      <w:r>
        <w:rPr>
          <w:lang w:val="en-GB"/>
        </w:rPr>
        <w:t xml:space="preserve">model is used. </w:t>
      </w:r>
      <w:r w:rsidRPr="00E30915">
        <w:rPr>
          <w:lang w:val="en-GB"/>
        </w:rPr>
        <w:t xml:space="preserve">The cost allocation model is used to determine overheads and to allocate costs across the </w:t>
      </w:r>
      <w:r>
        <w:rPr>
          <w:lang w:val="en-GB"/>
        </w:rPr>
        <w:t>A</w:t>
      </w:r>
      <w:r w:rsidRPr="00E30915">
        <w:rPr>
          <w:lang w:val="en-GB"/>
        </w:rPr>
        <w:t>gency’s di</w:t>
      </w:r>
      <w:r>
        <w:rPr>
          <w:lang w:val="en-GB"/>
        </w:rPr>
        <w:t xml:space="preserve">visions and six efficiency KPIs, and is reviewed for accuracy every two years. </w:t>
      </w:r>
      <w:r w:rsidRPr="00685BA8">
        <w:rPr>
          <w:lang w:val="en-GB"/>
        </w:rPr>
        <w:t xml:space="preserve">Budget figures used in the costing model are consistent with the </w:t>
      </w:r>
      <w:r>
        <w:rPr>
          <w:lang w:val="en-GB"/>
        </w:rPr>
        <w:t xml:space="preserve">Agency’s </w:t>
      </w:r>
      <w:r w:rsidRPr="00685BA8">
        <w:rPr>
          <w:lang w:val="en-GB"/>
        </w:rPr>
        <w:t>approved budget.</w:t>
      </w:r>
    </w:p>
    <w:p w14:paraId="547370A8" w14:textId="77777777" w:rsidR="00EF5729" w:rsidRDefault="00EF5729" w:rsidP="00EF5729">
      <w:r w:rsidRPr="00685BA8">
        <w:t>Direct costs for each activity are allocated to individual cost centres within the relevant busines</w:t>
      </w:r>
      <w:r>
        <w:t xml:space="preserve">s units in the first instance. </w:t>
      </w:r>
      <w:r w:rsidRPr="00685BA8">
        <w:t>Indirect costs (overheads) easily attributed to Full Time Equivalent (FTE) positions, such as payroll tax, superannuation, workers</w:t>
      </w:r>
      <w:r>
        <w:t>’</w:t>
      </w:r>
      <w:r w:rsidRPr="00685BA8">
        <w:t xml:space="preserve"> compensation and employee entitlements are allocated across all Agency cost centres on an FTE basis. Other overheads such as rates, water, electricity and depreciation of buildings </w:t>
      </w:r>
      <w:r>
        <w:t>are</w:t>
      </w:r>
      <w:r w:rsidRPr="00685BA8">
        <w:t xml:space="preserve"> allocated according to the floor space specifically allocated to an area.</w:t>
      </w:r>
    </w:p>
    <w:p w14:paraId="6BB5CBC6" w14:textId="77777777" w:rsidR="00EF5729" w:rsidRDefault="00EF5729" w:rsidP="00EF5729">
      <w:r w:rsidRPr="00E30915">
        <w:t xml:space="preserve">In order to account for all </w:t>
      </w:r>
      <w:r>
        <w:t>A</w:t>
      </w:r>
      <w:r w:rsidRPr="00E30915">
        <w:t xml:space="preserve">gency costs, expenditure from cost centres that are not attributed directly to a KPI is allocated across all KPIs on an FTE basis. </w:t>
      </w:r>
      <w:r>
        <w:t xml:space="preserve">Calculation methodologies referred to below for both target and actual figures include allocated overheads through the cost mapping model. </w:t>
      </w:r>
    </w:p>
    <w:p w14:paraId="3857569A" w14:textId="77777777" w:rsidR="00EF5729" w:rsidRDefault="00EF5729" w:rsidP="00EF5729">
      <w:r>
        <w:t xml:space="preserve">Certain expenditure and revenue in relation to the payment and subsequent recovery of workers’ compensation claims are not incorporated into the KPI calculation data. This is due to the nature of these transactions and the fact that WorkCover WA has no control over General Account and Supplementation Fund claims, which if included, would unduly skew key KPI data (for 2017/18 this </w:t>
      </w:r>
      <w:r w:rsidRPr="00823FD4">
        <w:t>represents</w:t>
      </w:r>
      <w:r>
        <w:t xml:space="preserve"> 14 </w:t>
      </w:r>
      <w:r w:rsidRPr="00D462C5">
        <w:t>percent of the total expenditure</w:t>
      </w:r>
      <w:r>
        <w:t xml:space="preserve"> consistent with the representation in 2016/17)</w:t>
      </w:r>
      <w:r w:rsidRPr="00D462C5">
        <w:t>.</w:t>
      </w:r>
    </w:p>
    <w:p w14:paraId="5C33408D" w14:textId="77777777" w:rsidR="00EF5729" w:rsidRPr="00A173D1" w:rsidRDefault="00EF5729" w:rsidP="00EF5729">
      <w:pPr>
        <w:rPr>
          <w:rStyle w:val="Strong"/>
          <w:color w:val="1F362E"/>
        </w:rPr>
      </w:pPr>
      <w:r w:rsidRPr="00A173D1">
        <w:rPr>
          <w:rStyle w:val="Strong"/>
          <w:color w:val="1F362E"/>
        </w:rPr>
        <w:t>Service 1: Scheme Regulation - regulation of workers' compensation scheme participants for compliance with legislative requirements</w:t>
      </w:r>
    </w:p>
    <w:p w14:paraId="3540567D" w14:textId="77777777" w:rsidR="00EF5729" w:rsidRDefault="00EF5729" w:rsidP="00EF5729">
      <w:pPr>
        <w:rPr>
          <w:rFonts w:cs="Arial"/>
          <w:lang w:val="en-GB"/>
        </w:rPr>
      </w:pPr>
      <w:r>
        <w:rPr>
          <w:rFonts w:cs="Arial"/>
          <w:lang w:val="en-GB"/>
        </w:rPr>
        <w:t>As part of its responsibilities in administering the Act</w:t>
      </w:r>
      <w:r w:rsidRPr="00611B74">
        <w:rPr>
          <w:rFonts w:cs="Arial"/>
          <w:lang w:val="en-GB"/>
        </w:rPr>
        <w:t>,</w:t>
      </w:r>
      <w:r>
        <w:rPr>
          <w:rFonts w:cs="Arial"/>
          <w:lang w:val="en-GB"/>
        </w:rPr>
        <w:t xml:space="preserve"> WorkCover WA has responsibility to ensure the efficient and effective operation of the workers’ compensation scheme by monitoring compliance of employers, insurers and others participating in or affected by the scheme.</w:t>
      </w:r>
    </w:p>
    <w:p w14:paraId="0042B728" w14:textId="77777777" w:rsidR="00EF5729" w:rsidRDefault="00EF5729" w:rsidP="00EF5729">
      <w:pPr>
        <w:jc w:val="both"/>
        <w:rPr>
          <w:rFonts w:cs="Arial"/>
          <w:lang w:val="en-GB"/>
        </w:rPr>
      </w:pPr>
      <w:r>
        <w:rPr>
          <w:rFonts w:cs="Arial"/>
          <w:lang w:val="en-GB"/>
        </w:rPr>
        <w:t xml:space="preserve">The KPIs listed below measure the costs of providing these activities. </w:t>
      </w:r>
    </w:p>
    <w:p w14:paraId="5DBFC1A4" w14:textId="77777777" w:rsidR="00CF4068" w:rsidRDefault="00EF5729" w:rsidP="00CF4068">
      <w:pPr>
        <w:keepLines w:val="0"/>
        <w:spacing w:after="0" w:line="240" w:lineRule="auto"/>
        <w:rPr>
          <w:b/>
        </w:rPr>
      </w:pPr>
      <w:r w:rsidRPr="00EF5729">
        <w:rPr>
          <w:b/>
        </w:rPr>
        <w:t xml:space="preserve">Indicator 1.1 </w:t>
      </w:r>
    </w:p>
    <w:p w14:paraId="34D49B2E" w14:textId="77777777" w:rsidR="00CF4068" w:rsidRDefault="00CF4068" w:rsidP="00CF4068">
      <w:pPr>
        <w:keepLines w:val="0"/>
        <w:spacing w:after="0" w:line="240" w:lineRule="auto"/>
        <w:rPr>
          <w:b/>
        </w:rPr>
      </w:pPr>
    </w:p>
    <w:p w14:paraId="0557D412" w14:textId="20749DC0" w:rsidR="00EF5729" w:rsidRPr="00CF4068" w:rsidRDefault="00EF5729" w:rsidP="00CF4068">
      <w:pPr>
        <w:keepLines w:val="0"/>
        <w:spacing w:after="0" w:line="240" w:lineRule="auto"/>
      </w:pPr>
      <w:r w:rsidRPr="00EF5729">
        <w:rPr>
          <w:i/>
        </w:rPr>
        <w:t xml:space="preserve">Average </w:t>
      </w:r>
      <w:bookmarkStart w:id="735" w:name="OLE_LINK2"/>
      <w:bookmarkStart w:id="736" w:name="OLE_LINK3"/>
      <w:r w:rsidRPr="00EF5729">
        <w:rPr>
          <w:i/>
        </w:rPr>
        <w:t>cost per employer compliance activity</w:t>
      </w:r>
      <w:bookmarkEnd w:id="735"/>
      <w:bookmarkEnd w:id="736"/>
    </w:p>
    <w:tbl>
      <w:tblPr>
        <w:tblpPr w:leftFromText="180" w:rightFromText="180" w:vertAnchor="page" w:horzAnchor="margin" w:tblpY="5406"/>
        <w:tblW w:w="9135" w:type="dxa"/>
        <w:tblBorders>
          <w:top w:val="single" w:sz="4" w:space="0" w:color="9E8E00"/>
          <w:left w:val="single" w:sz="4" w:space="0" w:color="9E8E00"/>
          <w:bottom w:val="single" w:sz="4" w:space="0" w:color="9E8E00"/>
          <w:right w:val="single" w:sz="4" w:space="0" w:color="9E8E00"/>
          <w:insideH w:val="single" w:sz="4" w:space="0" w:color="9E8E00"/>
          <w:insideV w:val="single" w:sz="4" w:space="0" w:color="9E8E00"/>
        </w:tblBorders>
        <w:tblLayout w:type="fixed"/>
        <w:tblLook w:val="04A0" w:firstRow="1" w:lastRow="0" w:firstColumn="1" w:lastColumn="0" w:noHBand="0" w:noVBand="1"/>
      </w:tblPr>
      <w:tblGrid>
        <w:gridCol w:w="2662"/>
        <w:gridCol w:w="1078"/>
        <w:gridCol w:w="1079"/>
        <w:gridCol w:w="1079"/>
        <w:gridCol w:w="1079"/>
        <w:gridCol w:w="1079"/>
        <w:gridCol w:w="1079"/>
      </w:tblGrid>
      <w:tr w:rsidR="00CF4068" w:rsidRPr="00A173D1" w14:paraId="02759B30" w14:textId="77777777" w:rsidTr="00CE2301">
        <w:trPr>
          <w:trHeight w:val="515"/>
        </w:trPr>
        <w:tc>
          <w:tcPr>
            <w:tcW w:w="2662" w:type="dxa"/>
            <w:tcBorders>
              <w:top w:val="single" w:sz="4" w:space="0" w:color="auto"/>
              <w:left w:val="single" w:sz="4" w:space="0" w:color="auto"/>
              <w:bottom w:val="single" w:sz="4" w:space="0" w:color="auto"/>
              <w:right w:val="single" w:sz="4" w:space="0" w:color="auto"/>
            </w:tcBorders>
            <w:shd w:val="clear" w:color="auto" w:fill="898D91"/>
            <w:vAlign w:val="center"/>
          </w:tcPr>
          <w:p w14:paraId="032265D4" w14:textId="77777777" w:rsidR="00CF4068" w:rsidRPr="00EF5729" w:rsidRDefault="00CF4068" w:rsidP="00CF4068">
            <w:pPr>
              <w:pStyle w:val="TableHeading"/>
              <w:rPr>
                <w:rFonts w:cs="Arial"/>
              </w:rPr>
            </w:pPr>
            <w:r w:rsidRPr="00EF5729">
              <w:rPr>
                <w:rFonts w:cs="Arial"/>
              </w:rPr>
              <w:t xml:space="preserve">Indicator 1.1 </w:t>
            </w:r>
          </w:p>
        </w:tc>
        <w:tc>
          <w:tcPr>
            <w:tcW w:w="1078" w:type="dxa"/>
            <w:tcBorders>
              <w:top w:val="single" w:sz="4" w:space="0" w:color="auto"/>
              <w:left w:val="single" w:sz="4" w:space="0" w:color="auto"/>
              <w:bottom w:val="single" w:sz="4" w:space="0" w:color="auto"/>
              <w:right w:val="single" w:sz="4" w:space="0" w:color="auto"/>
            </w:tcBorders>
            <w:shd w:val="clear" w:color="auto" w:fill="898D91"/>
          </w:tcPr>
          <w:p w14:paraId="59A927B1" w14:textId="77777777" w:rsidR="00CF4068" w:rsidRPr="00EF5729" w:rsidRDefault="00CF4068" w:rsidP="00CF4068">
            <w:pPr>
              <w:pStyle w:val="TableHeading"/>
              <w:spacing w:before="0" w:after="0"/>
              <w:jc w:val="center"/>
              <w:rPr>
                <w:rFonts w:cs="Arial"/>
              </w:rPr>
            </w:pPr>
            <w:r w:rsidRPr="00EF5729">
              <w:rPr>
                <w:rFonts w:cs="Arial"/>
              </w:rPr>
              <w:t>2013/14</w:t>
            </w:r>
          </w:p>
          <w:p w14:paraId="49649B8D" w14:textId="77777777" w:rsidR="00CF4068" w:rsidRPr="00EF5729" w:rsidRDefault="00CF4068" w:rsidP="00CF4068">
            <w:pPr>
              <w:pStyle w:val="TableHeading"/>
              <w:spacing w:before="0" w:after="0"/>
              <w:jc w:val="center"/>
              <w:rPr>
                <w:rFonts w:cs="Arial"/>
              </w:rPr>
            </w:pPr>
            <w:r w:rsidRPr="00EF5729">
              <w:rPr>
                <w:rFonts w:cs="Arial"/>
              </w:rPr>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tcPr>
          <w:p w14:paraId="33B0506F" w14:textId="77777777" w:rsidR="00CF4068" w:rsidRPr="00EF5729" w:rsidRDefault="00CF4068" w:rsidP="00CF4068">
            <w:pPr>
              <w:pStyle w:val="TableHeading"/>
              <w:spacing w:before="0" w:after="0"/>
              <w:jc w:val="center"/>
            </w:pPr>
            <w:r w:rsidRPr="00EF5729">
              <w:t>2014/15</w:t>
            </w:r>
          </w:p>
          <w:p w14:paraId="0E0A6E7F" w14:textId="77777777" w:rsidR="00CF4068" w:rsidRPr="00EF5729" w:rsidRDefault="00CF4068" w:rsidP="00CF4068">
            <w:pPr>
              <w:pStyle w:val="TableHeading"/>
              <w:spacing w:before="0" w:after="0"/>
              <w:jc w:val="center"/>
            </w:pPr>
            <w:r w:rsidRPr="00EF5729">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hideMark/>
          </w:tcPr>
          <w:p w14:paraId="413DAC25" w14:textId="77777777" w:rsidR="00CF4068" w:rsidRPr="00EF5729" w:rsidRDefault="00CF4068" w:rsidP="00CF4068">
            <w:pPr>
              <w:pStyle w:val="TableHeading"/>
              <w:spacing w:before="0" w:after="0"/>
              <w:jc w:val="center"/>
            </w:pPr>
            <w:r w:rsidRPr="00EF5729">
              <w:t>2015/16</w:t>
            </w:r>
          </w:p>
          <w:p w14:paraId="7601CF25" w14:textId="77777777" w:rsidR="00CF4068" w:rsidRPr="00EF5729" w:rsidRDefault="00CF4068" w:rsidP="00CF4068">
            <w:pPr>
              <w:pStyle w:val="TableHeading"/>
              <w:spacing w:before="0" w:after="0"/>
              <w:jc w:val="center"/>
              <w:rPr>
                <w:rFonts w:cs="Arial"/>
              </w:rPr>
            </w:pPr>
            <w:r w:rsidRPr="00EF5729">
              <w:t>Actual</w:t>
            </w:r>
          </w:p>
        </w:tc>
        <w:tc>
          <w:tcPr>
            <w:tcW w:w="1079" w:type="dxa"/>
            <w:tcBorders>
              <w:top w:val="single" w:sz="4" w:space="0" w:color="auto"/>
              <w:left w:val="single" w:sz="4" w:space="0" w:color="auto"/>
              <w:bottom w:val="single" w:sz="4" w:space="0" w:color="auto"/>
              <w:right w:val="single" w:sz="4" w:space="0" w:color="auto"/>
            </w:tcBorders>
            <w:shd w:val="clear" w:color="auto" w:fill="898D91"/>
            <w:hideMark/>
          </w:tcPr>
          <w:p w14:paraId="3E74B820" w14:textId="77777777" w:rsidR="00CF4068" w:rsidRPr="00EF5729" w:rsidRDefault="00CF4068" w:rsidP="00CF4068">
            <w:pPr>
              <w:pStyle w:val="TableHeading"/>
              <w:spacing w:before="0" w:after="0"/>
              <w:jc w:val="center"/>
            </w:pPr>
            <w:r w:rsidRPr="00EF5729">
              <w:t xml:space="preserve">2016/17   Actual </w:t>
            </w:r>
          </w:p>
        </w:tc>
        <w:tc>
          <w:tcPr>
            <w:tcW w:w="1079" w:type="dxa"/>
            <w:tcBorders>
              <w:top w:val="single" w:sz="4" w:space="0" w:color="auto"/>
              <w:left w:val="single" w:sz="4" w:space="0" w:color="auto"/>
              <w:bottom w:val="single" w:sz="4" w:space="0" w:color="auto"/>
              <w:right w:val="single" w:sz="4" w:space="0" w:color="auto"/>
            </w:tcBorders>
            <w:shd w:val="clear" w:color="auto" w:fill="898D91"/>
            <w:hideMark/>
          </w:tcPr>
          <w:p w14:paraId="1EC87CDE" w14:textId="77777777" w:rsidR="00CF4068" w:rsidRPr="00EF5729" w:rsidRDefault="00CF4068" w:rsidP="00CF4068">
            <w:pPr>
              <w:pStyle w:val="TableHeading"/>
              <w:spacing w:before="0" w:after="0"/>
              <w:jc w:val="center"/>
            </w:pPr>
            <w:r w:rsidRPr="00EF5729">
              <w:t>2017/18   Actual</w:t>
            </w:r>
          </w:p>
        </w:tc>
        <w:tc>
          <w:tcPr>
            <w:tcW w:w="1079" w:type="dxa"/>
            <w:tcBorders>
              <w:top w:val="single" w:sz="4" w:space="0" w:color="auto"/>
              <w:left w:val="single" w:sz="4" w:space="0" w:color="auto"/>
              <w:bottom w:val="single" w:sz="4" w:space="0" w:color="auto"/>
              <w:right w:val="single" w:sz="4" w:space="0" w:color="auto"/>
            </w:tcBorders>
            <w:shd w:val="clear" w:color="auto" w:fill="898D91"/>
            <w:hideMark/>
          </w:tcPr>
          <w:p w14:paraId="0C6B10F1" w14:textId="77777777" w:rsidR="00CF4068" w:rsidRPr="00EF5729" w:rsidRDefault="00CF4068" w:rsidP="00CF4068">
            <w:pPr>
              <w:pStyle w:val="TableHeading"/>
              <w:spacing w:before="0" w:after="0"/>
              <w:jc w:val="center"/>
            </w:pPr>
            <w:r w:rsidRPr="00EF5729">
              <w:t>2017/18 Target</w:t>
            </w:r>
          </w:p>
        </w:tc>
      </w:tr>
      <w:tr w:rsidR="00CF4068" w:rsidRPr="00A173D1" w14:paraId="74ABE99D" w14:textId="77777777" w:rsidTr="00CE2301">
        <w:trPr>
          <w:trHeight w:val="291"/>
        </w:trPr>
        <w:tc>
          <w:tcPr>
            <w:tcW w:w="2662" w:type="dxa"/>
            <w:tcBorders>
              <w:top w:val="single" w:sz="4" w:space="0" w:color="auto"/>
              <w:left w:val="single" w:sz="4" w:space="0" w:color="auto"/>
              <w:bottom w:val="single" w:sz="4" w:space="0" w:color="auto"/>
              <w:right w:val="single" w:sz="4" w:space="0" w:color="auto"/>
            </w:tcBorders>
            <w:vAlign w:val="center"/>
            <w:hideMark/>
          </w:tcPr>
          <w:p w14:paraId="74CF254D" w14:textId="77777777" w:rsidR="00CF4068" w:rsidRPr="00EF5729" w:rsidRDefault="00CF4068" w:rsidP="00CF4068">
            <w:pPr>
              <w:pStyle w:val="TableText"/>
              <w:rPr>
                <w:sz w:val="22"/>
                <w:szCs w:val="22"/>
              </w:rPr>
            </w:pPr>
            <w:r w:rsidRPr="00EF5729">
              <w:rPr>
                <w:sz w:val="22"/>
                <w:szCs w:val="22"/>
              </w:rPr>
              <w:t>Average cost per employer compliance activity</w:t>
            </w:r>
          </w:p>
        </w:tc>
        <w:tc>
          <w:tcPr>
            <w:tcW w:w="1078" w:type="dxa"/>
            <w:tcBorders>
              <w:top w:val="single" w:sz="4" w:space="0" w:color="auto"/>
              <w:left w:val="single" w:sz="4" w:space="0" w:color="auto"/>
              <w:bottom w:val="single" w:sz="4" w:space="0" w:color="auto"/>
              <w:right w:val="single" w:sz="4" w:space="0" w:color="auto"/>
            </w:tcBorders>
            <w:shd w:val="clear" w:color="auto" w:fill="FFFFFF"/>
            <w:vAlign w:val="center"/>
          </w:tcPr>
          <w:p w14:paraId="49D6E2E6" w14:textId="77777777" w:rsidR="00CF4068" w:rsidRPr="00EF5729" w:rsidRDefault="00CF4068" w:rsidP="00CF4068">
            <w:pPr>
              <w:pStyle w:val="TableText"/>
              <w:spacing w:before="60" w:after="60"/>
              <w:jc w:val="center"/>
              <w:rPr>
                <w:sz w:val="22"/>
                <w:szCs w:val="22"/>
              </w:rPr>
            </w:pPr>
            <w:r w:rsidRPr="00EF5729">
              <w:rPr>
                <w:sz w:val="22"/>
                <w:szCs w:val="22"/>
              </w:rPr>
              <w:t>$198</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tcPr>
          <w:p w14:paraId="53CB7FEC" w14:textId="77777777" w:rsidR="00CF4068" w:rsidRPr="00EF5729" w:rsidRDefault="00CF4068" w:rsidP="00CF4068">
            <w:pPr>
              <w:pStyle w:val="TableText"/>
              <w:spacing w:before="60" w:after="60"/>
              <w:jc w:val="center"/>
              <w:rPr>
                <w:sz w:val="22"/>
                <w:szCs w:val="22"/>
              </w:rPr>
            </w:pPr>
            <w:r w:rsidRPr="00EF5729">
              <w:rPr>
                <w:sz w:val="22"/>
                <w:szCs w:val="22"/>
              </w:rPr>
              <w:t>$255</w:t>
            </w:r>
          </w:p>
        </w:tc>
        <w:tc>
          <w:tcPr>
            <w:tcW w:w="1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F76FEE" w14:textId="77777777" w:rsidR="00CF4068" w:rsidRPr="00EF5729" w:rsidRDefault="00CF4068" w:rsidP="00CF4068">
            <w:pPr>
              <w:pStyle w:val="TableText"/>
              <w:spacing w:before="60" w:after="60"/>
              <w:jc w:val="center"/>
              <w:rPr>
                <w:sz w:val="22"/>
                <w:szCs w:val="22"/>
              </w:rPr>
            </w:pPr>
            <w:r w:rsidRPr="00EF5729">
              <w:rPr>
                <w:sz w:val="22"/>
                <w:szCs w:val="22"/>
              </w:rPr>
              <w:t>$281</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DC637" w14:textId="77777777" w:rsidR="00CF4068" w:rsidRPr="00EF5729" w:rsidRDefault="00CF4068" w:rsidP="00CF4068">
            <w:pPr>
              <w:pStyle w:val="TableText"/>
              <w:spacing w:before="60" w:after="60"/>
              <w:jc w:val="center"/>
              <w:rPr>
                <w:sz w:val="22"/>
                <w:szCs w:val="22"/>
              </w:rPr>
            </w:pPr>
            <w:r w:rsidRPr="00EF5729">
              <w:rPr>
                <w:sz w:val="22"/>
                <w:szCs w:val="22"/>
              </w:rPr>
              <w:t>$251</w:t>
            </w:r>
          </w:p>
        </w:tc>
        <w:tc>
          <w:tcPr>
            <w:tcW w:w="1079"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2CFA1422" w14:textId="77777777" w:rsidR="00CF4068" w:rsidRPr="00EF5729" w:rsidRDefault="00CF4068" w:rsidP="00CF4068">
            <w:pPr>
              <w:pStyle w:val="TableText"/>
              <w:spacing w:before="60" w:after="60"/>
              <w:jc w:val="center"/>
              <w:rPr>
                <w:color w:val="FFFFFF" w:themeColor="background1"/>
                <w:sz w:val="22"/>
                <w:szCs w:val="22"/>
              </w:rPr>
            </w:pPr>
            <w:r w:rsidRPr="00EF5729">
              <w:rPr>
                <w:color w:val="FFFFFF" w:themeColor="background1"/>
                <w:sz w:val="22"/>
                <w:szCs w:val="22"/>
              </w:rPr>
              <w:t xml:space="preserve"> $261</w:t>
            </w:r>
          </w:p>
        </w:tc>
        <w:tc>
          <w:tcPr>
            <w:tcW w:w="1079"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10E3226A" w14:textId="77777777" w:rsidR="00CF4068" w:rsidRPr="00EF5729" w:rsidRDefault="00CF4068" w:rsidP="00CF4068">
            <w:pPr>
              <w:pStyle w:val="TableText"/>
              <w:spacing w:before="60" w:after="60"/>
              <w:jc w:val="center"/>
              <w:rPr>
                <w:color w:val="FFFFFF" w:themeColor="background1"/>
                <w:sz w:val="22"/>
                <w:szCs w:val="22"/>
              </w:rPr>
            </w:pPr>
            <w:r w:rsidRPr="00EF5729">
              <w:rPr>
                <w:color w:val="FFFFFF" w:themeColor="background1"/>
                <w:sz w:val="22"/>
                <w:szCs w:val="22"/>
              </w:rPr>
              <w:t>$290</w:t>
            </w:r>
          </w:p>
        </w:tc>
      </w:tr>
    </w:tbl>
    <w:p w14:paraId="04DC8AB8" w14:textId="5920DF96" w:rsidR="00EF5729" w:rsidRPr="00EF5729" w:rsidRDefault="00EF5729" w:rsidP="00EF5729">
      <w:pPr>
        <w:rPr>
          <w:b/>
        </w:rPr>
      </w:pPr>
      <w:r>
        <w:rPr>
          <w:b/>
        </w:rPr>
        <w:br/>
      </w:r>
      <w:r w:rsidRPr="00EF5729">
        <w:rPr>
          <w:b/>
        </w:rPr>
        <w:t>Description</w:t>
      </w:r>
    </w:p>
    <w:p w14:paraId="1BC25584" w14:textId="77777777" w:rsidR="00EF5729" w:rsidRDefault="00EF5729" w:rsidP="00EF5729">
      <w:pPr>
        <w:rPr>
          <w:rFonts w:cs="Arial"/>
          <w:lang w:val="en-GB"/>
        </w:rPr>
      </w:pPr>
      <w:r w:rsidRPr="00807C3D">
        <w:rPr>
          <w:rFonts w:cs="Arial"/>
          <w:lang w:val="en-GB"/>
        </w:rPr>
        <w:t xml:space="preserve">WorkCover WA seeks to ensure every employer maintains a policy of insurance </w:t>
      </w:r>
      <w:r w:rsidRPr="009635F9">
        <w:rPr>
          <w:rFonts w:cs="Arial"/>
          <w:lang w:val="en-GB"/>
        </w:rPr>
        <w:t xml:space="preserve">for the full amount of any liability to pay compensation under the Act to any worker employed </w:t>
      </w:r>
      <w:r w:rsidRPr="00807C3D">
        <w:rPr>
          <w:rFonts w:cs="Arial"/>
          <w:lang w:val="en-GB"/>
        </w:rPr>
        <w:t>and complies with other obligations under the Act</w:t>
      </w:r>
      <w:r>
        <w:rPr>
          <w:rFonts w:cs="Arial"/>
          <w:lang w:val="en-GB"/>
        </w:rPr>
        <w:t>.</w:t>
      </w:r>
    </w:p>
    <w:p w14:paraId="095763ED" w14:textId="77777777" w:rsidR="00EF5729" w:rsidRDefault="00EF5729" w:rsidP="00EF5729">
      <w:pPr>
        <w:autoSpaceDE w:val="0"/>
        <w:autoSpaceDN w:val="0"/>
        <w:adjustRightInd w:val="0"/>
        <w:rPr>
          <w:rFonts w:cs="Arial"/>
          <w:color w:val="000000"/>
        </w:rPr>
      </w:pPr>
      <w:r w:rsidRPr="00A173D1">
        <w:rPr>
          <w:color w:val="000000"/>
          <w:lang w:val="en-GB"/>
        </w:rPr>
        <w:t xml:space="preserve">Authorised inspectors conduct investigations and inspections in order to ensure compliance with the Act and to </w:t>
      </w:r>
      <w:r>
        <w:rPr>
          <w:color w:val="000000"/>
          <w:lang w:val="en-GB"/>
        </w:rPr>
        <w:t xml:space="preserve">issue cautions or infringement notices or prosecute </w:t>
      </w:r>
      <w:r w:rsidRPr="00A173D1">
        <w:rPr>
          <w:color w:val="000000"/>
          <w:lang w:val="en-GB"/>
        </w:rPr>
        <w:t xml:space="preserve">where </w:t>
      </w:r>
      <w:r>
        <w:rPr>
          <w:color w:val="000000"/>
          <w:lang w:val="en-GB"/>
        </w:rPr>
        <w:t xml:space="preserve">non-compliance is </w:t>
      </w:r>
      <w:r w:rsidRPr="00A173D1">
        <w:rPr>
          <w:color w:val="000000"/>
          <w:lang w:val="en-GB"/>
        </w:rPr>
        <w:t>identified. Insurers are not able to cancel workers’ compensation insurance policies without the approval of WorkCover WA. This is to ensure employers are not operating a business without insurance.</w:t>
      </w:r>
      <w:r w:rsidRPr="006E6A3D">
        <w:rPr>
          <w:rFonts w:cs="Arial"/>
          <w:color w:val="000000"/>
        </w:rPr>
        <w:t xml:space="preserve"> </w:t>
      </w:r>
    </w:p>
    <w:p w14:paraId="78A12CB2" w14:textId="77777777" w:rsidR="00EF5729" w:rsidRDefault="00EF5729" w:rsidP="00EF5729">
      <w:pPr>
        <w:autoSpaceDE w:val="0"/>
        <w:autoSpaceDN w:val="0"/>
        <w:adjustRightInd w:val="0"/>
        <w:rPr>
          <w:rFonts w:cs="Arial"/>
          <w:color w:val="000000"/>
        </w:rPr>
      </w:pPr>
      <w:r w:rsidRPr="00C02231">
        <w:rPr>
          <w:rFonts w:cs="Arial"/>
          <w:color w:val="000000"/>
        </w:rPr>
        <w:t>The Act has 34 penalty provisions relat</w:t>
      </w:r>
      <w:r>
        <w:rPr>
          <w:rFonts w:cs="Arial"/>
          <w:color w:val="000000"/>
        </w:rPr>
        <w:t>ing</w:t>
      </w:r>
      <w:r w:rsidRPr="00C02231">
        <w:rPr>
          <w:rFonts w:cs="Arial"/>
          <w:color w:val="000000"/>
        </w:rPr>
        <w:t xml:space="preserve"> to employer</w:t>
      </w:r>
      <w:r>
        <w:rPr>
          <w:rFonts w:cs="Arial"/>
          <w:color w:val="000000"/>
        </w:rPr>
        <w:t>s’</w:t>
      </w:r>
      <w:r w:rsidRPr="00C02231">
        <w:rPr>
          <w:rFonts w:cs="Arial"/>
          <w:color w:val="000000"/>
        </w:rPr>
        <w:t xml:space="preserve"> obligations.</w:t>
      </w:r>
      <w:r>
        <w:rPr>
          <w:rFonts w:cs="Arial"/>
          <w:color w:val="000000"/>
        </w:rPr>
        <w:t xml:space="preserve"> Following </w:t>
      </w:r>
      <w:r w:rsidRPr="00C02231">
        <w:rPr>
          <w:rFonts w:cs="Arial"/>
          <w:color w:val="000000"/>
        </w:rPr>
        <w:t>notification of a possible breach, an invest</w:t>
      </w:r>
      <w:r>
        <w:rPr>
          <w:rFonts w:cs="Arial"/>
          <w:color w:val="000000"/>
        </w:rPr>
        <w:t xml:space="preserve">igation or </w:t>
      </w:r>
      <w:r w:rsidRPr="00C02231">
        <w:rPr>
          <w:rFonts w:cs="Arial"/>
          <w:color w:val="000000"/>
        </w:rPr>
        <w:t>prosecution may result.</w:t>
      </w:r>
    </w:p>
    <w:p w14:paraId="5A3CB24E" w14:textId="77777777" w:rsidR="00EF5729" w:rsidRPr="00A173D1" w:rsidRDefault="00EF5729" w:rsidP="00EF5729">
      <w:pPr>
        <w:rPr>
          <w:color w:val="000000"/>
          <w:lang w:val="en-GB"/>
        </w:rPr>
      </w:pPr>
      <w:r w:rsidRPr="009635F9">
        <w:rPr>
          <w:rFonts w:cs="Arial"/>
          <w:color w:val="000000"/>
          <w:lang w:val="en-GB"/>
        </w:rPr>
        <w:t xml:space="preserve">This indicator reports the average cost per employer compliance activity and is measured by dividing the </w:t>
      </w:r>
      <w:r>
        <w:rPr>
          <w:rFonts w:cs="Arial"/>
          <w:color w:val="000000"/>
          <w:lang w:val="en-GB"/>
        </w:rPr>
        <w:t>full</w:t>
      </w:r>
      <w:r w:rsidRPr="009635F9">
        <w:rPr>
          <w:rFonts w:cs="Arial"/>
          <w:color w:val="000000"/>
          <w:lang w:val="en-GB"/>
        </w:rPr>
        <w:t xml:space="preserve"> costs of t</w:t>
      </w:r>
      <w:r>
        <w:rPr>
          <w:rFonts w:cs="Arial"/>
          <w:color w:val="000000"/>
          <w:lang w:val="en-GB"/>
        </w:rPr>
        <w:t xml:space="preserve">he Agency’s Compliance Section </w:t>
      </w:r>
      <w:r w:rsidRPr="00CE5C04">
        <w:t xml:space="preserve">for the reference period </w:t>
      </w:r>
      <w:r>
        <w:t xml:space="preserve">as determined by </w:t>
      </w:r>
      <w:r w:rsidRPr="00CE5C04">
        <w:t>the Cost Allocation Model</w:t>
      </w:r>
      <w:r>
        <w:t xml:space="preserve"> </w:t>
      </w:r>
      <w:r w:rsidRPr="009635F9">
        <w:rPr>
          <w:rFonts w:cs="Arial"/>
          <w:color w:val="000000"/>
          <w:lang w:val="en-GB"/>
        </w:rPr>
        <w:t>by the total number of employer compliance activities.</w:t>
      </w:r>
      <w:r w:rsidRPr="00A173D1">
        <w:rPr>
          <w:color w:val="000000"/>
          <w:lang w:val="en-GB"/>
        </w:rPr>
        <w:t xml:space="preserve"> </w:t>
      </w:r>
    </w:p>
    <w:p w14:paraId="65914E19" w14:textId="77777777" w:rsidR="00EF5729" w:rsidRPr="00BD61F7" w:rsidRDefault="00EF5729" w:rsidP="00EF5729">
      <w:pPr>
        <w:rPr>
          <w:rFonts w:cs="Arial"/>
          <w:color w:val="000000"/>
          <w:lang w:val="en-GB"/>
        </w:rPr>
      </w:pPr>
      <w:r w:rsidRPr="00BD61F7">
        <w:rPr>
          <w:rFonts w:cs="Arial"/>
          <w:color w:val="000000"/>
          <w:lang w:val="en-GB"/>
        </w:rPr>
        <w:t xml:space="preserve">Each employer compliance activity is recorded in the Regulatory Services Management System (RSMS) which tracks activity for each case. The total number of employer compliance activities is extracted directly from this system. </w:t>
      </w:r>
    </w:p>
    <w:p w14:paraId="126E0747" w14:textId="77777777" w:rsidR="00EF5729" w:rsidRDefault="00EF5729" w:rsidP="00EF5729">
      <w:pPr>
        <w:rPr>
          <w:rFonts w:cs="Arial"/>
          <w:bCs/>
          <w:lang w:val="en-GB"/>
        </w:rPr>
      </w:pPr>
      <w:r w:rsidRPr="000A0AFF">
        <w:t xml:space="preserve">The target for this indicator was determined using the full year approved budget figures for the compliance activity divided by </w:t>
      </w:r>
      <w:r w:rsidRPr="000A0AFF">
        <w:rPr>
          <w:rFonts w:cs="Arial"/>
          <w:bCs/>
          <w:lang w:val="en-GB"/>
        </w:rPr>
        <w:t>the estimated full year total number of compliance activity units.</w:t>
      </w:r>
      <w:r w:rsidRPr="00CF12D5">
        <w:rPr>
          <w:rFonts w:cs="Arial"/>
          <w:bCs/>
          <w:lang w:val="en-GB"/>
        </w:rPr>
        <w:t xml:space="preserve"> </w:t>
      </w:r>
    </w:p>
    <w:p w14:paraId="247D0852" w14:textId="77777777" w:rsidR="00EF5729" w:rsidRPr="00EF5729" w:rsidRDefault="00EF5729" w:rsidP="00EF5729">
      <w:pPr>
        <w:rPr>
          <w:b/>
        </w:rPr>
      </w:pPr>
      <w:r w:rsidRPr="00EF5729">
        <w:rPr>
          <w:b/>
        </w:rPr>
        <w:t xml:space="preserve">Analysis </w:t>
      </w:r>
    </w:p>
    <w:p w14:paraId="6BB4F97E" w14:textId="77777777" w:rsidR="00EF5729" w:rsidRDefault="00EF5729" w:rsidP="00EF5729">
      <w:pPr>
        <w:rPr>
          <w:bCs/>
          <w:lang w:val="en-GB"/>
        </w:rPr>
      </w:pPr>
      <w:r w:rsidRPr="008A2058">
        <w:rPr>
          <w:bCs/>
          <w:lang w:val="en-GB"/>
        </w:rPr>
        <w:t xml:space="preserve">In </w:t>
      </w:r>
      <w:r>
        <w:rPr>
          <w:bCs/>
          <w:lang w:val="en-GB"/>
        </w:rPr>
        <w:t>2017/18</w:t>
      </w:r>
      <w:r w:rsidRPr="008A2058">
        <w:rPr>
          <w:bCs/>
          <w:lang w:val="en-GB"/>
        </w:rPr>
        <w:t xml:space="preserve"> the average cost per employer compliance activity </w:t>
      </w:r>
      <w:r w:rsidRPr="00BD79DF">
        <w:rPr>
          <w:bCs/>
          <w:lang w:val="en-GB"/>
        </w:rPr>
        <w:t xml:space="preserve">was </w:t>
      </w:r>
      <w:r>
        <w:rPr>
          <w:bCs/>
          <w:lang w:val="en-GB"/>
        </w:rPr>
        <w:t>$261</w:t>
      </w:r>
      <w:r w:rsidRPr="008A2058">
        <w:rPr>
          <w:bCs/>
          <w:lang w:val="en-GB"/>
        </w:rPr>
        <w:t xml:space="preserve"> </w:t>
      </w:r>
      <w:r>
        <w:rPr>
          <w:bCs/>
          <w:lang w:val="en-GB"/>
        </w:rPr>
        <w:br/>
      </w:r>
      <w:r w:rsidRPr="008A2058">
        <w:rPr>
          <w:bCs/>
          <w:lang w:val="en-GB"/>
        </w:rPr>
        <w:t xml:space="preserve">(see Figure 4). </w:t>
      </w:r>
      <w:r w:rsidRPr="00B0369C">
        <w:rPr>
          <w:bCs/>
          <w:lang w:val="en-GB"/>
        </w:rPr>
        <w:t>This is 10 percent less than the target of $290 and</w:t>
      </w:r>
      <w:r>
        <w:rPr>
          <w:bCs/>
          <w:lang w:val="en-GB"/>
        </w:rPr>
        <w:t xml:space="preserve"> four </w:t>
      </w:r>
      <w:r w:rsidRPr="00B0369C">
        <w:rPr>
          <w:bCs/>
          <w:lang w:val="en-GB"/>
        </w:rPr>
        <w:t xml:space="preserve">percent more than </w:t>
      </w:r>
      <w:r>
        <w:rPr>
          <w:bCs/>
          <w:lang w:val="en-GB"/>
        </w:rPr>
        <w:t xml:space="preserve">in </w:t>
      </w:r>
      <w:r w:rsidRPr="00B0369C">
        <w:rPr>
          <w:bCs/>
          <w:lang w:val="en-GB"/>
        </w:rPr>
        <w:t>2016/17.</w:t>
      </w:r>
    </w:p>
    <w:p w14:paraId="655B6CAC" w14:textId="77777777" w:rsidR="00EF5729" w:rsidRDefault="00EF5729" w:rsidP="00EF5729">
      <w:pPr>
        <w:rPr>
          <w:bCs/>
          <w:lang w:val="en-GB"/>
        </w:rPr>
      </w:pPr>
      <w:r w:rsidRPr="00B0369C">
        <w:rPr>
          <w:bCs/>
          <w:lang w:val="en-GB"/>
        </w:rPr>
        <w:t xml:space="preserve">The 2017/18 results are predominantly due </w:t>
      </w:r>
      <w:r>
        <w:rPr>
          <w:bCs/>
          <w:lang w:val="en-GB"/>
        </w:rPr>
        <w:t>to a</w:t>
      </w:r>
      <w:r w:rsidRPr="00B0369C">
        <w:rPr>
          <w:bCs/>
          <w:lang w:val="en-GB"/>
        </w:rPr>
        <w:t xml:space="preserve"> new investigation </w:t>
      </w:r>
      <w:r>
        <w:rPr>
          <w:bCs/>
          <w:lang w:val="en-GB"/>
        </w:rPr>
        <w:t xml:space="preserve">model and modified penalty regime. This new model streamlined processes for lower risk matters of employer non-compliance via the early issue of caution or infringement notices improving time efficiencies and leading to an increase in compliance activity. In addition, the impact of the VTSS </w:t>
      </w:r>
      <w:r w:rsidRPr="00B0369C">
        <w:rPr>
          <w:bCs/>
          <w:lang w:val="en-GB"/>
        </w:rPr>
        <w:t xml:space="preserve">and </w:t>
      </w:r>
      <w:r>
        <w:rPr>
          <w:bCs/>
          <w:lang w:val="en-GB"/>
        </w:rPr>
        <w:t xml:space="preserve">a Divisional </w:t>
      </w:r>
      <w:r w:rsidRPr="00B0369C">
        <w:rPr>
          <w:bCs/>
          <w:lang w:val="en-GB"/>
        </w:rPr>
        <w:t xml:space="preserve">restructure introduced </w:t>
      </w:r>
      <w:r>
        <w:rPr>
          <w:bCs/>
          <w:lang w:val="en-GB"/>
        </w:rPr>
        <w:t>throughout</w:t>
      </w:r>
      <w:r w:rsidRPr="00B0369C">
        <w:rPr>
          <w:bCs/>
          <w:lang w:val="en-GB"/>
        </w:rPr>
        <w:t xml:space="preserve"> the year </w:t>
      </w:r>
      <w:r>
        <w:rPr>
          <w:bCs/>
          <w:lang w:val="en-GB"/>
        </w:rPr>
        <w:t>resulted in</w:t>
      </w:r>
      <w:r w:rsidRPr="00B0369C">
        <w:rPr>
          <w:bCs/>
          <w:lang w:val="en-GB"/>
        </w:rPr>
        <w:t xml:space="preserve"> some positions </w:t>
      </w:r>
      <w:r>
        <w:rPr>
          <w:bCs/>
          <w:lang w:val="en-GB"/>
        </w:rPr>
        <w:t xml:space="preserve">being </w:t>
      </w:r>
      <w:r w:rsidRPr="00B0369C">
        <w:rPr>
          <w:bCs/>
          <w:lang w:val="en-GB"/>
        </w:rPr>
        <w:t>unfilled for extended periods</w:t>
      </w:r>
      <w:r>
        <w:rPr>
          <w:bCs/>
          <w:lang w:val="en-GB"/>
        </w:rPr>
        <w:t>.</w:t>
      </w:r>
    </w:p>
    <w:p w14:paraId="18D45076" w14:textId="70504F3D" w:rsidR="00EF5729" w:rsidRPr="00B0369C" w:rsidRDefault="00EF5729" w:rsidP="00EF5729">
      <w:pPr>
        <w:rPr>
          <w:bCs/>
          <w:lang w:val="en-GB"/>
        </w:rPr>
      </w:pPr>
      <w:r w:rsidRPr="00CA2837">
        <w:rPr>
          <w:rFonts w:cs="Arial"/>
          <w:noProof/>
          <w:lang w:eastAsia="en-AU"/>
        </w:rPr>
        <w:drawing>
          <wp:inline distT="0" distB="0" distL="0" distR="0" wp14:anchorId="53FCBF62" wp14:editId="2377D0EB">
            <wp:extent cx="5715000" cy="3200400"/>
            <wp:effectExtent l="0" t="0" r="0" b="0"/>
            <wp:docPr id="14" name="Object 4" descr="This indicator reports the average cost per employer compliance activity and is measured by dividing the full costs of the Agency’s Compliance Section for the reference period as determined by the Cost Allocation Model by the total number of employer compliance activities. " title="Figure 4: Cost per employer compliance activity"/>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C3D961" w14:textId="77777777" w:rsidR="00CF4068" w:rsidRDefault="00CF4068" w:rsidP="00CF4068">
      <w:pPr>
        <w:rPr>
          <w:color w:val="AD9600"/>
        </w:rPr>
      </w:pPr>
      <w:r w:rsidRPr="008A2058">
        <w:rPr>
          <w:b/>
        </w:rPr>
        <w:t>Indicator 1.2</w:t>
      </w:r>
      <w:r w:rsidRPr="00D34503">
        <w:rPr>
          <w:color w:val="AD9600"/>
        </w:rPr>
        <w:t xml:space="preserve"> </w:t>
      </w:r>
    </w:p>
    <w:p w14:paraId="51772203" w14:textId="535476E4" w:rsidR="00CF4068" w:rsidRPr="00CF4068" w:rsidRDefault="00CF4068" w:rsidP="002F04DC">
      <w:pPr>
        <w:pStyle w:val="Normal-Act"/>
      </w:pPr>
      <w:r w:rsidRPr="00CF4068">
        <w:t>Average cost per approved and monitored service provider</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091"/>
        <w:gridCol w:w="1090"/>
        <w:gridCol w:w="1090"/>
        <w:gridCol w:w="1090"/>
        <w:gridCol w:w="1090"/>
        <w:gridCol w:w="1090"/>
      </w:tblGrid>
      <w:tr w:rsidR="00CF4068" w:rsidRPr="00CF4068" w14:paraId="671E2E5F" w14:textId="77777777" w:rsidTr="00CF4068">
        <w:trPr>
          <w:trHeight w:val="515"/>
          <w:jc w:val="center"/>
        </w:trPr>
        <w:tc>
          <w:tcPr>
            <w:tcW w:w="2841"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62609F06" w14:textId="77777777" w:rsidR="00CF4068" w:rsidRPr="00CF4068" w:rsidRDefault="00CF4068" w:rsidP="0000700F">
            <w:pPr>
              <w:pStyle w:val="TableHeading"/>
            </w:pPr>
            <w:r w:rsidRPr="00CF4068">
              <w:t xml:space="preserve">Indicator 1.2 </w:t>
            </w:r>
          </w:p>
        </w:tc>
        <w:tc>
          <w:tcPr>
            <w:tcW w:w="1091" w:type="dxa"/>
            <w:tcBorders>
              <w:top w:val="single" w:sz="4" w:space="0" w:color="auto"/>
              <w:left w:val="single" w:sz="4" w:space="0" w:color="auto"/>
              <w:bottom w:val="single" w:sz="4" w:space="0" w:color="auto"/>
              <w:right w:val="single" w:sz="4" w:space="0" w:color="auto"/>
            </w:tcBorders>
            <w:shd w:val="clear" w:color="auto" w:fill="898D91"/>
          </w:tcPr>
          <w:p w14:paraId="2FC19EBE" w14:textId="77777777" w:rsidR="00CF4068" w:rsidRPr="00CF4068" w:rsidRDefault="00CF4068" w:rsidP="0000700F">
            <w:pPr>
              <w:pStyle w:val="TableHeading"/>
              <w:spacing w:before="0" w:after="0"/>
              <w:jc w:val="center"/>
              <w:rPr>
                <w:rFonts w:cs="Arial"/>
              </w:rPr>
            </w:pPr>
            <w:r w:rsidRPr="00CF4068">
              <w:rPr>
                <w:rFonts w:cs="Arial"/>
              </w:rPr>
              <w:t>2013/14</w:t>
            </w:r>
          </w:p>
          <w:p w14:paraId="31F3B8A4" w14:textId="77777777" w:rsidR="00CF4068" w:rsidRPr="00CF4068" w:rsidRDefault="00CF4068" w:rsidP="0000700F">
            <w:pPr>
              <w:pStyle w:val="TableHeading"/>
              <w:spacing w:before="0" w:after="0"/>
              <w:jc w:val="center"/>
              <w:rPr>
                <w:rFonts w:cs="Arial"/>
              </w:rPr>
            </w:pPr>
            <w:r w:rsidRPr="00CF4068">
              <w:rPr>
                <w:rFonts w:cs="Arial"/>
              </w:rPr>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tcPr>
          <w:p w14:paraId="6DFF2858" w14:textId="77777777" w:rsidR="00CF4068" w:rsidRPr="00CF4068" w:rsidRDefault="00CF4068" w:rsidP="0000700F">
            <w:pPr>
              <w:pStyle w:val="TableHeading"/>
              <w:spacing w:before="0" w:after="0"/>
              <w:jc w:val="center"/>
            </w:pPr>
            <w:r w:rsidRPr="00CF4068">
              <w:t>2014/15</w:t>
            </w:r>
          </w:p>
          <w:p w14:paraId="70BB9DB8" w14:textId="77777777" w:rsidR="00CF4068" w:rsidRPr="00CF4068" w:rsidRDefault="00CF4068" w:rsidP="0000700F">
            <w:pPr>
              <w:pStyle w:val="TableHeading"/>
              <w:spacing w:before="0" w:after="0"/>
              <w:jc w:val="center"/>
            </w:pPr>
            <w:r w:rsidRPr="00CF4068">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tcPr>
          <w:p w14:paraId="689E8F75" w14:textId="77777777" w:rsidR="00CF4068" w:rsidRPr="00CF4068" w:rsidRDefault="00CF4068" w:rsidP="0000700F">
            <w:pPr>
              <w:pStyle w:val="TableHeading"/>
              <w:spacing w:before="0" w:after="0"/>
              <w:jc w:val="center"/>
            </w:pPr>
            <w:r w:rsidRPr="00CF4068">
              <w:t>2015/16</w:t>
            </w:r>
          </w:p>
          <w:p w14:paraId="25F25FD6" w14:textId="77777777" w:rsidR="00CF4068" w:rsidRPr="00CF4068" w:rsidRDefault="00CF4068" w:rsidP="0000700F">
            <w:pPr>
              <w:pStyle w:val="TableHeading"/>
              <w:spacing w:before="0" w:after="0"/>
              <w:jc w:val="center"/>
              <w:rPr>
                <w:rFonts w:cs="Arial"/>
              </w:rPr>
            </w:pPr>
            <w:r w:rsidRPr="00CF4068">
              <w:t>Actual</w:t>
            </w:r>
          </w:p>
        </w:tc>
        <w:tc>
          <w:tcPr>
            <w:tcW w:w="1090" w:type="dxa"/>
            <w:tcBorders>
              <w:top w:val="single" w:sz="4" w:space="0" w:color="auto"/>
              <w:left w:val="single" w:sz="4" w:space="0" w:color="auto"/>
              <w:bottom w:val="single" w:sz="4" w:space="0" w:color="auto"/>
              <w:right w:val="single" w:sz="4" w:space="0" w:color="auto"/>
            </w:tcBorders>
            <w:shd w:val="clear" w:color="auto" w:fill="898D91"/>
          </w:tcPr>
          <w:p w14:paraId="5E535089" w14:textId="77777777" w:rsidR="00CF4068" w:rsidRPr="00CF4068" w:rsidRDefault="00CF4068" w:rsidP="0000700F">
            <w:pPr>
              <w:pStyle w:val="TableHeading"/>
              <w:spacing w:before="0" w:after="0"/>
              <w:jc w:val="center"/>
            </w:pPr>
            <w:r w:rsidRPr="00CF4068">
              <w:t xml:space="preserve">2016/17   Actual </w:t>
            </w:r>
          </w:p>
        </w:tc>
        <w:tc>
          <w:tcPr>
            <w:tcW w:w="1090" w:type="dxa"/>
            <w:tcBorders>
              <w:top w:val="single" w:sz="4" w:space="0" w:color="auto"/>
              <w:left w:val="single" w:sz="4" w:space="0" w:color="auto"/>
              <w:bottom w:val="single" w:sz="4" w:space="0" w:color="auto"/>
              <w:right w:val="single" w:sz="4" w:space="0" w:color="auto"/>
            </w:tcBorders>
            <w:shd w:val="clear" w:color="auto" w:fill="898D91"/>
          </w:tcPr>
          <w:p w14:paraId="3D456FA9" w14:textId="77777777" w:rsidR="00CF4068" w:rsidRPr="00CF4068" w:rsidRDefault="00CF4068" w:rsidP="0000700F">
            <w:pPr>
              <w:pStyle w:val="TableHeading"/>
              <w:spacing w:before="0" w:after="0"/>
              <w:jc w:val="center"/>
            </w:pPr>
            <w:r w:rsidRPr="00CF4068">
              <w:t>2017/18</w:t>
            </w:r>
          </w:p>
          <w:p w14:paraId="2BD982B5" w14:textId="77777777" w:rsidR="00CF4068" w:rsidRPr="00CF4068" w:rsidRDefault="00CF4068" w:rsidP="0000700F">
            <w:pPr>
              <w:pStyle w:val="TableHeading"/>
              <w:spacing w:before="0" w:after="0"/>
              <w:jc w:val="center"/>
            </w:pPr>
            <w:r w:rsidRPr="00CF4068">
              <w:t xml:space="preserve">Actual </w:t>
            </w:r>
          </w:p>
        </w:tc>
        <w:tc>
          <w:tcPr>
            <w:tcW w:w="1090" w:type="dxa"/>
            <w:tcBorders>
              <w:top w:val="single" w:sz="4" w:space="0" w:color="auto"/>
              <w:left w:val="single" w:sz="4" w:space="0" w:color="auto"/>
              <w:bottom w:val="single" w:sz="4" w:space="0" w:color="auto"/>
              <w:right w:val="single" w:sz="4" w:space="0" w:color="auto"/>
            </w:tcBorders>
            <w:shd w:val="clear" w:color="auto" w:fill="898D91"/>
          </w:tcPr>
          <w:p w14:paraId="52782B33" w14:textId="77777777" w:rsidR="00CF4068" w:rsidRPr="00CF4068" w:rsidRDefault="00CF4068" w:rsidP="0000700F">
            <w:pPr>
              <w:pStyle w:val="TableHeading"/>
              <w:spacing w:before="0" w:after="0"/>
              <w:jc w:val="center"/>
            </w:pPr>
            <w:r w:rsidRPr="00CF4068">
              <w:t>2017/18 Target</w:t>
            </w:r>
          </w:p>
        </w:tc>
      </w:tr>
      <w:tr w:rsidR="00CF4068" w:rsidRPr="00CF4068" w14:paraId="51199A69" w14:textId="77777777" w:rsidTr="00CF4068">
        <w:trPr>
          <w:trHeight w:val="291"/>
          <w:jc w:val="center"/>
        </w:trPr>
        <w:tc>
          <w:tcPr>
            <w:tcW w:w="2841" w:type="dxa"/>
            <w:tcBorders>
              <w:top w:val="single" w:sz="4" w:space="0" w:color="auto"/>
              <w:left w:val="single" w:sz="4" w:space="0" w:color="auto"/>
              <w:bottom w:val="single" w:sz="4" w:space="0" w:color="auto"/>
              <w:right w:val="single" w:sz="4" w:space="0" w:color="auto"/>
            </w:tcBorders>
            <w:vAlign w:val="center"/>
            <w:hideMark/>
          </w:tcPr>
          <w:p w14:paraId="0BE5F378" w14:textId="77777777" w:rsidR="00CF4068" w:rsidRPr="00CF4068" w:rsidRDefault="00CF4068" w:rsidP="0000700F">
            <w:pPr>
              <w:pStyle w:val="TableText"/>
              <w:rPr>
                <w:sz w:val="22"/>
                <w:szCs w:val="22"/>
              </w:rPr>
            </w:pPr>
            <w:r w:rsidRPr="00CF4068">
              <w:rPr>
                <w:sz w:val="22"/>
                <w:szCs w:val="22"/>
              </w:rPr>
              <w:t>Average cost per approved and monitored service provider</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tcPr>
          <w:p w14:paraId="0FB9E6DD" w14:textId="77777777" w:rsidR="00CF4068" w:rsidRPr="00CF4068" w:rsidRDefault="00CF4068" w:rsidP="0000700F">
            <w:pPr>
              <w:pStyle w:val="TableText"/>
              <w:spacing w:before="60" w:after="60"/>
              <w:jc w:val="center"/>
              <w:rPr>
                <w:sz w:val="22"/>
                <w:szCs w:val="22"/>
              </w:rPr>
            </w:pPr>
            <w:r w:rsidRPr="00CF4068">
              <w:rPr>
                <w:sz w:val="22"/>
                <w:szCs w:val="22"/>
              </w:rPr>
              <w:t>$3,047</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69DA5C76" w14:textId="77777777" w:rsidR="00CF4068" w:rsidRPr="00CF4068" w:rsidRDefault="00CF4068" w:rsidP="0000700F">
            <w:pPr>
              <w:pStyle w:val="TableText"/>
              <w:spacing w:before="60" w:after="60"/>
              <w:jc w:val="center"/>
              <w:rPr>
                <w:sz w:val="22"/>
                <w:szCs w:val="22"/>
              </w:rPr>
            </w:pPr>
            <w:r w:rsidRPr="00CF4068">
              <w:rPr>
                <w:sz w:val="22"/>
                <w:szCs w:val="22"/>
              </w:rPr>
              <w:t>$3,250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14:paraId="791A1333" w14:textId="77777777" w:rsidR="00CF4068" w:rsidRPr="00CF4068" w:rsidRDefault="00CF4068" w:rsidP="0000700F">
            <w:pPr>
              <w:pStyle w:val="TableText"/>
              <w:spacing w:before="60" w:after="60"/>
              <w:jc w:val="center"/>
              <w:rPr>
                <w:sz w:val="22"/>
                <w:szCs w:val="22"/>
              </w:rPr>
            </w:pPr>
            <w:r w:rsidRPr="00CF4068">
              <w:rPr>
                <w:sz w:val="22"/>
                <w:szCs w:val="22"/>
              </w:rPr>
              <w:t>$3,472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14:paraId="785F80C9" w14:textId="77777777" w:rsidR="00CF4068" w:rsidRPr="00CF4068" w:rsidRDefault="00CF4068" w:rsidP="0000700F">
            <w:pPr>
              <w:pStyle w:val="TableText"/>
              <w:spacing w:before="60" w:after="60"/>
              <w:jc w:val="center"/>
              <w:rPr>
                <w:sz w:val="22"/>
                <w:szCs w:val="22"/>
              </w:rPr>
            </w:pPr>
            <w:r w:rsidRPr="00CF4068">
              <w:rPr>
                <w:sz w:val="22"/>
                <w:szCs w:val="22"/>
              </w:rPr>
              <w:t>$3,177</w:t>
            </w:r>
          </w:p>
        </w:tc>
        <w:tc>
          <w:tcPr>
            <w:tcW w:w="1090" w:type="dxa"/>
            <w:tcBorders>
              <w:top w:val="single" w:sz="4" w:space="0" w:color="auto"/>
              <w:left w:val="single" w:sz="4" w:space="0" w:color="auto"/>
              <w:bottom w:val="single" w:sz="4" w:space="0" w:color="auto"/>
              <w:right w:val="single" w:sz="4" w:space="0" w:color="auto"/>
            </w:tcBorders>
            <w:shd w:val="clear" w:color="auto" w:fill="EE7D31"/>
            <w:vAlign w:val="center"/>
          </w:tcPr>
          <w:p w14:paraId="02DCA991" w14:textId="77777777" w:rsidR="00CF4068" w:rsidRPr="00CF4068" w:rsidRDefault="00CF4068" w:rsidP="0000700F">
            <w:pPr>
              <w:pStyle w:val="TableText"/>
              <w:spacing w:before="60" w:after="60"/>
              <w:jc w:val="center"/>
              <w:rPr>
                <w:color w:val="FFFFFF" w:themeColor="background1"/>
                <w:sz w:val="22"/>
                <w:szCs w:val="22"/>
              </w:rPr>
            </w:pPr>
            <w:r w:rsidRPr="00CF4068">
              <w:rPr>
                <w:color w:val="FFFFFF" w:themeColor="background1"/>
                <w:sz w:val="22"/>
                <w:szCs w:val="22"/>
              </w:rPr>
              <w:t>$3,522</w:t>
            </w:r>
          </w:p>
        </w:tc>
        <w:tc>
          <w:tcPr>
            <w:tcW w:w="1090" w:type="dxa"/>
            <w:tcBorders>
              <w:top w:val="single" w:sz="4" w:space="0" w:color="auto"/>
              <w:left w:val="single" w:sz="4" w:space="0" w:color="auto"/>
              <w:bottom w:val="single" w:sz="4" w:space="0" w:color="auto"/>
              <w:right w:val="single" w:sz="4" w:space="0" w:color="auto"/>
            </w:tcBorders>
            <w:shd w:val="clear" w:color="auto" w:fill="003F5F"/>
            <w:vAlign w:val="center"/>
          </w:tcPr>
          <w:p w14:paraId="6661CD9B" w14:textId="77777777" w:rsidR="00CF4068" w:rsidRPr="00CF4068" w:rsidRDefault="00CF4068" w:rsidP="0000700F">
            <w:pPr>
              <w:pStyle w:val="TableText"/>
              <w:spacing w:before="60" w:after="60"/>
              <w:jc w:val="center"/>
              <w:rPr>
                <w:color w:val="FFFFFF" w:themeColor="background1"/>
                <w:sz w:val="22"/>
                <w:szCs w:val="22"/>
                <w:highlight w:val="yellow"/>
              </w:rPr>
            </w:pPr>
            <w:r w:rsidRPr="00CF4068">
              <w:rPr>
                <w:color w:val="FFFFFF" w:themeColor="background1"/>
                <w:sz w:val="22"/>
                <w:szCs w:val="22"/>
              </w:rPr>
              <w:t>$3,221</w:t>
            </w:r>
          </w:p>
        </w:tc>
      </w:tr>
    </w:tbl>
    <w:p w14:paraId="5E459C96" w14:textId="2F5BD5A2" w:rsidR="00CF4068" w:rsidRPr="00CF4068" w:rsidRDefault="002F04DC" w:rsidP="00CF4068">
      <w:pPr>
        <w:rPr>
          <w:b/>
        </w:rPr>
      </w:pPr>
      <w:r>
        <w:rPr>
          <w:b/>
        </w:rPr>
        <w:br/>
      </w:r>
      <w:r w:rsidR="00CF4068" w:rsidRPr="00CF4068">
        <w:rPr>
          <w:b/>
        </w:rPr>
        <w:t>Description</w:t>
      </w:r>
    </w:p>
    <w:p w14:paraId="2F951CA8" w14:textId="77777777" w:rsidR="00CF4068" w:rsidRPr="00DB5F1C" w:rsidRDefault="00CF4068" w:rsidP="00CF4068">
      <w:r w:rsidRPr="00DB5F1C">
        <w:rPr>
          <w:lang w:val="en-GB"/>
        </w:rPr>
        <w:t xml:space="preserve">WorkCover WA </w:t>
      </w:r>
      <w:r>
        <w:rPr>
          <w:lang w:val="en-GB"/>
        </w:rPr>
        <w:t>is responsible for approving,</w:t>
      </w:r>
      <w:r w:rsidRPr="00DB5F1C">
        <w:rPr>
          <w:lang w:val="en-GB"/>
        </w:rPr>
        <w:t xml:space="preserve"> monitor</w:t>
      </w:r>
      <w:r>
        <w:rPr>
          <w:lang w:val="en-GB"/>
        </w:rPr>
        <w:t>ing</w:t>
      </w:r>
      <w:r w:rsidRPr="00DB5F1C">
        <w:rPr>
          <w:lang w:val="en-GB"/>
        </w:rPr>
        <w:t xml:space="preserve"> </w:t>
      </w:r>
      <w:r>
        <w:rPr>
          <w:lang w:val="en-GB"/>
        </w:rPr>
        <w:t xml:space="preserve">and reviewing </w:t>
      </w:r>
      <w:r w:rsidRPr="00DB5F1C">
        <w:rPr>
          <w:lang w:val="en-GB"/>
        </w:rPr>
        <w:t xml:space="preserve">the performance of </w:t>
      </w:r>
      <w:r>
        <w:rPr>
          <w:lang w:val="en-GB"/>
        </w:rPr>
        <w:t xml:space="preserve">scheme </w:t>
      </w:r>
      <w:r w:rsidRPr="00DB5F1C">
        <w:rPr>
          <w:lang w:val="en-GB"/>
        </w:rPr>
        <w:t>service providers</w:t>
      </w:r>
      <w:r>
        <w:rPr>
          <w:lang w:val="en-GB"/>
        </w:rPr>
        <w:t xml:space="preserve"> </w:t>
      </w:r>
      <w:r w:rsidRPr="00813FBA">
        <w:t>against established standards which can include performance criteria relating to legislative compliance, codes of conduct, codes of practice and guidelines.</w:t>
      </w:r>
    </w:p>
    <w:p w14:paraId="06791DAB" w14:textId="77777777" w:rsidR="00CF4068" w:rsidRDefault="00CF4068" w:rsidP="00CF4068">
      <w:pPr>
        <w:autoSpaceDE w:val="0"/>
        <w:autoSpaceDN w:val="0"/>
        <w:adjustRightInd w:val="0"/>
      </w:pPr>
      <w:r w:rsidRPr="00813FBA">
        <w:t xml:space="preserve">Through its </w:t>
      </w:r>
      <w:r w:rsidRPr="003F3019">
        <w:t>standards and review activities,</w:t>
      </w:r>
      <w:r w:rsidRPr="00813FBA">
        <w:t xml:space="preserve"> WorkCover WA approves and/or monitors the performance of th</w:t>
      </w:r>
      <w:r>
        <w:t xml:space="preserve">e following service providers: </w:t>
      </w:r>
      <w:r w:rsidRPr="00DB5F1C">
        <w:rPr>
          <w:lang w:val="en-GB"/>
        </w:rPr>
        <w:t>insurers, self-insurers, workplace rehabilitation providers, Approved Medical Specialists (AMS),</w:t>
      </w:r>
      <w:r>
        <w:rPr>
          <w:lang w:val="en-GB"/>
        </w:rPr>
        <w:t xml:space="preserve"> audiologists/</w:t>
      </w:r>
      <w:r w:rsidRPr="00DB5F1C">
        <w:rPr>
          <w:lang w:val="en-GB"/>
        </w:rPr>
        <w:t xml:space="preserve">audiometric officers and registered </w:t>
      </w:r>
      <w:r>
        <w:rPr>
          <w:lang w:val="en-GB"/>
        </w:rPr>
        <w:t>agents.</w:t>
      </w:r>
    </w:p>
    <w:p w14:paraId="6F73EB48" w14:textId="77777777" w:rsidR="00CF4068" w:rsidRDefault="00CF4068" w:rsidP="00CF4068">
      <w:pPr>
        <w:pStyle w:val="Style1"/>
        <w:spacing w:before="120" w:after="240" w:line="276" w:lineRule="auto"/>
        <w:rPr>
          <w:rFonts w:cs="Arial"/>
          <w:caps w:val="0"/>
          <w:sz w:val="24"/>
          <w:szCs w:val="24"/>
          <w:lang w:val="en-GB"/>
        </w:rPr>
      </w:pPr>
      <w:r w:rsidRPr="007136E4">
        <w:rPr>
          <w:rFonts w:cs="Arial"/>
          <w:caps w:val="0"/>
          <w:color w:val="000000"/>
          <w:sz w:val="24"/>
          <w:szCs w:val="24"/>
          <w:lang w:val="en-GB"/>
        </w:rPr>
        <w:t xml:space="preserve">This indicator </w:t>
      </w:r>
      <w:r>
        <w:rPr>
          <w:rFonts w:cs="Arial"/>
          <w:caps w:val="0"/>
          <w:color w:val="000000"/>
          <w:sz w:val="24"/>
          <w:szCs w:val="24"/>
          <w:lang w:val="en-GB"/>
        </w:rPr>
        <w:t>reports</w:t>
      </w:r>
      <w:r w:rsidRPr="007136E4">
        <w:rPr>
          <w:rFonts w:cs="Arial"/>
          <w:caps w:val="0"/>
          <w:color w:val="000000"/>
          <w:sz w:val="24"/>
          <w:szCs w:val="24"/>
          <w:lang w:val="en-GB"/>
        </w:rPr>
        <w:t xml:space="preserve"> the </w:t>
      </w:r>
      <w:r w:rsidRPr="007136E4">
        <w:rPr>
          <w:rFonts w:cs="Arial"/>
          <w:caps w:val="0"/>
          <w:sz w:val="24"/>
          <w:szCs w:val="24"/>
          <w:lang w:val="en-GB"/>
        </w:rPr>
        <w:t xml:space="preserve">average cost </w:t>
      </w:r>
      <w:r w:rsidRPr="007136E4">
        <w:rPr>
          <w:rFonts w:cs="Arial"/>
          <w:caps w:val="0"/>
          <w:color w:val="000000"/>
          <w:sz w:val="24"/>
          <w:szCs w:val="24"/>
          <w:lang w:val="en-GB"/>
        </w:rPr>
        <w:t xml:space="preserve">per </w:t>
      </w:r>
      <w:r w:rsidRPr="00BD61F7">
        <w:rPr>
          <w:rFonts w:cs="Arial"/>
          <w:caps w:val="0"/>
          <w:sz w:val="24"/>
          <w:szCs w:val="24"/>
          <w:lang w:val="en-GB"/>
        </w:rPr>
        <w:t>approved and monitored service provider</w:t>
      </w:r>
      <w:r w:rsidRPr="00BD61F7">
        <w:rPr>
          <w:rFonts w:cs="Arial"/>
          <w:caps w:val="0"/>
          <w:color w:val="000000"/>
          <w:sz w:val="24"/>
          <w:szCs w:val="24"/>
          <w:lang w:val="en-GB"/>
        </w:rPr>
        <w:t xml:space="preserve"> and is measured by dividing the full costs of the </w:t>
      </w:r>
      <w:r>
        <w:rPr>
          <w:rFonts w:cs="Arial"/>
          <w:caps w:val="0"/>
          <w:color w:val="000000"/>
          <w:sz w:val="24"/>
          <w:szCs w:val="24"/>
          <w:lang w:val="en-GB"/>
        </w:rPr>
        <w:t xml:space="preserve">Regulation Branch </w:t>
      </w:r>
      <w:r w:rsidRPr="007136E4">
        <w:rPr>
          <w:rFonts w:cs="Arial"/>
          <w:caps w:val="0"/>
          <w:sz w:val="24"/>
          <w:szCs w:val="24"/>
          <w:lang w:val="en-GB"/>
        </w:rPr>
        <w:t>by the total number of approved and monitored service providers.</w:t>
      </w:r>
    </w:p>
    <w:p w14:paraId="3325EC40" w14:textId="77777777" w:rsidR="00CF4068" w:rsidRDefault="00CF4068" w:rsidP="00CF4068">
      <w:pPr>
        <w:spacing w:after="120"/>
      </w:pPr>
      <w:r>
        <w:rPr>
          <w:lang w:val="en-GB"/>
        </w:rPr>
        <w:t xml:space="preserve">All information relevant to these service providers is captured in RSMS as </w:t>
      </w:r>
      <w:r w:rsidRPr="000B3786">
        <w:rPr>
          <w:lang w:val="en-GB"/>
        </w:rPr>
        <w:t>the single data source</w:t>
      </w:r>
      <w:r>
        <w:rPr>
          <w:lang w:val="en-GB"/>
        </w:rPr>
        <w:t xml:space="preserve"> and the data for this indicator is extracted directly from the system.</w:t>
      </w:r>
      <w:r w:rsidRPr="00CE5C04">
        <w:t xml:space="preserve">The total cost </w:t>
      </w:r>
      <w:r w:rsidRPr="003F3019">
        <w:t>of the monitoring services operational activity for the reference period is provided by the Cost Allocation Model.</w:t>
      </w:r>
    </w:p>
    <w:p w14:paraId="50E5127D" w14:textId="77777777" w:rsidR="00CF4068" w:rsidRPr="00FB27E2" w:rsidRDefault="00CF4068" w:rsidP="00CF4068">
      <w:pPr>
        <w:pStyle w:val="Style1"/>
        <w:spacing w:before="120" w:after="240" w:line="276" w:lineRule="auto"/>
        <w:rPr>
          <w:rFonts w:cs="Arial"/>
          <w:caps w:val="0"/>
          <w:sz w:val="24"/>
          <w:szCs w:val="24"/>
          <w:lang w:val="en-GB"/>
        </w:rPr>
      </w:pPr>
      <w:r w:rsidRPr="000A0AFF">
        <w:rPr>
          <w:rFonts w:cs="Arial"/>
          <w:bCs w:val="0"/>
          <w:caps w:val="0"/>
          <w:sz w:val="24"/>
          <w:szCs w:val="24"/>
          <w:lang w:val="en-GB"/>
        </w:rPr>
        <w:t xml:space="preserve">The target for this indicator was determined by dividing the approved budget for these activities by the estimated total number of </w:t>
      </w:r>
      <w:r w:rsidRPr="000A0AFF">
        <w:rPr>
          <w:rFonts w:cs="Arial"/>
          <w:caps w:val="0"/>
          <w:sz w:val="24"/>
          <w:szCs w:val="24"/>
          <w:lang w:val="en-GB"/>
        </w:rPr>
        <w:t>approved and monitored service providers. The number of service providers is measured as of 30 June each year</w:t>
      </w:r>
      <w:r>
        <w:rPr>
          <w:rFonts w:cs="Arial"/>
          <w:caps w:val="0"/>
          <w:sz w:val="24"/>
          <w:szCs w:val="24"/>
          <w:lang w:val="en-GB"/>
        </w:rPr>
        <w:t xml:space="preserve">. </w:t>
      </w:r>
    </w:p>
    <w:p w14:paraId="7F032AEF" w14:textId="77777777" w:rsidR="00CF4068" w:rsidRPr="00CF4068" w:rsidRDefault="00CF4068" w:rsidP="00CF4068">
      <w:pPr>
        <w:rPr>
          <w:b/>
        </w:rPr>
      </w:pPr>
      <w:bookmarkStart w:id="737" w:name="_Analysis_3"/>
      <w:bookmarkEnd w:id="737"/>
      <w:r w:rsidRPr="00CF4068">
        <w:rPr>
          <w:b/>
        </w:rPr>
        <w:t xml:space="preserve">Analysis </w:t>
      </w:r>
    </w:p>
    <w:p w14:paraId="379317BF" w14:textId="77777777" w:rsidR="00CF4068" w:rsidRPr="00B0369C" w:rsidRDefault="00CF4068" w:rsidP="009927AE">
      <w:pPr>
        <w:rPr>
          <w:b/>
        </w:rPr>
      </w:pPr>
      <w:r w:rsidRPr="0097365D">
        <w:t xml:space="preserve">In </w:t>
      </w:r>
      <w:r>
        <w:t>2017/18</w:t>
      </w:r>
      <w:r w:rsidRPr="0097365D">
        <w:t xml:space="preserve"> the average cost per approved and monitored service provider was </w:t>
      </w:r>
      <w:r>
        <w:t>$3,522</w:t>
      </w:r>
      <w:r w:rsidRPr="0097365D">
        <w:t xml:space="preserve"> (see Figure 5</w:t>
      </w:r>
      <w:r>
        <w:t xml:space="preserve">). </w:t>
      </w:r>
      <w:r w:rsidRPr="00B0369C">
        <w:t xml:space="preserve">This is </w:t>
      </w:r>
      <w:r>
        <w:t xml:space="preserve">9.3 </w:t>
      </w:r>
      <w:r w:rsidRPr="00B0369C">
        <w:t>percent more than the target of $3,221 and</w:t>
      </w:r>
      <w:r>
        <w:t xml:space="preserve"> 10.9 </w:t>
      </w:r>
      <w:r w:rsidRPr="00B0369C">
        <w:t xml:space="preserve">percent more than 2016/17. </w:t>
      </w:r>
    </w:p>
    <w:p w14:paraId="2102DD38" w14:textId="77777777" w:rsidR="00CF4068" w:rsidRDefault="00CF4068" w:rsidP="009927AE">
      <w:pPr>
        <w:rPr>
          <w:b/>
        </w:rPr>
      </w:pPr>
      <w:r w:rsidRPr="00DF2D94">
        <w:t xml:space="preserve">The number of service providers is 5.6 percent less than the target and 3.6 percent less than 2016/17. This drop in the number of service providers is predominantly due to the reduced number of </w:t>
      </w:r>
      <w:r>
        <w:t>a</w:t>
      </w:r>
      <w:r w:rsidRPr="00DF2D94">
        <w:t xml:space="preserve">udiologists and </w:t>
      </w:r>
      <w:r>
        <w:t>a</w:t>
      </w:r>
      <w:r w:rsidRPr="00DF2D94">
        <w:t xml:space="preserve">udiometric </w:t>
      </w:r>
      <w:r>
        <w:t>o</w:t>
      </w:r>
      <w:r w:rsidRPr="00DF2D94">
        <w:t xml:space="preserve">fficers registered at </w:t>
      </w:r>
      <w:r>
        <w:t xml:space="preserve">30 June 2018 compared to 2017. </w:t>
      </w:r>
      <w:r w:rsidRPr="00DF2D94">
        <w:t xml:space="preserve">These figures are marginally offset by an increase in Approved Medical Specialists. </w:t>
      </w:r>
    </w:p>
    <w:p w14:paraId="05ED773A" w14:textId="77777777" w:rsidR="00CF4068" w:rsidRPr="00ED749A" w:rsidRDefault="00CF4068" w:rsidP="009927AE">
      <w:r w:rsidRPr="00ED749A">
        <w:t xml:space="preserve">With proposed changes to legislation and as the Agency moves more towards digitisation of services, activities to approve and monitor service providers will continue to change. Staff resources in this area will </w:t>
      </w:r>
      <w:r>
        <w:t xml:space="preserve">be </w:t>
      </w:r>
      <w:r w:rsidRPr="00ED749A">
        <w:t xml:space="preserve">reviewed and amended accordingly as changes are introduced. </w:t>
      </w:r>
    </w:p>
    <w:p w14:paraId="172756E2" w14:textId="16C418B4" w:rsidR="00CB4909" w:rsidRPr="00AD0CE9" w:rsidRDefault="009927AE" w:rsidP="009927AE">
      <w:r w:rsidRPr="00931F89">
        <w:rPr>
          <w:noProof/>
          <w:lang w:eastAsia="en-AU"/>
        </w:rPr>
        <w:drawing>
          <wp:inline distT="0" distB="0" distL="0" distR="0" wp14:anchorId="7BF46A08" wp14:editId="39DCC9E5">
            <wp:extent cx="5731510" cy="3129531"/>
            <wp:effectExtent l="0" t="0" r="2540" b="0"/>
            <wp:docPr id="16" name="Object 5" descr="This indicator reports the average cost per approved and monitored service provider and is measured by dividing the full costs of the Regulation Branch by the total number of approved and monitored service providers." title="Figure 5: Average cost per approved and monitored service provide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89F350" w14:textId="1A20F866" w:rsidR="009927AE" w:rsidRPr="00ED749A" w:rsidRDefault="009927AE" w:rsidP="009927AE">
      <w:pPr>
        <w:spacing w:after="0" w:line="240" w:lineRule="auto"/>
        <w:rPr>
          <w:b/>
        </w:rPr>
      </w:pPr>
      <w:r>
        <w:rPr>
          <w:b/>
        </w:rPr>
        <w:br/>
      </w:r>
      <w:r w:rsidRPr="00ED749A">
        <w:rPr>
          <w:b/>
        </w:rPr>
        <w:t xml:space="preserve">Indicator 1.3 </w:t>
      </w:r>
    </w:p>
    <w:tbl>
      <w:tblPr>
        <w:tblpPr w:leftFromText="180" w:rightFromText="180" w:vertAnchor="text" w:horzAnchor="margin" w:tblpY="647"/>
        <w:tblW w:w="9596" w:type="dxa"/>
        <w:tblBorders>
          <w:top w:val="single" w:sz="4" w:space="0" w:color="AD9600"/>
          <w:left w:val="single" w:sz="4" w:space="0" w:color="AD9600"/>
          <w:bottom w:val="single" w:sz="4" w:space="0" w:color="AD9600"/>
          <w:right w:val="single" w:sz="4" w:space="0" w:color="AD9600"/>
          <w:insideH w:val="single" w:sz="4" w:space="0" w:color="AD9600"/>
          <w:insideV w:val="single" w:sz="4" w:space="0" w:color="AD9600"/>
        </w:tblBorders>
        <w:tblLayout w:type="fixed"/>
        <w:tblLook w:val="04A0" w:firstRow="1" w:lastRow="0" w:firstColumn="1" w:lastColumn="0" w:noHBand="0" w:noVBand="1"/>
      </w:tblPr>
      <w:tblGrid>
        <w:gridCol w:w="2940"/>
        <w:gridCol w:w="1110"/>
        <w:gridCol w:w="1110"/>
        <w:gridCol w:w="1109"/>
        <w:gridCol w:w="1109"/>
        <w:gridCol w:w="1109"/>
        <w:gridCol w:w="1109"/>
      </w:tblGrid>
      <w:tr w:rsidR="009927AE" w:rsidRPr="009927AE" w14:paraId="729AF415" w14:textId="77777777" w:rsidTr="009927AE">
        <w:trPr>
          <w:trHeight w:val="291"/>
        </w:trPr>
        <w:tc>
          <w:tcPr>
            <w:tcW w:w="2940" w:type="dxa"/>
            <w:tcBorders>
              <w:top w:val="single" w:sz="4" w:space="0" w:color="auto"/>
              <w:left w:val="single" w:sz="4" w:space="0" w:color="auto"/>
              <w:bottom w:val="single" w:sz="4" w:space="0" w:color="AC9F31"/>
              <w:right w:val="single" w:sz="4" w:space="0" w:color="auto"/>
            </w:tcBorders>
            <w:shd w:val="clear" w:color="auto" w:fill="898D91"/>
            <w:vAlign w:val="center"/>
            <w:hideMark/>
          </w:tcPr>
          <w:p w14:paraId="4248264B" w14:textId="77777777" w:rsidR="009927AE" w:rsidRPr="009927AE" w:rsidRDefault="009927AE" w:rsidP="0000700F">
            <w:pPr>
              <w:pStyle w:val="TableHeading"/>
              <w:spacing w:before="0" w:after="0"/>
              <w:jc w:val="center"/>
              <w:outlineLvl w:val="0"/>
              <w:rPr>
                <w:rFonts w:cs="Arial"/>
              </w:rPr>
            </w:pPr>
            <w:bookmarkStart w:id="738" w:name="_Toc392690104"/>
            <w:bookmarkStart w:id="739" w:name="_Toc392690167"/>
            <w:bookmarkStart w:id="740" w:name="_Toc525122141"/>
            <w:r w:rsidRPr="009927AE">
              <w:rPr>
                <w:rFonts w:cs="Arial"/>
              </w:rPr>
              <w:t>Indicator 1.3</w:t>
            </w:r>
            <w:bookmarkEnd w:id="738"/>
            <w:bookmarkEnd w:id="739"/>
            <w:bookmarkEnd w:id="740"/>
          </w:p>
        </w:tc>
        <w:tc>
          <w:tcPr>
            <w:tcW w:w="1110" w:type="dxa"/>
            <w:tcBorders>
              <w:top w:val="single" w:sz="4" w:space="0" w:color="auto"/>
              <w:left w:val="single" w:sz="4" w:space="0" w:color="auto"/>
              <w:bottom w:val="single" w:sz="4" w:space="0" w:color="auto"/>
              <w:right w:val="single" w:sz="4" w:space="0" w:color="auto"/>
            </w:tcBorders>
            <w:shd w:val="clear" w:color="auto" w:fill="898D91"/>
          </w:tcPr>
          <w:p w14:paraId="64F1EA1A" w14:textId="77777777" w:rsidR="009927AE" w:rsidRPr="009927AE" w:rsidRDefault="009927AE" w:rsidP="0000700F">
            <w:pPr>
              <w:pStyle w:val="TableHeading"/>
              <w:spacing w:before="0" w:after="0"/>
              <w:jc w:val="center"/>
              <w:rPr>
                <w:rFonts w:cs="Arial"/>
              </w:rPr>
            </w:pPr>
            <w:r w:rsidRPr="009927AE">
              <w:rPr>
                <w:rFonts w:cs="Arial"/>
              </w:rPr>
              <w:t>2013/14</w:t>
            </w:r>
          </w:p>
          <w:p w14:paraId="2FAEE600" w14:textId="77777777" w:rsidR="009927AE" w:rsidRPr="009927AE" w:rsidRDefault="009927AE" w:rsidP="0000700F">
            <w:pPr>
              <w:pStyle w:val="TableHeading"/>
              <w:spacing w:before="0" w:after="0"/>
              <w:jc w:val="center"/>
              <w:rPr>
                <w:rFonts w:cs="Arial"/>
              </w:rPr>
            </w:pPr>
            <w:r w:rsidRPr="009927AE">
              <w:rPr>
                <w:rFonts w:cs="Arial"/>
              </w:rPr>
              <w:t>Actual</w:t>
            </w:r>
          </w:p>
        </w:tc>
        <w:tc>
          <w:tcPr>
            <w:tcW w:w="1110" w:type="dxa"/>
            <w:tcBorders>
              <w:top w:val="single" w:sz="4" w:space="0" w:color="auto"/>
              <w:left w:val="single" w:sz="4" w:space="0" w:color="auto"/>
              <w:bottom w:val="single" w:sz="4" w:space="0" w:color="auto"/>
              <w:right w:val="single" w:sz="4" w:space="0" w:color="auto"/>
            </w:tcBorders>
            <w:shd w:val="clear" w:color="auto" w:fill="898D91"/>
          </w:tcPr>
          <w:p w14:paraId="63BA5FD2" w14:textId="77777777" w:rsidR="009927AE" w:rsidRPr="009927AE" w:rsidRDefault="009927AE" w:rsidP="0000700F">
            <w:pPr>
              <w:pStyle w:val="TableHeading"/>
              <w:spacing w:before="0" w:after="0"/>
              <w:jc w:val="center"/>
              <w:rPr>
                <w:rFonts w:cs="Arial"/>
              </w:rPr>
            </w:pPr>
            <w:r w:rsidRPr="009927AE">
              <w:rPr>
                <w:rFonts w:cs="Arial"/>
              </w:rPr>
              <w:t>2014/15</w:t>
            </w:r>
          </w:p>
          <w:p w14:paraId="7FFAE29D" w14:textId="77777777" w:rsidR="009927AE" w:rsidRPr="009927AE" w:rsidRDefault="009927AE" w:rsidP="0000700F">
            <w:pPr>
              <w:pStyle w:val="TableHeading"/>
              <w:spacing w:before="0" w:after="0"/>
              <w:jc w:val="center"/>
              <w:rPr>
                <w:rFonts w:cs="Arial"/>
              </w:rPr>
            </w:pPr>
            <w:r w:rsidRPr="009927AE">
              <w:rPr>
                <w:rFonts w:cs="Arial"/>
              </w:rPr>
              <w:t>Actual</w:t>
            </w:r>
          </w:p>
        </w:tc>
        <w:tc>
          <w:tcPr>
            <w:tcW w:w="1109" w:type="dxa"/>
            <w:tcBorders>
              <w:top w:val="single" w:sz="4" w:space="0" w:color="auto"/>
              <w:left w:val="single" w:sz="4" w:space="0" w:color="auto"/>
              <w:bottom w:val="single" w:sz="4" w:space="0" w:color="auto"/>
              <w:right w:val="single" w:sz="4" w:space="0" w:color="auto"/>
            </w:tcBorders>
            <w:shd w:val="clear" w:color="auto" w:fill="898D91"/>
            <w:hideMark/>
          </w:tcPr>
          <w:p w14:paraId="56D48D61" w14:textId="77777777" w:rsidR="009927AE" w:rsidRPr="009927AE" w:rsidRDefault="009927AE" w:rsidP="0000700F">
            <w:pPr>
              <w:pStyle w:val="TableHeading"/>
              <w:spacing w:before="0" w:after="0"/>
              <w:jc w:val="center"/>
              <w:rPr>
                <w:rFonts w:cs="Arial"/>
              </w:rPr>
            </w:pPr>
            <w:r w:rsidRPr="009927AE">
              <w:rPr>
                <w:rFonts w:cs="Arial"/>
              </w:rPr>
              <w:t>2015/16</w:t>
            </w:r>
          </w:p>
          <w:p w14:paraId="3340B541" w14:textId="77777777" w:rsidR="009927AE" w:rsidRPr="009927AE" w:rsidRDefault="009927AE" w:rsidP="0000700F">
            <w:pPr>
              <w:pStyle w:val="TableHeading"/>
              <w:spacing w:before="0" w:after="0"/>
              <w:jc w:val="center"/>
              <w:rPr>
                <w:rFonts w:cs="Arial"/>
              </w:rPr>
            </w:pPr>
            <w:r w:rsidRPr="009927AE">
              <w:rPr>
                <w:rFonts w:cs="Arial"/>
              </w:rPr>
              <w:t>Actual</w:t>
            </w:r>
          </w:p>
        </w:tc>
        <w:tc>
          <w:tcPr>
            <w:tcW w:w="1109" w:type="dxa"/>
            <w:tcBorders>
              <w:top w:val="single" w:sz="4" w:space="0" w:color="auto"/>
              <w:left w:val="single" w:sz="4" w:space="0" w:color="auto"/>
              <w:bottom w:val="single" w:sz="4" w:space="0" w:color="auto"/>
              <w:right w:val="single" w:sz="4" w:space="0" w:color="auto"/>
            </w:tcBorders>
            <w:shd w:val="clear" w:color="auto" w:fill="898D91"/>
          </w:tcPr>
          <w:p w14:paraId="5476517C" w14:textId="77777777" w:rsidR="009927AE" w:rsidRPr="009927AE" w:rsidRDefault="009927AE" w:rsidP="0000700F">
            <w:pPr>
              <w:pStyle w:val="TableHeading"/>
              <w:spacing w:before="0" w:after="0"/>
              <w:jc w:val="center"/>
              <w:rPr>
                <w:rFonts w:cs="Arial"/>
              </w:rPr>
            </w:pPr>
            <w:r w:rsidRPr="009927AE">
              <w:rPr>
                <w:rFonts w:cs="Arial"/>
              </w:rPr>
              <w:t xml:space="preserve">2016/17  Actual </w:t>
            </w:r>
          </w:p>
        </w:tc>
        <w:tc>
          <w:tcPr>
            <w:tcW w:w="1109" w:type="dxa"/>
            <w:tcBorders>
              <w:top w:val="single" w:sz="4" w:space="0" w:color="auto"/>
              <w:left w:val="single" w:sz="4" w:space="0" w:color="auto"/>
              <w:bottom w:val="single" w:sz="4" w:space="0" w:color="auto"/>
              <w:right w:val="single" w:sz="4" w:space="0" w:color="auto"/>
            </w:tcBorders>
            <w:shd w:val="clear" w:color="auto" w:fill="898D91"/>
            <w:hideMark/>
          </w:tcPr>
          <w:p w14:paraId="5A20D7D7" w14:textId="77777777" w:rsidR="009927AE" w:rsidRPr="009927AE" w:rsidRDefault="009927AE" w:rsidP="0000700F">
            <w:pPr>
              <w:pStyle w:val="TableHeading"/>
              <w:spacing w:before="0" w:after="0"/>
              <w:jc w:val="center"/>
              <w:rPr>
                <w:rFonts w:cs="Arial"/>
              </w:rPr>
            </w:pPr>
            <w:r w:rsidRPr="009927AE">
              <w:rPr>
                <w:rFonts w:cs="Arial"/>
              </w:rPr>
              <w:t>2017/18</w:t>
            </w:r>
          </w:p>
          <w:p w14:paraId="39052C1F" w14:textId="77777777" w:rsidR="009927AE" w:rsidRPr="009927AE" w:rsidRDefault="009927AE" w:rsidP="0000700F">
            <w:pPr>
              <w:pStyle w:val="TableHeading"/>
              <w:spacing w:before="0" w:after="0"/>
              <w:jc w:val="center"/>
              <w:rPr>
                <w:rFonts w:cs="Arial"/>
              </w:rPr>
            </w:pPr>
            <w:r w:rsidRPr="009927AE">
              <w:rPr>
                <w:rFonts w:cs="Arial"/>
              </w:rPr>
              <w:t>Actual</w:t>
            </w:r>
          </w:p>
        </w:tc>
        <w:tc>
          <w:tcPr>
            <w:tcW w:w="1109" w:type="dxa"/>
            <w:tcBorders>
              <w:top w:val="single" w:sz="4" w:space="0" w:color="auto"/>
              <w:left w:val="single" w:sz="4" w:space="0" w:color="auto"/>
              <w:bottom w:val="single" w:sz="4" w:space="0" w:color="auto"/>
              <w:right w:val="single" w:sz="4" w:space="0" w:color="auto"/>
            </w:tcBorders>
            <w:shd w:val="clear" w:color="auto" w:fill="898D91"/>
            <w:hideMark/>
          </w:tcPr>
          <w:p w14:paraId="167A7303" w14:textId="77777777" w:rsidR="009927AE" w:rsidRPr="009927AE" w:rsidRDefault="009927AE" w:rsidP="0000700F">
            <w:pPr>
              <w:pStyle w:val="TableHeading"/>
              <w:spacing w:before="0" w:after="0"/>
              <w:jc w:val="center"/>
              <w:rPr>
                <w:rFonts w:cs="Arial"/>
              </w:rPr>
            </w:pPr>
            <w:r w:rsidRPr="009927AE">
              <w:rPr>
                <w:rFonts w:cs="Arial"/>
              </w:rPr>
              <w:t>2017/18 Target</w:t>
            </w:r>
          </w:p>
        </w:tc>
      </w:tr>
      <w:tr w:rsidR="009927AE" w:rsidRPr="009927AE" w14:paraId="22FC5D2F" w14:textId="77777777" w:rsidTr="009927AE">
        <w:trPr>
          <w:trHeight w:val="291"/>
        </w:trPr>
        <w:tc>
          <w:tcPr>
            <w:tcW w:w="2940" w:type="dxa"/>
            <w:tcBorders>
              <w:top w:val="single" w:sz="4" w:space="0" w:color="AC9F31"/>
              <w:left w:val="single" w:sz="4" w:space="0" w:color="auto"/>
              <w:bottom w:val="single" w:sz="4" w:space="0" w:color="auto"/>
              <w:right w:val="single" w:sz="4" w:space="0" w:color="auto"/>
            </w:tcBorders>
            <w:vAlign w:val="center"/>
            <w:hideMark/>
          </w:tcPr>
          <w:p w14:paraId="3D92BA19" w14:textId="77777777" w:rsidR="009927AE" w:rsidRPr="009927AE" w:rsidRDefault="009927AE" w:rsidP="0000700F">
            <w:pPr>
              <w:pStyle w:val="TableText"/>
              <w:rPr>
                <w:sz w:val="22"/>
                <w:szCs w:val="22"/>
              </w:rPr>
            </w:pPr>
            <w:r w:rsidRPr="009927AE">
              <w:rPr>
                <w:sz w:val="22"/>
                <w:szCs w:val="22"/>
              </w:rPr>
              <w:t>Average cost per client contact to provide information and advice</w:t>
            </w:r>
          </w:p>
        </w:tc>
        <w:tc>
          <w:tcPr>
            <w:tcW w:w="1110" w:type="dxa"/>
            <w:tcBorders>
              <w:left w:val="single" w:sz="4" w:space="0" w:color="auto"/>
              <w:bottom w:val="single" w:sz="4" w:space="0" w:color="auto"/>
              <w:right w:val="single" w:sz="4" w:space="0" w:color="auto"/>
            </w:tcBorders>
            <w:shd w:val="clear" w:color="auto" w:fill="FFFFFF"/>
            <w:vAlign w:val="center"/>
          </w:tcPr>
          <w:p w14:paraId="40FA1D49" w14:textId="77777777" w:rsidR="009927AE" w:rsidRPr="009927AE" w:rsidRDefault="009927AE" w:rsidP="0000700F">
            <w:pPr>
              <w:pStyle w:val="TableText"/>
              <w:spacing w:before="60" w:after="60"/>
              <w:jc w:val="center"/>
              <w:rPr>
                <w:sz w:val="22"/>
                <w:szCs w:val="22"/>
              </w:rPr>
            </w:pPr>
            <w:r w:rsidRPr="009927AE">
              <w:rPr>
                <w:sz w:val="22"/>
                <w:szCs w:val="22"/>
              </w:rPr>
              <w:t>$120</w:t>
            </w:r>
          </w:p>
        </w:tc>
        <w:tc>
          <w:tcPr>
            <w:tcW w:w="1110" w:type="dxa"/>
            <w:tcBorders>
              <w:left w:val="single" w:sz="4" w:space="0" w:color="auto"/>
              <w:bottom w:val="single" w:sz="4" w:space="0" w:color="auto"/>
              <w:right w:val="single" w:sz="4" w:space="0" w:color="auto"/>
            </w:tcBorders>
            <w:shd w:val="clear" w:color="auto" w:fill="FFFFFF"/>
            <w:vAlign w:val="center"/>
            <w:hideMark/>
          </w:tcPr>
          <w:p w14:paraId="564248F1" w14:textId="77777777" w:rsidR="009927AE" w:rsidRPr="009927AE" w:rsidRDefault="009927AE" w:rsidP="0000700F">
            <w:pPr>
              <w:pStyle w:val="TableText"/>
              <w:spacing w:before="60" w:after="60"/>
              <w:jc w:val="center"/>
              <w:rPr>
                <w:sz w:val="22"/>
                <w:szCs w:val="22"/>
              </w:rPr>
            </w:pPr>
            <w:r w:rsidRPr="009927AE">
              <w:rPr>
                <w:sz w:val="22"/>
                <w:szCs w:val="22"/>
              </w:rPr>
              <w:t>$120</w:t>
            </w:r>
          </w:p>
        </w:tc>
        <w:tc>
          <w:tcPr>
            <w:tcW w:w="1109" w:type="dxa"/>
            <w:tcBorders>
              <w:left w:val="single" w:sz="4" w:space="0" w:color="auto"/>
              <w:bottom w:val="single" w:sz="4" w:space="0" w:color="auto"/>
              <w:right w:val="single" w:sz="4" w:space="0" w:color="auto"/>
            </w:tcBorders>
            <w:shd w:val="clear" w:color="auto" w:fill="FFFFFF"/>
            <w:vAlign w:val="center"/>
            <w:hideMark/>
          </w:tcPr>
          <w:p w14:paraId="47F53412" w14:textId="77777777" w:rsidR="009927AE" w:rsidRPr="009927AE" w:rsidRDefault="009927AE" w:rsidP="0000700F">
            <w:pPr>
              <w:pStyle w:val="TableText"/>
              <w:spacing w:before="60" w:after="60"/>
              <w:jc w:val="center"/>
              <w:rPr>
                <w:sz w:val="22"/>
                <w:szCs w:val="22"/>
              </w:rPr>
            </w:pPr>
            <w:r w:rsidRPr="009927AE">
              <w:rPr>
                <w:sz w:val="22"/>
                <w:szCs w:val="22"/>
              </w:rPr>
              <w:t>$106</w:t>
            </w:r>
          </w:p>
        </w:tc>
        <w:tc>
          <w:tcPr>
            <w:tcW w:w="1109" w:type="dxa"/>
            <w:tcBorders>
              <w:left w:val="single" w:sz="4" w:space="0" w:color="auto"/>
              <w:bottom w:val="single" w:sz="4" w:space="0" w:color="auto"/>
              <w:right w:val="single" w:sz="4" w:space="0" w:color="auto"/>
            </w:tcBorders>
            <w:shd w:val="clear" w:color="auto" w:fill="auto"/>
            <w:vAlign w:val="center"/>
          </w:tcPr>
          <w:p w14:paraId="24DB6D4F" w14:textId="77777777" w:rsidR="009927AE" w:rsidRPr="009927AE" w:rsidRDefault="009927AE" w:rsidP="0000700F">
            <w:pPr>
              <w:pStyle w:val="TableText"/>
              <w:spacing w:before="60" w:after="60"/>
              <w:jc w:val="center"/>
              <w:rPr>
                <w:sz w:val="22"/>
                <w:szCs w:val="22"/>
              </w:rPr>
            </w:pPr>
            <w:r w:rsidRPr="009927AE">
              <w:rPr>
                <w:sz w:val="22"/>
                <w:szCs w:val="22"/>
              </w:rPr>
              <w:t>$110</w:t>
            </w:r>
          </w:p>
        </w:tc>
        <w:tc>
          <w:tcPr>
            <w:tcW w:w="1109" w:type="dxa"/>
            <w:tcBorders>
              <w:left w:val="single" w:sz="4" w:space="0" w:color="auto"/>
              <w:bottom w:val="single" w:sz="4" w:space="0" w:color="auto"/>
              <w:right w:val="single" w:sz="4" w:space="0" w:color="auto"/>
            </w:tcBorders>
            <w:shd w:val="clear" w:color="auto" w:fill="EE7D31"/>
            <w:vAlign w:val="center"/>
            <w:hideMark/>
          </w:tcPr>
          <w:p w14:paraId="10FD3037" w14:textId="77777777" w:rsidR="009927AE" w:rsidRPr="009927AE" w:rsidRDefault="009927AE" w:rsidP="0000700F">
            <w:pPr>
              <w:pStyle w:val="TableText"/>
              <w:spacing w:before="60" w:after="60"/>
              <w:jc w:val="center"/>
              <w:rPr>
                <w:color w:val="FFFFFF" w:themeColor="background1"/>
                <w:sz w:val="22"/>
                <w:szCs w:val="22"/>
              </w:rPr>
            </w:pPr>
            <w:r w:rsidRPr="009927AE">
              <w:rPr>
                <w:color w:val="FFFFFF" w:themeColor="background1"/>
                <w:sz w:val="22"/>
                <w:szCs w:val="22"/>
              </w:rPr>
              <w:t>$75</w:t>
            </w:r>
          </w:p>
        </w:tc>
        <w:tc>
          <w:tcPr>
            <w:tcW w:w="1109" w:type="dxa"/>
            <w:tcBorders>
              <w:left w:val="single" w:sz="4" w:space="0" w:color="auto"/>
              <w:bottom w:val="single" w:sz="4" w:space="0" w:color="auto"/>
              <w:right w:val="single" w:sz="4" w:space="0" w:color="auto"/>
            </w:tcBorders>
            <w:shd w:val="clear" w:color="auto" w:fill="003F5F"/>
            <w:vAlign w:val="center"/>
            <w:hideMark/>
          </w:tcPr>
          <w:p w14:paraId="5C2F7084" w14:textId="77777777" w:rsidR="009927AE" w:rsidRPr="009927AE" w:rsidRDefault="009927AE" w:rsidP="0000700F">
            <w:pPr>
              <w:pStyle w:val="TableText"/>
              <w:spacing w:before="60" w:after="60"/>
              <w:jc w:val="center"/>
              <w:rPr>
                <w:color w:val="FFFFFF" w:themeColor="background1"/>
                <w:sz w:val="22"/>
                <w:szCs w:val="22"/>
              </w:rPr>
            </w:pPr>
            <w:r w:rsidRPr="009927AE">
              <w:rPr>
                <w:color w:val="FFFFFF" w:themeColor="background1"/>
                <w:sz w:val="22"/>
                <w:szCs w:val="22"/>
              </w:rPr>
              <w:t>$104</w:t>
            </w:r>
          </w:p>
        </w:tc>
      </w:tr>
    </w:tbl>
    <w:p w14:paraId="468F96C3" w14:textId="77777777" w:rsidR="009927AE" w:rsidRPr="009927AE" w:rsidRDefault="009927AE" w:rsidP="002F04DC">
      <w:pPr>
        <w:pStyle w:val="Normal-Act"/>
      </w:pPr>
      <w:r w:rsidRPr="009927AE">
        <w:t>Average cost per client contact to provide information and advice</w:t>
      </w:r>
    </w:p>
    <w:p w14:paraId="0D9783A5" w14:textId="06771435" w:rsidR="009927AE" w:rsidRPr="009927AE" w:rsidRDefault="009927AE" w:rsidP="009927AE">
      <w:pPr>
        <w:rPr>
          <w:b/>
        </w:rPr>
      </w:pPr>
      <w:bookmarkStart w:id="741" w:name="_Indicator_1.3_Average"/>
      <w:bookmarkEnd w:id="741"/>
      <w:r>
        <w:rPr>
          <w:b/>
        </w:rPr>
        <w:br/>
      </w:r>
      <w:r w:rsidRPr="009927AE">
        <w:rPr>
          <w:b/>
        </w:rPr>
        <w:t>Description</w:t>
      </w:r>
    </w:p>
    <w:p w14:paraId="08A20B64" w14:textId="77777777" w:rsidR="009927AE" w:rsidRDefault="009927AE" w:rsidP="009927AE">
      <w:pPr>
        <w:rPr>
          <w:rFonts w:cs="Arial"/>
          <w:lang w:val="en-GB"/>
        </w:rPr>
      </w:pPr>
      <w:r w:rsidRPr="00274C0C">
        <w:rPr>
          <w:rFonts w:cs="Arial"/>
          <w:lang w:val="en-GB"/>
        </w:rPr>
        <w:t xml:space="preserve">WorkCover </w:t>
      </w:r>
      <w:r>
        <w:rPr>
          <w:rFonts w:cs="Arial"/>
          <w:lang w:val="en-GB"/>
        </w:rPr>
        <w:t xml:space="preserve">WA </w:t>
      </w:r>
      <w:r w:rsidRPr="00274C0C">
        <w:rPr>
          <w:rFonts w:cs="Arial"/>
          <w:lang w:val="en-GB"/>
        </w:rPr>
        <w:t>has responsibility</w:t>
      </w:r>
      <w:r>
        <w:rPr>
          <w:rFonts w:cs="Arial"/>
          <w:lang w:val="en-GB"/>
        </w:rPr>
        <w:t xml:space="preserve"> under the Act</w:t>
      </w:r>
      <w:r w:rsidRPr="00274C0C">
        <w:rPr>
          <w:rFonts w:cs="Arial"/>
          <w:lang w:val="en-GB"/>
        </w:rPr>
        <w:t xml:space="preserve"> </w:t>
      </w:r>
      <w:r>
        <w:rPr>
          <w:rFonts w:cs="Arial"/>
          <w:lang w:val="en-GB"/>
        </w:rPr>
        <w:t>to promote awareness and disseminate information about the workers’ compensation scheme</w:t>
      </w:r>
      <w:r w:rsidRPr="00274C0C">
        <w:rPr>
          <w:rFonts w:cs="Arial"/>
          <w:lang w:val="en-GB"/>
        </w:rPr>
        <w:t>.</w:t>
      </w:r>
    </w:p>
    <w:p w14:paraId="4B9BA284" w14:textId="77777777" w:rsidR="009927AE" w:rsidRDefault="009927AE" w:rsidP="009927AE">
      <w:pPr>
        <w:rPr>
          <w:rFonts w:cs="Arial"/>
          <w:color w:val="000000"/>
          <w:lang w:val="en-GB"/>
        </w:rPr>
      </w:pPr>
      <w:r>
        <w:rPr>
          <w:rFonts w:cs="Arial"/>
          <w:color w:val="000000"/>
          <w:lang w:val="en-GB"/>
        </w:rPr>
        <w:t>This indicator reports</w:t>
      </w:r>
      <w:r w:rsidRPr="00274C0C">
        <w:rPr>
          <w:rFonts w:cs="Arial"/>
          <w:color w:val="000000"/>
          <w:lang w:val="en-GB"/>
        </w:rPr>
        <w:t xml:space="preserve"> the </w:t>
      </w:r>
      <w:r w:rsidRPr="00274C0C">
        <w:rPr>
          <w:rFonts w:cs="Arial"/>
          <w:lang w:val="en-GB"/>
        </w:rPr>
        <w:t xml:space="preserve">average cost </w:t>
      </w:r>
      <w:r w:rsidRPr="00274C0C">
        <w:rPr>
          <w:rFonts w:cs="Arial"/>
          <w:color w:val="000000"/>
          <w:lang w:val="en-GB"/>
        </w:rPr>
        <w:t>of providing information and advice</w:t>
      </w:r>
      <w:r>
        <w:rPr>
          <w:rFonts w:cs="Arial"/>
          <w:color w:val="000000"/>
          <w:lang w:val="en-GB"/>
        </w:rPr>
        <w:t xml:space="preserve"> in relation to all aspects of the scheme. It is</w:t>
      </w:r>
      <w:r w:rsidRPr="00BA3C49">
        <w:rPr>
          <w:rFonts w:cs="Arial"/>
          <w:color w:val="000000"/>
          <w:lang w:val="en-GB"/>
        </w:rPr>
        <w:t xml:space="preserve"> measured by dividing the full costs of the </w:t>
      </w:r>
      <w:r>
        <w:rPr>
          <w:rFonts w:cs="Arial"/>
          <w:color w:val="000000"/>
          <w:lang w:val="en-GB"/>
        </w:rPr>
        <w:t xml:space="preserve">Advice and Assistance service </w:t>
      </w:r>
      <w:r w:rsidRPr="00BA3C49">
        <w:rPr>
          <w:rFonts w:cs="Arial"/>
          <w:color w:val="000000"/>
          <w:lang w:val="en-GB"/>
        </w:rPr>
        <w:t xml:space="preserve">by the total number of </w:t>
      </w:r>
      <w:r>
        <w:rPr>
          <w:rFonts w:cs="Arial"/>
          <w:color w:val="000000"/>
          <w:lang w:val="en-GB"/>
        </w:rPr>
        <w:t>advice and assistance activities (</w:t>
      </w:r>
      <w:r w:rsidRPr="00E341B6">
        <w:rPr>
          <w:rFonts w:cs="Arial"/>
          <w:bCs/>
          <w:lang w:val="en-GB"/>
        </w:rPr>
        <w:t>written advice notifications prepared and verbal consultations</w:t>
      </w:r>
      <w:r>
        <w:rPr>
          <w:rFonts w:cs="Arial"/>
          <w:bCs/>
          <w:lang w:val="en-GB"/>
        </w:rPr>
        <w:t xml:space="preserve"> conducted). </w:t>
      </w:r>
    </w:p>
    <w:p w14:paraId="2CB67BB8" w14:textId="4B3D80E4" w:rsidR="009927AE" w:rsidRDefault="009927AE" w:rsidP="009927AE">
      <w:pPr>
        <w:rPr>
          <w:lang w:val="en-GB"/>
        </w:rPr>
      </w:pPr>
      <w:r>
        <w:rPr>
          <w:lang w:val="en-GB"/>
        </w:rPr>
        <w:t xml:space="preserve">All </w:t>
      </w:r>
      <w:r w:rsidRPr="004975B0">
        <w:rPr>
          <w:lang w:val="en-GB"/>
        </w:rPr>
        <w:t xml:space="preserve">written advice notifications and verbal consultations </w:t>
      </w:r>
      <w:r>
        <w:rPr>
          <w:lang w:val="en-GB"/>
        </w:rPr>
        <w:t xml:space="preserve">including in-person enquiries, </w:t>
      </w:r>
      <w:r w:rsidRPr="004975B0">
        <w:rPr>
          <w:lang w:val="en-GB"/>
        </w:rPr>
        <w:t>appointments,</w:t>
      </w:r>
      <w:r>
        <w:rPr>
          <w:lang w:val="en-GB"/>
        </w:rPr>
        <w:t xml:space="preserve"> and </w:t>
      </w:r>
      <w:r w:rsidRPr="004975B0">
        <w:rPr>
          <w:lang w:val="en-GB"/>
        </w:rPr>
        <w:t>written enquiries</w:t>
      </w:r>
      <w:r>
        <w:rPr>
          <w:lang w:val="en-GB"/>
        </w:rPr>
        <w:t xml:space="preserve"> are captured in the RSMS.</w:t>
      </w:r>
      <w:r w:rsidRPr="000B3786">
        <w:rPr>
          <w:lang w:val="en-GB"/>
        </w:rPr>
        <w:t xml:space="preserve"> </w:t>
      </w:r>
      <w:r>
        <w:rPr>
          <w:lang w:val="en-GB"/>
        </w:rPr>
        <w:t>Inward telephone calls made to the Agency Advisory Line (1300 794 744) are recorded by the Agency’s phone system. Other enquiries such as Ministerial correspondence are recorded in the Ministerial tracking system.</w:t>
      </w:r>
      <w:r w:rsidRPr="004A2621">
        <w:rPr>
          <w:lang w:val="en-GB"/>
        </w:rPr>
        <w:t xml:space="preserve"> </w:t>
      </w:r>
      <w:r w:rsidRPr="004975B0">
        <w:rPr>
          <w:lang w:val="en-GB"/>
        </w:rPr>
        <w:t xml:space="preserve">The total number of matters conducted is then extracted directly from the </w:t>
      </w:r>
      <w:r>
        <w:rPr>
          <w:lang w:val="en-GB"/>
        </w:rPr>
        <w:t xml:space="preserve">respective </w:t>
      </w:r>
      <w:r w:rsidRPr="004975B0">
        <w:rPr>
          <w:lang w:val="en-GB"/>
        </w:rPr>
        <w:t>system</w:t>
      </w:r>
      <w:r>
        <w:rPr>
          <w:lang w:val="en-GB"/>
        </w:rPr>
        <w:t>s and included in a monthly activity report.</w:t>
      </w:r>
    </w:p>
    <w:p w14:paraId="11869202" w14:textId="77777777" w:rsidR="009927AE" w:rsidRDefault="009927AE">
      <w:pPr>
        <w:keepLines w:val="0"/>
        <w:spacing w:after="0" w:line="240" w:lineRule="auto"/>
        <w:rPr>
          <w:lang w:val="en-GB"/>
        </w:rPr>
      </w:pPr>
      <w:r>
        <w:rPr>
          <w:lang w:val="en-GB"/>
        </w:rPr>
        <w:br w:type="page"/>
      </w:r>
    </w:p>
    <w:p w14:paraId="67EF96AC" w14:textId="77777777" w:rsidR="009927AE" w:rsidRDefault="009927AE" w:rsidP="009927AE">
      <w:pPr>
        <w:rPr>
          <w:rFonts w:cs="Arial"/>
          <w:bCs/>
          <w:lang w:val="en-GB"/>
        </w:rPr>
      </w:pPr>
      <w:r w:rsidRPr="000A0AFF">
        <w:rPr>
          <w:rFonts w:cs="Arial"/>
          <w:bCs/>
          <w:lang w:val="en-GB"/>
        </w:rPr>
        <w:t xml:space="preserve">The target for this indicator was determined by dividing the approved budget for this activity by the estimated total number of written advice notifications prepared and verbal consultations conducted for the year. The </w:t>
      </w:r>
      <w:r>
        <w:rPr>
          <w:rFonts w:cs="Arial"/>
          <w:bCs/>
          <w:lang w:val="en-GB"/>
        </w:rPr>
        <w:t>predicted</w:t>
      </w:r>
      <w:r w:rsidRPr="000A0AFF">
        <w:rPr>
          <w:rFonts w:cs="Arial"/>
          <w:bCs/>
          <w:lang w:val="en-GB"/>
        </w:rPr>
        <w:t xml:space="preserve"> number of activities </w:t>
      </w:r>
      <w:r>
        <w:rPr>
          <w:rFonts w:cs="Arial"/>
          <w:bCs/>
          <w:lang w:val="en-GB"/>
        </w:rPr>
        <w:t xml:space="preserve">was a significant decrease on the previous year </w:t>
      </w:r>
      <w:r w:rsidRPr="000A0AFF">
        <w:rPr>
          <w:rFonts w:cs="Arial"/>
          <w:bCs/>
          <w:lang w:val="en-GB"/>
        </w:rPr>
        <w:t xml:space="preserve">based on a </w:t>
      </w:r>
      <w:r>
        <w:rPr>
          <w:rFonts w:cs="Arial"/>
          <w:bCs/>
          <w:lang w:val="en-GB"/>
        </w:rPr>
        <w:t xml:space="preserve">continuing downward trend </w:t>
      </w:r>
      <w:r w:rsidRPr="000A0AFF">
        <w:rPr>
          <w:rFonts w:cs="Arial"/>
          <w:bCs/>
          <w:lang w:val="en-GB"/>
        </w:rPr>
        <w:t>in telephone calls attributed to increased website activity.</w:t>
      </w:r>
    </w:p>
    <w:p w14:paraId="76579861" w14:textId="77777777" w:rsidR="009927AE" w:rsidRPr="009927AE" w:rsidRDefault="009927AE" w:rsidP="009927AE">
      <w:pPr>
        <w:rPr>
          <w:b/>
        </w:rPr>
      </w:pPr>
      <w:r w:rsidRPr="009927AE">
        <w:rPr>
          <w:b/>
        </w:rPr>
        <w:t xml:space="preserve">Analysis </w:t>
      </w:r>
    </w:p>
    <w:p w14:paraId="197DBBE6" w14:textId="77777777" w:rsidR="009927AE" w:rsidRPr="00B0369C" w:rsidRDefault="009927AE" w:rsidP="009927AE">
      <w:pPr>
        <w:rPr>
          <w:b/>
        </w:rPr>
      </w:pPr>
      <w:r w:rsidRPr="002E1250">
        <w:t xml:space="preserve">In </w:t>
      </w:r>
      <w:r>
        <w:t>2017/18</w:t>
      </w:r>
      <w:r w:rsidRPr="002E1250">
        <w:t xml:space="preserve"> the average cost per client contact to provide information and advice was </w:t>
      </w:r>
      <w:r>
        <w:t xml:space="preserve">$75 </w:t>
      </w:r>
      <w:r w:rsidRPr="002E1250">
        <w:t>(see Figure 6</w:t>
      </w:r>
      <w:r>
        <w:t xml:space="preserve">). </w:t>
      </w:r>
      <w:r w:rsidRPr="00B0369C">
        <w:t xml:space="preserve">This is </w:t>
      </w:r>
      <w:r>
        <w:t xml:space="preserve">27.9 </w:t>
      </w:r>
      <w:r w:rsidRPr="00B0369C">
        <w:t>percent lower than the target of $104 and</w:t>
      </w:r>
      <w:r>
        <w:t xml:space="preserve"> 31.8 </w:t>
      </w:r>
      <w:r w:rsidRPr="00B0369C">
        <w:t xml:space="preserve">percent lower than 2016/17. </w:t>
      </w:r>
    </w:p>
    <w:p w14:paraId="079E275F" w14:textId="77777777" w:rsidR="009927AE" w:rsidRPr="00B0369C" w:rsidRDefault="009927AE" w:rsidP="009927AE">
      <w:pPr>
        <w:rPr>
          <w:b/>
        </w:rPr>
      </w:pPr>
      <w:r w:rsidRPr="00B0369C">
        <w:t xml:space="preserve">The significant reduction in the average cost of providing this service is primarily due to a Divisional restructure conducted during the year resulting in reduced direct resources for this activity. </w:t>
      </w:r>
    </w:p>
    <w:p w14:paraId="4B1C85B1" w14:textId="77777777" w:rsidR="009927AE" w:rsidRDefault="009927AE" w:rsidP="009927AE">
      <w:r w:rsidRPr="00B0369C">
        <w:t>The Advice and Assistance Unit</w:t>
      </w:r>
      <w:r>
        <w:t>,</w:t>
      </w:r>
      <w:r w:rsidRPr="00B0369C">
        <w:t xml:space="preserve"> which is now incorporated into the Communication and Education Branch</w:t>
      </w:r>
      <w:r>
        <w:t>,</w:t>
      </w:r>
      <w:r w:rsidRPr="00B0369C">
        <w:t xml:space="preserve"> responded to 19,939 requests in 2017/18</w:t>
      </w:r>
      <w:r>
        <w:t>. This is 9.7 percent</w:t>
      </w:r>
      <w:r w:rsidRPr="00B0369C">
        <w:t xml:space="preserve"> more than expected and only </w:t>
      </w:r>
      <w:r>
        <w:t>2.0 percent</w:t>
      </w:r>
      <w:r w:rsidRPr="00B0369C">
        <w:t xml:space="preserve"> less than 2016/17 with </w:t>
      </w:r>
      <w:r>
        <w:t>reduced</w:t>
      </w:r>
      <w:r w:rsidRPr="00B0369C">
        <w:t xml:space="preserve"> resources. The previous downward trend attributed to reduced claim numbers across the scheme and the improved information and search capabilities of the WorkCover WA website appears to be stabilising. In 2017/18 the website attracted </w:t>
      </w:r>
      <w:r>
        <w:t>approximately 268,000</w:t>
      </w:r>
      <w:r w:rsidRPr="00B0369C">
        <w:t xml:space="preserve"> hits compared to approximately 275,000 in 2016/17.</w:t>
      </w:r>
    </w:p>
    <w:p w14:paraId="2041C1DA" w14:textId="20F1F735" w:rsidR="009927AE" w:rsidRDefault="009927AE" w:rsidP="009927AE">
      <w:pPr>
        <w:rPr>
          <w:b/>
        </w:rPr>
      </w:pPr>
      <w:r w:rsidRPr="00931F89">
        <w:rPr>
          <w:noProof/>
          <w:lang w:eastAsia="en-AU"/>
        </w:rPr>
        <w:drawing>
          <wp:inline distT="0" distB="0" distL="0" distR="0" wp14:anchorId="7DA57335" wp14:editId="749D5405">
            <wp:extent cx="5731510" cy="3848100"/>
            <wp:effectExtent l="0" t="0" r="2540" b="0"/>
            <wp:docPr id="17" name="Object 6" descr="This indicator reports the average cost of providing information and advice in relation to all aspects of the scheme. It is measured by dividing the full costs of the Advice and Assistance service by the total number of advice and assistance activities (written advice notifications prepared and verbal consultations conducted). " title="Figure 6 Average cost per client contact to provide information and advic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EAD347" w14:textId="77777777" w:rsidR="009927AE" w:rsidRDefault="009927AE">
      <w:pPr>
        <w:keepLines w:val="0"/>
        <w:spacing w:after="0" w:line="240" w:lineRule="auto"/>
        <w:rPr>
          <w:rStyle w:val="Strong"/>
          <w:color w:val="1F362E"/>
        </w:rPr>
      </w:pPr>
      <w:r>
        <w:rPr>
          <w:rStyle w:val="Strong"/>
          <w:color w:val="1F362E"/>
        </w:rPr>
        <w:br w:type="page"/>
      </w:r>
    </w:p>
    <w:p w14:paraId="0D007562" w14:textId="25AD5D8E" w:rsidR="009927AE" w:rsidRPr="009927AE" w:rsidRDefault="009927AE" w:rsidP="009927AE">
      <w:pPr>
        <w:rPr>
          <w:rStyle w:val="Strong"/>
        </w:rPr>
      </w:pPr>
      <w:r w:rsidRPr="009927AE">
        <w:rPr>
          <w:rStyle w:val="Strong"/>
        </w:rPr>
        <w:t>Service 2: Scheme Services - provision of effective and equitable dispute resolution and other services to scheme participants</w:t>
      </w:r>
    </w:p>
    <w:p w14:paraId="65A3F11D" w14:textId="77777777" w:rsidR="009927AE" w:rsidRDefault="009927AE" w:rsidP="009927AE">
      <w:pPr>
        <w:rPr>
          <w:rFonts w:cs="Arial"/>
          <w:lang w:eastAsia="en-AU"/>
        </w:rPr>
      </w:pPr>
      <w:r w:rsidRPr="00BA3C49">
        <w:rPr>
          <w:rFonts w:cs="Arial"/>
          <w:lang w:eastAsia="en-AU"/>
        </w:rPr>
        <w:t>The Conciliation and Arbitration Services (CAS) provide a fair and cost effective system for the resolution of disputes that is timely, accessible, approachable and professional, and minimises costs to parties to disputes through either conciliation or arbitration.</w:t>
      </w:r>
    </w:p>
    <w:p w14:paraId="5D65CE6F" w14:textId="77777777" w:rsidR="009927AE" w:rsidRDefault="009927AE" w:rsidP="009927AE">
      <w:r>
        <w:t>The Agency is also responsible for recording the finalisation of workers’ compensation claims through the registration of Memoranda of Agreement (MoAs) and the processing of docume</w:t>
      </w:r>
      <w:bookmarkStart w:id="742" w:name="_GoBack"/>
      <w:bookmarkEnd w:id="742"/>
      <w:r>
        <w:t>nts submitted in relation to settlement of common law actions initiated in the District Court.</w:t>
      </w:r>
    </w:p>
    <w:p w14:paraId="508CFEFF" w14:textId="77777777" w:rsidR="009927AE" w:rsidRPr="009927AE" w:rsidRDefault="009927AE" w:rsidP="009927AE">
      <w:pPr>
        <w:rPr>
          <w:b/>
          <w:color w:val="AD9600"/>
        </w:rPr>
      </w:pPr>
      <w:r w:rsidRPr="009927AE">
        <w:rPr>
          <w:b/>
        </w:rPr>
        <w:t>Indicator 2.1</w:t>
      </w:r>
      <w:r w:rsidRPr="009927AE">
        <w:rPr>
          <w:b/>
          <w:color w:val="AD9600"/>
        </w:rPr>
        <w:t xml:space="preserve"> </w:t>
      </w:r>
    </w:p>
    <w:p w14:paraId="4C1F6191" w14:textId="77777777" w:rsidR="009927AE" w:rsidRPr="00A72D39" w:rsidRDefault="009927AE" w:rsidP="009927AE">
      <w:pPr>
        <w:pStyle w:val="Normal-Act"/>
      </w:pPr>
      <w:r w:rsidRPr="00A72D39">
        <w:t>Average cost to complete a conciliation</w:t>
      </w:r>
    </w:p>
    <w:tbl>
      <w:tblPr>
        <w:tblW w:w="9253"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20"/>
        <w:gridCol w:w="1088"/>
        <w:gridCol w:w="1089"/>
        <w:gridCol w:w="1089"/>
        <w:gridCol w:w="1089"/>
        <w:gridCol w:w="1089"/>
        <w:gridCol w:w="1089"/>
      </w:tblGrid>
      <w:tr w:rsidR="001C4A27" w:rsidRPr="00A173D1" w14:paraId="6351899B" w14:textId="77777777" w:rsidTr="00CE2301">
        <w:trPr>
          <w:trHeight w:val="291"/>
          <w:jc w:val="center"/>
        </w:trPr>
        <w:tc>
          <w:tcPr>
            <w:tcW w:w="2720"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6AEEC4DA" w14:textId="374AB7C9" w:rsidR="009927AE" w:rsidRPr="009927AE" w:rsidRDefault="009927AE" w:rsidP="0000700F">
            <w:pPr>
              <w:pStyle w:val="TableHeading"/>
              <w:spacing w:before="0" w:after="0"/>
              <w:jc w:val="center"/>
              <w:outlineLvl w:val="0"/>
              <w:rPr>
                <w:rFonts w:cs="Arial"/>
              </w:rPr>
            </w:pPr>
            <w:bookmarkStart w:id="743" w:name="_Toc525122142"/>
            <w:r w:rsidRPr="009927AE">
              <w:rPr>
                <w:rFonts w:cs="Arial"/>
              </w:rPr>
              <w:t xml:space="preserve">Indicator </w:t>
            </w:r>
            <w:bookmarkEnd w:id="743"/>
            <w:r w:rsidR="009C3F72">
              <w:rPr>
                <w:rFonts w:cs="Arial"/>
              </w:rPr>
              <w:t>2.1</w:t>
            </w:r>
          </w:p>
        </w:tc>
        <w:tc>
          <w:tcPr>
            <w:tcW w:w="1088" w:type="dxa"/>
            <w:tcBorders>
              <w:top w:val="single" w:sz="4" w:space="0" w:color="auto"/>
              <w:left w:val="single" w:sz="4" w:space="0" w:color="auto"/>
              <w:bottom w:val="single" w:sz="4" w:space="0" w:color="auto"/>
              <w:right w:val="single" w:sz="4" w:space="0" w:color="auto"/>
            </w:tcBorders>
            <w:shd w:val="clear" w:color="auto" w:fill="898D91"/>
          </w:tcPr>
          <w:p w14:paraId="6502BC7B" w14:textId="77777777" w:rsidR="009927AE" w:rsidRPr="009927AE" w:rsidRDefault="009927AE" w:rsidP="0000700F">
            <w:pPr>
              <w:pStyle w:val="TableHeading"/>
              <w:spacing w:before="0" w:after="0"/>
              <w:jc w:val="center"/>
              <w:rPr>
                <w:rFonts w:cs="Arial"/>
              </w:rPr>
            </w:pPr>
            <w:r w:rsidRPr="009927AE">
              <w:rPr>
                <w:rFonts w:cs="Arial"/>
              </w:rPr>
              <w:t>2013/14</w:t>
            </w:r>
          </w:p>
          <w:p w14:paraId="35059A11" w14:textId="77777777" w:rsidR="009927AE" w:rsidRPr="009927AE" w:rsidRDefault="009927AE" w:rsidP="0000700F">
            <w:pPr>
              <w:pStyle w:val="TableHeading"/>
              <w:spacing w:before="0" w:after="0"/>
              <w:jc w:val="center"/>
              <w:rPr>
                <w:rFonts w:cs="Arial"/>
              </w:rPr>
            </w:pPr>
            <w:r w:rsidRPr="009927AE">
              <w:rPr>
                <w:rFonts w:cs="Arial"/>
              </w:rPr>
              <w:t>Actual</w:t>
            </w:r>
          </w:p>
        </w:tc>
        <w:tc>
          <w:tcPr>
            <w:tcW w:w="1089" w:type="dxa"/>
            <w:tcBorders>
              <w:top w:val="single" w:sz="4" w:space="0" w:color="auto"/>
              <w:left w:val="single" w:sz="4" w:space="0" w:color="auto"/>
              <w:bottom w:val="single" w:sz="4" w:space="0" w:color="auto"/>
              <w:right w:val="single" w:sz="4" w:space="0" w:color="auto"/>
            </w:tcBorders>
            <w:shd w:val="clear" w:color="auto" w:fill="898D91"/>
          </w:tcPr>
          <w:p w14:paraId="32F460C8" w14:textId="77777777" w:rsidR="009927AE" w:rsidRPr="009927AE" w:rsidRDefault="009927AE" w:rsidP="0000700F">
            <w:pPr>
              <w:pStyle w:val="TableHeading"/>
              <w:spacing w:before="0" w:after="0"/>
              <w:jc w:val="center"/>
              <w:rPr>
                <w:rFonts w:cs="Arial"/>
              </w:rPr>
            </w:pPr>
            <w:r w:rsidRPr="009927AE">
              <w:rPr>
                <w:rFonts w:cs="Arial"/>
              </w:rPr>
              <w:t>2014/15</w:t>
            </w:r>
          </w:p>
          <w:p w14:paraId="6431B3FE" w14:textId="77777777" w:rsidR="009927AE" w:rsidRPr="009927AE" w:rsidRDefault="009927AE" w:rsidP="0000700F">
            <w:pPr>
              <w:pStyle w:val="TableHeading"/>
              <w:spacing w:before="0" w:after="0"/>
              <w:jc w:val="center"/>
              <w:rPr>
                <w:rFonts w:cs="Arial"/>
              </w:rPr>
            </w:pPr>
            <w:r w:rsidRPr="009927AE">
              <w:rPr>
                <w:rFonts w:cs="Arial"/>
              </w:rPr>
              <w:t>Actual</w:t>
            </w:r>
          </w:p>
        </w:tc>
        <w:tc>
          <w:tcPr>
            <w:tcW w:w="1089" w:type="dxa"/>
            <w:tcBorders>
              <w:top w:val="single" w:sz="4" w:space="0" w:color="auto"/>
              <w:left w:val="single" w:sz="4" w:space="0" w:color="auto"/>
              <w:bottom w:val="single" w:sz="4" w:space="0" w:color="auto"/>
              <w:right w:val="single" w:sz="4" w:space="0" w:color="auto"/>
            </w:tcBorders>
            <w:shd w:val="clear" w:color="auto" w:fill="898D91"/>
          </w:tcPr>
          <w:p w14:paraId="61D30138" w14:textId="77777777" w:rsidR="009927AE" w:rsidRPr="009927AE" w:rsidRDefault="009927AE" w:rsidP="0000700F">
            <w:pPr>
              <w:pStyle w:val="TableHeading"/>
              <w:spacing w:before="0" w:after="0"/>
              <w:jc w:val="center"/>
              <w:rPr>
                <w:rFonts w:cs="Arial"/>
              </w:rPr>
            </w:pPr>
            <w:r w:rsidRPr="009927AE">
              <w:rPr>
                <w:rFonts w:cs="Arial"/>
              </w:rPr>
              <w:t>2015/16</w:t>
            </w:r>
          </w:p>
          <w:p w14:paraId="76E2BB66" w14:textId="77777777" w:rsidR="009927AE" w:rsidRPr="009927AE" w:rsidRDefault="009927AE" w:rsidP="0000700F">
            <w:pPr>
              <w:pStyle w:val="TableHeading"/>
              <w:spacing w:before="0" w:after="0"/>
              <w:jc w:val="center"/>
              <w:rPr>
                <w:rFonts w:cs="Arial"/>
              </w:rPr>
            </w:pPr>
            <w:r w:rsidRPr="009927AE">
              <w:rPr>
                <w:rFonts w:cs="Arial"/>
              </w:rPr>
              <w:t>Actual</w:t>
            </w:r>
          </w:p>
        </w:tc>
        <w:tc>
          <w:tcPr>
            <w:tcW w:w="1089" w:type="dxa"/>
            <w:tcBorders>
              <w:top w:val="single" w:sz="4" w:space="0" w:color="auto"/>
              <w:left w:val="single" w:sz="4" w:space="0" w:color="auto"/>
              <w:bottom w:val="single" w:sz="4" w:space="0" w:color="auto"/>
              <w:right w:val="single" w:sz="4" w:space="0" w:color="auto"/>
            </w:tcBorders>
            <w:shd w:val="clear" w:color="auto" w:fill="898D91"/>
          </w:tcPr>
          <w:p w14:paraId="733C3422" w14:textId="77777777" w:rsidR="009927AE" w:rsidRPr="009927AE" w:rsidRDefault="009927AE" w:rsidP="0000700F">
            <w:pPr>
              <w:pStyle w:val="TableHeading"/>
              <w:spacing w:before="0" w:after="0"/>
              <w:jc w:val="center"/>
              <w:rPr>
                <w:rFonts w:cs="Arial"/>
              </w:rPr>
            </w:pPr>
            <w:r w:rsidRPr="009927AE">
              <w:rPr>
                <w:rFonts w:cs="Arial"/>
              </w:rPr>
              <w:t xml:space="preserve">2016/17  Actual </w:t>
            </w:r>
          </w:p>
        </w:tc>
        <w:tc>
          <w:tcPr>
            <w:tcW w:w="1089" w:type="dxa"/>
            <w:tcBorders>
              <w:top w:val="single" w:sz="4" w:space="0" w:color="auto"/>
              <w:left w:val="single" w:sz="4" w:space="0" w:color="auto"/>
              <w:bottom w:val="single" w:sz="4" w:space="0" w:color="auto"/>
              <w:right w:val="single" w:sz="4" w:space="0" w:color="auto"/>
            </w:tcBorders>
            <w:shd w:val="clear" w:color="auto" w:fill="898D91"/>
            <w:hideMark/>
          </w:tcPr>
          <w:p w14:paraId="67A8F4C2" w14:textId="77777777" w:rsidR="009927AE" w:rsidRPr="009927AE" w:rsidRDefault="009927AE" w:rsidP="0000700F">
            <w:pPr>
              <w:pStyle w:val="TableHeading"/>
              <w:spacing w:before="0" w:after="0"/>
              <w:jc w:val="center"/>
              <w:rPr>
                <w:rFonts w:cs="Arial"/>
              </w:rPr>
            </w:pPr>
            <w:r w:rsidRPr="009927AE">
              <w:rPr>
                <w:rFonts w:cs="Arial"/>
              </w:rPr>
              <w:t xml:space="preserve">2017/18 Actual </w:t>
            </w:r>
          </w:p>
        </w:tc>
        <w:tc>
          <w:tcPr>
            <w:tcW w:w="1089" w:type="dxa"/>
            <w:tcBorders>
              <w:top w:val="single" w:sz="4" w:space="0" w:color="auto"/>
              <w:left w:val="single" w:sz="4" w:space="0" w:color="auto"/>
              <w:bottom w:val="single" w:sz="4" w:space="0" w:color="auto"/>
              <w:right w:val="single" w:sz="4" w:space="0" w:color="auto"/>
            </w:tcBorders>
            <w:shd w:val="clear" w:color="auto" w:fill="898D91"/>
          </w:tcPr>
          <w:p w14:paraId="57C2B2C8" w14:textId="77777777" w:rsidR="009927AE" w:rsidRPr="009927AE" w:rsidRDefault="009927AE" w:rsidP="0000700F">
            <w:pPr>
              <w:pStyle w:val="TableHeading"/>
              <w:spacing w:before="0" w:after="0"/>
              <w:jc w:val="center"/>
              <w:rPr>
                <w:rFonts w:cs="Arial"/>
              </w:rPr>
            </w:pPr>
            <w:r w:rsidRPr="009927AE">
              <w:rPr>
                <w:rFonts w:cs="Arial"/>
              </w:rPr>
              <w:t>2017/18 Target</w:t>
            </w:r>
          </w:p>
        </w:tc>
      </w:tr>
      <w:tr w:rsidR="001C4A27" w:rsidRPr="00A173D1" w14:paraId="75FD65EA" w14:textId="77777777" w:rsidTr="00CE2301">
        <w:trPr>
          <w:trHeight w:val="589"/>
          <w:jc w:val="center"/>
        </w:trPr>
        <w:tc>
          <w:tcPr>
            <w:tcW w:w="2720" w:type="dxa"/>
            <w:tcBorders>
              <w:top w:val="single" w:sz="4" w:space="0" w:color="auto"/>
              <w:left w:val="single" w:sz="4" w:space="0" w:color="auto"/>
              <w:bottom w:val="single" w:sz="4" w:space="0" w:color="auto"/>
              <w:right w:val="single" w:sz="4" w:space="0" w:color="auto"/>
            </w:tcBorders>
            <w:vAlign w:val="center"/>
            <w:hideMark/>
          </w:tcPr>
          <w:p w14:paraId="4A18EF2D" w14:textId="77777777" w:rsidR="009927AE" w:rsidRPr="009927AE" w:rsidRDefault="009927AE" w:rsidP="0000700F">
            <w:pPr>
              <w:pStyle w:val="TableText"/>
              <w:rPr>
                <w:sz w:val="22"/>
                <w:szCs w:val="22"/>
                <w:highlight w:val="yellow"/>
              </w:rPr>
            </w:pPr>
            <w:r w:rsidRPr="009927AE">
              <w:rPr>
                <w:sz w:val="22"/>
                <w:szCs w:val="22"/>
              </w:rPr>
              <w:t>Average cost to  complete a conciliation</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center"/>
          </w:tcPr>
          <w:p w14:paraId="399C7275" w14:textId="77777777" w:rsidR="009927AE" w:rsidRPr="009927AE" w:rsidRDefault="009927AE" w:rsidP="0000700F">
            <w:pPr>
              <w:pStyle w:val="TableText"/>
              <w:spacing w:before="60" w:after="60"/>
              <w:jc w:val="center"/>
              <w:rPr>
                <w:sz w:val="22"/>
                <w:szCs w:val="22"/>
              </w:rPr>
            </w:pPr>
            <w:r w:rsidRPr="009927AE">
              <w:rPr>
                <w:sz w:val="22"/>
                <w:szCs w:val="22"/>
              </w:rPr>
              <w:t>$2,268</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41DFB591" w14:textId="77777777" w:rsidR="009927AE" w:rsidRPr="009927AE" w:rsidRDefault="009927AE" w:rsidP="0000700F">
            <w:pPr>
              <w:pStyle w:val="TableText"/>
              <w:spacing w:before="60" w:after="60"/>
              <w:jc w:val="center"/>
              <w:rPr>
                <w:sz w:val="22"/>
                <w:szCs w:val="22"/>
              </w:rPr>
            </w:pPr>
            <w:r w:rsidRPr="009927AE">
              <w:rPr>
                <w:sz w:val="22"/>
                <w:szCs w:val="22"/>
              </w:rPr>
              <w:t>$1,966</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3E4544F5" w14:textId="77777777" w:rsidR="009927AE" w:rsidRPr="009927AE" w:rsidRDefault="009927AE" w:rsidP="0000700F">
            <w:pPr>
              <w:pStyle w:val="TableText"/>
              <w:spacing w:before="60" w:after="60"/>
              <w:jc w:val="center"/>
              <w:rPr>
                <w:sz w:val="22"/>
                <w:szCs w:val="22"/>
              </w:rPr>
            </w:pPr>
            <w:r w:rsidRPr="009927AE">
              <w:rPr>
                <w:sz w:val="22"/>
                <w:szCs w:val="22"/>
              </w:rPr>
              <w:t>$2,095</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14:paraId="02733736" w14:textId="77777777" w:rsidR="009927AE" w:rsidRPr="009927AE" w:rsidRDefault="009927AE" w:rsidP="0000700F">
            <w:pPr>
              <w:pStyle w:val="TableText"/>
              <w:spacing w:before="60" w:after="60"/>
              <w:jc w:val="center"/>
              <w:rPr>
                <w:sz w:val="22"/>
                <w:szCs w:val="22"/>
              </w:rPr>
            </w:pPr>
            <w:r w:rsidRPr="009927AE">
              <w:rPr>
                <w:sz w:val="22"/>
                <w:szCs w:val="22"/>
              </w:rPr>
              <w:t>$2,208</w:t>
            </w:r>
          </w:p>
        </w:tc>
        <w:tc>
          <w:tcPr>
            <w:tcW w:w="1089"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1919BBAE" w14:textId="77777777" w:rsidR="009927AE" w:rsidRPr="001C4A27" w:rsidRDefault="009927AE" w:rsidP="0000700F">
            <w:pPr>
              <w:pStyle w:val="TableText"/>
              <w:spacing w:before="60" w:after="60"/>
              <w:jc w:val="center"/>
              <w:rPr>
                <w:color w:val="FFFFFF" w:themeColor="background1"/>
                <w:sz w:val="22"/>
                <w:szCs w:val="22"/>
              </w:rPr>
            </w:pPr>
            <w:r w:rsidRPr="001C4A27">
              <w:rPr>
                <w:color w:val="FFFFFF" w:themeColor="background1"/>
                <w:sz w:val="22"/>
                <w:szCs w:val="22"/>
              </w:rPr>
              <w:t>$2,353</w:t>
            </w:r>
          </w:p>
        </w:tc>
        <w:tc>
          <w:tcPr>
            <w:tcW w:w="1089" w:type="dxa"/>
            <w:tcBorders>
              <w:top w:val="single" w:sz="4" w:space="0" w:color="auto"/>
              <w:left w:val="single" w:sz="4" w:space="0" w:color="auto"/>
              <w:bottom w:val="single" w:sz="4" w:space="0" w:color="auto"/>
              <w:right w:val="single" w:sz="4" w:space="0" w:color="auto"/>
            </w:tcBorders>
            <w:shd w:val="clear" w:color="auto" w:fill="003F5F"/>
            <w:vAlign w:val="center"/>
          </w:tcPr>
          <w:p w14:paraId="0B41CA5F" w14:textId="77777777" w:rsidR="009927AE" w:rsidRPr="001C4A27" w:rsidRDefault="009927AE" w:rsidP="001C4A27">
            <w:pPr>
              <w:pStyle w:val="TableText"/>
              <w:spacing w:before="60" w:after="60"/>
              <w:jc w:val="center"/>
              <w:rPr>
                <w:color w:val="FFFFFF" w:themeColor="background1"/>
                <w:sz w:val="22"/>
                <w:szCs w:val="22"/>
              </w:rPr>
            </w:pPr>
            <w:r w:rsidRPr="001C4A27">
              <w:rPr>
                <w:color w:val="FFFFFF" w:themeColor="background1"/>
                <w:sz w:val="22"/>
                <w:szCs w:val="22"/>
              </w:rPr>
              <w:t>$2,194</w:t>
            </w:r>
          </w:p>
        </w:tc>
      </w:tr>
    </w:tbl>
    <w:p w14:paraId="79B7F13A" w14:textId="77777777" w:rsidR="009927AE" w:rsidRDefault="009927AE" w:rsidP="009927AE"/>
    <w:p w14:paraId="72650AB7" w14:textId="77777777" w:rsidR="001C4A27" w:rsidRPr="001C4A27" w:rsidRDefault="001C4A27" w:rsidP="001C4A27">
      <w:pPr>
        <w:rPr>
          <w:b/>
        </w:rPr>
      </w:pPr>
      <w:r w:rsidRPr="001C4A27">
        <w:rPr>
          <w:b/>
        </w:rPr>
        <w:t>Description</w:t>
      </w:r>
    </w:p>
    <w:p w14:paraId="2958F37C" w14:textId="77777777" w:rsidR="001C4A27" w:rsidRPr="00B82D72" w:rsidRDefault="001C4A27" w:rsidP="001C4A27">
      <w:pPr>
        <w:pStyle w:val="Style1"/>
        <w:spacing w:before="120" w:after="240" w:line="276" w:lineRule="auto"/>
        <w:rPr>
          <w:rFonts w:cs="Arial"/>
          <w:b/>
          <w:caps w:val="0"/>
          <w:sz w:val="24"/>
          <w:szCs w:val="24"/>
        </w:rPr>
      </w:pPr>
      <w:r w:rsidRPr="002807CF">
        <w:rPr>
          <w:rFonts w:cs="Arial"/>
          <w:caps w:val="0"/>
          <w:sz w:val="24"/>
          <w:szCs w:val="24"/>
        </w:rPr>
        <w:t xml:space="preserve">This KPI measures the average </w:t>
      </w:r>
      <w:r>
        <w:rPr>
          <w:rFonts w:cs="Arial"/>
          <w:caps w:val="0"/>
          <w:sz w:val="24"/>
          <w:szCs w:val="24"/>
        </w:rPr>
        <w:t>cost to complete a conciliation</w:t>
      </w:r>
      <w:r w:rsidRPr="002807CF">
        <w:rPr>
          <w:rFonts w:cs="Arial"/>
          <w:caps w:val="0"/>
          <w:sz w:val="24"/>
          <w:szCs w:val="24"/>
        </w:rPr>
        <w:t>. It is measured by dividing the full costs of providing the conciliation process</w:t>
      </w:r>
      <w:r>
        <w:rPr>
          <w:rFonts w:cs="Arial"/>
          <w:caps w:val="0"/>
          <w:sz w:val="24"/>
          <w:szCs w:val="24"/>
        </w:rPr>
        <w:t xml:space="preserve"> </w:t>
      </w:r>
      <w:r w:rsidRPr="002807CF">
        <w:rPr>
          <w:rFonts w:cs="Arial"/>
          <w:caps w:val="0"/>
          <w:sz w:val="24"/>
          <w:szCs w:val="24"/>
        </w:rPr>
        <w:t xml:space="preserve">by the </w:t>
      </w:r>
      <w:r>
        <w:rPr>
          <w:rFonts w:cs="Arial"/>
          <w:caps w:val="0"/>
          <w:sz w:val="24"/>
          <w:szCs w:val="24"/>
        </w:rPr>
        <w:t xml:space="preserve">total </w:t>
      </w:r>
      <w:r w:rsidRPr="002807CF">
        <w:rPr>
          <w:rFonts w:cs="Arial"/>
          <w:caps w:val="0"/>
          <w:sz w:val="24"/>
          <w:szCs w:val="24"/>
        </w:rPr>
        <w:t>number of conciliations completed.</w:t>
      </w:r>
    </w:p>
    <w:p w14:paraId="5481B031" w14:textId="77777777" w:rsidR="001C4A27" w:rsidRDefault="001C4A27" w:rsidP="001C4A27">
      <w:pPr>
        <w:pStyle w:val="Style1"/>
        <w:spacing w:before="120" w:after="240" w:line="276" w:lineRule="auto"/>
        <w:rPr>
          <w:rFonts w:cs="Arial"/>
          <w:caps w:val="0"/>
          <w:sz w:val="24"/>
          <w:szCs w:val="24"/>
        </w:rPr>
      </w:pPr>
      <w:r>
        <w:rPr>
          <w:rFonts w:cs="Arial"/>
          <w:caps w:val="0"/>
          <w:sz w:val="24"/>
          <w:szCs w:val="24"/>
        </w:rPr>
        <w:t xml:space="preserve">All </w:t>
      </w:r>
      <w:r w:rsidRPr="00B82D72">
        <w:rPr>
          <w:rFonts w:cs="Arial"/>
          <w:caps w:val="0"/>
          <w:sz w:val="24"/>
          <w:szCs w:val="24"/>
        </w:rPr>
        <w:t>conciliation</w:t>
      </w:r>
      <w:r>
        <w:rPr>
          <w:rFonts w:cs="Arial"/>
          <w:caps w:val="0"/>
          <w:sz w:val="24"/>
          <w:szCs w:val="24"/>
        </w:rPr>
        <w:t>s are recorded in the DCMS along with completed dates. ‘Completed’ is measured as the date that a conciliation officer records a Certificate of Outcome at the end of a conciliation process. The data for this indicator is extracted directly from DCMS.</w:t>
      </w:r>
    </w:p>
    <w:p w14:paraId="0E5120F8" w14:textId="77777777" w:rsidR="001C4A27" w:rsidRDefault="001C4A27" w:rsidP="001C4A27">
      <w:r w:rsidRPr="000A0AFF">
        <w:rPr>
          <w:rFonts w:cs="Arial"/>
          <w:bCs/>
          <w:lang w:val="en-GB"/>
        </w:rPr>
        <w:t xml:space="preserve">The target for this indicator was determined by dividing the approved budget for this activity by the estimated total number of conciliations completed for the year. </w:t>
      </w:r>
      <w:r w:rsidRPr="000A0AFF">
        <w:t xml:space="preserve">The estimated number of conciliations for </w:t>
      </w:r>
      <w:r>
        <w:t xml:space="preserve">2017/18 </w:t>
      </w:r>
      <w:r w:rsidRPr="000A0AFF">
        <w:t>is slightly</w:t>
      </w:r>
      <w:r>
        <w:t xml:space="preserve"> more </w:t>
      </w:r>
      <w:r w:rsidRPr="000A0AFF">
        <w:t>than the figure used for</w:t>
      </w:r>
      <w:r>
        <w:t xml:space="preserve"> 2016/17 </w:t>
      </w:r>
      <w:r w:rsidRPr="000A0AFF">
        <w:t>based on the stabilising of a previous upward trend.</w:t>
      </w:r>
    </w:p>
    <w:p w14:paraId="026C778E" w14:textId="77777777" w:rsidR="001C4A27" w:rsidRPr="001C4A27" w:rsidRDefault="001C4A27" w:rsidP="001C4A27">
      <w:pPr>
        <w:rPr>
          <w:b/>
        </w:rPr>
      </w:pPr>
      <w:r w:rsidRPr="001C4A27">
        <w:rPr>
          <w:b/>
        </w:rPr>
        <w:t xml:space="preserve">Analysis </w:t>
      </w:r>
    </w:p>
    <w:p w14:paraId="16333863" w14:textId="77777777" w:rsidR="001C4A27" w:rsidRDefault="001C4A27" w:rsidP="001C4A27">
      <w:pPr>
        <w:spacing w:before="240"/>
      </w:pPr>
      <w:bookmarkStart w:id="744" w:name="_Indicator_2.2_Average"/>
      <w:bookmarkEnd w:id="744"/>
      <w:r>
        <w:t xml:space="preserve">In 2017/18 the average cost to complete a conciliation </w:t>
      </w:r>
      <w:r w:rsidRPr="00BD79DF">
        <w:t xml:space="preserve">was </w:t>
      </w:r>
      <w:r>
        <w:t xml:space="preserve">$2,353 (see Figure 7). This is 7.2 percent higher than the target of $2,194 and 6.6 percent higher than </w:t>
      </w:r>
      <w:r w:rsidRPr="007826A9">
        <w:t>in 2016/17.</w:t>
      </w:r>
    </w:p>
    <w:p w14:paraId="4606F17A" w14:textId="77777777" w:rsidR="001C4A27" w:rsidRDefault="001C4A27" w:rsidP="001C4A27">
      <w:pPr>
        <w:spacing w:before="240"/>
      </w:pPr>
      <w:r>
        <w:t xml:space="preserve">The number of conciliations completed for the period is 8.7 percent fewer than expected and 2.6 percent less than 2016/17 </w:t>
      </w:r>
      <w:r w:rsidRPr="00ED749A">
        <w:t xml:space="preserve">indicating </w:t>
      </w:r>
      <w:r>
        <w:t xml:space="preserve">the </w:t>
      </w:r>
      <w:r w:rsidRPr="00ED749A">
        <w:t>downward trend over the past few years in the number of conciliation applications received is continuing. This downward trend is consistent with the overall number of workers’ compensation claims being received.</w:t>
      </w:r>
    </w:p>
    <w:p w14:paraId="136AB90E" w14:textId="77777777" w:rsidR="001C4A27" w:rsidRPr="00ED749A" w:rsidRDefault="001C4A27" w:rsidP="001C4A27">
      <w:pPr>
        <w:spacing w:before="240"/>
      </w:pPr>
      <w:r w:rsidRPr="00ED749A">
        <w:t>The Agency will continue to monitor conciliation application numbers with a view to adjusting resources as required</w:t>
      </w:r>
      <w:r>
        <w:t>.</w:t>
      </w:r>
    </w:p>
    <w:p w14:paraId="74931ACE" w14:textId="175EF2A6" w:rsidR="001C4A27" w:rsidRDefault="001C4A27" w:rsidP="009927AE">
      <w:r>
        <w:rPr>
          <w:noProof/>
          <w:lang w:eastAsia="en-AU"/>
        </w:rPr>
        <w:drawing>
          <wp:anchor distT="0" distB="0" distL="114300" distR="114300" simplePos="0" relativeHeight="251664384" behindDoc="1" locked="0" layoutInCell="1" allowOverlap="1" wp14:anchorId="308F83A0" wp14:editId="059FC530">
            <wp:simplePos x="0" y="0"/>
            <wp:positionH relativeFrom="margin">
              <wp:posOffset>149633</wp:posOffset>
            </wp:positionH>
            <wp:positionV relativeFrom="paragraph">
              <wp:posOffset>221975</wp:posOffset>
            </wp:positionV>
            <wp:extent cx="5308600" cy="3091815"/>
            <wp:effectExtent l="0" t="0" r="6350" b="0"/>
            <wp:wrapTight wrapText="bothSides">
              <wp:wrapPolygon edited="0">
                <wp:start x="0" y="0"/>
                <wp:lineTo x="0" y="21427"/>
                <wp:lineTo x="21548" y="21427"/>
                <wp:lineTo x="21548" y="0"/>
                <wp:lineTo x="0" y="0"/>
              </wp:wrapPolygon>
            </wp:wrapTight>
            <wp:docPr id="18" name="Chart 5" descr="This KPI measures the average cost to complete a conciliation. It is measured by dividing the full costs of providing the conciliation process by the total number of conciliations completed." title="Figure 7: Average cost to complete a conciliat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margin">
              <wp14:pctHeight>0</wp14:pctHeight>
            </wp14:sizeRelV>
          </wp:anchor>
        </w:drawing>
      </w:r>
    </w:p>
    <w:p w14:paraId="5DDB4DBF" w14:textId="77777777" w:rsidR="001C4A27" w:rsidRDefault="001C4A27" w:rsidP="001C4A27">
      <w:pPr>
        <w:spacing w:before="240"/>
        <w:jc w:val="both"/>
        <w:rPr>
          <w:b/>
        </w:rPr>
      </w:pPr>
    </w:p>
    <w:p w14:paraId="3A58B04B" w14:textId="1CFABF39" w:rsidR="001C4A27" w:rsidRPr="006A1CA7" w:rsidRDefault="001C4A27" w:rsidP="001C4A27">
      <w:pPr>
        <w:spacing w:before="240"/>
        <w:jc w:val="both"/>
        <w:rPr>
          <w:b/>
          <w:color w:val="AD9600"/>
        </w:rPr>
      </w:pPr>
      <w:r w:rsidRPr="006A1CA7">
        <w:rPr>
          <w:b/>
        </w:rPr>
        <w:t>Indicator 2.2</w:t>
      </w:r>
      <w:r w:rsidRPr="006A1CA7">
        <w:rPr>
          <w:b/>
          <w:color w:val="AD9600"/>
        </w:rPr>
        <w:t xml:space="preserve"> </w:t>
      </w:r>
    </w:p>
    <w:p w14:paraId="41428FE6" w14:textId="1C1B7B8D" w:rsidR="001C4A27" w:rsidRPr="001C4A27" w:rsidRDefault="001C4A27" w:rsidP="002F04DC">
      <w:pPr>
        <w:pStyle w:val="Normal-Act"/>
        <w:rPr>
          <w:color w:val="AD9600"/>
        </w:rPr>
      </w:pPr>
      <w:r w:rsidRPr="001C4A27">
        <w:t>Average cost to complete an arbitration</w:t>
      </w:r>
    </w:p>
    <w:tbl>
      <w:tblPr>
        <w:tblW w:w="9206" w:type="dxa"/>
        <w:jc w:val="center"/>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08"/>
        <w:gridCol w:w="1083"/>
        <w:gridCol w:w="1083"/>
        <w:gridCol w:w="1083"/>
        <w:gridCol w:w="1083"/>
        <w:gridCol w:w="1083"/>
        <w:gridCol w:w="1083"/>
      </w:tblGrid>
      <w:tr w:rsidR="001C4A27" w:rsidRPr="00A173D1" w14:paraId="58F24F93" w14:textId="77777777" w:rsidTr="00CE2301">
        <w:trPr>
          <w:trHeight w:val="567"/>
          <w:jc w:val="center"/>
        </w:trPr>
        <w:tc>
          <w:tcPr>
            <w:tcW w:w="2708"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20EC1BBC" w14:textId="77777777" w:rsidR="001C4A27" w:rsidRPr="001C4A27" w:rsidRDefault="001C4A27" w:rsidP="0000700F">
            <w:pPr>
              <w:pStyle w:val="TableText"/>
              <w:rPr>
                <w:sz w:val="22"/>
                <w:szCs w:val="22"/>
              </w:rPr>
            </w:pPr>
            <w:r w:rsidRPr="001C4A27">
              <w:rPr>
                <w:b/>
                <w:color w:val="FFFFFF"/>
                <w:sz w:val="22"/>
                <w:szCs w:val="22"/>
              </w:rPr>
              <w:t xml:space="preserve">Indicator 2.2 </w:t>
            </w:r>
          </w:p>
        </w:tc>
        <w:tc>
          <w:tcPr>
            <w:tcW w:w="1083" w:type="dxa"/>
            <w:tcBorders>
              <w:top w:val="single" w:sz="4" w:space="0" w:color="auto"/>
              <w:left w:val="single" w:sz="4" w:space="0" w:color="auto"/>
              <w:bottom w:val="single" w:sz="4" w:space="0" w:color="auto"/>
              <w:right w:val="single" w:sz="4" w:space="0" w:color="auto"/>
            </w:tcBorders>
            <w:shd w:val="clear" w:color="auto" w:fill="898D91"/>
            <w:vAlign w:val="center"/>
          </w:tcPr>
          <w:p w14:paraId="1CF0B85E" w14:textId="77777777" w:rsidR="001C4A27" w:rsidRPr="001C4A27" w:rsidRDefault="001C4A27" w:rsidP="0000700F">
            <w:pPr>
              <w:pStyle w:val="TableText"/>
              <w:spacing w:before="0" w:after="0"/>
              <w:jc w:val="center"/>
              <w:rPr>
                <w:b/>
                <w:color w:val="FFFFFF"/>
                <w:sz w:val="22"/>
                <w:szCs w:val="22"/>
                <w:highlight w:val="yellow"/>
              </w:rPr>
            </w:pPr>
            <w:r w:rsidRPr="001C4A27">
              <w:rPr>
                <w:b/>
                <w:color w:val="FFFFFF"/>
                <w:sz w:val="22"/>
                <w:szCs w:val="22"/>
              </w:rPr>
              <w:t>2013/14 Actual</w:t>
            </w:r>
          </w:p>
        </w:tc>
        <w:tc>
          <w:tcPr>
            <w:tcW w:w="1083" w:type="dxa"/>
            <w:tcBorders>
              <w:top w:val="single" w:sz="4" w:space="0" w:color="auto"/>
              <w:left w:val="single" w:sz="4" w:space="0" w:color="auto"/>
              <w:bottom w:val="single" w:sz="4" w:space="0" w:color="auto"/>
              <w:right w:val="single" w:sz="4" w:space="0" w:color="auto"/>
            </w:tcBorders>
            <w:shd w:val="clear" w:color="auto" w:fill="898D91"/>
            <w:vAlign w:val="center"/>
          </w:tcPr>
          <w:p w14:paraId="59DDA30C" w14:textId="77777777" w:rsidR="001C4A27" w:rsidRPr="001C4A27" w:rsidRDefault="001C4A27" w:rsidP="0000700F">
            <w:pPr>
              <w:pStyle w:val="TableHeading"/>
              <w:spacing w:before="0" w:after="0"/>
              <w:jc w:val="center"/>
            </w:pPr>
            <w:r w:rsidRPr="001C4A27">
              <w:t>2014/15</w:t>
            </w:r>
          </w:p>
          <w:p w14:paraId="26C4E657" w14:textId="77777777" w:rsidR="001C4A27" w:rsidRPr="001C4A27" w:rsidRDefault="001C4A27" w:rsidP="0000700F">
            <w:pPr>
              <w:pStyle w:val="TableText"/>
              <w:spacing w:before="0" w:after="0"/>
              <w:jc w:val="center"/>
              <w:rPr>
                <w:b/>
                <w:color w:val="FFFFFF"/>
                <w:sz w:val="22"/>
                <w:szCs w:val="22"/>
                <w:highlight w:val="yellow"/>
              </w:rPr>
            </w:pPr>
            <w:r w:rsidRPr="001C4A27">
              <w:rPr>
                <w:b/>
                <w:color w:val="FFFFFF"/>
                <w:sz w:val="22"/>
                <w:szCs w:val="22"/>
              </w:rPr>
              <w:t>Actual</w:t>
            </w:r>
          </w:p>
        </w:tc>
        <w:tc>
          <w:tcPr>
            <w:tcW w:w="1083" w:type="dxa"/>
            <w:tcBorders>
              <w:top w:val="single" w:sz="4" w:space="0" w:color="auto"/>
              <w:left w:val="single" w:sz="4" w:space="0" w:color="auto"/>
              <w:bottom w:val="single" w:sz="4" w:space="0" w:color="auto"/>
              <w:right w:val="single" w:sz="4" w:space="0" w:color="auto"/>
            </w:tcBorders>
            <w:shd w:val="clear" w:color="auto" w:fill="898D91"/>
            <w:vAlign w:val="center"/>
          </w:tcPr>
          <w:p w14:paraId="6AC56F6B" w14:textId="77777777" w:rsidR="001C4A27" w:rsidRPr="001C4A27" w:rsidRDefault="001C4A27" w:rsidP="0000700F">
            <w:pPr>
              <w:pStyle w:val="TableText"/>
              <w:spacing w:before="0" w:after="0"/>
              <w:jc w:val="center"/>
              <w:rPr>
                <w:b/>
                <w:color w:val="FFFFFF"/>
                <w:sz w:val="22"/>
                <w:szCs w:val="22"/>
              </w:rPr>
            </w:pPr>
            <w:r w:rsidRPr="001C4A27">
              <w:rPr>
                <w:b/>
                <w:color w:val="FFFFFF"/>
                <w:sz w:val="22"/>
                <w:szCs w:val="22"/>
              </w:rPr>
              <w:t>2015/16</w:t>
            </w:r>
          </w:p>
          <w:p w14:paraId="33505794" w14:textId="77777777" w:rsidR="001C4A27" w:rsidRPr="001C4A27" w:rsidRDefault="001C4A27" w:rsidP="0000700F">
            <w:pPr>
              <w:pStyle w:val="TableText"/>
              <w:spacing w:before="0" w:after="0"/>
              <w:jc w:val="center"/>
              <w:rPr>
                <w:b/>
                <w:color w:val="FFFFFF"/>
                <w:sz w:val="22"/>
                <w:szCs w:val="22"/>
                <w:highlight w:val="yellow"/>
              </w:rPr>
            </w:pPr>
            <w:r w:rsidRPr="001C4A27">
              <w:rPr>
                <w:b/>
                <w:color w:val="FFFFFF"/>
                <w:sz w:val="22"/>
                <w:szCs w:val="22"/>
              </w:rPr>
              <w:t>Actual</w:t>
            </w:r>
          </w:p>
        </w:tc>
        <w:tc>
          <w:tcPr>
            <w:tcW w:w="1083" w:type="dxa"/>
            <w:tcBorders>
              <w:top w:val="single" w:sz="4" w:space="0" w:color="auto"/>
              <w:bottom w:val="single" w:sz="4" w:space="0" w:color="auto"/>
              <w:right w:val="single" w:sz="4" w:space="0" w:color="auto"/>
            </w:tcBorders>
            <w:shd w:val="clear" w:color="auto" w:fill="898D91"/>
            <w:vAlign w:val="center"/>
          </w:tcPr>
          <w:p w14:paraId="2C3C9E69" w14:textId="77777777" w:rsidR="001C4A27" w:rsidRPr="001C4A27" w:rsidRDefault="001C4A27" w:rsidP="0000700F">
            <w:pPr>
              <w:pStyle w:val="TableHeading"/>
              <w:spacing w:before="0" w:after="0"/>
              <w:jc w:val="center"/>
              <w:rPr>
                <w:rFonts w:cs="Arial"/>
              </w:rPr>
            </w:pPr>
            <w:r w:rsidRPr="001C4A27">
              <w:rPr>
                <w:rFonts w:cs="Arial"/>
              </w:rPr>
              <w:t>2016/17  Actual</w:t>
            </w:r>
          </w:p>
        </w:tc>
        <w:tc>
          <w:tcPr>
            <w:tcW w:w="1083" w:type="dxa"/>
            <w:tcBorders>
              <w:top w:val="single" w:sz="4" w:space="0" w:color="auto"/>
              <w:left w:val="single" w:sz="4" w:space="0" w:color="auto"/>
              <w:bottom w:val="single" w:sz="4" w:space="0" w:color="auto"/>
            </w:tcBorders>
            <w:shd w:val="clear" w:color="auto" w:fill="898D91"/>
            <w:vAlign w:val="center"/>
            <w:hideMark/>
          </w:tcPr>
          <w:p w14:paraId="2C95ED39" w14:textId="77777777" w:rsidR="001C4A27" w:rsidRPr="001C4A27" w:rsidRDefault="001C4A27" w:rsidP="0000700F">
            <w:pPr>
              <w:pStyle w:val="TableHeading"/>
              <w:spacing w:before="0" w:after="0"/>
              <w:jc w:val="center"/>
              <w:rPr>
                <w:rFonts w:cs="Arial"/>
              </w:rPr>
            </w:pPr>
            <w:r w:rsidRPr="001C4A27">
              <w:rPr>
                <w:rFonts w:cs="Arial"/>
              </w:rPr>
              <w:t>2017/18  Actual</w:t>
            </w:r>
          </w:p>
        </w:tc>
        <w:tc>
          <w:tcPr>
            <w:tcW w:w="1083"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0EBA7DB3" w14:textId="77777777" w:rsidR="001C4A27" w:rsidRPr="001C4A27" w:rsidRDefault="001C4A27" w:rsidP="0000700F">
            <w:pPr>
              <w:pStyle w:val="TableText"/>
              <w:spacing w:before="0" w:after="0"/>
              <w:jc w:val="center"/>
              <w:rPr>
                <w:b/>
                <w:color w:val="FFFFFF"/>
                <w:sz w:val="22"/>
                <w:szCs w:val="22"/>
              </w:rPr>
            </w:pPr>
            <w:r w:rsidRPr="001C4A27">
              <w:rPr>
                <w:b/>
                <w:color w:val="FFFFFF"/>
                <w:sz w:val="22"/>
                <w:szCs w:val="22"/>
              </w:rPr>
              <w:t>2017/18</w:t>
            </w:r>
          </w:p>
          <w:p w14:paraId="2374F546" w14:textId="77777777" w:rsidR="001C4A27" w:rsidRPr="001C4A27" w:rsidRDefault="001C4A27" w:rsidP="0000700F">
            <w:pPr>
              <w:pStyle w:val="TableText"/>
              <w:spacing w:before="0" w:after="0"/>
              <w:jc w:val="center"/>
              <w:rPr>
                <w:color w:val="FFFFFF"/>
                <w:sz w:val="22"/>
                <w:szCs w:val="22"/>
                <w:highlight w:val="yellow"/>
              </w:rPr>
            </w:pPr>
            <w:r w:rsidRPr="001C4A27">
              <w:rPr>
                <w:b/>
                <w:color w:val="FFFFFF"/>
                <w:sz w:val="22"/>
                <w:szCs w:val="22"/>
              </w:rPr>
              <w:t>Target</w:t>
            </w:r>
          </w:p>
        </w:tc>
      </w:tr>
      <w:tr w:rsidR="001C4A27" w:rsidRPr="00A173D1" w14:paraId="59D35F45" w14:textId="77777777" w:rsidTr="00CE2301">
        <w:trPr>
          <w:trHeight w:val="291"/>
          <w:jc w:val="center"/>
        </w:trPr>
        <w:tc>
          <w:tcPr>
            <w:tcW w:w="2708" w:type="dxa"/>
            <w:tcBorders>
              <w:top w:val="single" w:sz="4" w:space="0" w:color="auto"/>
              <w:left w:val="single" w:sz="4" w:space="0" w:color="auto"/>
              <w:bottom w:val="single" w:sz="4" w:space="0" w:color="auto"/>
              <w:right w:val="single" w:sz="4" w:space="0" w:color="auto"/>
            </w:tcBorders>
            <w:vAlign w:val="center"/>
            <w:hideMark/>
          </w:tcPr>
          <w:p w14:paraId="62E3AFBD" w14:textId="77777777" w:rsidR="001C4A27" w:rsidRPr="001C4A27" w:rsidRDefault="001C4A27" w:rsidP="0000700F">
            <w:pPr>
              <w:pStyle w:val="TableText"/>
              <w:rPr>
                <w:color w:val="FF0000"/>
                <w:sz w:val="22"/>
                <w:szCs w:val="22"/>
              </w:rPr>
            </w:pPr>
            <w:r w:rsidRPr="001C4A27">
              <w:rPr>
                <w:sz w:val="22"/>
                <w:szCs w:val="22"/>
              </w:rPr>
              <w:t>Average cost to complete an arbitration</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14:paraId="53D9D0BB" w14:textId="77777777" w:rsidR="001C4A27" w:rsidRPr="001C4A27" w:rsidRDefault="001C4A27" w:rsidP="0000700F">
            <w:pPr>
              <w:pStyle w:val="TableText"/>
              <w:spacing w:before="60" w:after="60"/>
              <w:jc w:val="center"/>
              <w:rPr>
                <w:sz w:val="22"/>
                <w:szCs w:val="22"/>
              </w:rPr>
            </w:pPr>
            <w:r w:rsidRPr="001C4A27">
              <w:rPr>
                <w:sz w:val="22"/>
                <w:szCs w:val="22"/>
              </w:rPr>
              <w:t>$11,153</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14:paraId="6629856D" w14:textId="77777777" w:rsidR="001C4A27" w:rsidRPr="001C4A27" w:rsidRDefault="001C4A27" w:rsidP="0000700F">
            <w:pPr>
              <w:pStyle w:val="TableText"/>
              <w:spacing w:before="60" w:after="60"/>
              <w:jc w:val="center"/>
              <w:rPr>
                <w:sz w:val="22"/>
                <w:szCs w:val="22"/>
              </w:rPr>
            </w:pPr>
            <w:r w:rsidRPr="001C4A27">
              <w:rPr>
                <w:sz w:val="22"/>
                <w:szCs w:val="22"/>
              </w:rPr>
              <w:t>$10,042</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center"/>
          </w:tcPr>
          <w:p w14:paraId="61F08B39" w14:textId="77777777" w:rsidR="001C4A27" w:rsidRPr="001C4A27" w:rsidRDefault="001C4A27" w:rsidP="0000700F">
            <w:pPr>
              <w:pStyle w:val="TableText"/>
              <w:spacing w:before="60" w:after="60"/>
              <w:jc w:val="center"/>
              <w:rPr>
                <w:sz w:val="22"/>
                <w:szCs w:val="22"/>
              </w:rPr>
            </w:pPr>
            <w:r w:rsidRPr="001C4A27">
              <w:rPr>
                <w:sz w:val="22"/>
                <w:szCs w:val="22"/>
              </w:rPr>
              <w:t>$10,084</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41A07BC" w14:textId="77777777" w:rsidR="001C4A27" w:rsidRPr="001C4A27" w:rsidRDefault="001C4A27" w:rsidP="0000700F">
            <w:pPr>
              <w:pStyle w:val="TableText"/>
              <w:spacing w:before="60" w:after="60"/>
              <w:jc w:val="center"/>
              <w:rPr>
                <w:sz w:val="22"/>
                <w:szCs w:val="22"/>
              </w:rPr>
            </w:pPr>
            <w:r w:rsidRPr="001C4A27">
              <w:rPr>
                <w:sz w:val="22"/>
                <w:szCs w:val="22"/>
              </w:rPr>
              <w:t>$9,587</w:t>
            </w:r>
          </w:p>
        </w:tc>
        <w:tc>
          <w:tcPr>
            <w:tcW w:w="1083" w:type="dxa"/>
            <w:tcBorders>
              <w:top w:val="single" w:sz="4" w:space="0" w:color="auto"/>
              <w:left w:val="single" w:sz="4" w:space="0" w:color="auto"/>
              <w:bottom w:val="single" w:sz="4" w:space="0" w:color="auto"/>
              <w:right w:val="single" w:sz="4" w:space="0" w:color="auto"/>
            </w:tcBorders>
            <w:shd w:val="clear" w:color="auto" w:fill="EE7D31"/>
            <w:vAlign w:val="center"/>
            <w:hideMark/>
          </w:tcPr>
          <w:p w14:paraId="55A7A511" w14:textId="77777777" w:rsidR="001C4A27" w:rsidRPr="001C4A27" w:rsidRDefault="001C4A27" w:rsidP="0000700F">
            <w:pPr>
              <w:pStyle w:val="TableText"/>
              <w:spacing w:before="60" w:after="60"/>
              <w:jc w:val="center"/>
              <w:rPr>
                <w:color w:val="FFFFFF" w:themeColor="background1"/>
                <w:sz w:val="22"/>
                <w:szCs w:val="22"/>
              </w:rPr>
            </w:pPr>
            <w:r w:rsidRPr="001C4A27">
              <w:rPr>
                <w:color w:val="FFFFFF" w:themeColor="background1"/>
                <w:sz w:val="22"/>
                <w:szCs w:val="22"/>
              </w:rPr>
              <w:t>$8,579</w:t>
            </w:r>
          </w:p>
        </w:tc>
        <w:tc>
          <w:tcPr>
            <w:tcW w:w="1083" w:type="dxa"/>
            <w:tcBorders>
              <w:top w:val="single" w:sz="4" w:space="0" w:color="auto"/>
              <w:left w:val="single" w:sz="4" w:space="0" w:color="auto"/>
              <w:bottom w:val="single" w:sz="4" w:space="0" w:color="auto"/>
              <w:right w:val="single" w:sz="4" w:space="0" w:color="auto"/>
            </w:tcBorders>
            <w:shd w:val="clear" w:color="auto" w:fill="003F5F"/>
            <w:vAlign w:val="center"/>
            <w:hideMark/>
          </w:tcPr>
          <w:p w14:paraId="1B745AFD" w14:textId="77777777" w:rsidR="001C4A27" w:rsidRPr="001C4A27" w:rsidRDefault="001C4A27" w:rsidP="0000700F">
            <w:pPr>
              <w:pStyle w:val="TableText"/>
              <w:spacing w:before="60" w:after="60"/>
              <w:jc w:val="center"/>
              <w:rPr>
                <w:color w:val="FFFFFF" w:themeColor="background1"/>
                <w:sz w:val="22"/>
                <w:szCs w:val="22"/>
              </w:rPr>
            </w:pPr>
            <w:r w:rsidRPr="001C4A27">
              <w:rPr>
                <w:color w:val="FFFFFF" w:themeColor="background1"/>
                <w:sz w:val="22"/>
                <w:szCs w:val="22"/>
              </w:rPr>
              <w:t>$10,819</w:t>
            </w:r>
          </w:p>
        </w:tc>
      </w:tr>
    </w:tbl>
    <w:p w14:paraId="163D2324" w14:textId="0B978EF6" w:rsidR="009927AE" w:rsidRDefault="009927AE">
      <w:pPr>
        <w:keepLines w:val="0"/>
        <w:spacing w:after="0" w:line="240" w:lineRule="auto"/>
        <w:rPr>
          <w:b/>
          <w:highlight w:val="green"/>
        </w:rPr>
      </w:pPr>
    </w:p>
    <w:p w14:paraId="1DFD658C" w14:textId="77777777" w:rsidR="001C4A27" w:rsidRPr="001C4A27" w:rsidRDefault="001C4A27" w:rsidP="001C4A27">
      <w:pPr>
        <w:rPr>
          <w:b/>
        </w:rPr>
      </w:pPr>
      <w:r w:rsidRPr="001C4A27">
        <w:rPr>
          <w:b/>
        </w:rPr>
        <w:t>Description</w:t>
      </w:r>
    </w:p>
    <w:p w14:paraId="1D2D6927" w14:textId="77777777" w:rsidR="001C4A27" w:rsidRPr="00B82D72" w:rsidRDefault="001C4A27" w:rsidP="001C4A27">
      <w:pPr>
        <w:pStyle w:val="Style1"/>
        <w:spacing w:before="120" w:after="240" w:line="276" w:lineRule="auto"/>
        <w:rPr>
          <w:rFonts w:cs="Arial"/>
          <w:b/>
          <w:caps w:val="0"/>
          <w:sz w:val="24"/>
          <w:szCs w:val="24"/>
        </w:rPr>
      </w:pPr>
      <w:r w:rsidRPr="00B82D72">
        <w:rPr>
          <w:rFonts w:cs="Arial"/>
          <w:caps w:val="0"/>
          <w:sz w:val="24"/>
          <w:szCs w:val="24"/>
        </w:rPr>
        <w:t xml:space="preserve">This KPI </w:t>
      </w:r>
      <w:r>
        <w:rPr>
          <w:rFonts w:cs="Arial"/>
          <w:caps w:val="0"/>
          <w:sz w:val="24"/>
          <w:szCs w:val="24"/>
        </w:rPr>
        <w:t xml:space="preserve">measures the average cost to complete an </w:t>
      </w:r>
      <w:r w:rsidRPr="00B82D72">
        <w:rPr>
          <w:rFonts w:cs="Arial"/>
          <w:caps w:val="0"/>
          <w:sz w:val="24"/>
          <w:szCs w:val="24"/>
        </w:rPr>
        <w:t>arbitration</w:t>
      </w:r>
      <w:r>
        <w:rPr>
          <w:rFonts w:cs="Arial"/>
          <w:caps w:val="0"/>
          <w:sz w:val="24"/>
          <w:szCs w:val="24"/>
        </w:rPr>
        <w:t xml:space="preserve">. It is </w:t>
      </w:r>
      <w:r w:rsidRPr="00B82D72">
        <w:rPr>
          <w:rFonts w:cs="Arial"/>
          <w:caps w:val="0"/>
          <w:sz w:val="24"/>
          <w:szCs w:val="24"/>
        </w:rPr>
        <w:t>measured by dividing the full costs of providing the arbitration process</w:t>
      </w:r>
      <w:r>
        <w:rPr>
          <w:rFonts w:cs="Arial"/>
          <w:caps w:val="0"/>
          <w:sz w:val="24"/>
          <w:szCs w:val="24"/>
        </w:rPr>
        <w:t xml:space="preserve"> </w:t>
      </w:r>
      <w:r w:rsidRPr="00B82D72">
        <w:rPr>
          <w:rFonts w:cs="Arial"/>
          <w:caps w:val="0"/>
          <w:sz w:val="24"/>
          <w:szCs w:val="24"/>
        </w:rPr>
        <w:t xml:space="preserve">by the </w:t>
      </w:r>
      <w:r>
        <w:rPr>
          <w:rFonts w:cs="Arial"/>
          <w:caps w:val="0"/>
          <w:sz w:val="24"/>
          <w:szCs w:val="24"/>
        </w:rPr>
        <w:t xml:space="preserve">total </w:t>
      </w:r>
      <w:r w:rsidRPr="00B82D72">
        <w:rPr>
          <w:rFonts w:cs="Arial"/>
          <w:caps w:val="0"/>
          <w:sz w:val="24"/>
          <w:szCs w:val="24"/>
        </w:rPr>
        <w:t>number of arbitrations completed.</w:t>
      </w:r>
    </w:p>
    <w:p w14:paraId="7227C6F8" w14:textId="77777777" w:rsidR="001C4A27" w:rsidRDefault="001C4A27" w:rsidP="001C4A27">
      <w:pPr>
        <w:pStyle w:val="Style1"/>
        <w:spacing w:before="120" w:after="240" w:line="276" w:lineRule="auto"/>
        <w:rPr>
          <w:rFonts w:cs="Arial"/>
          <w:caps w:val="0"/>
          <w:sz w:val="24"/>
          <w:szCs w:val="24"/>
        </w:rPr>
      </w:pPr>
      <w:r>
        <w:rPr>
          <w:rFonts w:cs="Arial"/>
          <w:caps w:val="0"/>
          <w:sz w:val="24"/>
          <w:szCs w:val="24"/>
        </w:rPr>
        <w:t xml:space="preserve">All arbitration applications are recorded in DCMS, including the dates the matters are completed. ‘Completion of an arbitration’ can mean a matter is discontinued or final orders are issued by an Arbitrator. </w:t>
      </w:r>
    </w:p>
    <w:p w14:paraId="7B091512" w14:textId="77777777" w:rsidR="001C4A27" w:rsidRDefault="001C4A27" w:rsidP="001C4A27">
      <w:r w:rsidRPr="006759FC">
        <w:rPr>
          <w:rFonts w:cs="Arial"/>
          <w:bCs/>
          <w:lang w:val="en-GB"/>
        </w:rPr>
        <w:t xml:space="preserve">The target for this indicator is determined by dividing the approved budget for this activity by the estimated total number of arbitrations completed for the year. </w:t>
      </w:r>
      <w:r w:rsidRPr="006759FC">
        <w:t>The estimated number of arbitrations was</w:t>
      </w:r>
      <w:r w:rsidRPr="00B20109">
        <w:t xml:space="preserve"> </w:t>
      </w:r>
      <w:r>
        <w:t xml:space="preserve">slightly more than predicted in 2016/17 indicating the stabilising of a previous minor downward trend. </w:t>
      </w:r>
      <w:r w:rsidRPr="006759FC">
        <w:t xml:space="preserve"> </w:t>
      </w:r>
    </w:p>
    <w:p w14:paraId="05295313" w14:textId="77777777" w:rsidR="001C4A27" w:rsidRPr="001C4A27" w:rsidRDefault="001C4A27" w:rsidP="001C4A27">
      <w:pPr>
        <w:rPr>
          <w:b/>
        </w:rPr>
      </w:pPr>
      <w:r w:rsidRPr="001C4A27">
        <w:rPr>
          <w:b/>
        </w:rPr>
        <w:t xml:space="preserve">Analysis </w:t>
      </w:r>
    </w:p>
    <w:p w14:paraId="3910B103" w14:textId="77777777" w:rsidR="001C4A27" w:rsidRDefault="001C4A27" w:rsidP="001C4A27">
      <w:pPr>
        <w:spacing w:after="0"/>
      </w:pPr>
      <w:r>
        <w:t>In 2017/18 the average cost to complete an arbitration was $8,579 (see Figure 8). This is 20.7 percent less than the predicted target of $10,819 and 10.5 percent less than the outcome for 2016/17.</w:t>
      </w:r>
    </w:p>
    <w:p w14:paraId="1657852E" w14:textId="77777777" w:rsidR="001C4A27" w:rsidRDefault="001C4A27" w:rsidP="001C4A27">
      <w:pPr>
        <w:spacing w:after="0"/>
      </w:pPr>
    </w:p>
    <w:p w14:paraId="394B588B" w14:textId="10F7DC12" w:rsidR="001C4A27" w:rsidRDefault="001C4A27" w:rsidP="001C4A27">
      <w:pPr>
        <w:spacing w:after="0"/>
      </w:pPr>
      <w:r w:rsidRPr="00A80F67">
        <w:t xml:space="preserve">The lower than expected cost for this activity is predominantly due to an increase in arbitration </w:t>
      </w:r>
      <w:r>
        <w:t>activity</w:t>
      </w:r>
      <w:r w:rsidRPr="00A80F67">
        <w:t xml:space="preserve">, lower </w:t>
      </w:r>
      <w:r>
        <w:t xml:space="preserve">than expected </w:t>
      </w:r>
      <w:r w:rsidRPr="00A80F67">
        <w:t>utilisati</w:t>
      </w:r>
      <w:r>
        <w:t>on of sessional arbitrators and</w:t>
      </w:r>
      <w:r w:rsidRPr="00A80F67">
        <w:t xml:space="preserve"> the efficiencies realised through active case</w:t>
      </w:r>
      <w:r>
        <w:t xml:space="preserve"> management</w:t>
      </w:r>
      <w:r w:rsidRPr="00A80F67">
        <w:t>.</w:t>
      </w:r>
    </w:p>
    <w:p w14:paraId="50543C1F" w14:textId="0FC25577" w:rsidR="006841E5" w:rsidRDefault="001C4A27" w:rsidP="009927AE">
      <w:pPr>
        <w:rPr>
          <w:b/>
          <w:highlight w:val="green"/>
        </w:rPr>
      </w:pPr>
      <w:r w:rsidRPr="00931F89">
        <w:rPr>
          <w:noProof/>
          <w:lang w:eastAsia="en-AU"/>
        </w:rPr>
        <w:drawing>
          <wp:anchor distT="0" distB="0" distL="114300" distR="114300" simplePos="0" relativeHeight="251665408" behindDoc="1" locked="0" layoutInCell="1" allowOverlap="1" wp14:anchorId="0CA4A2C7" wp14:editId="4C284E19">
            <wp:simplePos x="0" y="0"/>
            <wp:positionH relativeFrom="column">
              <wp:posOffset>0</wp:posOffset>
            </wp:positionH>
            <wp:positionV relativeFrom="paragraph">
              <wp:posOffset>229870</wp:posOffset>
            </wp:positionV>
            <wp:extent cx="5909310" cy="3505200"/>
            <wp:effectExtent l="0" t="0" r="0" b="0"/>
            <wp:wrapTight wrapText="bothSides">
              <wp:wrapPolygon edited="0">
                <wp:start x="0" y="0"/>
                <wp:lineTo x="0" y="21483"/>
                <wp:lineTo x="21516" y="21483"/>
                <wp:lineTo x="21516" y="0"/>
                <wp:lineTo x="0" y="0"/>
              </wp:wrapPolygon>
            </wp:wrapTight>
            <wp:docPr id="19" name="Object 8" descr="This KPI measures the average cost to complete an arbitration. It is measured by dividing the full costs of providing the arbitration process by the total number of arbitrations completed." title="Figure 8: Average cost to complete an arbitrat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08353A62" w14:textId="052EB226" w:rsidR="00CE2301" w:rsidRPr="00CE2301" w:rsidRDefault="00CE2301" w:rsidP="00BA7C82">
      <w:pPr>
        <w:pStyle w:val="Heading4"/>
        <w:rPr>
          <w:color w:val="AD9600"/>
        </w:rPr>
      </w:pPr>
      <w:r w:rsidRPr="00CE2301">
        <w:t>Indicator 2.3</w:t>
      </w:r>
      <w:r w:rsidRPr="00CE2301">
        <w:rPr>
          <w:color w:val="AD9600"/>
        </w:rPr>
        <w:t xml:space="preserve"> </w:t>
      </w:r>
    </w:p>
    <w:p w14:paraId="7D0D821D" w14:textId="4A96AAE6" w:rsidR="00CE2301" w:rsidRPr="00952619" w:rsidRDefault="00CE2301" w:rsidP="00CE2301">
      <w:pPr>
        <w:pStyle w:val="Normal-Act"/>
      </w:pPr>
      <w:r w:rsidRPr="00952619">
        <w:t>Average cost to process a Memorandum of Agreement</w:t>
      </w:r>
    </w:p>
    <w:tbl>
      <w:tblPr>
        <w:tblW w:w="9231" w:type="dxa"/>
        <w:tblBorders>
          <w:top w:val="single" w:sz="4" w:space="0" w:color="AD9600"/>
          <w:left w:val="single" w:sz="4" w:space="0" w:color="AD9600"/>
          <w:bottom w:val="single" w:sz="4" w:space="0" w:color="AD9600"/>
          <w:right w:val="single" w:sz="4" w:space="0" w:color="AD9600"/>
          <w:insideH w:val="single" w:sz="4" w:space="0" w:color="AD9600"/>
        </w:tblBorders>
        <w:tblLayout w:type="fixed"/>
        <w:tblLook w:val="04A0" w:firstRow="1" w:lastRow="0" w:firstColumn="1" w:lastColumn="0" w:noHBand="0" w:noVBand="1"/>
      </w:tblPr>
      <w:tblGrid>
        <w:gridCol w:w="2715"/>
        <w:gridCol w:w="1086"/>
        <w:gridCol w:w="1086"/>
        <w:gridCol w:w="1086"/>
        <w:gridCol w:w="1086"/>
        <w:gridCol w:w="1086"/>
        <w:gridCol w:w="1086"/>
      </w:tblGrid>
      <w:tr w:rsidR="00CE2301" w:rsidRPr="00A173D1" w14:paraId="2A7CCDC2" w14:textId="77777777" w:rsidTr="00CE2301">
        <w:trPr>
          <w:trHeight w:val="291"/>
        </w:trPr>
        <w:tc>
          <w:tcPr>
            <w:tcW w:w="2715" w:type="dxa"/>
            <w:tcBorders>
              <w:top w:val="single" w:sz="4" w:space="0" w:color="auto"/>
              <w:left w:val="single" w:sz="4" w:space="0" w:color="auto"/>
              <w:bottom w:val="single" w:sz="4" w:space="0" w:color="auto"/>
              <w:right w:val="single" w:sz="4" w:space="0" w:color="auto"/>
            </w:tcBorders>
            <w:shd w:val="clear" w:color="auto" w:fill="898D91"/>
            <w:vAlign w:val="center"/>
            <w:hideMark/>
          </w:tcPr>
          <w:p w14:paraId="0A457B70" w14:textId="77777777" w:rsidR="00CE2301" w:rsidRPr="00CE2301" w:rsidRDefault="00CE2301" w:rsidP="0000700F">
            <w:pPr>
              <w:pStyle w:val="TableText"/>
              <w:spacing w:before="0" w:after="0"/>
              <w:rPr>
                <w:b/>
                <w:color w:val="FFFFFF"/>
                <w:sz w:val="22"/>
                <w:szCs w:val="22"/>
              </w:rPr>
            </w:pPr>
            <w:r w:rsidRPr="00CE2301">
              <w:rPr>
                <w:b/>
                <w:color w:val="FFFFFF"/>
                <w:sz w:val="22"/>
                <w:szCs w:val="22"/>
              </w:rPr>
              <w:t xml:space="preserve">Indicator 2.3 </w:t>
            </w:r>
          </w:p>
        </w:tc>
        <w:tc>
          <w:tcPr>
            <w:tcW w:w="1086" w:type="dxa"/>
            <w:tcBorders>
              <w:top w:val="single" w:sz="4" w:space="0" w:color="auto"/>
              <w:left w:val="single" w:sz="4" w:space="0" w:color="auto"/>
              <w:bottom w:val="single" w:sz="4" w:space="0" w:color="auto"/>
              <w:right w:val="single" w:sz="4" w:space="0" w:color="auto"/>
            </w:tcBorders>
            <w:shd w:val="clear" w:color="auto" w:fill="898D91"/>
            <w:vAlign w:val="center"/>
          </w:tcPr>
          <w:p w14:paraId="269D368E" w14:textId="77777777" w:rsidR="00CE2301" w:rsidRPr="00CE2301" w:rsidRDefault="00CE2301" w:rsidP="0000700F">
            <w:pPr>
              <w:pStyle w:val="TableText"/>
              <w:spacing w:before="0" w:after="0"/>
              <w:jc w:val="center"/>
              <w:rPr>
                <w:b/>
                <w:color w:val="FFFFFF"/>
                <w:sz w:val="22"/>
                <w:szCs w:val="22"/>
                <w:highlight w:val="yellow"/>
              </w:rPr>
            </w:pPr>
            <w:r w:rsidRPr="00CE2301">
              <w:rPr>
                <w:b/>
                <w:color w:val="FFFFFF"/>
                <w:sz w:val="22"/>
                <w:szCs w:val="22"/>
              </w:rPr>
              <w:t xml:space="preserve">2013/14 Actual </w:t>
            </w:r>
          </w:p>
        </w:tc>
        <w:tc>
          <w:tcPr>
            <w:tcW w:w="1086" w:type="dxa"/>
            <w:tcBorders>
              <w:top w:val="single" w:sz="4" w:space="0" w:color="auto"/>
              <w:left w:val="single" w:sz="4" w:space="0" w:color="auto"/>
              <w:bottom w:val="single" w:sz="4" w:space="0" w:color="auto"/>
              <w:right w:val="single" w:sz="4" w:space="0" w:color="auto"/>
            </w:tcBorders>
            <w:shd w:val="clear" w:color="auto" w:fill="898D91"/>
            <w:vAlign w:val="center"/>
          </w:tcPr>
          <w:p w14:paraId="7842A845" w14:textId="77777777" w:rsidR="00CE2301" w:rsidRPr="00CE2301" w:rsidRDefault="00CE2301" w:rsidP="0000700F">
            <w:pPr>
              <w:pStyle w:val="TableHeading"/>
              <w:spacing w:before="0" w:after="0"/>
              <w:jc w:val="center"/>
            </w:pPr>
            <w:r w:rsidRPr="00CE2301">
              <w:t>2014/15</w:t>
            </w:r>
          </w:p>
          <w:p w14:paraId="303E523C" w14:textId="77777777" w:rsidR="00CE2301" w:rsidRPr="00CE2301" w:rsidRDefault="00CE2301" w:rsidP="0000700F">
            <w:pPr>
              <w:pStyle w:val="TableText"/>
              <w:spacing w:before="0" w:after="0"/>
              <w:jc w:val="center"/>
              <w:outlineLvl w:val="1"/>
              <w:rPr>
                <w:b/>
                <w:color w:val="FFFFFF"/>
                <w:sz w:val="22"/>
                <w:szCs w:val="22"/>
              </w:rPr>
            </w:pPr>
            <w:bookmarkStart w:id="745" w:name="_Toc525122143"/>
            <w:r w:rsidRPr="00CE2301">
              <w:rPr>
                <w:b/>
                <w:color w:val="FFFFFF"/>
                <w:sz w:val="22"/>
                <w:szCs w:val="22"/>
              </w:rPr>
              <w:t>Actual</w:t>
            </w:r>
            <w:bookmarkEnd w:id="745"/>
          </w:p>
        </w:tc>
        <w:tc>
          <w:tcPr>
            <w:tcW w:w="1086" w:type="dxa"/>
            <w:tcBorders>
              <w:top w:val="single" w:sz="4" w:space="0" w:color="auto"/>
              <w:left w:val="single" w:sz="4" w:space="0" w:color="auto"/>
              <w:bottom w:val="single" w:sz="4" w:space="0" w:color="auto"/>
              <w:right w:val="single" w:sz="4" w:space="0" w:color="auto"/>
            </w:tcBorders>
            <w:shd w:val="clear" w:color="auto" w:fill="898D91"/>
            <w:vAlign w:val="center"/>
          </w:tcPr>
          <w:p w14:paraId="61E58250" w14:textId="77777777" w:rsidR="00CE2301" w:rsidRPr="00CE2301" w:rsidRDefault="00CE2301" w:rsidP="0000700F">
            <w:pPr>
              <w:pStyle w:val="TableText"/>
              <w:spacing w:before="0" w:after="0"/>
              <w:jc w:val="center"/>
              <w:rPr>
                <w:b/>
                <w:color w:val="FFFFFF"/>
                <w:sz w:val="22"/>
                <w:szCs w:val="22"/>
              </w:rPr>
            </w:pPr>
            <w:r w:rsidRPr="00CE2301">
              <w:rPr>
                <w:b/>
                <w:color w:val="FFFFFF"/>
                <w:sz w:val="22"/>
                <w:szCs w:val="22"/>
              </w:rPr>
              <w:t>2015/16 Actual</w:t>
            </w:r>
          </w:p>
        </w:tc>
        <w:tc>
          <w:tcPr>
            <w:tcW w:w="1086" w:type="dxa"/>
            <w:tcBorders>
              <w:top w:val="single" w:sz="4" w:space="0" w:color="auto"/>
              <w:bottom w:val="single" w:sz="4" w:space="0" w:color="auto"/>
              <w:right w:val="single" w:sz="4" w:space="0" w:color="auto"/>
            </w:tcBorders>
            <w:shd w:val="clear" w:color="auto" w:fill="898D91"/>
            <w:vAlign w:val="center"/>
          </w:tcPr>
          <w:p w14:paraId="3CC531F2" w14:textId="77777777" w:rsidR="00CE2301" w:rsidRPr="00CE2301" w:rsidRDefault="00CE2301" w:rsidP="00CE2301">
            <w:pPr>
              <w:pStyle w:val="TableHeading"/>
              <w:spacing w:after="0"/>
              <w:jc w:val="center"/>
              <w:rPr>
                <w:rFonts w:cs="Arial"/>
              </w:rPr>
            </w:pPr>
            <w:r w:rsidRPr="00CE2301">
              <w:rPr>
                <w:rFonts w:cs="Arial"/>
              </w:rPr>
              <w:t>2016/17  Actual</w:t>
            </w:r>
          </w:p>
        </w:tc>
        <w:tc>
          <w:tcPr>
            <w:tcW w:w="1086" w:type="dxa"/>
            <w:tcBorders>
              <w:top w:val="single" w:sz="4" w:space="0" w:color="auto"/>
              <w:left w:val="single" w:sz="4" w:space="0" w:color="auto"/>
              <w:bottom w:val="single" w:sz="4" w:space="0" w:color="auto"/>
            </w:tcBorders>
            <w:shd w:val="clear" w:color="auto" w:fill="898D91"/>
            <w:vAlign w:val="center"/>
          </w:tcPr>
          <w:p w14:paraId="7419E68E" w14:textId="77777777" w:rsidR="00CE2301" w:rsidRPr="00CE2301" w:rsidRDefault="00CE2301" w:rsidP="00CE2301">
            <w:pPr>
              <w:pStyle w:val="TableHeading"/>
              <w:spacing w:after="0"/>
              <w:jc w:val="center"/>
              <w:rPr>
                <w:rFonts w:cs="Arial"/>
              </w:rPr>
            </w:pPr>
            <w:r w:rsidRPr="00CE2301">
              <w:rPr>
                <w:rFonts w:cs="Arial"/>
              </w:rPr>
              <w:t>2017/18 Actual</w:t>
            </w:r>
          </w:p>
        </w:tc>
        <w:tc>
          <w:tcPr>
            <w:tcW w:w="1086" w:type="dxa"/>
            <w:tcBorders>
              <w:top w:val="single" w:sz="4" w:space="0" w:color="auto"/>
              <w:left w:val="single" w:sz="4" w:space="0" w:color="auto"/>
              <w:bottom w:val="single" w:sz="4" w:space="0" w:color="auto"/>
              <w:right w:val="single" w:sz="4" w:space="0" w:color="auto"/>
            </w:tcBorders>
            <w:shd w:val="clear" w:color="auto" w:fill="898D91"/>
            <w:hideMark/>
          </w:tcPr>
          <w:p w14:paraId="20AEC708" w14:textId="77777777" w:rsidR="00CE2301" w:rsidRPr="00CE2301" w:rsidRDefault="00CE2301" w:rsidP="0000700F">
            <w:pPr>
              <w:pStyle w:val="TableText"/>
              <w:spacing w:after="0"/>
              <w:jc w:val="center"/>
              <w:rPr>
                <w:b/>
                <w:color w:val="FFFFFF"/>
                <w:sz w:val="22"/>
                <w:szCs w:val="22"/>
              </w:rPr>
            </w:pPr>
            <w:r w:rsidRPr="00CE2301">
              <w:rPr>
                <w:b/>
                <w:color w:val="FFFFFF"/>
                <w:sz w:val="22"/>
                <w:szCs w:val="22"/>
              </w:rPr>
              <w:t>2017/18</w:t>
            </w:r>
          </w:p>
          <w:p w14:paraId="6C1631AE" w14:textId="77777777" w:rsidR="00CE2301" w:rsidRPr="00CE2301" w:rsidRDefault="00CE2301" w:rsidP="0000700F">
            <w:pPr>
              <w:pStyle w:val="TableText"/>
              <w:spacing w:before="0" w:after="0"/>
              <w:jc w:val="center"/>
              <w:rPr>
                <w:color w:val="FFFFFF"/>
                <w:sz w:val="22"/>
                <w:szCs w:val="22"/>
                <w:highlight w:val="yellow"/>
              </w:rPr>
            </w:pPr>
            <w:r w:rsidRPr="00CE2301">
              <w:rPr>
                <w:b/>
                <w:color w:val="FFFFFF"/>
                <w:sz w:val="22"/>
                <w:szCs w:val="22"/>
              </w:rPr>
              <w:t>Target</w:t>
            </w:r>
          </w:p>
        </w:tc>
      </w:tr>
      <w:tr w:rsidR="00CE2301" w:rsidRPr="00A173D1" w14:paraId="4CE1956F" w14:textId="77777777" w:rsidTr="00CE2301">
        <w:trPr>
          <w:trHeight w:val="761"/>
        </w:trPr>
        <w:tc>
          <w:tcPr>
            <w:tcW w:w="2715" w:type="dxa"/>
            <w:tcBorders>
              <w:top w:val="single" w:sz="4" w:space="0" w:color="auto"/>
              <w:left w:val="single" w:sz="4" w:space="0" w:color="auto"/>
              <w:bottom w:val="single" w:sz="4" w:space="0" w:color="auto"/>
              <w:right w:val="single" w:sz="4" w:space="0" w:color="auto"/>
            </w:tcBorders>
            <w:vAlign w:val="center"/>
          </w:tcPr>
          <w:p w14:paraId="10EE5489" w14:textId="77777777" w:rsidR="00CE2301" w:rsidRPr="00CE2301" w:rsidRDefault="00CE2301" w:rsidP="0000700F">
            <w:pPr>
              <w:pStyle w:val="TableText"/>
              <w:rPr>
                <w:sz w:val="22"/>
                <w:szCs w:val="22"/>
              </w:rPr>
            </w:pPr>
            <w:r w:rsidRPr="00CE2301">
              <w:rPr>
                <w:sz w:val="22"/>
                <w:szCs w:val="22"/>
              </w:rPr>
              <w:t>Average cost to process a Memorandum of Agreement</w:t>
            </w:r>
          </w:p>
          <w:p w14:paraId="222DC312" w14:textId="77777777" w:rsidR="00CE2301" w:rsidRPr="00CE2301" w:rsidRDefault="00CE2301" w:rsidP="0000700F">
            <w:pPr>
              <w:pStyle w:val="TableText"/>
              <w:rPr>
                <w:sz w:val="22"/>
                <w:szCs w:val="22"/>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A13EF6" w14:textId="77777777" w:rsidR="00CE2301" w:rsidRPr="00CE2301" w:rsidRDefault="00CE2301" w:rsidP="0000700F">
            <w:pPr>
              <w:pStyle w:val="TableText"/>
              <w:spacing w:before="60" w:after="60"/>
              <w:jc w:val="center"/>
              <w:rPr>
                <w:sz w:val="22"/>
                <w:szCs w:val="22"/>
              </w:rPr>
            </w:pPr>
            <w:r w:rsidRPr="00CE2301">
              <w:rPr>
                <w:sz w:val="22"/>
                <w:szCs w:val="22"/>
              </w:rPr>
              <w:t>$389</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4F950C3" w14:textId="77777777" w:rsidR="00CE2301" w:rsidRPr="00CE2301" w:rsidRDefault="00CE2301" w:rsidP="0000700F">
            <w:pPr>
              <w:pStyle w:val="TableText"/>
              <w:spacing w:before="60" w:after="60"/>
              <w:jc w:val="center"/>
              <w:rPr>
                <w:sz w:val="22"/>
                <w:szCs w:val="22"/>
              </w:rPr>
            </w:pPr>
            <w:r w:rsidRPr="00CE2301">
              <w:rPr>
                <w:sz w:val="22"/>
                <w:szCs w:val="22"/>
              </w:rPr>
              <w:t>$342</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9C2A2B" w14:textId="77777777" w:rsidR="00CE2301" w:rsidRPr="00CE2301" w:rsidRDefault="00CE2301" w:rsidP="0000700F">
            <w:pPr>
              <w:pStyle w:val="TableText"/>
              <w:spacing w:before="60" w:after="60"/>
              <w:jc w:val="center"/>
              <w:rPr>
                <w:sz w:val="22"/>
                <w:szCs w:val="22"/>
              </w:rPr>
            </w:pPr>
            <w:r w:rsidRPr="00CE2301">
              <w:rPr>
                <w:sz w:val="22"/>
                <w:szCs w:val="22"/>
              </w:rPr>
              <w:t>$339</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10AB1F4" w14:textId="77777777" w:rsidR="00CE2301" w:rsidRPr="00CE2301" w:rsidRDefault="00CE2301" w:rsidP="0000700F">
            <w:pPr>
              <w:pStyle w:val="TableText"/>
              <w:spacing w:before="60" w:after="60"/>
              <w:jc w:val="center"/>
              <w:rPr>
                <w:sz w:val="22"/>
                <w:szCs w:val="22"/>
              </w:rPr>
            </w:pPr>
            <w:r w:rsidRPr="00CE2301">
              <w:rPr>
                <w:sz w:val="22"/>
                <w:szCs w:val="22"/>
              </w:rPr>
              <w:t>$341</w:t>
            </w:r>
          </w:p>
        </w:tc>
        <w:tc>
          <w:tcPr>
            <w:tcW w:w="1086" w:type="dxa"/>
            <w:tcBorders>
              <w:top w:val="single" w:sz="4" w:space="0" w:color="auto"/>
              <w:left w:val="single" w:sz="4" w:space="0" w:color="auto"/>
              <w:bottom w:val="single" w:sz="4" w:space="0" w:color="auto"/>
              <w:right w:val="single" w:sz="4" w:space="0" w:color="auto"/>
            </w:tcBorders>
            <w:shd w:val="clear" w:color="auto" w:fill="EE7D31"/>
            <w:vAlign w:val="center"/>
          </w:tcPr>
          <w:p w14:paraId="02599AB6" w14:textId="77777777" w:rsidR="00CE2301" w:rsidRPr="00CE2301" w:rsidRDefault="00CE2301" w:rsidP="0000700F">
            <w:pPr>
              <w:pStyle w:val="TableText"/>
              <w:spacing w:before="60" w:after="60"/>
              <w:jc w:val="center"/>
              <w:rPr>
                <w:color w:val="FFFFFF" w:themeColor="background1"/>
                <w:sz w:val="22"/>
                <w:szCs w:val="22"/>
              </w:rPr>
            </w:pPr>
            <w:r w:rsidRPr="00CE2301">
              <w:rPr>
                <w:color w:val="FFFFFF" w:themeColor="background1"/>
                <w:sz w:val="22"/>
                <w:szCs w:val="22"/>
              </w:rPr>
              <w:t>$348</w:t>
            </w:r>
          </w:p>
        </w:tc>
        <w:tc>
          <w:tcPr>
            <w:tcW w:w="1086" w:type="dxa"/>
            <w:tcBorders>
              <w:top w:val="single" w:sz="4" w:space="0" w:color="auto"/>
              <w:left w:val="single" w:sz="4" w:space="0" w:color="auto"/>
              <w:bottom w:val="single" w:sz="4" w:space="0" w:color="auto"/>
              <w:right w:val="single" w:sz="4" w:space="0" w:color="auto"/>
            </w:tcBorders>
            <w:shd w:val="clear" w:color="auto" w:fill="003F5F"/>
            <w:vAlign w:val="center"/>
          </w:tcPr>
          <w:p w14:paraId="4290ED04" w14:textId="77777777" w:rsidR="00CE2301" w:rsidRPr="00CE2301" w:rsidRDefault="00CE2301" w:rsidP="0000700F">
            <w:pPr>
              <w:pStyle w:val="TableText"/>
              <w:spacing w:before="60" w:after="60"/>
              <w:jc w:val="center"/>
              <w:rPr>
                <w:color w:val="FFFFFF" w:themeColor="background1"/>
                <w:sz w:val="22"/>
                <w:szCs w:val="22"/>
              </w:rPr>
            </w:pPr>
            <w:r w:rsidRPr="00CE2301">
              <w:rPr>
                <w:color w:val="FFFFFF" w:themeColor="background1"/>
                <w:sz w:val="22"/>
                <w:szCs w:val="22"/>
              </w:rPr>
              <w:t>$345</w:t>
            </w:r>
          </w:p>
        </w:tc>
      </w:tr>
    </w:tbl>
    <w:p w14:paraId="7B1E8B84" w14:textId="17E9F409" w:rsidR="001C4A27" w:rsidRDefault="001C4A27">
      <w:pPr>
        <w:keepLines w:val="0"/>
        <w:spacing w:after="0" w:line="240" w:lineRule="auto"/>
        <w:rPr>
          <w:b/>
          <w:highlight w:val="green"/>
        </w:rPr>
      </w:pPr>
    </w:p>
    <w:p w14:paraId="778E8988" w14:textId="77777777" w:rsidR="00CE2301" w:rsidRPr="00CE2301" w:rsidRDefault="00CE2301" w:rsidP="00CE2301">
      <w:pPr>
        <w:rPr>
          <w:b/>
        </w:rPr>
      </w:pPr>
      <w:r>
        <w:rPr>
          <w:b/>
          <w:highlight w:val="green"/>
        </w:rPr>
        <w:br w:type="page"/>
      </w:r>
      <w:r w:rsidRPr="00CE2301">
        <w:rPr>
          <w:b/>
        </w:rPr>
        <w:t>Description</w:t>
      </w:r>
    </w:p>
    <w:p w14:paraId="323F10E1" w14:textId="77777777" w:rsidR="00CE2301" w:rsidRDefault="00CE2301" w:rsidP="00CE2301">
      <w:r w:rsidRPr="00282EA9">
        <w:rPr>
          <w:rFonts w:cs="Arial"/>
        </w:rPr>
        <w:t>WorkCover WA is responsible</w:t>
      </w:r>
      <w:r>
        <w:rPr>
          <w:rFonts w:cs="Arial"/>
          <w:i/>
        </w:rPr>
        <w:t xml:space="preserve"> </w:t>
      </w:r>
      <w:r w:rsidRPr="00A700B9">
        <w:rPr>
          <w:rFonts w:cs="Arial"/>
        </w:rPr>
        <w:t>under the Act</w:t>
      </w:r>
      <w:r>
        <w:rPr>
          <w:rFonts w:cs="Arial"/>
          <w:i/>
        </w:rPr>
        <w:t xml:space="preserve"> </w:t>
      </w:r>
      <w:r>
        <w:rPr>
          <w:rFonts w:cs="Arial"/>
        </w:rPr>
        <w:t xml:space="preserve">for registering Memorandums of Agreement (MoAs), </w:t>
      </w:r>
      <w:r>
        <w:t xml:space="preserve">where parties agree to settle a claim in the workers’ compensation scheme, either through redemption of weekly entitlements and medical expenses, and/or through an assessment of a worker’s permanent impairment. </w:t>
      </w:r>
    </w:p>
    <w:p w14:paraId="387765ED" w14:textId="77777777" w:rsidR="00CE2301" w:rsidRDefault="00CE2301" w:rsidP="00CE2301">
      <w:r>
        <w:t xml:space="preserve">Registering MoAs involves an assessment of the accuracy of the documentation provided by the parties, as well as compliance with the Act. </w:t>
      </w:r>
    </w:p>
    <w:p w14:paraId="6AE57734" w14:textId="77777777" w:rsidR="00CE2301" w:rsidRDefault="00CE2301" w:rsidP="00CE2301">
      <w:r>
        <w:t>This KPI measures the average cost to complete a MoA and is measured by dividing the full costs of providing the MoA process by the total number of MoAs completed.</w:t>
      </w:r>
    </w:p>
    <w:p w14:paraId="001AEFFE" w14:textId="77777777" w:rsidR="00CE2301" w:rsidRPr="00A173D1" w:rsidRDefault="00CE2301" w:rsidP="00CE2301">
      <w:pPr>
        <w:rPr>
          <w:color w:val="000000"/>
        </w:rPr>
      </w:pPr>
      <w:r w:rsidRPr="00A173D1">
        <w:rPr>
          <w:color w:val="000000"/>
        </w:rPr>
        <w:t xml:space="preserve">Each MoA registered is recorded in the </w:t>
      </w:r>
      <w:r w:rsidRPr="00A173D1">
        <w:rPr>
          <w:color w:val="000000"/>
          <w:lang w:val="en-US"/>
        </w:rPr>
        <w:t xml:space="preserve">MoAs </w:t>
      </w:r>
      <w:r w:rsidRPr="00A173D1">
        <w:rPr>
          <w:color w:val="000000"/>
        </w:rPr>
        <w:t>database which forms part of DCMS. The data for this KPI is extracted directly from this system.</w:t>
      </w:r>
    </w:p>
    <w:p w14:paraId="24759E8B" w14:textId="77777777" w:rsidR="00CE2301" w:rsidRPr="00875517" w:rsidRDefault="00CE2301" w:rsidP="00CE2301">
      <w:pPr>
        <w:rPr>
          <w:rFonts w:cs="Arial"/>
        </w:rPr>
      </w:pPr>
      <w:r w:rsidRPr="005B21B8">
        <w:t xml:space="preserve">The target for this KPI </w:t>
      </w:r>
      <w:r w:rsidRPr="005B21B8">
        <w:rPr>
          <w:rFonts w:cs="Arial"/>
        </w:rPr>
        <w:t>was set based on the trend over the previous four years</w:t>
      </w:r>
      <w:r w:rsidRPr="005B21B8" w:rsidDel="00B20109">
        <w:rPr>
          <w:rFonts w:cs="Arial"/>
        </w:rPr>
        <w:t xml:space="preserve"> </w:t>
      </w:r>
      <w:r w:rsidRPr="005B21B8">
        <w:rPr>
          <w:rFonts w:cs="Arial"/>
        </w:rPr>
        <w:t>in the number of MoAs being presented.</w:t>
      </w:r>
      <w:r w:rsidRPr="00E31498">
        <w:rPr>
          <w:rFonts w:cs="Arial"/>
        </w:rPr>
        <w:t xml:space="preserve"> </w:t>
      </w:r>
    </w:p>
    <w:p w14:paraId="4F5007F9" w14:textId="77777777" w:rsidR="00CE2301" w:rsidRPr="00CE2301" w:rsidRDefault="00CE2301" w:rsidP="00CE2301">
      <w:pPr>
        <w:rPr>
          <w:b/>
        </w:rPr>
      </w:pPr>
      <w:bookmarkStart w:id="746" w:name="_Analysis_7"/>
      <w:bookmarkEnd w:id="746"/>
      <w:r w:rsidRPr="00CE2301">
        <w:rPr>
          <w:b/>
        </w:rPr>
        <w:t xml:space="preserve">Analysis </w:t>
      </w:r>
    </w:p>
    <w:p w14:paraId="4C4EBCA3" w14:textId="77777777" w:rsidR="00CE2301" w:rsidRPr="003D6BBF" w:rsidRDefault="00CE2301" w:rsidP="00CE2301">
      <w:pPr>
        <w:rPr>
          <w:lang w:val="en-GB"/>
        </w:rPr>
      </w:pPr>
      <w:r w:rsidRPr="001E2110">
        <w:rPr>
          <w:lang w:val="en-GB"/>
        </w:rPr>
        <w:t xml:space="preserve">The average cost to process a MoA for </w:t>
      </w:r>
      <w:r>
        <w:rPr>
          <w:lang w:val="en-GB"/>
        </w:rPr>
        <w:t>2017/18</w:t>
      </w:r>
      <w:r w:rsidRPr="001E2110">
        <w:rPr>
          <w:lang w:val="en-GB"/>
        </w:rPr>
        <w:t xml:space="preserve"> </w:t>
      </w:r>
      <w:r w:rsidRPr="00C9232B">
        <w:rPr>
          <w:lang w:val="en-GB"/>
        </w:rPr>
        <w:t xml:space="preserve">was </w:t>
      </w:r>
      <w:r>
        <w:rPr>
          <w:lang w:val="en-GB"/>
        </w:rPr>
        <w:t xml:space="preserve">$348 </w:t>
      </w:r>
      <w:r w:rsidRPr="001E2110">
        <w:rPr>
          <w:lang w:val="en-GB"/>
        </w:rPr>
        <w:t xml:space="preserve">(see Figure 9). </w:t>
      </w:r>
      <w:r w:rsidRPr="003D6BBF">
        <w:rPr>
          <w:lang w:val="en-GB"/>
        </w:rPr>
        <w:t>This is consistent with the target of $345 and the outcome in 2016/17.</w:t>
      </w:r>
    </w:p>
    <w:p w14:paraId="03A7A99C" w14:textId="77777777" w:rsidR="00CE2301" w:rsidRDefault="00CE2301" w:rsidP="00CE2301">
      <w:pPr>
        <w:rPr>
          <w:lang w:val="en-GB"/>
        </w:rPr>
      </w:pPr>
      <w:r w:rsidRPr="00C269AD">
        <w:rPr>
          <w:lang w:val="en-GB"/>
        </w:rPr>
        <w:t xml:space="preserve">The number of MoAs processed in 2017/18 is 11.9 percent less than the predicted target and 6.2 percent less than the number processed in 2016/17. A previous upward trend of MoAs processed per annum appears to have stabilised and is now reducing. </w:t>
      </w:r>
    </w:p>
    <w:p w14:paraId="274DB354" w14:textId="7457B31A" w:rsidR="00CE2301" w:rsidRDefault="00CE2301" w:rsidP="00CE2301">
      <w:r w:rsidRPr="00931F89">
        <w:rPr>
          <w:noProof/>
          <w:lang w:eastAsia="en-AU"/>
        </w:rPr>
        <w:drawing>
          <wp:inline distT="0" distB="0" distL="0" distR="0" wp14:anchorId="637EE18E" wp14:editId="502D3484">
            <wp:extent cx="5954233" cy="3232298"/>
            <wp:effectExtent l="0" t="0" r="8890" b="6350"/>
            <wp:docPr id="21" name="Object 9" descr="This KPI measures the average cost to complete a MoA and is measured by dividing the full costs of providing the MoA process by the total number of MoAs completed." title="Figure 9: Average cost to complete a Memorandum of Agreement (MoA)"/>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74E898" w14:textId="37FF1A43" w:rsidR="00BB3960" w:rsidRDefault="00BB3960" w:rsidP="00BB3960">
      <w:pPr>
        <w:pStyle w:val="CoverTitle"/>
        <w:ind w:left="0"/>
      </w:pPr>
      <w:r>
        <w:t>Section 7</w:t>
      </w:r>
      <w:r w:rsidRPr="001C0112">
        <w:t xml:space="preserve">: </w:t>
      </w:r>
      <w:r>
        <w:t>Financial statements and notes</w:t>
      </w:r>
    </w:p>
    <w:p w14:paraId="41C5D2FC" w14:textId="767FBE5E" w:rsidR="00BB3960" w:rsidRDefault="00806069" w:rsidP="00806069">
      <w:pPr>
        <w:pStyle w:val="Heading1nonumber"/>
      </w:pPr>
      <w:bookmarkStart w:id="747" w:name="_Toc525122144"/>
      <w:r>
        <w:t>Financial statements</w:t>
      </w:r>
      <w:bookmarkEnd w:id="747"/>
    </w:p>
    <w:p w14:paraId="1DB719A8" w14:textId="41CA3D58" w:rsidR="00806069" w:rsidRDefault="00806069" w:rsidP="00806069">
      <w:pPr>
        <w:pStyle w:val="Heading2nonumber"/>
      </w:pPr>
      <w:bookmarkStart w:id="748" w:name="_Toc525122145"/>
      <w:r>
        <w:t>Certification of financial statements</w:t>
      </w:r>
      <w:bookmarkEnd w:id="748"/>
    </w:p>
    <w:p w14:paraId="145FFF1A" w14:textId="2BAFD43B" w:rsidR="00806069" w:rsidRDefault="00806069" w:rsidP="00806069">
      <w:r>
        <w:t xml:space="preserve">The accompanying financial statements of WorkCover Western Australia Authority have been prepared in compliance with the provisions of the </w:t>
      </w:r>
      <w:r w:rsidRPr="00A25B3E">
        <w:rPr>
          <w:i/>
        </w:rPr>
        <w:t>Financial Management Act 2006</w:t>
      </w:r>
      <w:r>
        <w:t xml:space="preserve"> from proper accounts and records to present fairly the financial transactions for the f</w:t>
      </w:r>
      <w:r w:rsidR="006D3186">
        <w:t>inancial year ended 30 June 2018</w:t>
      </w:r>
      <w:r>
        <w:t xml:space="preserve"> and the finan</w:t>
      </w:r>
      <w:r w:rsidR="006D3186">
        <w:t>cial position as at 30 June 2018</w:t>
      </w:r>
      <w:r>
        <w:t>.</w:t>
      </w:r>
    </w:p>
    <w:p w14:paraId="06A03BF4" w14:textId="2B038FB8" w:rsidR="00806069" w:rsidRDefault="00806069" w:rsidP="00806069">
      <w:r>
        <w:t>At the date of signing we are not aware of any circumstances which would render the particulars included in the financial statements misleading or inaccurate.</w:t>
      </w:r>
    </w:p>
    <w:p w14:paraId="4C850A7C" w14:textId="42AD57D1" w:rsidR="004A35B5" w:rsidRDefault="00ED30BC" w:rsidP="004A35B5">
      <w:r>
        <w:rPr>
          <w:noProof/>
          <w:lang w:eastAsia="en-AU"/>
        </w:rPr>
        <w:drawing>
          <wp:anchor distT="0" distB="0" distL="114300" distR="114300" simplePos="0" relativeHeight="251666432" behindDoc="0" locked="0" layoutInCell="1" allowOverlap="1" wp14:anchorId="550B3C7D" wp14:editId="275FBC3D">
            <wp:simplePos x="0" y="0"/>
            <wp:positionH relativeFrom="column">
              <wp:posOffset>-219075</wp:posOffset>
            </wp:positionH>
            <wp:positionV relativeFrom="paragraph">
              <wp:posOffset>278130</wp:posOffset>
            </wp:positionV>
            <wp:extent cx="1491615" cy="565785"/>
            <wp:effectExtent l="0" t="0" r="0" b="5715"/>
            <wp:wrapTopAndBottom/>
            <wp:docPr id="25" name="Picture 25" descr="This picture is of the Chairman, Greg Joyce's signature. " title="Chairm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g Joyce.jpg"/>
                    <pic:cNvPicPr/>
                  </pic:nvPicPr>
                  <pic:blipFill>
                    <a:blip r:embed="rId15">
                      <a:extLst>
                        <a:ext uri="{28A0092B-C50C-407E-A947-70E740481C1C}">
                          <a14:useLocalDpi xmlns:a14="http://schemas.microsoft.com/office/drawing/2010/main" val="0"/>
                        </a:ext>
                      </a:extLst>
                    </a:blip>
                    <a:stretch>
                      <a:fillRect/>
                    </a:stretch>
                  </pic:blipFill>
                  <pic:spPr>
                    <a:xfrm>
                      <a:off x="0" y="0"/>
                      <a:ext cx="1491615" cy="565785"/>
                    </a:xfrm>
                    <a:prstGeom prst="rect">
                      <a:avLst/>
                    </a:prstGeom>
                  </pic:spPr>
                </pic:pic>
              </a:graphicData>
            </a:graphic>
            <wp14:sizeRelH relativeFrom="page">
              <wp14:pctWidth>0</wp14:pctWidth>
            </wp14:sizeRelH>
            <wp14:sizeRelV relativeFrom="page">
              <wp14:pctHeight>0</wp14:pctHeight>
            </wp14:sizeRelV>
          </wp:anchor>
        </w:drawing>
      </w:r>
    </w:p>
    <w:p w14:paraId="26F01097" w14:textId="18030583" w:rsidR="004A35B5" w:rsidRPr="00ED30BC" w:rsidRDefault="004A35B5" w:rsidP="004A35B5">
      <w:r>
        <w:t>Greg Joyce</w:t>
      </w:r>
      <w:r>
        <w:br/>
        <w:t>Chairman</w:t>
      </w:r>
      <w:r>
        <w:br/>
        <w:t>WorkCover Western Australia Authority</w:t>
      </w:r>
      <w:r w:rsidRPr="00291DA6">
        <w:br/>
      </w:r>
      <w:r w:rsidR="00ED30BC" w:rsidRPr="00ED30BC">
        <w:t>31</w:t>
      </w:r>
      <w:r w:rsidR="006D3186" w:rsidRPr="00ED30BC">
        <w:t xml:space="preserve"> August 2018</w:t>
      </w:r>
    </w:p>
    <w:p w14:paraId="358FAC71" w14:textId="50013AD7" w:rsidR="004A35B5" w:rsidRPr="00ED30BC" w:rsidRDefault="004A35B5" w:rsidP="004A35B5">
      <w:r w:rsidRPr="00ED30BC">
        <w:rPr>
          <w:noProof/>
          <w:lang w:eastAsia="en-AU"/>
        </w:rPr>
        <w:drawing>
          <wp:inline distT="0" distB="0" distL="0" distR="0" wp14:anchorId="3C7A0F8C" wp14:editId="3CB91C8E">
            <wp:extent cx="1113565" cy="404037"/>
            <wp:effectExtent l="0" t="0" r="0" b="0"/>
            <wp:docPr id="36" name="Picture 36"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1743" cy="407004"/>
                    </a:xfrm>
                    <a:prstGeom prst="rect">
                      <a:avLst/>
                    </a:prstGeom>
                    <a:noFill/>
                    <a:ln>
                      <a:noFill/>
                    </a:ln>
                  </pic:spPr>
                </pic:pic>
              </a:graphicData>
            </a:graphic>
          </wp:inline>
        </w:drawing>
      </w:r>
      <w:r w:rsidRPr="00ED30BC">
        <w:rPr>
          <w:noProof/>
          <w:lang w:eastAsia="en-AU"/>
        </w:rPr>
        <w:br/>
      </w:r>
      <w:r w:rsidRPr="00ED30BC">
        <w:t>Chris White</w:t>
      </w:r>
      <w:r w:rsidRPr="00ED30BC">
        <w:br/>
        <w:t>A/Chief Executive Officer</w:t>
      </w:r>
      <w:r w:rsidRPr="00ED30BC">
        <w:br/>
        <w:t>WorkCove</w:t>
      </w:r>
      <w:r w:rsidR="006D3186" w:rsidRPr="00ED30BC">
        <w:t>r Western Australia Authority</w:t>
      </w:r>
      <w:r w:rsidR="006D3186" w:rsidRPr="00ED30BC">
        <w:br/>
      </w:r>
      <w:r w:rsidR="00ED30BC" w:rsidRPr="00ED30BC">
        <w:t>31</w:t>
      </w:r>
      <w:r w:rsidR="006D3186" w:rsidRPr="00ED30BC">
        <w:t xml:space="preserve"> August 2018</w:t>
      </w:r>
    </w:p>
    <w:p w14:paraId="6D9DBB07" w14:textId="0A15CCA0" w:rsidR="006E7A83" w:rsidRPr="00ED30BC" w:rsidRDefault="006E7A83" w:rsidP="00A25B3E">
      <w:r w:rsidRPr="00ED30BC">
        <w:rPr>
          <w:noProof/>
          <w:lang w:eastAsia="en-AU"/>
        </w:rPr>
        <w:drawing>
          <wp:inline distT="0" distB="0" distL="0" distR="0" wp14:anchorId="0157CE53" wp14:editId="7BC3556A">
            <wp:extent cx="1492104" cy="606056"/>
            <wp:effectExtent l="0" t="0" r="0" b="3810"/>
            <wp:docPr id="20" name="Picture 20" title="John hu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hn Hull sig.jpg"/>
                    <pic:cNvPicPr/>
                  </pic:nvPicPr>
                  <pic:blipFill>
                    <a:blip r:embed="rId42">
                      <a:extLst>
                        <a:ext uri="{28A0092B-C50C-407E-A947-70E740481C1C}">
                          <a14:useLocalDpi xmlns:a14="http://schemas.microsoft.com/office/drawing/2010/main" val="0"/>
                        </a:ext>
                      </a:extLst>
                    </a:blip>
                    <a:stretch>
                      <a:fillRect/>
                    </a:stretch>
                  </pic:blipFill>
                  <pic:spPr>
                    <a:xfrm>
                      <a:off x="0" y="0"/>
                      <a:ext cx="1508653" cy="612778"/>
                    </a:xfrm>
                    <a:prstGeom prst="rect">
                      <a:avLst/>
                    </a:prstGeom>
                  </pic:spPr>
                </pic:pic>
              </a:graphicData>
            </a:graphic>
          </wp:inline>
        </w:drawing>
      </w:r>
    </w:p>
    <w:p w14:paraId="11D7FA2B" w14:textId="51C0F6E1" w:rsidR="00A93F1E" w:rsidRPr="00ED30BC" w:rsidRDefault="004A35B5" w:rsidP="006D3186">
      <w:pPr>
        <w:rPr>
          <w:lang w:eastAsia="en-AU"/>
        </w:rPr>
      </w:pPr>
      <w:r w:rsidRPr="00ED30BC">
        <w:t>John Hull</w:t>
      </w:r>
      <w:r w:rsidRPr="00ED30BC">
        <w:br/>
        <w:t>Chief Finance Officer</w:t>
      </w:r>
      <w:r w:rsidRPr="00ED30BC">
        <w:br/>
        <w:t>WorkCove</w:t>
      </w:r>
      <w:r w:rsidR="006D3186" w:rsidRPr="00ED30BC">
        <w:t>r Western Australia Authority</w:t>
      </w:r>
      <w:r w:rsidR="006D3186" w:rsidRPr="00ED30BC">
        <w:br/>
      </w:r>
      <w:r w:rsidR="00ED30BC" w:rsidRPr="00ED30BC">
        <w:t>31</w:t>
      </w:r>
      <w:r w:rsidR="002D7A7A" w:rsidRPr="00ED30BC">
        <w:t xml:space="preserve"> August 2018</w:t>
      </w:r>
      <w:r w:rsidR="00A93F1E" w:rsidRPr="00ED30BC">
        <w:br w:type="page"/>
      </w:r>
      <w:r w:rsidR="00250DD4">
        <w:t>Independent Audit Opinion</w:t>
      </w:r>
    </w:p>
    <w:p w14:paraId="02D35B5F" w14:textId="237C4132" w:rsidR="00250DD4" w:rsidRPr="009B1B3A" w:rsidRDefault="00250DD4" w:rsidP="009B1B3A">
      <w:pPr>
        <w:rPr>
          <w:b/>
        </w:rPr>
      </w:pPr>
      <w:r w:rsidRPr="009B1B3A">
        <w:rPr>
          <w:b/>
        </w:rPr>
        <w:t xml:space="preserve">INDEPENDENT AUDITOR’S REPORT </w:t>
      </w:r>
    </w:p>
    <w:p w14:paraId="6FC63F6E" w14:textId="0910B276" w:rsidR="00250DD4" w:rsidRPr="004553D9" w:rsidRDefault="00250DD4" w:rsidP="008121F9">
      <w:pPr>
        <w:pStyle w:val="Heading4"/>
        <w:ind w:left="0"/>
      </w:pPr>
      <w:r w:rsidRPr="004553D9">
        <w:t>To the Parliament of Western Australia</w:t>
      </w:r>
    </w:p>
    <w:p w14:paraId="70DDD3BB" w14:textId="35697255" w:rsidR="00250DD4" w:rsidRPr="009B1B3A" w:rsidRDefault="00250DD4" w:rsidP="009B1B3A">
      <w:pPr>
        <w:rPr>
          <w:b/>
        </w:rPr>
      </w:pPr>
      <w:r w:rsidRPr="009B1B3A">
        <w:rPr>
          <w:b/>
        </w:rPr>
        <w:t>WORKCOVER WESTERN AUSTRALIA AUTHORITY</w:t>
      </w:r>
    </w:p>
    <w:p w14:paraId="609B005A" w14:textId="31BEA421" w:rsidR="00250DD4" w:rsidRPr="009B1B3A" w:rsidRDefault="00250DD4" w:rsidP="009B1B3A">
      <w:pPr>
        <w:rPr>
          <w:b/>
        </w:rPr>
      </w:pPr>
      <w:r w:rsidRPr="009B1B3A">
        <w:rPr>
          <w:b/>
        </w:rPr>
        <w:t xml:space="preserve">Report on the Financial Statements </w:t>
      </w:r>
    </w:p>
    <w:p w14:paraId="25DD3172" w14:textId="5FE00192" w:rsidR="00250DD4" w:rsidRDefault="00250DD4" w:rsidP="00250DD4">
      <w:pPr>
        <w:rPr>
          <w:b/>
          <w:i/>
        </w:rPr>
      </w:pPr>
      <w:r>
        <w:rPr>
          <w:b/>
          <w:i/>
        </w:rPr>
        <w:t>Opinion</w:t>
      </w:r>
    </w:p>
    <w:p w14:paraId="024B6654" w14:textId="75EC2F78" w:rsidR="00250DD4" w:rsidRDefault="00250DD4" w:rsidP="00250DD4">
      <w:r>
        <w:t>I</w:t>
      </w:r>
      <w:r>
        <w:rPr>
          <w:spacing w:val="4"/>
        </w:rPr>
        <w:t xml:space="preserve"> </w:t>
      </w:r>
      <w:r>
        <w:t>have</w:t>
      </w:r>
      <w:r>
        <w:rPr>
          <w:spacing w:val="14"/>
        </w:rPr>
        <w:t xml:space="preserve"> </w:t>
      </w:r>
      <w:r>
        <w:t>audited</w:t>
      </w:r>
      <w:r>
        <w:rPr>
          <w:spacing w:val="21"/>
        </w:rPr>
        <w:t xml:space="preserve"> </w:t>
      </w:r>
      <w:r>
        <w:t>the</w:t>
      </w:r>
      <w:r>
        <w:rPr>
          <w:spacing w:val="6"/>
        </w:rPr>
        <w:t xml:space="preserve"> </w:t>
      </w:r>
      <w:r>
        <w:t>financial</w:t>
      </w:r>
      <w:r>
        <w:rPr>
          <w:spacing w:val="32"/>
        </w:rPr>
        <w:t xml:space="preserve"> </w:t>
      </w:r>
      <w:r>
        <w:t>statements</w:t>
      </w:r>
      <w:r>
        <w:rPr>
          <w:spacing w:val="31"/>
        </w:rPr>
        <w:t xml:space="preserve"> </w:t>
      </w:r>
      <w:r>
        <w:t>of</w:t>
      </w:r>
      <w:r>
        <w:rPr>
          <w:spacing w:val="5"/>
        </w:rPr>
        <w:t xml:space="preserve"> </w:t>
      </w:r>
      <w:r>
        <w:t>the</w:t>
      </w:r>
      <w:r>
        <w:rPr>
          <w:spacing w:val="6"/>
        </w:rPr>
        <w:t xml:space="preserve"> </w:t>
      </w:r>
      <w:r>
        <w:t>WorkCover</w:t>
      </w:r>
      <w:r>
        <w:rPr>
          <w:spacing w:val="33"/>
        </w:rPr>
        <w:t xml:space="preserve"> </w:t>
      </w:r>
      <w:r>
        <w:t>Western</w:t>
      </w:r>
      <w:r>
        <w:rPr>
          <w:spacing w:val="17"/>
        </w:rPr>
        <w:t xml:space="preserve"> </w:t>
      </w:r>
      <w:r>
        <w:t>Australia</w:t>
      </w:r>
      <w:r>
        <w:rPr>
          <w:spacing w:val="25"/>
        </w:rPr>
        <w:t xml:space="preserve"> </w:t>
      </w:r>
      <w:r>
        <w:t>Authority</w:t>
      </w:r>
      <w:r>
        <w:rPr>
          <w:spacing w:val="22"/>
        </w:rPr>
        <w:t xml:space="preserve"> </w:t>
      </w:r>
      <w:r>
        <w:t>which comprise</w:t>
      </w:r>
      <w:r>
        <w:rPr>
          <w:spacing w:val="16"/>
        </w:rPr>
        <w:t xml:space="preserve"> </w:t>
      </w:r>
      <w:r>
        <w:t>the</w:t>
      </w:r>
      <w:r>
        <w:rPr>
          <w:spacing w:val="19"/>
        </w:rPr>
        <w:t xml:space="preserve"> </w:t>
      </w:r>
      <w:r>
        <w:t>Statement</w:t>
      </w:r>
      <w:r>
        <w:rPr>
          <w:spacing w:val="30"/>
        </w:rPr>
        <w:t xml:space="preserve"> </w:t>
      </w:r>
      <w:r>
        <w:t>of</w:t>
      </w:r>
      <w:r>
        <w:rPr>
          <w:spacing w:val="19"/>
        </w:rPr>
        <w:t xml:space="preserve"> </w:t>
      </w:r>
      <w:r>
        <w:t>Financial</w:t>
      </w:r>
      <w:r>
        <w:rPr>
          <w:spacing w:val="13"/>
        </w:rPr>
        <w:t xml:space="preserve"> </w:t>
      </w:r>
      <w:r>
        <w:t>Position</w:t>
      </w:r>
      <w:r>
        <w:rPr>
          <w:spacing w:val="15"/>
        </w:rPr>
        <w:t xml:space="preserve"> </w:t>
      </w:r>
      <w:r>
        <w:t>as</w:t>
      </w:r>
      <w:r>
        <w:rPr>
          <w:spacing w:val="13"/>
        </w:rPr>
        <w:t xml:space="preserve"> </w:t>
      </w:r>
      <w:r>
        <w:t>at</w:t>
      </w:r>
      <w:r>
        <w:rPr>
          <w:spacing w:val="12"/>
        </w:rPr>
        <w:t xml:space="preserve"> </w:t>
      </w:r>
      <w:r>
        <w:t>30</w:t>
      </w:r>
      <w:r>
        <w:rPr>
          <w:spacing w:val="16"/>
        </w:rPr>
        <w:t xml:space="preserve"> </w:t>
      </w:r>
      <w:r>
        <w:t>June</w:t>
      </w:r>
      <w:r>
        <w:rPr>
          <w:spacing w:val="20"/>
        </w:rPr>
        <w:t xml:space="preserve"> </w:t>
      </w:r>
      <w:r>
        <w:t>2018</w:t>
      </w:r>
      <w:r>
        <w:rPr>
          <w:spacing w:val="-31"/>
        </w:rPr>
        <w:t>,</w:t>
      </w:r>
      <w:r>
        <w:rPr>
          <w:color w:val="313134"/>
          <w:spacing w:val="-3"/>
        </w:rPr>
        <w:t xml:space="preserve"> </w:t>
      </w:r>
      <w:r>
        <w:t>the</w:t>
      </w:r>
      <w:r>
        <w:rPr>
          <w:spacing w:val="18"/>
        </w:rPr>
        <w:t xml:space="preserve"> </w:t>
      </w:r>
      <w:r>
        <w:t>Statement</w:t>
      </w:r>
      <w:r>
        <w:rPr>
          <w:spacing w:val="29"/>
        </w:rPr>
        <w:t xml:space="preserve"> </w:t>
      </w:r>
      <w:r>
        <w:t>of</w:t>
      </w:r>
      <w:r>
        <w:rPr>
          <w:spacing w:val="18"/>
        </w:rPr>
        <w:t xml:space="preserve"> </w:t>
      </w:r>
      <w:r>
        <w:t>Comprehensive</w:t>
      </w:r>
      <w:r>
        <w:rPr>
          <w:w w:val="101"/>
        </w:rPr>
        <w:t xml:space="preserve"> </w:t>
      </w:r>
      <w:r>
        <w:t>Income,</w:t>
      </w:r>
      <w:r>
        <w:rPr>
          <w:spacing w:val="13"/>
        </w:rPr>
        <w:t xml:space="preserve"> </w:t>
      </w:r>
      <w:r>
        <w:t>Statement</w:t>
      </w:r>
      <w:r>
        <w:rPr>
          <w:spacing w:val="34"/>
        </w:rPr>
        <w:t xml:space="preserve"> </w:t>
      </w:r>
      <w:r>
        <w:t>of</w:t>
      </w:r>
      <w:r>
        <w:rPr>
          <w:spacing w:val="11"/>
        </w:rPr>
        <w:t xml:space="preserve"> </w:t>
      </w:r>
      <w:r>
        <w:t>Changes</w:t>
      </w:r>
      <w:r>
        <w:rPr>
          <w:spacing w:val="23"/>
        </w:rPr>
        <w:t xml:space="preserve"> </w:t>
      </w:r>
      <w:r>
        <w:t>in</w:t>
      </w:r>
      <w:r>
        <w:rPr>
          <w:spacing w:val="11"/>
        </w:rPr>
        <w:t xml:space="preserve"> </w:t>
      </w:r>
      <w:r>
        <w:t>Equity,</w:t>
      </w:r>
      <w:r>
        <w:rPr>
          <w:spacing w:val="13"/>
        </w:rPr>
        <w:t xml:space="preserve"> </w:t>
      </w:r>
      <w:r>
        <w:t>Statement</w:t>
      </w:r>
      <w:r>
        <w:rPr>
          <w:spacing w:val="24"/>
        </w:rPr>
        <w:t xml:space="preserve"> </w:t>
      </w:r>
      <w:r>
        <w:t>of</w:t>
      </w:r>
      <w:r>
        <w:rPr>
          <w:spacing w:val="11"/>
        </w:rPr>
        <w:t xml:space="preserve"> </w:t>
      </w:r>
      <w:r>
        <w:t>Cash</w:t>
      </w:r>
      <w:r>
        <w:rPr>
          <w:spacing w:val="24"/>
        </w:rPr>
        <w:t xml:space="preserve"> </w:t>
      </w:r>
      <w:r>
        <w:t>Flows</w:t>
      </w:r>
      <w:r>
        <w:rPr>
          <w:spacing w:val="3"/>
        </w:rPr>
        <w:t xml:space="preserve"> </w:t>
      </w:r>
      <w:r>
        <w:t>for</w:t>
      </w:r>
      <w:r>
        <w:rPr>
          <w:spacing w:val="14"/>
        </w:rPr>
        <w:t xml:space="preserve"> </w:t>
      </w:r>
      <w:r>
        <w:t>the</w:t>
      </w:r>
      <w:r>
        <w:rPr>
          <w:spacing w:val="12"/>
        </w:rPr>
        <w:t xml:space="preserve"> </w:t>
      </w:r>
      <w:r>
        <w:t>year</w:t>
      </w:r>
      <w:r>
        <w:rPr>
          <w:spacing w:val="16"/>
        </w:rPr>
        <w:t xml:space="preserve"> </w:t>
      </w:r>
      <w:r>
        <w:t>then</w:t>
      </w:r>
      <w:r>
        <w:rPr>
          <w:spacing w:val="22"/>
        </w:rPr>
        <w:t xml:space="preserve"> </w:t>
      </w:r>
      <w:r>
        <w:t>ended,</w:t>
      </w:r>
      <w:r>
        <w:rPr>
          <w:spacing w:val="27"/>
        </w:rPr>
        <w:t xml:space="preserve"> </w:t>
      </w:r>
      <w:r>
        <w:t>and</w:t>
      </w:r>
      <w:r>
        <w:rPr>
          <w:w w:val="102"/>
        </w:rPr>
        <w:t xml:space="preserve"> </w:t>
      </w:r>
      <w:r>
        <w:t>Notes</w:t>
      </w:r>
      <w:r>
        <w:rPr>
          <w:spacing w:val="14"/>
        </w:rPr>
        <w:t xml:space="preserve"> </w:t>
      </w:r>
      <w:r>
        <w:t>comprising</w:t>
      </w:r>
      <w:r>
        <w:rPr>
          <w:spacing w:val="28"/>
        </w:rPr>
        <w:t xml:space="preserve"> </w:t>
      </w:r>
      <w:r>
        <w:t>a</w:t>
      </w:r>
      <w:r>
        <w:rPr>
          <w:spacing w:val="14"/>
        </w:rPr>
        <w:t xml:space="preserve"> </w:t>
      </w:r>
      <w:r>
        <w:t>summary</w:t>
      </w:r>
      <w:r>
        <w:rPr>
          <w:spacing w:val="33"/>
        </w:rPr>
        <w:t xml:space="preserve"> </w:t>
      </w:r>
      <w:r>
        <w:t>of</w:t>
      </w:r>
      <w:r>
        <w:rPr>
          <w:spacing w:val="12"/>
        </w:rPr>
        <w:t xml:space="preserve"> </w:t>
      </w:r>
      <w:r>
        <w:t>significant</w:t>
      </w:r>
      <w:r>
        <w:rPr>
          <w:spacing w:val="33"/>
        </w:rPr>
        <w:t xml:space="preserve"> </w:t>
      </w:r>
      <w:r>
        <w:t>accounting</w:t>
      </w:r>
      <w:r>
        <w:rPr>
          <w:spacing w:val="40"/>
        </w:rPr>
        <w:t xml:space="preserve"> </w:t>
      </w:r>
      <w:r>
        <w:t>policies</w:t>
      </w:r>
      <w:r>
        <w:rPr>
          <w:spacing w:val="12"/>
        </w:rPr>
        <w:t xml:space="preserve"> </w:t>
      </w:r>
      <w:r>
        <w:t>and</w:t>
      </w:r>
      <w:r>
        <w:rPr>
          <w:spacing w:val="12"/>
        </w:rPr>
        <w:t xml:space="preserve"> </w:t>
      </w:r>
      <w:r>
        <w:t>other</w:t>
      </w:r>
      <w:r>
        <w:rPr>
          <w:spacing w:val="21"/>
        </w:rPr>
        <w:t xml:space="preserve"> </w:t>
      </w:r>
      <w:r>
        <w:t>explanatory</w:t>
      </w:r>
      <w:r>
        <w:rPr>
          <w:spacing w:val="43"/>
        </w:rPr>
        <w:t xml:space="preserve"> </w:t>
      </w:r>
      <w:r>
        <w:t>information</w:t>
      </w:r>
      <w:r>
        <w:rPr>
          <w:spacing w:val="-28"/>
        </w:rPr>
        <w:t>.</w:t>
      </w:r>
    </w:p>
    <w:p w14:paraId="7E7C2B30" w14:textId="21A14CE7" w:rsidR="00250DD4" w:rsidRDefault="00250DD4" w:rsidP="00250DD4">
      <w:r>
        <w:t>In my</w:t>
      </w:r>
      <w:r>
        <w:rPr>
          <w:spacing w:val="7"/>
        </w:rPr>
        <w:t xml:space="preserve"> </w:t>
      </w:r>
      <w:r>
        <w:t>opinion,</w:t>
      </w:r>
      <w:r>
        <w:rPr>
          <w:spacing w:val="18"/>
        </w:rPr>
        <w:t xml:space="preserve"> </w:t>
      </w:r>
      <w:r>
        <w:t>the</w:t>
      </w:r>
      <w:r>
        <w:rPr>
          <w:spacing w:val="12"/>
        </w:rPr>
        <w:t xml:space="preserve"> </w:t>
      </w:r>
      <w:r>
        <w:t>financial</w:t>
      </w:r>
      <w:r>
        <w:rPr>
          <w:spacing w:val="34"/>
        </w:rPr>
        <w:t xml:space="preserve"> </w:t>
      </w:r>
      <w:r>
        <w:t>statements</w:t>
      </w:r>
      <w:r>
        <w:rPr>
          <w:spacing w:val="32"/>
        </w:rPr>
        <w:t xml:space="preserve"> </w:t>
      </w:r>
      <w:r>
        <w:t>are</w:t>
      </w:r>
      <w:r>
        <w:rPr>
          <w:spacing w:val="19"/>
        </w:rPr>
        <w:t xml:space="preserve"> </w:t>
      </w:r>
      <w:r>
        <w:t>based</w:t>
      </w:r>
      <w:r>
        <w:rPr>
          <w:spacing w:val="15"/>
        </w:rPr>
        <w:t xml:space="preserve"> </w:t>
      </w:r>
      <w:r>
        <w:t>on</w:t>
      </w:r>
      <w:r>
        <w:rPr>
          <w:spacing w:val="16"/>
        </w:rPr>
        <w:t xml:space="preserve"> </w:t>
      </w:r>
      <w:r>
        <w:t>proper</w:t>
      </w:r>
      <w:r>
        <w:rPr>
          <w:spacing w:val="19"/>
        </w:rPr>
        <w:t xml:space="preserve"> </w:t>
      </w:r>
      <w:r>
        <w:t>accounts</w:t>
      </w:r>
      <w:r>
        <w:rPr>
          <w:spacing w:val="27"/>
        </w:rPr>
        <w:t xml:space="preserve"> </w:t>
      </w:r>
      <w:r>
        <w:t>and</w:t>
      </w:r>
      <w:r>
        <w:rPr>
          <w:spacing w:val="21"/>
        </w:rPr>
        <w:t xml:space="preserve"> </w:t>
      </w:r>
      <w:r>
        <w:t>present</w:t>
      </w:r>
      <w:r>
        <w:rPr>
          <w:spacing w:val="10"/>
        </w:rPr>
        <w:t xml:space="preserve"> </w:t>
      </w:r>
      <w:r>
        <w:t>fairly,</w:t>
      </w:r>
      <w:r>
        <w:rPr>
          <w:spacing w:val="28"/>
        </w:rPr>
        <w:t xml:space="preserve"> </w:t>
      </w:r>
      <w:r>
        <w:t>in</w:t>
      </w:r>
      <w:r>
        <w:rPr>
          <w:spacing w:val="1"/>
        </w:rPr>
        <w:t xml:space="preserve"> </w:t>
      </w:r>
      <w:r>
        <w:t>all</w:t>
      </w:r>
      <w:r>
        <w:rPr>
          <w:w w:val="102"/>
        </w:rPr>
        <w:t xml:space="preserve"> </w:t>
      </w:r>
      <w:r>
        <w:t>material</w:t>
      </w:r>
      <w:r>
        <w:rPr>
          <w:spacing w:val="25"/>
        </w:rPr>
        <w:t xml:space="preserve"> </w:t>
      </w:r>
      <w:r>
        <w:t>respects,</w:t>
      </w:r>
      <w:r>
        <w:rPr>
          <w:spacing w:val="15"/>
        </w:rPr>
        <w:t xml:space="preserve"> </w:t>
      </w:r>
      <w:r>
        <w:t>the</w:t>
      </w:r>
      <w:r>
        <w:rPr>
          <w:spacing w:val="19"/>
        </w:rPr>
        <w:t xml:space="preserve"> </w:t>
      </w:r>
      <w:r>
        <w:t>operating</w:t>
      </w:r>
      <w:r>
        <w:rPr>
          <w:spacing w:val="32"/>
        </w:rPr>
        <w:t xml:space="preserve"> </w:t>
      </w:r>
      <w:r>
        <w:t>results</w:t>
      </w:r>
      <w:r>
        <w:rPr>
          <w:spacing w:val="12"/>
        </w:rPr>
        <w:t xml:space="preserve"> </w:t>
      </w:r>
      <w:r>
        <w:t>and</w:t>
      </w:r>
      <w:r>
        <w:rPr>
          <w:spacing w:val="16"/>
        </w:rPr>
        <w:t xml:space="preserve"> </w:t>
      </w:r>
      <w:r>
        <w:t>cash</w:t>
      </w:r>
      <w:r>
        <w:rPr>
          <w:spacing w:val="6"/>
        </w:rPr>
        <w:t xml:space="preserve"> </w:t>
      </w:r>
      <w:r>
        <w:t>flows</w:t>
      </w:r>
      <w:r>
        <w:rPr>
          <w:spacing w:val="22"/>
        </w:rPr>
        <w:t xml:space="preserve"> </w:t>
      </w:r>
      <w:r>
        <w:t>of</w:t>
      </w:r>
      <w:r>
        <w:rPr>
          <w:spacing w:val="9"/>
        </w:rPr>
        <w:t xml:space="preserve"> </w:t>
      </w:r>
      <w:r>
        <w:t>the</w:t>
      </w:r>
      <w:r>
        <w:rPr>
          <w:spacing w:val="7"/>
        </w:rPr>
        <w:t xml:space="preserve"> </w:t>
      </w:r>
      <w:r>
        <w:t>WorkCover</w:t>
      </w:r>
      <w:r>
        <w:rPr>
          <w:spacing w:val="34"/>
        </w:rPr>
        <w:t xml:space="preserve"> </w:t>
      </w:r>
      <w:r>
        <w:t>Western</w:t>
      </w:r>
      <w:r>
        <w:rPr>
          <w:spacing w:val="22"/>
        </w:rPr>
        <w:t xml:space="preserve"> </w:t>
      </w:r>
      <w:r>
        <w:t>Australia Authority</w:t>
      </w:r>
      <w:r>
        <w:rPr>
          <w:spacing w:val="27"/>
        </w:rPr>
        <w:t xml:space="preserve"> </w:t>
      </w:r>
      <w:r>
        <w:t>for</w:t>
      </w:r>
      <w:r>
        <w:rPr>
          <w:spacing w:val="13"/>
        </w:rPr>
        <w:t xml:space="preserve"> </w:t>
      </w:r>
      <w:r>
        <w:t>the</w:t>
      </w:r>
      <w:r>
        <w:rPr>
          <w:spacing w:val="16"/>
        </w:rPr>
        <w:t xml:space="preserve"> </w:t>
      </w:r>
      <w:r>
        <w:t>year</w:t>
      </w:r>
      <w:r>
        <w:rPr>
          <w:spacing w:val="20"/>
        </w:rPr>
        <w:t xml:space="preserve"> </w:t>
      </w:r>
      <w:r>
        <w:t>ended</w:t>
      </w:r>
      <w:r>
        <w:rPr>
          <w:spacing w:val="21"/>
        </w:rPr>
        <w:t xml:space="preserve"> </w:t>
      </w:r>
      <w:r>
        <w:t>30</w:t>
      </w:r>
      <w:r>
        <w:rPr>
          <w:spacing w:val="6"/>
        </w:rPr>
        <w:t xml:space="preserve"> </w:t>
      </w:r>
      <w:r>
        <w:t>June</w:t>
      </w:r>
      <w:r>
        <w:rPr>
          <w:spacing w:val="13"/>
        </w:rPr>
        <w:t xml:space="preserve"> </w:t>
      </w:r>
      <w:r>
        <w:t>2018</w:t>
      </w:r>
      <w:r>
        <w:rPr>
          <w:spacing w:val="21"/>
        </w:rPr>
        <w:t xml:space="preserve"> </w:t>
      </w:r>
      <w:r>
        <w:t>and</w:t>
      </w:r>
      <w:r>
        <w:rPr>
          <w:spacing w:val="4"/>
        </w:rPr>
        <w:t xml:space="preserve"> </w:t>
      </w:r>
      <w:r>
        <w:t>the</w:t>
      </w:r>
      <w:r>
        <w:rPr>
          <w:spacing w:val="11"/>
        </w:rPr>
        <w:t xml:space="preserve"> </w:t>
      </w:r>
      <w:r>
        <w:t>financial</w:t>
      </w:r>
      <w:r>
        <w:rPr>
          <w:spacing w:val="35"/>
        </w:rPr>
        <w:t xml:space="preserve"> </w:t>
      </w:r>
      <w:r>
        <w:t>position</w:t>
      </w:r>
      <w:r>
        <w:rPr>
          <w:spacing w:val="13"/>
        </w:rPr>
        <w:t xml:space="preserve"> </w:t>
      </w:r>
      <w:r>
        <w:t>at</w:t>
      </w:r>
      <w:r>
        <w:rPr>
          <w:spacing w:val="-1"/>
        </w:rPr>
        <w:t xml:space="preserve"> </w:t>
      </w:r>
      <w:r>
        <w:t>the</w:t>
      </w:r>
      <w:r>
        <w:rPr>
          <w:spacing w:val="17"/>
        </w:rPr>
        <w:t xml:space="preserve"> </w:t>
      </w:r>
      <w:r>
        <w:t>end</w:t>
      </w:r>
      <w:r>
        <w:rPr>
          <w:spacing w:val="17"/>
        </w:rPr>
        <w:t xml:space="preserve"> </w:t>
      </w:r>
      <w:r>
        <w:t>of</w:t>
      </w:r>
      <w:r>
        <w:rPr>
          <w:spacing w:val="4"/>
        </w:rPr>
        <w:t xml:space="preserve"> </w:t>
      </w:r>
      <w:r>
        <w:t>that</w:t>
      </w:r>
      <w:r>
        <w:rPr>
          <w:spacing w:val="24"/>
        </w:rPr>
        <w:t xml:space="preserve"> </w:t>
      </w:r>
      <w:r>
        <w:t>period.</w:t>
      </w:r>
      <w:r>
        <w:rPr>
          <w:spacing w:val="15"/>
        </w:rPr>
        <w:t xml:space="preserve"> </w:t>
      </w:r>
      <w:r>
        <w:t>They</w:t>
      </w:r>
      <w:r>
        <w:rPr>
          <w:w w:val="99"/>
        </w:rPr>
        <w:t xml:space="preserve"> </w:t>
      </w:r>
      <w:r>
        <w:t>are</w:t>
      </w:r>
      <w:r>
        <w:rPr>
          <w:spacing w:val="26"/>
        </w:rPr>
        <w:t xml:space="preserve"> </w:t>
      </w:r>
      <w:r>
        <w:t>in</w:t>
      </w:r>
      <w:r>
        <w:rPr>
          <w:spacing w:val="8"/>
        </w:rPr>
        <w:t xml:space="preserve"> </w:t>
      </w:r>
      <w:r>
        <w:t>accordance</w:t>
      </w:r>
      <w:r>
        <w:rPr>
          <w:spacing w:val="16"/>
        </w:rPr>
        <w:t xml:space="preserve"> </w:t>
      </w:r>
      <w:r>
        <w:t>with</w:t>
      </w:r>
      <w:r>
        <w:rPr>
          <w:spacing w:val="16"/>
        </w:rPr>
        <w:t xml:space="preserve"> </w:t>
      </w:r>
      <w:r>
        <w:t>Australian</w:t>
      </w:r>
      <w:r>
        <w:rPr>
          <w:spacing w:val="29"/>
        </w:rPr>
        <w:t xml:space="preserve"> </w:t>
      </w:r>
      <w:r>
        <w:t>Accounting</w:t>
      </w:r>
      <w:r>
        <w:rPr>
          <w:spacing w:val="42"/>
        </w:rPr>
        <w:t xml:space="preserve"> </w:t>
      </w:r>
      <w:r>
        <w:t>Standards,</w:t>
      </w:r>
      <w:r>
        <w:rPr>
          <w:spacing w:val="26"/>
        </w:rPr>
        <w:t xml:space="preserve"> </w:t>
      </w:r>
      <w:r>
        <w:t>the</w:t>
      </w:r>
      <w:r>
        <w:rPr>
          <w:spacing w:val="26"/>
        </w:rPr>
        <w:t xml:space="preserve"> </w:t>
      </w:r>
      <w:r>
        <w:rPr>
          <w:rFonts w:eastAsia="Arial" w:cs="Arial"/>
          <w:i/>
        </w:rPr>
        <w:t>Financial</w:t>
      </w:r>
      <w:r>
        <w:rPr>
          <w:rFonts w:eastAsia="Arial" w:cs="Arial"/>
          <w:i/>
          <w:spacing w:val="29"/>
        </w:rPr>
        <w:t xml:space="preserve"> </w:t>
      </w:r>
      <w:r>
        <w:rPr>
          <w:rFonts w:eastAsia="Arial" w:cs="Arial"/>
          <w:i/>
        </w:rPr>
        <w:t>Management</w:t>
      </w:r>
      <w:r>
        <w:rPr>
          <w:rFonts w:eastAsia="Arial" w:cs="Arial"/>
          <w:i/>
          <w:spacing w:val="20"/>
        </w:rPr>
        <w:t xml:space="preserve"> </w:t>
      </w:r>
      <w:r>
        <w:rPr>
          <w:rFonts w:eastAsia="Arial" w:cs="Arial"/>
          <w:i/>
        </w:rPr>
        <w:t>Act</w:t>
      </w:r>
      <w:r>
        <w:rPr>
          <w:rFonts w:eastAsia="Arial" w:cs="Arial"/>
          <w:i/>
          <w:spacing w:val="26"/>
        </w:rPr>
        <w:t xml:space="preserve"> </w:t>
      </w:r>
      <w:r>
        <w:rPr>
          <w:rFonts w:eastAsia="Arial" w:cs="Arial"/>
          <w:i/>
        </w:rPr>
        <w:t>2006</w:t>
      </w:r>
      <w:r>
        <w:rPr>
          <w:rFonts w:eastAsia="Arial" w:cs="Arial"/>
          <w:i/>
          <w:spacing w:val="13"/>
        </w:rPr>
        <w:t xml:space="preserve"> </w:t>
      </w:r>
      <w:r>
        <w:t>and</w:t>
      </w:r>
      <w:r>
        <w:rPr>
          <w:w w:val="102"/>
        </w:rPr>
        <w:t xml:space="preserve"> </w:t>
      </w:r>
      <w:r>
        <w:t>the</w:t>
      </w:r>
      <w:r>
        <w:rPr>
          <w:spacing w:val="19"/>
        </w:rPr>
        <w:t xml:space="preserve"> </w:t>
      </w:r>
      <w:r>
        <w:t>Treasurer's Instructions.</w:t>
      </w:r>
    </w:p>
    <w:p w14:paraId="00E60AE7" w14:textId="034C249B" w:rsidR="00250DD4" w:rsidRDefault="00250DD4" w:rsidP="00250DD4">
      <w:pPr>
        <w:rPr>
          <w:b/>
          <w:i/>
        </w:rPr>
      </w:pPr>
      <w:r>
        <w:rPr>
          <w:b/>
          <w:i/>
        </w:rPr>
        <w:t>Basis for Opinion</w:t>
      </w:r>
    </w:p>
    <w:p w14:paraId="77F44468" w14:textId="4861D285" w:rsidR="00250DD4" w:rsidRDefault="00250DD4" w:rsidP="00250DD4">
      <w:pPr>
        <w:rPr>
          <w:color w:val="313134"/>
        </w:rPr>
      </w:pPr>
      <w:r>
        <w:t>I</w:t>
      </w:r>
      <w:r>
        <w:rPr>
          <w:spacing w:val="-15"/>
        </w:rPr>
        <w:t xml:space="preserve"> </w:t>
      </w:r>
      <w:r>
        <w:t>conducted</w:t>
      </w:r>
      <w:r>
        <w:rPr>
          <w:spacing w:val="33"/>
        </w:rPr>
        <w:t xml:space="preserve"> </w:t>
      </w:r>
      <w:r>
        <w:t>my</w:t>
      </w:r>
      <w:r>
        <w:rPr>
          <w:spacing w:val="15"/>
        </w:rPr>
        <w:t xml:space="preserve"> </w:t>
      </w:r>
      <w:r>
        <w:t>audit</w:t>
      </w:r>
      <w:r>
        <w:rPr>
          <w:spacing w:val="26"/>
        </w:rPr>
        <w:t xml:space="preserve"> </w:t>
      </w:r>
      <w:r>
        <w:t>in</w:t>
      </w:r>
      <w:r>
        <w:rPr>
          <w:spacing w:val="7"/>
        </w:rPr>
        <w:t xml:space="preserve"> </w:t>
      </w:r>
      <w:r>
        <w:t>accordance</w:t>
      </w:r>
      <w:r>
        <w:rPr>
          <w:spacing w:val="24"/>
        </w:rPr>
        <w:t xml:space="preserve"> </w:t>
      </w:r>
      <w:r>
        <w:t>with</w:t>
      </w:r>
      <w:r>
        <w:rPr>
          <w:spacing w:val="15"/>
        </w:rPr>
        <w:t xml:space="preserve"> </w:t>
      </w:r>
      <w:r>
        <w:t>the</w:t>
      </w:r>
      <w:r>
        <w:rPr>
          <w:spacing w:val="14"/>
        </w:rPr>
        <w:t xml:space="preserve"> </w:t>
      </w:r>
      <w:r>
        <w:t>Australian</w:t>
      </w:r>
      <w:r>
        <w:rPr>
          <w:spacing w:val="35"/>
        </w:rPr>
        <w:t xml:space="preserve"> </w:t>
      </w:r>
      <w:r>
        <w:t>Auditing</w:t>
      </w:r>
      <w:r>
        <w:rPr>
          <w:spacing w:val="38"/>
        </w:rPr>
        <w:t xml:space="preserve"> </w:t>
      </w:r>
      <w:r>
        <w:t>Standards</w:t>
      </w:r>
      <w:r>
        <w:rPr>
          <w:color w:val="313134"/>
        </w:rPr>
        <w:t xml:space="preserve">. </w:t>
      </w:r>
      <w:r>
        <w:t>My</w:t>
      </w:r>
      <w:r>
        <w:rPr>
          <w:spacing w:val="10"/>
        </w:rPr>
        <w:t xml:space="preserve"> </w:t>
      </w:r>
      <w:r>
        <w:t>responsibilities</w:t>
      </w:r>
      <w:r>
        <w:rPr>
          <w:w w:val="101"/>
        </w:rPr>
        <w:t xml:space="preserve"> </w:t>
      </w:r>
      <w:r>
        <w:t>under</w:t>
      </w:r>
      <w:r>
        <w:rPr>
          <w:spacing w:val="11"/>
        </w:rPr>
        <w:t xml:space="preserve"> </w:t>
      </w:r>
      <w:r>
        <w:t>those</w:t>
      </w:r>
      <w:r>
        <w:rPr>
          <w:spacing w:val="16"/>
        </w:rPr>
        <w:t xml:space="preserve"> </w:t>
      </w:r>
      <w:r>
        <w:t>standards</w:t>
      </w:r>
      <w:r>
        <w:rPr>
          <w:spacing w:val="26"/>
        </w:rPr>
        <w:t xml:space="preserve"> </w:t>
      </w:r>
      <w:r>
        <w:t>are</w:t>
      </w:r>
      <w:r>
        <w:rPr>
          <w:spacing w:val="9"/>
        </w:rPr>
        <w:t xml:space="preserve"> </w:t>
      </w:r>
      <w:r>
        <w:t>further</w:t>
      </w:r>
      <w:r>
        <w:rPr>
          <w:spacing w:val="26"/>
        </w:rPr>
        <w:t xml:space="preserve"> </w:t>
      </w:r>
      <w:r>
        <w:t>described</w:t>
      </w:r>
      <w:r>
        <w:rPr>
          <w:spacing w:val="38"/>
        </w:rPr>
        <w:t xml:space="preserve"> </w:t>
      </w:r>
      <w:r>
        <w:t>in</w:t>
      </w:r>
      <w:r>
        <w:rPr>
          <w:spacing w:val="3"/>
        </w:rPr>
        <w:t xml:space="preserve"> </w:t>
      </w:r>
      <w:r>
        <w:t>the</w:t>
      </w:r>
      <w:r>
        <w:rPr>
          <w:spacing w:val="8"/>
        </w:rPr>
        <w:t xml:space="preserve"> </w:t>
      </w:r>
      <w:r>
        <w:rPr>
          <w:rFonts w:eastAsia="Arial" w:cs="Arial"/>
          <w:i/>
        </w:rPr>
        <w:t>Auditor's</w:t>
      </w:r>
      <w:r>
        <w:rPr>
          <w:rFonts w:eastAsia="Arial" w:cs="Arial"/>
          <w:i/>
          <w:spacing w:val="45"/>
        </w:rPr>
        <w:t xml:space="preserve"> </w:t>
      </w:r>
      <w:r>
        <w:rPr>
          <w:rFonts w:eastAsia="Arial" w:cs="Arial"/>
          <w:i/>
        </w:rPr>
        <w:t>Responsibilities</w:t>
      </w:r>
      <w:r>
        <w:rPr>
          <w:rFonts w:eastAsia="Arial" w:cs="Arial"/>
          <w:i/>
          <w:spacing w:val="33"/>
        </w:rPr>
        <w:t xml:space="preserve"> </w:t>
      </w:r>
      <w:r>
        <w:rPr>
          <w:rFonts w:eastAsia="Arial" w:cs="Arial"/>
          <w:i/>
        </w:rPr>
        <w:t>for</w:t>
      </w:r>
      <w:r>
        <w:rPr>
          <w:rFonts w:eastAsia="Arial" w:cs="Arial"/>
          <w:i/>
          <w:spacing w:val="10"/>
        </w:rPr>
        <w:t xml:space="preserve"> </w:t>
      </w:r>
      <w:r>
        <w:rPr>
          <w:rFonts w:eastAsia="Arial" w:cs="Arial"/>
          <w:i/>
        </w:rPr>
        <w:t>the</w:t>
      </w:r>
      <w:r>
        <w:rPr>
          <w:rFonts w:eastAsia="Arial" w:cs="Arial"/>
          <w:i/>
          <w:spacing w:val="3"/>
        </w:rPr>
        <w:t xml:space="preserve"> </w:t>
      </w:r>
      <w:r>
        <w:rPr>
          <w:rFonts w:eastAsia="Arial" w:cs="Arial"/>
          <w:i/>
        </w:rPr>
        <w:t>Audit</w:t>
      </w:r>
      <w:r>
        <w:rPr>
          <w:rFonts w:eastAsia="Arial" w:cs="Arial"/>
          <w:i/>
          <w:spacing w:val="34"/>
        </w:rPr>
        <w:t xml:space="preserve"> </w:t>
      </w:r>
      <w:r>
        <w:rPr>
          <w:rFonts w:eastAsia="Arial" w:cs="Arial"/>
          <w:i/>
        </w:rPr>
        <w:t>of</w:t>
      </w:r>
      <w:r>
        <w:rPr>
          <w:rFonts w:eastAsia="Arial" w:cs="Arial"/>
          <w:i/>
          <w:spacing w:val="9"/>
        </w:rPr>
        <w:t xml:space="preserve"> </w:t>
      </w:r>
      <w:r>
        <w:rPr>
          <w:rFonts w:eastAsia="Arial" w:cs="Arial"/>
          <w:i/>
        </w:rPr>
        <w:t>the</w:t>
      </w:r>
      <w:r>
        <w:rPr>
          <w:rFonts w:eastAsia="Arial" w:cs="Arial"/>
          <w:i/>
          <w:w w:val="101"/>
        </w:rPr>
        <w:t xml:space="preserve"> </w:t>
      </w:r>
      <w:r>
        <w:rPr>
          <w:rFonts w:eastAsia="Arial" w:cs="Arial"/>
          <w:i/>
        </w:rPr>
        <w:t>Financial</w:t>
      </w:r>
      <w:r>
        <w:rPr>
          <w:rFonts w:eastAsia="Arial" w:cs="Arial"/>
          <w:i/>
          <w:spacing w:val="28"/>
        </w:rPr>
        <w:t xml:space="preserve"> </w:t>
      </w:r>
      <w:r>
        <w:rPr>
          <w:rFonts w:eastAsia="Arial" w:cs="Arial"/>
          <w:i/>
        </w:rPr>
        <w:t>Statements</w:t>
      </w:r>
      <w:r>
        <w:rPr>
          <w:rFonts w:eastAsia="Arial" w:cs="Arial"/>
          <w:i/>
          <w:spacing w:val="20"/>
        </w:rPr>
        <w:t xml:space="preserve"> </w:t>
      </w:r>
      <w:r>
        <w:t>section</w:t>
      </w:r>
      <w:r>
        <w:rPr>
          <w:spacing w:val="15"/>
        </w:rPr>
        <w:t xml:space="preserve"> </w:t>
      </w:r>
      <w:r>
        <w:t>of</w:t>
      </w:r>
      <w:r>
        <w:rPr>
          <w:spacing w:val="10"/>
        </w:rPr>
        <w:t xml:space="preserve"> </w:t>
      </w:r>
      <w:r>
        <w:t>my</w:t>
      </w:r>
      <w:r>
        <w:rPr>
          <w:spacing w:val="15"/>
        </w:rPr>
        <w:t xml:space="preserve"> </w:t>
      </w:r>
      <w:r>
        <w:t>repor</w:t>
      </w:r>
      <w:r>
        <w:rPr>
          <w:spacing w:val="13"/>
        </w:rPr>
        <w:t>t</w:t>
      </w:r>
      <w:r>
        <w:rPr>
          <w:color w:val="313134"/>
        </w:rPr>
        <w:t>.</w:t>
      </w:r>
      <w:r>
        <w:rPr>
          <w:color w:val="313134"/>
          <w:spacing w:val="12"/>
        </w:rPr>
        <w:t xml:space="preserve"> </w:t>
      </w:r>
      <w:r>
        <w:t>I</w:t>
      </w:r>
      <w:r>
        <w:rPr>
          <w:spacing w:val="-2"/>
        </w:rPr>
        <w:t xml:space="preserve"> </w:t>
      </w:r>
      <w:r>
        <w:t>am</w:t>
      </w:r>
      <w:r>
        <w:rPr>
          <w:spacing w:val="15"/>
        </w:rPr>
        <w:t xml:space="preserve"> </w:t>
      </w:r>
      <w:r>
        <w:t>independent</w:t>
      </w:r>
      <w:r>
        <w:rPr>
          <w:spacing w:val="20"/>
        </w:rPr>
        <w:t xml:space="preserve"> </w:t>
      </w:r>
      <w:r>
        <w:t>of</w:t>
      </w:r>
      <w:r>
        <w:rPr>
          <w:spacing w:val="5"/>
        </w:rPr>
        <w:t xml:space="preserve"> </w:t>
      </w:r>
      <w:r>
        <w:t>the</w:t>
      </w:r>
      <w:r>
        <w:rPr>
          <w:spacing w:val="3"/>
        </w:rPr>
        <w:t xml:space="preserve"> </w:t>
      </w:r>
      <w:r>
        <w:t>Authority</w:t>
      </w:r>
      <w:r>
        <w:rPr>
          <w:spacing w:val="36"/>
        </w:rPr>
        <w:t xml:space="preserve"> </w:t>
      </w:r>
      <w:r>
        <w:t>in</w:t>
      </w:r>
      <w:r>
        <w:rPr>
          <w:spacing w:val="4"/>
        </w:rPr>
        <w:t xml:space="preserve"> </w:t>
      </w:r>
      <w:r>
        <w:t>accordance</w:t>
      </w:r>
      <w:r>
        <w:rPr>
          <w:spacing w:val="12"/>
        </w:rPr>
        <w:t xml:space="preserve"> </w:t>
      </w:r>
      <w:r>
        <w:t>with</w:t>
      </w:r>
      <w:r>
        <w:rPr>
          <w:spacing w:val="11"/>
        </w:rPr>
        <w:t xml:space="preserve"> </w:t>
      </w:r>
      <w:r>
        <w:t>the</w:t>
      </w:r>
      <w:r>
        <w:rPr>
          <w:w w:val="102"/>
        </w:rPr>
        <w:t xml:space="preserve"> </w:t>
      </w:r>
      <w:r>
        <w:rPr>
          <w:rFonts w:eastAsia="Arial" w:cs="Arial"/>
          <w:i/>
        </w:rPr>
        <w:t>Auditor</w:t>
      </w:r>
      <w:r>
        <w:rPr>
          <w:rFonts w:eastAsia="Arial" w:cs="Arial"/>
          <w:i/>
          <w:spacing w:val="48"/>
        </w:rPr>
        <w:t xml:space="preserve"> </w:t>
      </w:r>
      <w:r>
        <w:rPr>
          <w:rFonts w:eastAsia="Arial" w:cs="Arial"/>
          <w:i/>
        </w:rPr>
        <w:t>General</w:t>
      </w:r>
      <w:r>
        <w:rPr>
          <w:rFonts w:eastAsia="Arial" w:cs="Arial"/>
          <w:i/>
          <w:spacing w:val="1"/>
        </w:rPr>
        <w:t xml:space="preserve"> </w:t>
      </w:r>
      <w:r>
        <w:rPr>
          <w:rFonts w:eastAsia="Arial" w:cs="Arial"/>
          <w:i/>
        </w:rPr>
        <w:t>Act</w:t>
      </w:r>
      <w:r>
        <w:rPr>
          <w:rFonts w:eastAsia="Arial" w:cs="Arial"/>
          <w:i/>
          <w:spacing w:val="26"/>
        </w:rPr>
        <w:t xml:space="preserve"> </w:t>
      </w:r>
      <w:r>
        <w:rPr>
          <w:rFonts w:eastAsia="Arial" w:cs="Arial"/>
          <w:i/>
        </w:rPr>
        <w:t>2006</w:t>
      </w:r>
      <w:r>
        <w:rPr>
          <w:rFonts w:eastAsia="Arial" w:cs="Arial"/>
          <w:i/>
          <w:spacing w:val="14"/>
        </w:rPr>
        <w:t xml:space="preserve"> </w:t>
      </w:r>
      <w:r>
        <w:t>and</w:t>
      </w:r>
      <w:r>
        <w:rPr>
          <w:spacing w:val="9"/>
        </w:rPr>
        <w:t xml:space="preserve"> </w:t>
      </w:r>
      <w:r>
        <w:t>the</w:t>
      </w:r>
      <w:r>
        <w:rPr>
          <w:spacing w:val="25"/>
        </w:rPr>
        <w:t xml:space="preserve"> </w:t>
      </w:r>
      <w:r>
        <w:t>relevant</w:t>
      </w:r>
      <w:r>
        <w:rPr>
          <w:spacing w:val="19"/>
        </w:rPr>
        <w:t xml:space="preserve"> </w:t>
      </w:r>
      <w:r>
        <w:t>ethical</w:t>
      </w:r>
      <w:r>
        <w:rPr>
          <w:spacing w:val="26"/>
        </w:rPr>
        <w:t xml:space="preserve"> </w:t>
      </w:r>
      <w:r>
        <w:t>requirements</w:t>
      </w:r>
      <w:r>
        <w:rPr>
          <w:spacing w:val="23"/>
        </w:rPr>
        <w:t xml:space="preserve"> </w:t>
      </w:r>
      <w:r>
        <w:t>of</w:t>
      </w:r>
      <w:r>
        <w:rPr>
          <w:spacing w:val="8"/>
        </w:rPr>
        <w:t xml:space="preserve"> </w:t>
      </w:r>
      <w:r>
        <w:t>the</w:t>
      </w:r>
      <w:r>
        <w:rPr>
          <w:spacing w:val="14"/>
        </w:rPr>
        <w:t xml:space="preserve"> </w:t>
      </w:r>
      <w:r>
        <w:t>Accounting</w:t>
      </w:r>
      <w:r>
        <w:rPr>
          <w:spacing w:val="48"/>
        </w:rPr>
        <w:t xml:space="preserve"> </w:t>
      </w:r>
      <w:r>
        <w:t>Professional</w:t>
      </w:r>
      <w:r>
        <w:rPr>
          <w:spacing w:val="22"/>
        </w:rPr>
        <w:t xml:space="preserve"> </w:t>
      </w:r>
      <w:r>
        <w:t>and</w:t>
      </w:r>
      <w:r>
        <w:rPr>
          <w:w w:val="102"/>
        </w:rPr>
        <w:t xml:space="preserve"> </w:t>
      </w:r>
      <w:r>
        <w:t>Ethical</w:t>
      </w:r>
      <w:r>
        <w:rPr>
          <w:spacing w:val="9"/>
        </w:rPr>
        <w:t xml:space="preserve"> </w:t>
      </w:r>
      <w:r>
        <w:t>Standards</w:t>
      </w:r>
      <w:r>
        <w:rPr>
          <w:spacing w:val="42"/>
        </w:rPr>
        <w:t xml:space="preserve"> </w:t>
      </w:r>
      <w:r>
        <w:t>Board's</w:t>
      </w:r>
      <w:r>
        <w:rPr>
          <w:spacing w:val="1"/>
        </w:rPr>
        <w:t xml:space="preserve"> </w:t>
      </w:r>
      <w:r>
        <w:t>APES</w:t>
      </w:r>
      <w:r>
        <w:rPr>
          <w:spacing w:val="53"/>
        </w:rPr>
        <w:t xml:space="preserve"> </w:t>
      </w:r>
      <w:r>
        <w:t>110</w:t>
      </w:r>
      <w:r>
        <w:rPr>
          <w:spacing w:val="12"/>
        </w:rPr>
        <w:t xml:space="preserve"> </w:t>
      </w:r>
      <w:r>
        <w:rPr>
          <w:rFonts w:eastAsia="Arial" w:cs="Arial"/>
          <w:i/>
        </w:rPr>
        <w:t>Code</w:t>
      </w:r>
      <w:r>
        <w:rPr>
          <w:rFonts w:eastAsia="Arial" w:cs="Arial"/>
          <w:i/>
          <w:spacing w:val="2"/>
        </w:rPr>
        <w:t xml:space="preserve"> </w:t>
      </w:r>
      <w:r>
        <w:rPr>
          <w:rFonts w:eastAsia="Arial" w:cs="Arial"/>
          <w:i/>
        </w:rPr>
        <w:t>of</w:t>
      </w:r>
      <w:r>
        <w:rPr>
          <w:rFonts w:eastAsia="Arial" w:cs="Arial"/>
          <w:i/>
          <w:spacing w:val="11"/>
        </w:rPr>
        <w:t xml:space="preserve"> </w:t>
      </w:r>
      <w:r>
        <w:rPr>
          <w:rFonts w:eastAsia="Arial" w:cs="Arial"/>
          <w:i/>
        </w:rPr>
        <w:t>Ethics</w:t>
      </w:r>
      <w:r>
        <w:rPr>
          <w:rFonts w:eastAsia="Arial" w:cs="Arial"/>
          <w:i/>
          <w:spacing w:val="17"/>
        </w:rPr>
        <w:t xml:space="preserve"> </w:t>
      </w:r>
      <w:r>
        <w:rPr>
          <w:rFonts w:eastAsia="Arial" w:cs="Arial"/>
          <w:i/>
        </w:rPr>
        <w:t>for</w:t>
      </w:r>
      <w:r>
        <w:rPr>
          <w:rFonts w:eastAsia="Arial" w:cs="Arial"/>
          <w:i/>
          <w:spacing w:val="10"/>
        </w:rPr>
        <w:t xml:space="preserve"> </w:t>
      </w:r>
      <w:r>
        <w:rPr>
          <w:rFonts w:eastAsia="Arial" w:cs="Arial"/>
          <w:i/>
        </w:rPr>
        <w:t>Professional</w:t>
      </w:r>
      <w:r>
        <w:rPr>
          <w:rFonts w:eastAsia="Arial" w:cs="Arial"/>
          <w:i/>
          <w:spacing w:val="28"/>
        </w:rPr>
        <w:t xml:space="preserve"> </w:t>
      </w:r>
      <w:r>
        <w:rPr>
          <w:rFonts w:eastAsia="Arial" w:cs="Arial"/>
          <w:i/>
        </w:rPr>
        <w:t>Accountants</w:t>
      </w:r>
      <w:r>
        <w:rPr>
          <w:rFonts w:eastAsia="Arial" w:cs="Arial"/>
          <w:i/>
          <w:spacing w:val="50"/>
        </w:rPr>
        <w:t xml:space="preserve"> </w:t>
      </w:r>
      <w:r>
        <w:t>(the</w:t>
      </w:r>
      <w:r>
        <w:rPr>
          <w:spacing w:val="15"/>
        </w:rPr>
        <w:t xml:space="preserve"> </w:t>
      </w:r>
      <w:r>
        <w:t>Code)</w:t>
      </w:r>
      <w:r>
        <w:rPr>
          <w:spacing w:val="19"/>
        </w:rPr>
        <w:t xml:space="preserve"> </w:t>
      </w:r>
      <w:r>
        <w:t>that</w:t>
      </w:r>
      <w:r>
        <w:rPr>
          <w:w w:val="101"/>
        </w:rPr>
        <w:t xml:space="preserve"> </w:t>
      </w:r>
      <w:r>
        <w:t>are</w:t>
      </w:r>
      <w:r>
        <w:rPr>
          <w:spacing w:val="18"/>
        </w:rPr>
        <w:t xml:space="preserve"> </w:t>
      </w:r>
      <w:r>
        <w:t>relevant</w:t>
      </w:r>
      <w:r>
        <w:rPr>
          <w:spacing w:val="8"/>
        </w:rPr>
        <w:t xml:space="preserve"> </w:t>
      </w:r>
      <w:r>
        <w:t>to</w:t>
      </w:r>
      <w:r>
        <w:rPr>
          <w:spacing w:val="26"/>
        </w:rPr>
        <w:t xml:space="preserve"> </w:t>
      </w:r>
      <w:r>
        <w:t>my</w:t>
      </w:r>
      <w:r>
        <w:rPr>
          <w:spacing w:val="12"/>
        </w:rPr>
        <w:t xml:space="preserve"> </w:t>
      </w:r>
      <w:r>
        <w:t>audit</w:t>
      </w:r>
      <w:r>
        <w:rPr>
          <w:spacing w:val="19"/>
        </w:rPr>
        <w:t xml:space="preserve"> </w:t>
      </w:r>
      <w:r>
        <w:t>of</w:t>
      </w:r>
      <w:r>
        <w:rPr>
          <w:spacing w:val="5"/>
        </w:rPr>
        <w:t xml:space="preserve"> </w:t>
      </w:r>
      <w:r>
        <w:t>the</w:t>
      </w:r>
      <w:r>
        <w:rPr>
          <w:spacing w:val="7"/>
        </w:rPr>
        <w:t xml:space="preserve"> </w:t>
      </w:r>
      <w:r>
        <w:t>financial</w:t>
      </w:r>
      <w:r>
        <w:rPr>
          <w:spacing w:val="25"/>
        </w:rPr>
        <w:t xml:space="preserve"> </w:t>
      </w:r>
      <w:r>
        <w:t>statements</w:t>
      </w:r>
      <w:r>
        <w:rPr>
          <w:color w:val="313134"/>
        </w:rPr>
        <w:t>.</w:t>
      </w:r>
      <w:r>
        <w:rPr>
          <w:color w:val="313134"/>
          <w:spacing w:val="15"/>
        </w:rPr>
        <w:t xml:space="preserve"> </w:t>
      </w:r>
      <w:r>
        <w:t>I</w:t>
      </w:r>
      <w:r>
        <w:rPr>
          <w:spacing w:val="5"/>
        </w:rPr>
        <w:t xml:space="preserve"> </w:t>
      </w:r>
      <w:r>
        <w:t>have</w:t>
      </w:r>
      <w:r>
        <w:rPr>
          <w:spacing w:val="9"/>
        </w:rPr>
        <w:t xml:space="preserve"> </w:t>
      </w:r>
      <w:r>
        <w:t>also</w:t>
      </w:r>
      <w:r>
        <w:rPr>
          <w:spacing w:val="15"/>
        </w:rPr>
        <w:t xml:space="preserve"> </w:t>
      </w:r>
      <w:r>
        <w:t>fulfilled</w:t>
      </w:r>
      <w:r>
        <w:rPr>
          <w:spacing w:val="26"/>
        </w:rPr>
        <w:t xml:space="preserve"> </w:t>
      </w:r>
      <w:r>
        <w:t>my</w:t>
      </w:r>
      <w:r>
        <w:rPr>
          <w:spacing w:val="12"/>
        </w:rPr>
        <w:t xml:space="preserve"> </w:t>
      </w:r>
      <w:r>
        <w:t>other</w:t>
      </w:r>
      <w:r>
        <w:rPr>
          <w:spacing w:val="20"/>
        </w:rPr>
        <w:t xml:space="preserve"> </w:t>
      </w:r>
      <w:r>
        <w:t>ethical</w:t>
      </w:r>
      <w:r>
        <w:rPr>
          <w:w w:val="102"/>
        </w:rPr>
        <w:t xml:space="preserve"> </w:t>
      </w:r>
      <w:r>
        <w:t>responsibilities</w:t>
      </w:r>
      <w:r>
        <w:rPr>
          <w:spacing w:val="33"/>
        </w:rPr>
        <w:t xml:space="preserve"> </w:t>
      </w:r>
      <w:r>
        <w:t>in</w:t>
      </w:r>
      <w:r>
        <w:rPr>
          <w:spacing w:val="7"/>
        </w:rPr>
        <w:t xml:space="preserve"> </w:t>
      </w:r>
      <w:r>
        <w:t>accordance</w:t>
      </w:r>
      <w:r>
        <w:rPr>
          <w:spacing w:val="29"/>
        </w:rPr>
        <w:t xml:space="preserve"> </w:t>
      </w:r>
      <w:r>
        <w:t>with</w:t>
      </w:r>
      <w:r>
        <w:rPr>
          <w:spacing w:val="24"/>
        </w:rPr>
        <w:t xml:space="preserve"> </w:t>
      </w:r>
      <w:r>
        <w:t>the</w:t>
      </w:r>
      <w:r>
        <w:rPr>
          <w:spacing w:val="20"/>
        </w:rPr>
        <w:t xml:space="preserve"> </w:t>
      </w:r>
      <w:r>
        <w:t>Cod</w:t>
      </w:r>
      <w:r>
        <w:rPr>
          <w:spacing w:val="11"/>
        </w:rPr>
        <w:t>e</w:t>
      </w:r>
      <w:r>
        <w:rPr>
          <w:color w:val="313134"/>
        </w:rPr>
        <w:t>.</w:t>
      </w:r>
      <w:r>
        <w:rPr>
          <w:color w:val="313134"/>
          <w:spacing w:val="7"/>
        </w:rPr>
        <w:t xml:space="preserve"> </w:t>
      </w:r>
      <w:r>
        <w:t>I</w:t>
      </w:r>
      <w:r>
        <w:rPr>
          <w:spacing w:val="2"/>
        </w:rPr>
        <w:t xml:space="preserve"> </w:t>
      </w:r>
      <w:r>
        <w:t>believe</w:t>
      </w:r>
      <w:r>
        <w:rPr>
          <w:spacing w:val="2"/>
        </w:rPr>
        <w:t xml:space="preserve"> </w:t>
      </w:r>
      <w:r>
        <w:t>that</w:t>
      </w:r>
      <w:r>
        <w:rPr>
          <w:spacing w:val="16"/>
        </w:rPr>
        <w:t xml:space="preserve"> </w:t>
      </w:r>
      <w:r>
        <w:t>the</w:t>
      </w:r>
      <w:r>
        <w:rPr>
          <w:spacing w:val="21"/>
        </w:rPr>
        <w:t xml:space="preserve"> </w:t>
      </w:r>
      <w:r>
        <w:t>audit</w:t>
      </w:r>
      <w:r>
        <w:rPr>
          <w:spacing w:val="21"/>
        </w:rPr>
        <w:t xml:space="preserve"> </w:t>
      </w:r>
      <w:r>
        <w:t>evidence</w:t>
      </w:r>
      <w:r>
        <w:rPr>
          <w:spacing w:val="46"/>
        </w:rPr>
        <w:t xml:space="preserve"> </w:t>
      </w:r>
      <w:r>
        <w:t>I</w:t>
      </w:r>
      <w:r>
        <w:rPr>
          <w:spacing w:val="8"/>
        </w:rPr>
        <w:t xml:space="preserve"> </w:t>
      </w:r>
      <w:r>
        <w:t>have</w:t>
      </w:r>
      <w:r>
        <w:rPr>
          <w:spacing w:val="11"/>
        </w:rPr>
        <w:t xml:space="preserve"> </w:t>
      </w:r>
      <w:r>
        <w:t>obtained</w:t>
      </w:r>
      <w:r>
        <w:rPr>
          <w:spacing w:val="39"/>
        </w:rPr>
        <w:t xml:space="preserve"> </w:t>
      </w:r>
      <w:r>
        <w:t>is</w:t>
      </w:r>
      <w:r>
        <w:rPr>
          <w:w w:val="102"/>
        </w:rPr>
        <w:t xml:space="preserve"> </w:t>
      </w:r>
      <w:r>
        <w:t>sufficient</w:t>
      </w:r>
      <w:r>
        <w:rPr>
          <w:spacing w:val="31"/>
        </w:rPr>
        <w:t xml:space="preserve"> </w:t>
      </w:r>
      <w:r>
        <w:t>and</w:t>
      </w:r>
      <w:r>
        <w:rPr>
          <w:spacing w:val="20"/>
        </w:rPr>
        <w:t xml:space="preserve"> </w:t>
      </w:r>
      <w:r>
        <w:t>appropriate</w:t>
      </w:r>
      <w:r>
        <w:rPr>
          <w:spacing w:val="29"/>
        </w:rPr>
        <w:t xml:space="preserve"> </w:t>
      </w:r>
      <w:r>
        <w:t>to</w:t>
      </w:r>
      <w:r>
        <w:rPr>
          <w:spacing w:val="22"/>
        </w:rPr>
        <w:t xml:space="preserve"> </w:t>
      </w:r>
      <w:r>
        <w:t>provide</w:t>
      </w:r>
      <w:r>
        <w:rPr>
          <w:spacing w:val="16"/>
        </w:rPr>
        <w:t xml:space="preserve"> </w:t>
      </w:r>
      <w:r>
        <w:t>a</w:t>
      </w:r>
      <w:r>
        <w:rPr>
          <w:spacing w:val="21"/>
        </w:rPr>
        <w:t xml:space="preserve"> </w:t>
      </w:r>
      <w:r>
        <w:t>basis</w:t>
      </w:r>
      <w:r>
        <w:rPr>
          <w:spacing w:val="-1"/>
        </w:rPr>
        <w:t xml:space="preserve"> </w:t>
      </w:r>
      <w:r>
        <w:t>for</w:t>
      </w:r>
      <w:r>
        <w:rPr>
          <w:spacing w:val="32"/>
        </w:rPr>
        <w:t xml:space="preserve"> </w:t>
      </w:r>
      <w:r>
        <w:t>my</w:t>
      </w:r>
      <w:r>
        <w:rPr>
          <w:spacing w:val="14"/>
        </w:rPr>
        <w:t xml:space="preserve"> </w:t>
      </w:r>
      <w:r>
        <w:t>opinion</w:t>
      </w:r>
      <w:r>
        <w:rPr>
          <w:color w:val="313134"/>
        </w:rPr>
        <w:t>.</w:t>
      </w:r>
    </w:p>
    <w:p w14:paraId="6BD615E6" w14:textId="69E904D0" w:rsidR="008B3E73" w:rsidRDefault="008B3E73" w:rsidP="00250DD4">
      <w:pPr>
        <w:rPr>
          <w:b/>
          <w:i/>
          <w:color w:val="313134"/>
        </w:rPr>
      </w:pPr>
      <w:r>
        <w:rPr>
          <w:b/>
          <w:i/>
          <w:color w:val="313134"/>
        </w:rPr>
        <w:t xml:space="preserve">Responsibility of the Authority for the Financial Statements </w:t>
      </w:r>
    </w:p>
    <w:p w14:paraId="1FAF1286" w14:textId="05CDFF8A" w:rsidR="004553D9" w:rsidRDefault="004553D9" w:rsidP="004553D9">
      <w:r>
        <w:t>The</w:t>
      </w:r>
      <w:r>
        <w:rPr>
          <w:spacing w:val="7"/>
        </w:rPr>
        <w:t xml:space="preserve"> </w:t>
      </w:r>
      <w:r>
        <w:t>Authority</w:t>
      </w:r>
      <w:r>
        <w:rPr>
          <w:spacing w:val="42"/>
        </w:rPr>
        <w:t xml:space="preserve"> </w:t>
      </w:r>
      <w:r>
        <w:t>is</w:t>
      </w:r>
      <w:r>
        <w:rPr>
          <w:spacing w:val="13"/>
        </w:rPr>
        <w:t xml:space="preserve"> </w:t>
      </w:r>
      <w:r>
        <w:t>responsible</w:t>
      </w:r>
      <w:r>
        <w:rPr>
          <w:spacing w:val="13"/>
        </w:rPr>
        <w:t xml:space="preserve"> </w:t>
      </w:r>
      <w:r>
        <w:t>for</w:t>
      </w:r>
      <w:r>
        <w:rPr>
          <w:spacing w:val="30"/>
        </w:rPr>
        <w:t xml:space="preserve"> </w:t>
      </w:r>
      <w:r>
        <w:t>keeping</w:t>
      </w:r>
      <w:r>
        <w:rPr>
          <w:spacing w:val="25"/>
        </w:rPr>
        <w:t xml:space="preserve"> </w:t>
      </w:r>
      <w:r>
        <w:t>proper</w:t>
      </w:r>
      <w:r>
        <w:rPr>
          <w:spacing w:val="21"/>
        </w:rPr>
        <w:t xml:space="preserve"> </w:t>
      </w:r>
      <w:r>
        <w:t>accounts,</w:t>
      </w:r>
      <w:r>
        <w:rPr>
          <w:spacing w:val="34"/>
        </w:rPr>
        <w:t xml:space="preserve"> </w:t>
      </w:r>
      <w:r>
        <w:t>and</w:t>
      </w:r>
      <w:r>
        <w:rPr>
          <w:spacing w:val="11"/>
        </w:rPr>
        <w:t xml:space="preserve"> </w:t>
      </w:r>
      <w:r>
        <w:t>the</w:t>
      </w:r>
      <w:r>
        <w:rPr>
          <w:spacing w:val="25"/>
        </w:rPr>
        <w:t xml:space="preserve"> </w:t>
      </w:r>
      <w:r>
        <w:t>preparation</w:t>
      </w:r>
      <w:r>
        <w:rPr>
          <w:spacing w:val="27"/>
        </w:rPr>
        <w:t xml:space="preserve"> </w:t>
      </w:r>
      <w:r>
        <w:t>and</w:t>
      </w:r>
      <w:r>
        <w:rPr>
          <w:spacing w:val="8"/>
        </w:rPr>
        <w:t xml:space="preserve"> </w:t>
      </w:r>
      <w:r>
        <w:t>fair</w:t>
      </w:r>
      <w:r>
        <w:rPr>
          <w:spacing w:val="34"/>
        </w:rPr>
        <w:t xml:space="preserve"> </w:t>
      </w:r>
      <w:r>
        <w:t>presentation of</w:t>
      </w:r>
      <w:r>
        <w:rPr>
          <w:spacing w:val="8"/>
        </w:rPr>
        <w:t xml:space="preserve"> </w:t>
      </w:r>
      <w:r>
        <w:t>the</w:t>
      </w:r>
      <w:r>
        <w:rPr>
          <w:spacing w:val="13"/>
        </w:rPr>
        <w:t xml:space="preserve"> </w:t>
      </w:r>
      <w:r>
        <w:t>financial</w:t>
      </w:r>
      <w:r>
        <w:rPr>
          <w:spacing w:val="35"/>
        </w:rPr>
        <w:t xml:space="preserve"> </w:t>
      </w:r>
      <w:r>
        <w:t>statements</w:t>
      </w:r>
      <w:r>
        <w:rPr>
          <w:spacing w:val="39"/>
        </w:rPr>
        <w:t xml:space="preserve"> </w:t>
      </w:r>
      <w:r>
        <w:t>in</w:t>
      </w:r>
      <w:r>
        <w:rPr>
          <w:spacing w:val="6"/>
        </w:rPr>
        <w:t xml:space="preserve"> </w:t>
      </w:r>
      <w:r>
        <w:t>accordance</w:t>
      </w:r>
      <w:r>
        <w:rPr>
          <w:spacing w:val="27"/>
        </w:rPr>
        <w:t xml:space="preserve"> </w:t>
      </w:r>
      <w:r>
        <w:t>with</w:t>
      </w:r>
      <w:r>
        <w:rPr>
          <w:spacing w:val="14"/>
        </w:rPr>
        <w:t xml:space="preserve"> </w:t>
      </w:r>
      <w:r>
        <w:t>Australian</w:t>
      </w:r>
      <w:r>
        <w:rPr>
          <w:spacing w:val="34"/>
        </w:rPr>
        <w:t xml:space="preserve"> </w:t>
      </w:r>
      <w:r>
        <w:t>Accounting</w:t>
      </w:r>
      <w:r>
        <w:rPr>
          <w:spacing w:val="47"/>
        </w:rPr>
        <w:t xml:space="preserve"> </w:t>
      </w:r>
      <w:r>
        <w:t>Standards,</w:t>
      </w:r>
      <w:r>
        <w:rPr>
          <w:spacing w:val="19"/>
        </w:rPr>
        <w:t xml:space="preserve"> </w:t>
      </w:r>
      <w:r>
        <w:t>the</w:t>
      </w:r>
      <w:r>
        <w:rPr>
          <w:spacing w:val="18"/>
        </w:rPr>
        <w:t xml:space="preserve"> </w:t>
      </w:r>
      <w:r>
        <w:rPr>
          <w:rFonts w:eastAsia="Arial" w:cs="Arial"/>
          <w:i/>
        </w:rPr>
        <w:t>Financial</w:t>
      </w:r>
      <w:r>
        <w:rPr>
          <w:rFonts w:eastAsia="Arial" w:cs="Arial"/>
          <w:i/>
          <w:w w:val="101"/>
        </w:rPr>
        <w:t xml:space="preserve"> </w:t>
      </w:r>
      <w:r>
        <w:rPr>
          <w:rFonts w:eastAsia="Arial" w:cs="Arial"/>
          <w:i/>
        </w:rPr>
        <w:t>Management</w:t>
      </w:r>
      <w:r>
        <w:rPr>
          <w:rFonts w:eastAsia="Arial" w:cs="Arial"/>
          <w:i/>
          <w:spacing w:val="12"/>
        </w:rPr>
        <w:t xml:space="preserve"> </w:t>
      </w:r>
      <w:r>
        <w:rPr>
          <w:rFonts w:eastAsia="Arial" w:cs="Arial"/>
          <w:i/>
        </w:rPr>
        <w:t>Act</w:t>
      </w:r>
      <w:r>
        <w:rPr>
          <w:rFonts w:eastAsia="Arial" w:cs="Arial"/>
          <w:i/>
          <w:spacing w:val="34"/>
        </w:rPr>
        <w:t xml:space="preserve"> </w:t>
      </w:r>
      <w:r>
        <w:rPr>
          <w:rFonts w:eastAsia="Arial" w:cs="Arial"/>
          <w:i/>
        </w:rPr>
        <w:t>2006</w:t>
      </w:r>
      <w:r>
        <w:rPr>
          <w:rFonts w:eastAsia="Arial" w:cs="Arial"/>
          <w:i/>
          <w:spacing w:val="15"/>
        </w:rPr>
        <w:t xml:space="preserve"> </w:t>
      </w:r>
      <w:r>
        <w:t>and</w:t>
      </w:r>
      <w:r>
        <w:rPr>
          <w:spacing w:val="9"/>
        </w:rPr>
        <w:t xml:space="preserve"> </w:t>
      </w:r>
      <w:r>
        <w:t>the</w:t>
      </w:r>
      <w:r>
        <w:rPr>
          <w:spacing w:val="15"/>
        </w:rPr>
        <w:t xml:space="preserve"> </w:t>
      </w:r>
      <w:r>
        <w:t>Treasurer's</w:t>
      </w:r>
      <w:r>
        <w:rPr>
          <w:spacing w:val="35"/>
        </w:rPr>
        <w:t xml:space="preserve"> </w:t>
      </w:r>
      <w:r>
        <w:t>Instructions</w:t>
      </w:r>
      <w:r>
        <w:rPr>
          <w:color w:val="313134"/>
        </w:rPr>
        <w:t>,</w:t>
      </w:r>
      <w:r>
        <w:rPr>
          <w:color w:val="313134"/>
          <w:spacing w:val="9"/>
        </w:rPr>
        <w:t xml:space="preserve"> </w:t>
      </w:r>
      <w:r>
        <w:t>and</w:t>
      </w:r>
      <w:r>
        <w:rPr>
          <w:spacing w:val="9"/>
        </w:rPr>
        <w:t xml:space="preserve"> </w:t>
      </w:r>
      <w:r>
        <w:t>for</w:t>
      </w:r>
      <w:r>
        <w:rPr>
          <w:spacing w:val="23"/>
        </w:rPr>
        <w:t xml:space="preserve"> </w:t>
      </w:r>
      <w:r>
        <w:t>such</w:t>
      </w:r>
      <w:r>
        <w:rPr>
          <w:spacing w:val="30"/>
        </w:rPr>
        <w:t xml:space="preserve"> </w:t>
      </w:r>
      <w:r>
        <w:t>internal</w:t>
      </w:r>
      <w:r>
        <w:rPr>
          <w:spacing w:val="16"/>
        </w:rPr>
        <w:t xml:space="preserve"> </w:t>
      </w:r>
      <w:r>
        <w:t>control</w:t>
      </w:r>
      <w:r>
        <w:rPr>
          <w:spacing w:val="23"/>
        </w:rPr>
        <w:t xml:space="preserve"> </w:t>
      </w:r>
      <w:r>
        <w:t>as</w:t>
      </w:r>
      <w:r>
        <w:rPr>
          <w:spacing w:val="9"/>
        </w:rPr>
        <w:t xml:space="preserve"> </w:t>
      </w:r>
      <w:r>
        <w:t>the</w:t>
      </w:r>
      <w:r>
        <w:rPr>
          <w:w w:val="97"/>
        </w:rPr>
        <w:t xml:space="preserve"> </w:t>
      </w:r>
      <w:r>
        <w:t>Authority</w:t>
      </w:r>
      <w:r>
        <w:rPr>
          <w:spacing w:val="39"/>
        </w:rPr>
        <w:t xml:space="preserve"> </w:t>
      </w:r>
      <w:r>
        <w:t>determines</w:t>
      </w:r>
      <w:r>
        <w:rPr>
          <w:spacing w:val="39"/>
        </w:rPr>
        <w:t xml:space="preserve"> </w:t>
      </w:r>
      <w:r>
        <w:t>is</w:t>
      </w:r>
      <w:r>
        <w:rPr>
          <w:spacing w:val="16"/>
        </w:rPr>
        <w:t xml:space="preserve"> </w:t>
      </w:r>
      <w:r>
        <w:t>necessary</w:t>
      </w:r>
      <w:r>
        <w:rPr>
          <w:spacing w:val="15"/>
        </w:rPr>
        <w:t xml:space="preserve"> </w:t>
      </w:r>
      <w:r>
        <w:t>to</w:t>
      </w:r>
      <w:r>
        <w:rPr>
          <w:spacing w:val="18"/>
        </w:rPr>
        <w:t xml:space="preserve"> </w:t>
      </w:r>
      <w:r>
        <w:t>enable</w:t>
      </w:r>
      <w:r>
        <w:rPr>
          <w:spacing w:val="16"/>
        </w:rPr>
        <w:t xml:space="preserve"> </w:t>
      </w:r>
      <w:r>
        <w:t>the</w:t>
      </w:r>
      <w:r>
        <w:rPr>
          <w:spacing w:val="26"/>
        </w:rPr>
        <w:t xml:space="preserve"> </w:t>
      </w:r>
      <w:r>
        <w:t>prepara</w:t>
      </w:r>
      <w:r>
        <w:rPr>
          <w:spacing w:val="7"/>
        </w:rPr>
        <w:t>t</w:t>
      </w:r>
      <w:r>
        <w:rPr>
          <w:color w:val="313134"/>
          <w:spacing w:val="-9"/>
        </w:rPr>
        <w:t>i</w:t>
      </w:r>
      <w:r>
        <w:t>on</w:t>
      </w:r>
      <w:r>
        <w:rPr>
          <w:spacing w:val="21"/>
        </w:rPr>
        <w:t xml:space="preserve"> </w:t>
      </w:r>
      <w:r>
        <w:t>of</w:t>
      </w:r>
      <w:r>
        <w:rPr>
          <w:spacing w:val="5"/>
        </w:rPr>
        <w:t xml:space="preserve"> </w:t>
      </w:r>
      <w:r>
        <w:t>financ</w:t>
      </w:r>
      <w:r>
        <w:rPr>
          <w:color w:val="313134"/>
          <w:spacing w:val="-13"/>
        </w:rPr>
        <w:t>i</w:t>
      </w:r>
      <w:r>
        <w:t>al</w:t>
      </w:r>
      <w:r>
        <w:rPr>
          <w:spacing w:val="11"/>
        </w:rPr>
        <w:t xml:space="preserve"> </w:t>
      </w:r>
      <w:r>
        <w:t>statements</w:t>
      </w:r>
      <w:r>
        <w:rPr>
          <w:spacing w:val="31"/>
        </w:rPr>
        <w:t xml:space="preserve"> </w:t>
      </w:r>
      <w:r>
        <w:t>that</w:t>
      </w:r>
      <w:r>
        <w:rPr>
          <w:spacing w:val="22"/>
        </w:rPr>
        <w:t xml:space="preserve"> </w:t>
      </w:r>
      <w:r>
        <w:t>are</w:t>
      </w:r>
      <w:r>
        <w:rPr>
          <w:spacing w:val="11"/>
        </w:rPr>
        <w:t xml:space="preserve"> </w:t>
      </w:r>
      <w:r>
        <w:t>free</w:t>
      </w:r>
      <w:r>
        <w:rPr>
          <w:w w:val="101"/>
        </w:rPr>
        <w:t xml:space="preserve"> </w:t>
      </w:r>
      <w:r>
        <w:t>from</w:t>
      </w:r>
      <w:r>
        <w:rPr>
          <w:spacing w:val="26"/>
        </w:rPr>
        <w:t xml:space="preserve"> </w:t>
      </w:r>
      <w:r>
        <w:t>material</w:t>
      </w:r>
      <w:r>
        <w:rPr>
          <w:spacing w:val="18"/>
        </w:rPr>
        <w:t xml:space="preserve"> </w:t>
      </w:r>
      <w:r>
        <w:t>misstatement</w:t>
      </w:r>
      <w:r>
        <w:rPr>
          <w:color w:val="313134"/>
        </w:rPr>
        <w:t>,</w:t>
      </w:r>
      <w:r>
        <w:rPr>
          <w:color w:val="313134"/>
          <w:spacing w:val="-5"/>
        </w:rPr>
        <w:t xml:space="preserve"> </w:t>
      </w:r>
      <w:r>
        <w:t>whether</w:t>
      </w:r>
      <w:r>
        <w:rPr>
          <w:spacing w:val="32"/>
        </w:rPr>
        <w:t xml:space="preserve"> </w:t>
      </w:r>
      <w:r>
        <w:t>due</w:t>
      </w:r>
      <w:r>
        <w:rPr>
          <w:spacing w:val="8"/>
        </w:rPr>
        <w:t xml:space="preserve"> </w:t>
      </w:r>
      <w:r>
        <w:t>to</w:t>
      </w:r>
      <w:r>
        <w:rPr>
          <w:spacing w:val="9"/>
        </w:rPr>
        <w:t xml:space="preserve"> </w:t>
      </w:r>
      <w:r>
        <w:t>fraud</w:t>
      </w:r>
      <w:r>
        <w:rPr>
          <w:spacing w:val="25"/>
        </w:rPr>
        <w:t xml:space="preserve"> </w:t>
      </w:r>
      <w:r>
        <w:t>or</w:t>
      </w:r>
      <w:r>
        <w:rPr>
          <w:spacing w:val="13"/>
        </w:rPr>
        <w:t xml:space="preserve"> </w:t>
      </w:r>
      <w:r>
        <w:t>error.</w:t>
      </w:r>
    </w:p>
    <w:p w14:paraId="627339D0" w14:textId="77777777" w:rsidR="004553D9" w:rsidRDefault="004553D9" w:rsidP="004553D9">
      <w:r>
        <w:t>In</w:t>
      </w:r>
      <w:r>
        <w:rPr>
          <w:spacing w:val="1"/>
        </w:rPr>
        <w:t xml:space="preserve"> </w:t>
      </w:r>
      <w:r>
        <w:t>preparing</w:t>
      </w:r>
      <w:r>
        <w:rPr>
          <w:spacing w:val="18"/>
        </w:rPr>
        <w:t xml:space="preserve"> </w:t>
      </w:r>
      <w:r>
        <w:t>the</w:t>
      </w:r>
      <w:r>
        <w:rPr>
          <w:spacing w:val="14"/>
        </w:rPr>
        <w:t xml:space="preserve"> </w:t>
      </w:r>
      <w:r>
        <w:t>financial</w:t>
      </w:r>
      <w:r>
        <w:rPr>
          <w:spacing w:val="37"/>
        </w:rPr>
        <w:t xml:space="preserve"> </w:t>
      </w:r>
      <w:r>
        <w:t>statements,</w:t>
      </w:r>
      <w:r>
        <w:rPr>
          <w:spacing w:val="25"/>
        </w:rPr>
        <w:t xml:space="preserve"> </w:t>
      </w:r>
      <w:r>
        <w:t>the</w:t>
      </w:r>
      <w:r>
        <w:rPr>
          <w:spacing w:val="9"/>
        </w:rPr>
        <w:t xml:space="preserve"> </w:t>
      </w:r>
      <w:r>
        <w:t>Authority</w:t>
      </w:r>
      <w:r>
        <w:rPr>
          <w:spacing w:val="49"/>
        </w:rPr>
        <w:t xml:space="preserve"> </w:t>
      </w:r>
      <w:r>
        <w:t>is</w:t>
      </w:r>
      <w:r>
        <w:rPr>
          <w:spacing w:val="16"/>
        </w:rPr>
        <w:t xml:space="preserve"> </w:t>
      </w:r>
      <w:r>
        <w:t>responsible</w:t>
      </w:r>
      <w:r>
        <w:rPr>
          <w:spacing w:val="9"/>
        </w:rPr>
        <w:t xml:space="preserve"> </w:t>
      </w:r>
      <w:r>
        <w:t>for</w:t>
      </w:r>
      <w:r>
        <w:rPr>
          <w:spacing w:val="22"/>
        </w:rPr>
        <w:t xml:space="preserve"> </w:t>
      </w:r>
      <w:r>
        <w:t>assessing</w:t>
      </w:r>
      <w:r>
        <w:rPr>
          <w:spacing w:val="28"/>
        </w:rPr>
        <w:t xml:space="preserve"> </w:t>
      </w:r>
      <w:r>
        <w:t>the</w:t>
      </w:r>
      <w:r>
        <w:rPr>
          <w:spacing w:val="21"/>
        </w:rPr>
        <w:t xml:space="preserve"> </w:t>
      </w:r>
      <w:r>
        <w:t>agency's</w:t>
      </w:r>
      <w:r>
        <w:rPr>
          <w:spacing w:val="33"/>
        </w:rPr>
        <w:t xml:space="preserve"> </w:t>
      </w:r>
      <w:r>
        <w:t>ability</w:t>
      </w:r>
      <w:r>
        <w:rPr>
          <w:w w:val="99"/>
        </w:rPr>
        <w:t xml:space="preserve"> </w:t>
      </w:r>
      <w:r>
        <w:t>to</w:t>
      </w:r>
      <w:r>
        <w:rPr>
          <w:spacing w:val="21"/>
        </w:rPr>
        <w:t xml:space="preserve"> </w:t>
      </w:r>
      <w:r>
        <w:t>con</w:t>
      </w:r>
      <w:r>
        <w:rPr>
          <w:spacing w:val="13"/>
        </w:rPr>
        <w:t>t</w:t>
      </w:r>
      <w:r>
        <w:rPr>
          <w:color w:val="313134"/>
          <w:spacing w:val="-9"/>
        </w:rPr>
        <w:t>i</w:t>
      </w:r>
      <w:r>
        <w:t>nue</w:t>
      </w:r>
      <w:r>
        <w:rPr>
          <w:spacing w:val="14"/>
        </w:rPr>
        <w:t xml:space="preserve"> </w:t>
      </w:r>
      <w:r>
        <w:t>as</w:t>
      </w:r>
      <w:r>
        <w:rPr>
          <w:spacing w:val="14"/>
        </w:rPr>
        <w:t xml:space="preserve"> </w:t>
      </w:r>
      <w:r>
        <w:t>a</w:t>
      </w:r>
      <w:r>
        <w:rPr>
          <w:spacing w:val="14"/>
        </w:rPr>
        <w:t xml:space="preserve"> </w:t>
      </w:r>
      <w:r>
        <w:t>going</w:t>
      </w:r>
      <w:r>
        <w:rPr>
          <w:spacing w:val="27"/>
        </w:rPr>
        <w:t xml:space="preserve"> </w:t>
      </w:r>
      <w:r>
        <w:t>concern</w:t>
      </w:r>
      <w:r>
        <w:rPr>
          <w:spacing w:val="-31"/>
        </w:rPr>
        <w:t xml:space="preserve"> </w:t>
      </w:r>
      <w:r>
        <w:rPr>
          <w:color w:val="313134"/>
        </w:rPr>
        <w:t>,</w:t>
      </w:r>
      <w:r>
        <w:rPr>
          <w:color w:val="313134"/>
          <w:spacing w:val="-6"/>
        </w:rPr>
        <w:t xml:space="preserve"> </w:t>
      </w:r>
      <w:r>
        <w:t>disclosing,</w:t>
      </w:r>
      <w:r>
        <w:rPr>
          <w:spacing w:val="37"/>
        </w:rPr>
        <w:t xml:space="preserve"> </w:t>
      </w:r>
      <w:r>
        <w:t>as</w:t>
      </w:r>
      <w:r>
        <w:rPr>
          <w:spacing w:val="13"/>
        </w:rPr>
        <w:t xml:space="preserve"> </w:t>
      </w:r>
      <w:r>
        <w:t>applicable,</w:t>
      </w:r>
      <w:r>
        <w:rPr>
          <w:spacing w:val="43"/>
        </w:rPr>
        <w:t xml:space="preserve"> </w:t>
      </w:r>
      <w:r>
        <w:t>matters</w:t>
      </w:r>
      <w:r>
        <w:rPr>
          <w:spacing w:val="20"/>
        </w:rPr>
        <w:t xml:space="preserve"> </w:t>
      </w:r>
      <w:r>
        <w:t>related</w:t>
      </w:r>
      <w:r>
        <w:rPr>
          <w:spacing w:val="15"/>
        </w:rPr>
        <w:t xml:space="preserve"> </w:t>
      </w:r>
      <w:r>
        <w:t>to</w:t>
      </w:r>
      <w:r>
        <w:rPr>
          <w:spacing w:val="16"/>
        </w:rPr>
        <w:t xml:space="preserve"> </w:t>
      </w:r>
      <w:r>
        <w:t>going</w:t>
      </w:r>
      <w:r>
        <w:rPr>
          <w:spacing w:val="26"/>
        </w:rPr>
        <w:t xml:space="preserve"> </w:t>
      </w:r>
      <w:r>
        <w:t>concern</w:t>
      </w:r>
      <w:r>
        <w:rPr>
          <w:spacing w:val="21"/>
        </w:rPr>
        <w:t xml:space="preserve"> </w:t>
      </w:r>
      <w:r>
        <w:t>and</w:t>
      </w:r>
      <w:r>
        <w:rPr>
          <w:w w:val="103"/>
        </w:rPr>
        <w:t xml:space="preserve"> </w:t>
      </w:r>
      <w:r>
        <w:t>using</w:t>
      </w:r>
      <w:r>
        <w:rPr>
          <w:spacing w:val="8"/>
        </w:rPr>
        <w:t xml:space="preserve"> </w:t>
      </w:r>
      <w:r>
        <w:t>the</w:t>
      </w:r>
      <w:r>
        <w:rPr>
          <w:spacing w:val="21"/>
        </w:rPr>
        <w:t xml:space="preserve"> </w:t>
      </w:r>
      <w:r>
        <w:t>going</w:t>
      </w:r>
      <w:r>
        <w:rPr>
          <w:spacing w:val="27"/>
        </w:rPr>
        <w:t xml:space="preserve"> </w:t>
      </w:r>
      <w:r>
        <w:t>concern</w:t>
      </w:r>
      <w:r>
        <w:rPr>
          <w:spacing w:val="37"/>
        </w:rPr>
        <w:t xml:space="preserve"> </w:t>
      </w:r>
      <w:r>
        <w:t>basis</w:t>
      </w:r>
      <w:r>
        <w:rPr>
          <w:spacing w:val="10"/>
        </w:rPr>
        <w:t xml:space="preserve"> </w:t>
      </w:r>
      <w:r>
        <w:t>of</w:t>
      </w:r>
      <w:r>
        <w:rPr>
          <w:spacing w:val="20"/>
        </w:rPr>
        <w:t xml:space="preserve"> </w:t>
      </w:r>
      <w:r>
        <w:t>accounting</w:t>
      </w:r>
      <w:r>
        <w:rPr>
          <w:spacing w:val="37"/>
        </w:rPr>
        <w:t xml:space="preserve"> </w:t>
      </w:r>
      <w:r>
        <w:t>unless</w:t>
      </w:r>
      <w:r>
        <w:rPr>
          <w:spacing w:val="5"/>
        </w:rPr>
        <w:t xml:space="preserve"> </w:t>
      </w:r>
      <w:r>
        <w:t>the</w:t>
      </w:r>
      <w:r>
        <w:rPr>
          <w:spacing w:val="9"/>
        </w:rPr>
        <w:t xml:space="preserve"> </w:t>
      </w:r>
      <w:r>
        <w:t>Western</w:t>
      </w:r>
      <w:r>
        <w:rPr>
          <w:spacing w:val="21"/>
        </w:rPr>
        <w:t xml:space="preserve"> </w:t>
      </w:r>
      <w:r>
        <w:t>Australian</w:t>
      </w:r>
      <w:r>
        <w:rPr>
          <w:spacing w:val="47"/>
        </w:rPr>
        <w:t xml:space="preserve"> </w:t>
      </w:r>
      <w:r>
        <w:t>Government</w:t>
      </w:r>
      <w:r>
        <w:rPr>
          <w:spacing w:val="33"/>
        </w:rPr>
        <w:t xml:space="preserve"> </w:t>
      </w:r>
      <w:r>
        <w:t>has</w:t>
      </w:r>
      <w:r>
        <w:rPr>
          <w:spacing w:val="19"/>
        </w:rPr>
        <w:t xml:space="preserve"> </w:t>
      </w:r>
      <w:r>
        <w:t>made</w:t>
      </w:r>
      <w:r>
        <w:rPr>
          <w:w w:val="101"/>
        </w:rPr>
        <w:t xml:space="preserve"> </w:t>
      </w:r>
      <w:r>
        <w:t>policy</w:t>
      </w:r>
      <w:r>
        <w:rPr>
          <w:spacing w:val="13"/>
        </w:rPr>
        <w:t xml:space="preserve"> </w:t>
      </w:r>
      <w:r>
        <w:t>or</w:t>
      </w:r>
      <w:r>
        <w:rPr>
          <w:spacing w:val="10"/>
        </w:rPr>
        <w:t xml:space="preserve"> </w:t>
      </w:r>
      <w:r>
        <w:t>funding</w:t>
      </w:r>
      <w:r>
        <w:rPr>
          <w:spacing w:val="29"/>
        </w:rPr>
        <w:t xml:space="preserve"> </w:t>
      </w:r>
      <w:r>
        <w:t>decisions</w:t>
      </w:r>
      <w:r>
        <w:rPr>
          <w:spacing w:val="25"/>
        </w:rPr>
        <w:t xml:space="preserve"> </w:t>
      </w:r>
      <w:r>
        <w:t>affecting</w:t>
      </w:r>
      <w:r>
        <w:rPr>
          <w:spacing w:val="22"/>
        </w:rPr>
        <w:t xml:space="preserve"> </w:t>
      </w:r>
      <w:r>
        <w:t>the</w:t>
      </w:r>
      <w:r>
        <w:rPr>
          <w:spacing w:val="27"/>
        </w:rPr>
        <w:t xml:space="preserve"> </w:t>
      </w:r>
      <w:r>
        <w:t>continued</w:t>
      </w:r>
      <w:r>
        <w:rPr>
          <w:spacing w:val="34"/>
        </w:rPr>
        <w:t xml:space="preserve"> </w:t>
      </w:r>
      <w:r>
        <w:t>existence</w:t>
      </w:r>
      <w:r>
        <w:rPr>
          <w:spacing w:val="29"/>
        </w:rPr>
        <w:t xml:space="preserve"> </w:t>
      </w:r>
      <w:r>
        <w:t>of</w:t>
      </w:r>
      <w:r>
        <w:rPr>
          <w:spacing w:val="4"/>
        </w:rPr>
        <w:t xml:space="preserve"> </w:t>
      </w:r>
      <w:r>
        <w:t>the</w:t>
      </w:r>
      <w:r>
        <w:rPr>
          <w:spacing w:val="15"/>
        </w:rPr>
        <w:t xml:space="preserve"> </w:t>
      </w:r>
      <w:r>
        <w:t>Authority</w:t>
      </w:r>
      <w:r>
        <w:rPr>
          <w:spacing w:val="-17"/>
        </w:rPr>
        <w:t xml:space="preserve"> </w:t>
      </w:r>
      <w:r>
        <w:rPr>
          <w:color w:val="313134"/>
        </w:rPr>
        <w:t>.</w:t>
      </w:r>
    </w:p>
    <w:p w14:paraId="0F1313BD" w14:textId="50E11860" w:rsidR="008B3E73" w:rsidRPr="009B1B3A" w:rsidRDefault="004553D9" w:rsidP="009B1B3A">
      <w:pPr>
        <w:rPr>
          <w:b/>
          <w:i/>
        </w:rPr>
      </w:pPr>
      <w:r w:rsidRPr="009B1B3A">
        <w:rPr>
          <w:b/>
          <w:i/>
        </w:rPr>
        <w:t>Auditor's</w:t>
      </w:r>
      <w:r w:rsidRPr="009B1B3A">
        <w:rPr>
          <w:b/>
          <w:i/>
          <w:spacing w:val="39"/>
        </w:rPr>
        <w:t xml:space="preserve"> </w:t>
      </w:r>
      <w:r w:rsidRPr="009B1B3A">
        <w:rPr>
          <w:b/>
          <w:i/>
        </w:rPr>
        <w:t>Responsibility</w:t>
      </w:r>
      <w:r w:rsidRPr="009B1B3A">
        <w:rPr>
          <w:b/>
          <w:i/>
          <w:spacing w:val="48"/>
        </w:rPr>
        <w:t xml:space="preserve"> </w:t>
      </w:r>
      <w:r w:rsidRPr="009B1B3A">
        <w:rPr>
          <w:b/>
          <w:i/>
        </w:rPr>
        <w:t>for</w:t>
      </w:r>
      <w:r w:rsidRPr="009B1B3A">
        <w:rPr>
          <w:b/>
          <w:i/>
          <w:spacing w:val="21"/>
        </w:rPr>
        <w:t xml:space="preserve"> </w:t>
      </w:r>
      <w:r w:rsidRPr="009B1B3A">
        <w:rPr>
          <w:b/>
          <w:i/>
        </w:rPr>
        <w:t>the</w:t>
      </w:r>
      <w:r w:rsidRPr="009B1B3A">
        <w:rPr>
          <w:b/>
          <w:i/>
          <w:spacing w:val="-5"/>
        </w:rPr>
        <w:t xml:space="preserve"> </w:t>
      </w:r>
      <w:r w:rsidRPr="009B1B3A">
        <w:rPr>
          <w:b/>
          <w:i/>
        </w:rPr>
        <w:t>Audit</w:t>
      </w:r>
      <w:r w:rsidRPr="009B1B3A">
        <w:rPr>
          <w:b/>
          <w:i/>
          <w:spacing w:val="38"/>
        </w:rPr>
        <w:t xml:space="preserve"> </w:t>
      </w:r>
      <w:r w:rsidRPr="009B1B3A">
        <w:rPr>
          <w:b/>
          <w:i/>
        </w:rPr>
        <w:t>of</w:t>
      </w:r>
      <w:r w:rsidRPr="009B1B3A">
        <w:rPr>
          <w:b/>
          <w:i/>
          <w:spacing w:val="14"/>
        </w:rPr>
        <w:t xml:space="preserve"> </w:t>
      </w:r>
      <w:r w:rsidRPr="009B1B3A">
        <w:rPr>
          <w:b/>
          <w:i/>
        </w:rPr>
        <w:t>the</w:t>
      </w:r>
      <w:r w:rsidRPr="009B1B3A">
        <w:rPr>
          <w:b/>
          <w:i/>
          <w:spacing w:val="9"/>
        </w:rPr>
        <w:t xml:space="preserve"> </w:t>
      </w:r>
      <w:r w:rsidRPr="009B1B3A">
        <w:rPr>
          <w:b/>
          <w:i/>
        </w:rPr>
        <w:t>Financial</w:t>
      </w:r>
      <w:r w:rsidRPr="009B1B3A">
        <w:rPr>
          <w:b/>
          <w:i/>
          <w:spacing w:val="37"/>
        </w:rPr>
        <w:t xml:space="preserve"> </w:t>
      </w:r>
      <w:r w:rsidRPr="009B1B3A">
        <w:rPr>
          <w:b/>
          <w:i/>
        </w:rPr>
        <w:t>Statements</w:t>
      </w:r>
    </w:p>
    <w:p w14:paraId="696C0352" w14:textId="721EA5E5" w:rsidR="004553D9" w:rsidRDefault="004553D9" w:rsidP="009B1B3A">
      <w:r>
        <w:t>As</w:t>
      </w:r>
      <w:r>
        <w:rPr>
          <w:spacing w:val="28"/>
        </w:rPr>
        <w:t xml:space="preserve"> </w:t>
      </w:r>
      <w:r>
        <w:t>required</w:t>
      </w:r>
      <w:r>
        <w:rPr>
          <w:spacing w:val="30"/>
        </w:rPr>
        <w:t xml:space="preserve"> </w:t>
      </w:r>
      <w:r>
        <w:t>by</w:t>
      </w:r>
      <w:r>
        <w:rPr>
          <w:spacing w:val="3"/>
        </w:rPr>
        <w:t xml:space="preserve"> </w:t>
      </w:r>
      <w:r>
        <w:t>the</w:t>
      </w:r>
      <w:r>
        <w:rPr>
          <w:spacing w:val="8"/>
        </w:rPr>
        <w:t xml:space="preserve"> </w:t>
      </w:r>
      <w:r>
        <w:rPr>
          <w:rFonts w:eastAsia="Arial" w:cs="Arial"/>
          <w:i/>
        </w:rPr>
        <w:t>Auditor</w:t>
      </w:r>
      <w:r>
        <w:rPr>
          <w:rFonts w:eastAsia="Arial" w:cs="Arial"/>
          <w:i/>
          <w:spacing w:val="42"/>
        </w:rPr>
        <w:t xml:space="preserve"> </w:t>
      </w:r>
      <w:r>
        <w:rPr>
          <w:rFonts w:eastAsia="Arial" w:cs="Arial"/>
          <w:i/>
        </w:rPr>
        <w:t>General</w:t>
      </w:r>
      <w:r>
        <w:rPr>
          <w:rFonts w:eastAsia="Arial" w:cs="Arial"/>
          <w:i/>
          <w:spacing w:val="-7"/>
        </w:rPr>
        <w:t xml:space="preserve"> </w:t>
      </w:r>
      <w:r>
        <w:rPr>
          <w:rFonts w:eastAsia="Arial" w:cs="Arial"/>
          <w:i/>
        </w:rPr>
        <w:t>Act</w:t>
      </w:r>
      <w:r>
        <w:rPr>
          <w:rFonts w:eastAsia="Arial" w:cs="Arial"/>
          <w:i/>
          <w:spacing w:val="33"/>
        </w:rPr>
        <w:t xml:space="preserve"> </w:t>
      </w:r>
      <w:r>
        <w:rPr>
          <w:rFonts w:eastAsia="Arial" w:cs="Arial"/>
          <w:i/>
        </w:rPr>
        <w:t>2006,</w:t>
      </w:r>
      <w:r>
        <w:rPr>
          <w:rFonts w:eastAsia="Arial" w:cs="Arial"/>
          <w:i/>
          <w:spacing w:val="18"/>
        </w:rPr>
        <w:t xml:space="preserve"> </w:t>
      </w:r>
      <w:r>
        <w:t>my</w:t>
      </w:r>
      <w:r>
        <w:rPr>
          <w:spacing w:val="14"/>
        </w:rPr>
        <w:t xml:space="preserve"> </w:t>
      </w:r>
      <w:r>
        <w:t>responsibility</w:t>
      </w:r>
      <w:r>
        <w:rPr>
          <w:spacing w:val="39"/>
        </w:rPr>
        <w:t xml:space="preserve"> </w:t>
      </w:r>
      <w:r>
        <w:t>is</w:t>
      </w:r>
      <w:r>
        <w:rPr>
          <w:spacing w:val="-2"/>
        </w:rPr>
        <w:t xml:space="preserve"> </w:t>
      </w:r>
      <w:r>
        <w:t>to</w:t>
      </w:r>
      <w:r>
        <w:rPr>
          <w:spacing w:val="16"/>
        </w:rPr>
        <w:t xml:space="preserve"> </w:t>
      </w:r>
      <w:r>
        <w:t>express</w:t>
      </w:r>
      <w:r>
        <w:rPr>
          <w:spacing w:val="29"/>
        </w:rPr>
        <w:t xml:space="preserve"> </w:t>
      </w:r>
      <w:r>
        <w:t>an</w:t>
      </w:r>
      <w:r>
        <w:rPr>
          <w:spacing w:val="12"/>
        </w:rPr>
        <w:t xml:space="preserve"> </w:t>
      </w:r>
      <w:r>
        <w:t>opinion</w:t>
      </w:r>
      <w:r>
        <w:rPr>
          <w:spacing w:val="28"/>
        </w:rPr>
        <w:t xml:space="preserve"> </w:t>
      </w:r>
      <w:r>
        <w:t>on</w:t>
      </w:r>
      <w:r>
        <w:rPr>
          <w:spacing w:val="3"/>
        </w:rPr>
        <w:t xml:space="preserve"> </w:t>
      </w:r>
      <w:r>
        <w:t>the</w:t>
      </w:r>
      <w:r>
        <w:rPr>
          <w:w w:val="104"/>
        </w:rPr>
        <w:t xml:space="preserve"> </w:t>
      </w:r>
      <w:r>
        <w:t>financial</w:t>
      </w:r>
      <w:r>
        <w:rPr>
          <w:spacing w:val="32"/>
        </w:rPr>
        <w:t xml:space="preserve"> </w:t>
      </w:r>
      <w:r>
        <w:t>statements</w:t>
      </w:r>
      <w:r>
        <w:rPr>
          <w:color w:val="313134"/>
        </w:rPr>
        <w:t>.</w:t>
      </w:r>
      <w:r>
        <w:rPr>
          <w:color w:val="313134"/>
          <w:spacing w:val="-3"/>
        </w:rPr>
        <w:t xml:space="preserve"> </w:t>
      </w:r>
      <w:r>
        <w:t>The</w:t>
      </w:r>
      <w:r>
        <w:rPr>
          <w:spacing w:val="14"/>
        </w:rPr>
        <w:t xml:space="preserve"> </w:t>
      </w:r>
      <w:r>
        <w:t>objectives</w:t>
      </w:r>
      <w:r>
        <w:rPr>
          <w:spacing w:val="30"/>
        </w:rPr>
        <w:t xml:space="preserve"> </w:t>
      </w:r>
      <w:r>
        <w:t>of</w:t>
      </w:r>
      <w:r>
        <w:rPr>
          <w:spacing w:val="16"/>
        </w:rPr>
        <w:t xml:space="preserve"> </w:t>
      </w:r>
      <w:r>
        <w:t>my</w:t>
      </w:r>
      <w:r>
        <w:rPr>
          <w:spacing w:val="11"/>
        </w:rPr>
        <w:t xml:space="preserve"> </w:t>
      </w:r>
      <w:r>
        <w:t>audit</w:t>
      </w:r>
      <w:r>
        <w:rPr>
          <w:spacing w:val="18"/>
        </w:rPr>
        <w:t xml:space="preserve"> </w:t>
      </w:r>
      <w:r>
        <w:t>are</w:t>
      </w:r>
      <w:r>
        <w:rPr>
          <w:spacing w:val="7"/>
        </w:rPr>
        <w:t xml:space="preserve"> </w:t>
      </w:r>
      <w:r>
        <w:t>to</w:t>
      </w:r>
      <w:r>
        <w:rPr>
          <w:spacing w:val="19"/>
        </w:rPr>
        <w:t xml:space="preserve"> </w:t>
      </w:r>
      <w:r>
        <w:t>obtain</w:t>
      </w:r>
      <w:r>
        <w:rPr>
          <w:spacing w:val="29"/>
        </w:rPr>
        <w:t xml:space="preserve"> </w:t>
      </w:r>
      <w:r>
        <w:t>reasonable</w:t>
      </w:r>
      <w:r>
        <w:rPr>
          <w:spacing w:val="23"/>
        </w:rPr>
        <w:t xml:space="preserve"> </w:t>
      </w:r>
      <w:r>
        <w:t>assurance</w:t>
      </w:r>
      <w:r>
        <w:rPr>
          <w:spacing w:val="34"/>
        </w:rPr>
        <w:t xml:space="preserve"> </w:t>
      </w:r>
      <w:r>
        <w:t>about</w:t>
      </w:r>
      <w:r>
        <w:rPr>
          <w:spacing w:val="6"/>
        </w:rPr>
        <w:t xml:space="preserve"> </w:t>
      </w:r>
      <w:r>
        <w:t>whether the</w:t>
      </w:r>
      <w:r>
        <w:rPr>
          <w:spacing w:val="12"/>
        </w:rPr>
        <w:t xml:space="preserve"> </w:t>
      </w:r>
      <w:r>
        <w:t>financial</w:t>
      </w:r>
      <w:r>
        <w:rPr>
          <w:spacing w:val="31"/>
        </w:rPr>
        <w:t xml:space="preserve"> </w:t>
      </w:r>
      <w:r>
        <w:t>statements</w:t>
      </w:r>
      <w:r>
        <w:rPr>
          <w:spacing w:val="32"/>
        </w:rPr>
        <w:t xml:space="preserve"> </w:t>
      </w:r>
      <w:r>
        <w:t>as</w:t>
      </w:r>
      <w:r>
        <w:rPr>
          <w:spacing w:val="13"/>
        </w:rPr>
        <w:t xml:space="preserve"> </w:t>
      </w:r>
      <w:r>
        <w:t>a</w:t>
      </w:r>
      <w:r>
        <w:rPr>
          <w:spacing w:val="10"/>
        </w:rPr>
        <w:t xml:space="preserve"> </w:t>
      </w:r>
      <w:r>
        <w:t>whole</w:t>
      </w:r>
      <w:r>
        <w:rPr>
          <w:spacing w:val="24"/>
        </w:rPr>
        <w:t xml:space="preserve"> </w:t>
      </w:r>
      <w:r>
        <w:t>are</w:t>
      </w:r>
      <w:r>
        <w:rPr>
          <w:spacing w:val="8"/>
        </w:rPr>
        <w:t xml:space="preserve"> </w:t>
      </w:r>
      <w:r>
        <w:t>free</w:t>
      </w:r>
      <w:r>
        <w:rPr>
          <w:spacing w:val="17"/>
        </w:rPr>
        <w:t xml:space="preserve"> </w:t>
      </w:r>
      <w:r>
        <w:t>from</w:t>
      </w:r>
      <w:r>
        <w:rPr>
          <w:spacing w:val="32"/>
        </w:rPr>
        <w:t xml:space="preserve"> </w:t>
      </w:r>
      <w:r>
        <w:t>mate</w:t>
      </w:r>
      <w:r>
        <w:rPr>
          <w:spacing w:val="5"/>
        </w:rPr>
        <w:t>r</w:t>
      </w:r>
      <w:r>
        <w:rPr>
          <w:color w:val="313134"/>
          <w:spacing w:val="-13"/>
        </w:rPr>
        <w:t>i</w:t>
      </w:r>
      <w:r>
        <w:t>al</w:t>
      </w:r>
      <w:r>
        <w:rPr>
          <w:spacing w:val="14"/>
        </w:rPr>
        <w:t xml:space="preserve"> </w:t>
      </w:r>
      <w:r>
        <w:t>misstatement,</w:t>
      </w:r>
      <w:r>
        <w:rPr>
          <w:spacing w:val="26"/>
        </w:rPr>
        <w:t xml:space="preserve"> </w:t>
      </w:r>
      <w:r>
        <w:t>whether</w:t>
      </w:r>
      <w:r>
        <w:rPr>
          <w:spacing w:val="34"/>
        </w:rPr>
        <w:t xml:space="preserve"> </w:t>
      </w:r>
      <w:r>
        <w:t>due</w:t>
      </w:r>
      <w:r>
        <w:rPr>
          <w:spacing w:val="9"/>
        </w:rPr>
        <w:t xml:space="preserve"> </w:t>
      </w:r>
      <w:r>
        <w:t>to</w:t>
      </w:r>
      <w:r>
        <w:rPr>
          <w:spacing w:val="10"/>
        </w:rPr>
        <w:t xml:space="preserve"> </w:t>
      </w:r>
      <w:r>
        <w:t>fraud</w:t>
      </w:r>
      <w:r>
        <w:rPr>
          <w:spacing w:val="20"/>
        </w:rPr>
        <w:t xml:space="preserve"> </w:t>
      </w:r>
      <w:r>
        <w:t>or</w:t>
      </w:r>
      <w:r>
        <w:rPr>
          <w:w w:val="99"/>
        </w:rPr>
        <w:t xml:space="preserve"> </w:t>
      </w:r>
      <w:r>
        <w:t>error</w:t>
      </w:r>
      <w:r>
        <w:rPr>
          <w:color w:val="313134"/>
        </w:rPr>
        <w:t>,</w:t>
      </w:r>
      <w:r>
        <w:rPr>
          <w:color w:val="313134"/>
          <w:spacing w:val="8"/>
        </w:rPr>
        <w:t xml:space="preserve"> </w:t>
      </w:r>
      <w:r>
        <w:t>and</w:t>
      </w:r>
      <w:r>
        <w:rPr>
          <w:spacing w:val="8"/>
        </w:rPr>
        <w:t xml:space="preserve"> </w:t>
      </w:r>
      <w:r>
        <w:t>to</w:t>
      </w:r>
      <w:r>
        <w:rPr>
          <w:spacing w:val="28"/>
        </w:rPr>
        <w:t xml:space="preserve"> </w:t>
      </w:r>
      <w:r>
        <w:t>issue</w:t>
      </w:r>
      <w:r>
        <w:rPr>
          <w:spacing w:val="10"/>
        </w:rPr>
        <w:t xml:space="preserve"> </w:t>
      </w:r>
      <w:r>
        <w:t>an</w:t>
      </w:r>
      <w:r>
        <w:rPr>
          <w:spacing w:val="16"/>
        </w:rPr>
        <w:t xml:space="preserve"> </w:t>
      </w:r>
      <w:r>
        <w:t>auditor's</w:t>
      </w:r>
      <w:r>
        <w:rPr>
          <w:spacing w:val="31"/>
        </w:rPr>
        <w:t xml:space="preserve"> </w:t>
      </w:r>
      <w:r>
        <w:t>report</w:t>
      </w:r>
      <w:r>
        <w:rPr>
          <w:spacing w:val="3"/>
        </w:rPr>
        <w:t xml:space="preserve"> </w:t>
      </w:r>
      <w:r>
        <w:t>that</w:t>
      </w:r>
      <w:r>
        <w:rPr>
          <w:spacing w:val="27"/>
        </w:rPr>
        <w:t xml:space="preserve"> </w:t>
      </w:r>
      <w:r>
        <w:t>includes</w:t>
      </w:r>
      <w:r>
        <w:rPr>
          <w:spacing w:val="30"/>
        </w:rPr>
        <w:t xml:space="preserve"> </w:t>
      </w:r>
      <w:r>
        <w:t>my</w:t>
      </w:r>
      <w:r>
        <w:rPr>
          <w:spacing w:val="9"/>
        </w:rPr>
        <w:t xml:space="preserve"> </w:t>
      </w:r>
      <w:r>
        <w:t>opinion.</w:t>
      </w:r>
      <w:r>
        <w:rPr>
          <w:spacing w:val="37"/>
        </w:rPr>
        <w:t xml:space="preserve"> </w:t>
      </w:r>
      <w:r>
        <w:t>Reasonable</w:t>
      </w:r>
      <w:r>
        <w:rPr>
          <w:spacing w:val="21"/>
        </w:rPr>
        <w:t xml:space="preserve"> </w:t>
      </w:r>
      <w:r>
        <w:t>assurance</w:t>
      </w:r>
      <w:r>
        <w:rPr>
          <w:spacing w:val="44"/>
        </w:rPr>
        <w:t xml:space="preserve"> </w:t>
      </w:r>
      <w:r>
        <w:t>is</w:t>
      </w:r>
      <w:r>
        <w:rPr>
          <w:spacing w:val="5"/>
        </w:rPr>
        <w:t xml:space="preserve"> </w:t>
      </w:r>
      <w:r>
        <w:t>a</w:t>
      </w:r>
      <w:r>
        <w:rPr>
          <w:spacing w:val="22"/>
        </w:rPr>
        <w:t xml:space="preserve"> </w:t>
      </w:r>
      <w:r>
        <w:t>high</w:t>
      </w:r>
      <w:r>
        <w:rPr>
          <w:w w:val="102"/>
        </w:rPr>
        <w:t xml:space="preserve"> </w:t>
      </w:r>
      <w:r>
        <w:t>level</w:t>
      </w:r>
      <w:r>
        <w:rPr>
          <w:spacing w:val="12"/>
        </w:rPr>
        <w:t xml:space="preserve"> </w:t>
      </w:r>
      <w:r>
        <w:t>of</w:t>
      </w:r>
      <w:r>
        <w:rPr>
          <w:spacing w:val="11"/>
        </w:rPr>
        <w:t xml:space="preserve"> </w:t>
      </w:r>
      <w:r>
        <w:t>assurance,</w:t>
      </w:r>
      <w:r>
        <w:rPr>
          <w:spacing w:val="41"/>
        </w:rPr>
        <w:t xml:space="preserve"> </w:t>
      </w:r>
      <w:r>
        <w:t>but</w:t>
      </w:r>
      <w:r>
        <w:rPr>
          <w:spacing w:val="12"/>
        </w:rPr>
        <w:t xml:space="preserve"> </w:t>
      </w:r>
      <w:r>
        <w:t>is</w:t>
      </w:r>
      <w:r>
        <w:rPr>
          <w:spacing w:val="7"/>
        </w:rPr>
        <w:t xml:space="preserve"> </w:t>
      </w:r>
      <w:r>
        <w:t>not</w:t>
      </w:r>
      <w:r>
        <w:rPr>
          <w:spacing w:val="7"/>
        </w:rPr>
        <w:t xml:space="preserve"> </w:t>
      </w:r>
      <w:r>
        <w:t>a</w:t>
      </w:r>
      <w:r>
        <w:rPr>
          <w:spacing w:val="12"/>
        </w:rPr>
        <w:t xml:space="preserve"> </w:t>
      </w:r>
      <w:r>
        <w:t>guarantee</w:t>
      </w:r>
      <w:r>
        <w:rPr>
          <w:spacing w:val="19"/>
        </w:rPr>
        <w:t xml:space="preserve"> </w:t>
      </w:r>
      <w:r>
        <w:t>that</w:t>
      </w:r>
      <w:r>
        <w:rPr>
          <w:spacing w:val="20"/>
        </w:rPr>
        <w:t xml:space="preserve"> </w:t>
      </w:r>
      <w:r>
        <w:t>an</w:t>
      </w:r>
      <w:r>
        <w:rPr>
          <w:spacing w:val="14"/>
        </w:rPr>
        <w:t xml:space="preserve"> </w:t>
      </w:r>
      <w:r>
        <w:t>audit</w:t>
      </w:r>
      <w:r>
        <w:rPr>
          <w:spacing w:val="24"/>
        </w:rPr>
        <w:t xml:space="preserve"> </w:t>
      </w:r>
      <w:r>
        <w:t>conducted</w:t>
      </w:r>
      <w:r>
        <w:rPr>
          <w:spacing w:val="30"/>
        </w:rPr>
        <w:t xml:space="preserve"> </w:t>
      </w:r>
      <w:r>
        <w:t>in</w:t>
      </w:r>
      <w:r>
        <w:rPr>
          <w:spacing w:val="5"/>
        </w:rPr>
        <w:t xml:space="preserve"> </w:t>
      </w:r>
      <w:r>
        <w:t>accordance</w:t>
      </w:r>
      <w:r>
        <w:rPr>
          <w:spacing w:val="25"/>
        </w:rPr>
        <w:t xml:space="preserve"> </w:t>
      </w:r>
      <w:r>
        <w:t>with</w:t>
      </w:r>
      <w:r>
        <w:rPr>
          <w:spacing w:val="13"/>
        </w:rPr>
        <w:t xml:space="preserve"> </w:t>
      </w:r>
      <w:r>
        <w:t>Australian Auditing</w:t>
      </w:r>
      <w:r>
        <w:rPr>
          <w:spacing w:val="39"/>
        </w:rPr>
        <w:t xml:space="preserve"> </w:t>
      </w:r>
      <w:r>
        <w:t>Standards</w:t>
      </w:r>
      <w:r>
        <w:rPr>
          <w:spacing w:val="22"/>
        </w:rPr>
        <w:t xml:space="preserve"> </w:t>
      </w:r>
      <w:r>
        <w:t>will</w:t>
      </w:r>
      <w:r>
        <w:rPr>
          <w:spacing w:val="27"/>
        </w:rPr>
        <w:t xml:space="preserve"> </w:t>
      </w:r>
      <w:r>
        <w:t>always</w:t>
      </w:r>
      <w:r>
        <w:rPr>
          <w:spacing w:val="23"/>
        </w:rPr>
        <w:t xml:space="preserve"> </w:t>
      </w:r>
      <w:r>
        <w:t>detect</w:t>
      </w:r>
      <w:r>
        <w:rPr>
          <w:spacing w:val="22"/>
        </w:rPr>
        <w:t xml:space="preserve"> </w:t>
      </w:r>
      <w:r>
        <w:t>a</w:t>
      </w:r>
      <w:r>
        <w:rPr>
          <w:spacing w:val="23"/>
        </w:rPr>
        <w:t xml:space="preserve"> </w:t>
      </w:r>
      <w:r>
        <w:t>material</w:t>
      </w:r>
      <w:r>
        <w:rPr>
          <w:spacing w:val="20"/>
        </w:rPr>
        <w:t xml:space="preserve"> </w:t>
      </w:r>
      <w:r>
        <w:t>misstatement</w:t>
      </w:r>
      <w:r>
        <w:rPr>
          <w:spacing w:val="15"/>
        </w:rPr>
        <w:t xml:space="preserve"> </w:t>
      </w:r>
      <w:r>
        <w:t>when</w:t>
      </w:r>
      <w:r>
        <w:rPr>
          <w:spacing w:val="36"/>
        </w:rPr>
        <w:t xml:space="preserve"> </w:t>
      </w:r>
      <w:r>
        <w:t>it</w:t>
      </w:r>
      <w:r>
        <w:rPr>
          <w:spacing w:val="6"/>
        </w:rPr>
        <w:t xml:space="preserve"> </w:t>
      </w:r>
      <w:r>
        <w:t>exists.</w:t>
      </w:r>
      <w:r>
        <w:rPr>
          <w:spacing w:val="30"/>
        </w:rPr>
        <w:t xml:space="preserve"> </w:t>
      </w:r>
      <w:r>
        <w:t>Misstatements</w:t>
      </w:r>
      <w:r>
        <w:rPr>
          <w:spacing w:val="31"/>
        </w:rPr>
        <w:t xml:space="preserve"> </w:t>
      </w:r>
      <w:r>
        <w:t>can</w:t>
      </w:r>
      <w:r>
        <w:rPr>
          <w:w w:val="103"/>
        </w:rPr>
        <w:t xml:space="preserve"> </w:t>
      </w:r>
      <w:r>
        <w:t>arise</w:t>
      </w:r>
      <w:r>
        <w:rPr>
          <w:spacing w:val="6"/>
        </w:rPr>
        <w:t xml:space="preserve"> </w:t>
      </w:r>
      <w:r>
        <w:t>from</w:t>
      </w:r>
      <w:r>
        <w:rPr>
          <w:spacing w:val="18"/>
        </w:rPr>
        <w:t xml:space="preserve"> </w:t>
      </w:r>
      <w:r>
        <w:t>fraud</w:t>
      </w:r>
      <w:r>
        <w:rPr>
          <w:spacing w:val="28"/>
        </w:rPr>
        <w:t xml:space="preserve"> </w:t>
      </w:r>
      <w:r>
        <w:t>or</w:t>
      </w:r>
      <w:r>
        <w:rPr>
          <w:spacing w:val="10"/>
        </w:rPr>
        <w:t xml:space="preserve"> </w:t>
      </w:r>
      <w:r>
        <w:t>error</w:t>
      </w:r>
      <w:r>
        <w:rPr>
          <w:spacing w:val="25"/>
        </w:rPr>
        <w:t xml:space="preserve"> </w:t>
      </w:r>
      <w:r>
        <w:t>and</w:t>
      </w:r>
      <w:r>
        <w:rPr>
          <w:spacing w:val="18"/>
        </w:rPr>
        <w:t xml:space="preserve"> </w:t>
      </w:r>
      <w:r>
        <w:t>are</w:t>
      </w:r>
      <w:r>
        <w:rPr>
          <w:spacing w:val="19"/>
        </w:rPr>
        <w:t xml:space="preserve"> </w:t>
      </w:r>
      <w:r>
        <w:t>considered</w:t>
      </w:r>
      <w:r>
        <w:rPr>
          <w:spacing w:val="28"/>
        </w:rPr>
        <w:t xml:space="preserve"> </w:t>
      </w:r>
      <w:r>
        <w:t>material</w:t>
      </w:r>
      <w:r>
        <w:rPr>
          <w:spacing w:val="21"/>
        </w:rPr>
        <w:t xml:space="preserve"> </w:t>
      </w:r>
      <w:r>
        <w:t>i</w:t>
      </w:r>
      <w:r>
        <w:rPr>
          <w:spacing w:val="3"/>
        </w:rPr>
        <w:t>f</w:t>
      </w:r>
      <w:r>
        <w:rPr>
          <w:color w:val="313134"/>
        </w:rPr>
        <w:t>,</w:t>
      </w:r>
      <w:r>
        <w:rPr>
          <w:color w:val="313134"/>
          <w:spacing w:val="15"/>
        </w:rPr>
        <w:t xml:space="preserve"> </w:t>
      </w:r>
      <w:r>
        <w:t>individually</w:t>
      </w:r>
      <w:r>
        <w:rPr>
          <w:spacing w:val="28"/>
        </w:rPr>
        <w:t xml:space="preserve"> </w:t>
      </w:r>
      <w:r>
        <w:t>or</w:t>
      </w:r>
      <w:r>
        <w:rPr>
          <w:spacing w:val="26"/>
        </w:rPr>
        <w:t xml:space="preserve"> </w:t>
      </w:r>
      <w:r>
        <w:t>in</w:t>
      </w:r>
      <w:r>
        <w:rPr>
          <w:spacing w:val="3"/>
        </w:rPr>
        <w:t xml:space="preserve"> </w:t>
      </w:r>
      <w:r>
        <w:t>the</w:t>
      </w:r>
      <w:r>
        <w:rPr>
          <w:spacing w:val="20"/>
        </w:rPr>
        <w:t xml:space="preserve"> </w:t>
      </w:r>
      <w:r>
        <w:t>aggregate,</w:t>
      </w:r>
      <w:r>
        <w:rPr>
          <w:spacing w:val="22"/>
        </w:rPr>
        <w:t xml:space="preserve"> </w:t>
      </w:r>
      <w:r>
        <w:t>they</w:t>
      </w:r>
      <w:r>
        <w:rPr>
          <w:spacing w:val="29"/>
        </w:rPr>
        <w:t xml:space="preserve"> </w:t>
      </w:r>
      <w:r>
        <w:t>could</w:t>
      </w:r>
      <w:r>
        <w:rPr>
          <w:w w:val="103"/>
        </w:rPr>
        <w:t xml:space="preserve"> </w:t>
      </w:r>
      <w:r>
        <w:t>reasonably</w:t>
      </w:r>
      <w:r>
        <w:rPr>
          <w:spacing w:val="34"/>
        </w:rPr>
        <w:t xml:space="preserve"> </w:t>
      </w:r>
      <w:r>
        <w:t>be</w:t>
      </w:r>
      <w:r>
        <w:rPr>
          <w:spacing w:val="5"/>
        </w:rPr>
        <w:t xml:space="preserve"> </w:t>
      </w:r>
      <w:r>
        <w:t>expected</w:t>
      </w:r>
      <w:r>
        <w:rPr>
          <w:spacing w:val="24"/>
        </w:rPr>
        <w:t xml:space="preserve"> </w:t>
      </w:r>
      <w:r>
        <w:t>to</w:t>
      </w:r>
      <w:r>
        <w:rPr>
          <w:spacing w:val="29"/>
        </w:rPr>
        <w:t xml:space="preserve"> </w:t>
      </w:r>
      <w:r>
        <w:t>influence</w:t>
      </w:r>
      <w:r>
        <w:rPr>
          <w:spacing w:val="9"/>
        </w:rPr>
        <w:t xml:space="preserve"> </w:t>
      </w:r>
      <w:r>
        <w:t>the</w:t>
      </w:r>
      <w:r>
        <w:rPr>
          <w:spacing w:val="20"/>
        </w:rPr>
        <w:t xml:space="preserve"> </w:t>
      </w:r>
      <w:r>
        <w:t>economic</w:t>
      </w:r>
      <w:r>
        <w:rPr>
          <w:spacing w:val="26"/>
        </w:rPr>
        <w:t xml:space="preserve"> </w:t>
      </w:r>
      <w:r>
        <w:t>decisions</w:t>
      </w:r>
      <w:r>
        <w:rPr>
          <w:spacing w:val="30"/>
        </w:rPr>
        <w:t xml:space="preserve"> </w:t>
      </w:r>
      <w:r>
        <w:t>of</w:t>
      </w:r>
      <w:r>
        <w:rPr>
          <w:spacing w:val="19"/>
        </w:rPr>
        <w:t xml:space="preserve"> </w:t>
      </w:r>
      <w:r>
        <w:t>users</w:t>
      </w:r>
      <w:r>
        <w:rPr>
          <w:spacing w:val="6"/>
        </w:rPr>
        <w:t xml:space="preserve"> </w:t>
      </w:r>
      <w:r>
        <w:t>taken</w:t>
      </w:r>
      <w:r>
        <w:rPr>
          <w:spacing w:val="27"/>
        </w:rPr>
        <w:t xml:space="preserve"> </w:t>
      </w:r>
      <w:r>
        <w:t>on</w:t>
      </w:r>
      <w:r>
        <w:rPr>
          <w:spacing w:val="15"/>
        </w:rPr>
        <w:t xml:space="preserve"> </w:t>
      </w:r>
      <w:r>
        <w:t>the</w:t>
      </w:r>
      <w:r>
        <w:rPr>
          <w:spacing w:val="32"/>
        </w:rPr>
        <w:t xml:space="preserve"> </w:t>
      </w:r>
      <w:r>
        <w:t>basis</w:t>
      </w:r>
      <w:r>
        <w:rPr>
          <w:spacing w:val="11"/>
        </w:rPr>
        <w:t xml:space="preserve"> </w:t>
      </w:r>
      <w:r>
        <w:t>of</w:t>
      </w:r>
      <w:r>
        <w:rPr>
          <w:spacing w:val="9"/>
        </w:rPr>
        <w:t xml:space="preserve"> </w:t>
      </w:r>
      <w:r>
        <w:t>the</w:t>
      </w:r>
      <w:r>
        <w:rPr>
          <w:w w:val="102"/>
        </w:rPr>
        <w:t xml:space="preserve"> </w:t>
      </w:r>
      <w:r>
        <w:t>financial</w:t>
      </w:r>
      <w:r>
        <w:rPr>
          <w:spacing w:val="52"/>
        </w:rPr>
        <w:t xml:space="preserve"> </w:t>
      </w:r>
      <w:r>
        <w:t>statements.</w:t>
      </w:r>
    </w:p>
    <w:p w14:paraId="4DA48AEC" w14:textId="4D3E5187" w:rsidR="004553D9" w:rsidRDefault="004553D9" w:rsidP="004553D9">
      <w:r>
        <w:rPr>
          <w:color w:val="161623"/>
        </w:rPr>
        <w:t>As</w:t>
      </w:r>
      <w:r>
        <w:rPr>
          <w:color w:val="161623"/>
          <w:spacing w:val="28"/>
        </w:rPr>
        <w:t xml:space="preserve"> </w:t>
      </w:r>
      <w:r>
        <w:rPr>
          <w:color w:val="161623"/>
        </w:rPr>
        <w:t>part</w:t>
      </w:r>
      <w:r>
        <w:rPr>
          <w:color w:val="161623"/>
          <w:spacing w:val="11"/>
        </w:rPr>
        <w:t xml:space="preserve"> </w:t>
      </w:r>
      <w:r>
        <w:rPr>
          <w:color w:val="161623"/>
        </w:rPr>
        <w:t>of</w:t>
      </w:r>
      <w:r>
        <w:rPr>
          <w:color w:val="161623"/>
          <w:spacing w:val="9"/>
        </w:rPr>
        <w:t xml:space="preserve"> </w:t>
      </w:r>
      <w:r>
        <w:rPr>
          <w:color w:val="161623"/>
        </w:rPr>
        <w:t>an</w:t>
      </w:r>
      <w:r>
        <w:rPr>
          <w:color w:val="161623"/>
          <w:spacing w:val="16"/>
        </w:rPr>
        <w:t xml:space="preserve"> </w:t>
      </w:r>
      <w:r>
        <w:rPr>
          <w:color w:val="161623"/>
        </w:rPr>
        <w:t>audit</w:t>
      </w:r>
      <w:r>
        <w:rPr>
          <w:color w:val="161623"/>
          <w:spacing w:val="27"/>
        </w:rPr>
        <w:t xml:space="preserve"> </w:t>
      </w:r>
      <w:r>
        <w:rPr>
          <w:color w:val="161623"/>
        </w:rPr>
        <w:t>in</w:t>
      </w:r>
      <w:r>
        <w:rPr>
          <w:color w:val="161623"/>
          <w:spacing w:val="2"/>
        </w:rPr>
        <w:t xml:space="preserve"> </w:t>
      </w:r>
      <w:r>
        <w:rPr>
          <w:color w:val="161623"/>
        </w:rPr>
        <w:t>accordance</w:t>
      </w:r>
      <w:r>
        <w:rPr>
          <w:color w:val="161623"/>
          <w:spacing w:val="17"/>
        </w:rPr>
        <w:t xml:space="preserve"> </w:t>
      </w:r>
      <w:r>
        <w:rPr>
          <w:color w:val="161623"/>
        </w:rPr>
        <w:t>with</w:t>
      </w:r>
      <w:r>
        <w:rPr>
          <w:color w:val="161623"/>
          <w:spacing w:val="9"/>
        </w:rPr>
        <w:t xml:space="preserve"> </w:t>
      </w:r>
      <w:r>
        <w:rPr>
          <w:color w:val="161623"/>
        </w:rPr>
        <w:t>Australian</w:t>
      </w:r>
      <w:r>
        <w:rPr>
          <w:color w:val="161623"/>
          <w:spacing w:val="29"/>
        </w:rPr>
        <w:t xml:space="preserve"> </w:t>
      </w:r>
      <w:r>
        <w:rPr>
          <w:color w:val="161623"/>
        </w:rPr>
        <w:t>Auditing</w:t>
      </w:r>
      <w:r>
        <w:rPr>
          <w:color w:val="161623"/>
          <w:spacing w:val="38"/>
        </w:rPr>
        <w:t xml:space="preserve"> </w:t>
      </w:r>
      <w:r>
        <w:rPr>
          <w:color w:val="161623"/>
        </w:rPr>
        <w:t>Standards</w:t>
      </w:r>
      <w:r>
        <w:rPr>
          <w:color w:val="31313A"/>
        </w:rPr>
        <w:t>,</w:t>
      </w:r>
      <w:r>
        <w:rPr>
          <w:color w:val="31313A"/>
          <w:spacing w:val="4"/>
        </w:rPr>
        <w:t xml:space="preserve"> </w:t>
      </w:r>
      <w:r>
        <w:rPr>
          <w:color w:val="161623"/>
        </w:rPr>
        <w:t>I</w:t>
      </w:r>
      <w:r>
        <w:rPr>
          <w:color w:val="161623"/>
          <w:spacing w:val="-14"/>
        </w:rPr>
        <w:t xml:space="preserve"> </w:t>
      </w:r>
      <w:r>
        <w:rPr>
          <w:color w:val="161623"/>
        </w:rPr>
        <w:t>exercise</w:t>
      </w:r>
      <w:r>
        <w:rPr>
          <w:color w:val="161623"/>
          <w:spacing w:val="33"/>
        </w:rPr>
        <w:t xml:space="preserve"> </w:t>
      </w:r>
      <w:r>
        <w:rPr>
          <w:color w:val="161623"/>
        </w:rPr>
        <w:t>professional judgment</w:t>
      </w:r>
      <w:r>
        <w:rPr>
          <w:color w:val="161623"/>
          <w:spacing w:val="47"/>
        </w:rPr>
        <w:t xml:space="preserve"> </w:t>
      </w:r>
      <w:r>
        <w:rPr>
          <w:color w:val="161623"/>
        </w:rPr>
        <w:t>and</w:t>
      </w:r>
      <w:r>
        <w:rPr>
          <w:color w:val="161623"/>
          <w:spacing w:val="20"/>
        </w:rPr>
        <w:t xml:space="preserve"> </w:t>
      </w:r>
      <w:r>
        <w:rPr>
          <w:color w:val="161623"/>
        </w:rPr>
        <w:t>maintain</w:t>
      </w:r>
      <w:r>
        <w:rPr>
          <w:color w:val="161623"/>
          <w:spacing w:val="28"/>
        </w:rPr>
        <w:t xml:space="preserve"> </w:t>
      </w:r>
      <w:r>
        <w:rPr>
          <w:color w:val="161623"/>
        </w:rPr>
        <w:t>professional</w:t>
      </w:r>
      <w:r>
        <w:rPr>
          <w:color w:val="161623"/>
          <w:spacing w:val="23"/>
        </w:rPr>
        <w:t xml:space="preserve"> </w:t>
      </w:r>
      <w:r>
        <w:rPr>
          <w:color w:val="161623"/>
        </w:rPr>
        <w:t>scepticism</w:t>
      </w:r>
      <w:r>
        <w:rPr>
          <w:color w:val="161623"/>
          <w:spacing w:val="18"/>
        </w:rPr>
        <w:t xml:space="preserve"> </w:t>
      </w:r>
      <w:r>
        <w:rPr>
          <w:color w:val="161623"/>
        </w:rPr>
        <w:t>throughout</w:t>
      </w:r>
      <w:r>
        <w:rPr>
          <w:color w:val="161623"/>
          <w:spacing w:val="23"/>
        </w:rPr>
        <w:t xml:space="preserve"> </w:t>
      </w:r>
      <w:r>
        <w:rPr>
          <w:color w:val="161623"/>
        </w:rPr>
        <w:t>the</w:t>
      </w:r>
      <w:r>
        <w:rPr>
          <w:color w:val="161623"/>
          <w:spacing w:val="16"/>
        </w:rPr>
        <w:t xml:space="preserve"> </w:t>
      </w:r>
      <w:r>
        <w:rPr>
          <w:color w:val="161623"/>
        </w:rPr>
        <w:t>audit.</w:t>
      </w:r>
      <w:r>
        <w:rPr>
          <w:color w:val="161623"/>
          <w:spacing w:val="29"/>
        </w:rPr>
        <w:t xml:space="preserve"> </w:t>
      </w:r>
      <w:r>
        <w:rPr>
          <w:color w:val="161623"/>
        </w:rPr>
        <w:t>I</w:t>
      </w:r>
      <w:r>
        <w:rPr>
          <w:color w:val="161623"/>
          <w:spacing w:val="-1"/>
        </w:rPr>
        <w:t xml:space="preserve"> </w:t>
      </w:r>
      <w:r>
        <w:rPr>
          <w:color w:val="161623"/>
        </w:rPr>
        <w:t>also</w:t>
      </w:r>
      <w:r>
        <w:rPr>
          <w:color w:val="31313A"/>
        </w:rPr>
        <w:t>:</w:t>
      </w:r>
    </w:p>
    <w:p w14:paraId="0864DF47" w14:textId="68A9C68F" w:rsidR="004553D9" w:rsidRDefault="004553D9" w:rsidP="00026A6F">
      <w:pPr>
        <w:pStyle w:val="ListParagraph"/>
        <w:numPr>
          <w:ilvl w:val="0"/>
          <w:numId w:val="49"/>
        </w:numPr>
        <w:spacing w:after="240" w:line="276" w:lineRule="auto"/>
        <w:ind w:left="714" w:hanging="357"/>
      </w:pPr>
      <w:r w:rsidRPr="004553D9">
        <w:rPr>
          <w:color w:val="161623"/>
        </w:rPr>
        <w:t>Identify</w:t>
      </w:r>
      <w:r w:rsidRPr="004553D9">
        <w:rPr>
          <w:color w:val="161623"/>
          <w:spacing w:val="12"/>
        </w:rPr>
        <w:t xml:space="preserve"> </w:t>
      </w:r>
      <w:r w:rsidRPr="004553D9">
        <w:rPr>
          <w:color w:val="161623"/>
        </w:rPr>
        <w:t>and</w:t>
      </w:r>
      <w:r w:rsidRPr="004553D9">
        <w:rPr>
          <w:color w:val="161623"/>
          <w:spacing w:val="15"/>
        </w:rPr>
        <w:t xml:space="preserve"> </w:t>
      </w:r>
      <w:r w:rsidRPr="004553D9">
        <w:rPr>
          <w:color w:val="161623"/>
        </w:rPr>
        <w:t>assess</w:t>
      </w:r>
      <w:r w:rsidRPr="004553D9">
        <w:rPr>
          <w:color w:val="161623"/>
          <w:spacing w:val="16"/>
        </w:rPr>
        <w:t xml:space="preserve"> </w:t>
      </w:r>
      <w:r w:rsidRPr="004553D9">
        <w:rPr>
          <w:color w:val="161623"/>
        </w:rPr>
        <w:t>the</w:t>
      </w:r>
      <w:r w:rsidRPr="004553D9">
        <w:rPr>
          <w:color w:val="161623"/>
          <w:spacing w:val="23"/>
        </w:rPr>
        <w:t xml:space="preserve"> </w:t>
      </w:r>
      <w:r w:rsidRPr="004553D9">
        <w:rPr>
          <w:color w:val="161623"/>
        </w:rPr>
        <w:t>risks</w:t>
      </w:r>
      <w:r w:rsidRPr="004553D9">
        <w:rPr>
          <w:color w:val="161623"/>
          <w:spacing w:val="9"/>
        </w:rPr>
        <w:t xml:space="preserve"> </w:t>
      </w:r>
      <w:r w:rsidRPr="004553D9">
        <w:rPr>
          <w:color w:val="161623"/>
        </w:rPr>
        <w:t>of</w:t>
      </w:r>
      <w:r w:rsidRPr="004553D9">
        <w:rPr>
          <w:color w:val="161623"/>
          <w:spacing w:val="16"/>
        </w:rPr>
        <w:t xml:space="preserve"> </w:t>
      </w:r>
      <w:r w:rsidRPr="004553D9">
        <w:rPr>
          <w:color w:val="161623"/>
        </w:rPr>
        <w:t>material</w:t>
      </w:r>
      <w:r w:rsidRPr="004553D9">
        <w:rPr>
          <w:color w:val="161623"/>
          <w:spacing w:val="21"/>
        </w:rPr>
        <w:t xml:space="preserve"> </w:t>
      </w:r>
      <w:r w:rsidRPr="004553D9">
        <w:rPr>
          <w:color w:val="161623"/>
        </w:rPr>
        <w:t>misstatement</w:t>
      </w:r>
      <w:r w:rsidRPr="004553D9">
        <w:rPr>
          <w:color w:val="161623"/>
          <w:spacing w:val="30"/>
        </w:rPr>
        <w:t xml:space="preserve"> </w:t>
      </w:r>
      <w:r w:rsidRPr="004553D9">
        <w:rPr>
          <w:color w:val="161623"/>
        </w:rPr>
        <w:t>of</w:t>
      </w:r>
      <w:r w:rsidRPr="004553D9">
        <w:rPr>
          <w:color w:val="161623"/>
          <w:spacing w:val="5"/>
        </w:rPr>
        <w:t xml:space="preserve"> </w:t>
      </w:r>
      <w:r w:rsidRPr="004553D9">
        <w:rPr>
          <w:color w:val="161623"/>
        </w:rPr>
        <w:t>the</w:t>
      </w:r>
      <w:r w:rsidRPr="004553D9">
        <w:rPr>
          <w:color w:val="161623"/>
          <w:spacing w:val="12"/>
        </w:rPr>
        <w:t xml:space="preserve"> </w:t>
      </w:r>
      <w:r w:rsidRPr="004553D9">
        <w:rPr>
          <w:color w:val="161623"/>
        </w:rPr>
        <w:t>financial</w:t>
      </w:r>
      <w:r w:rsidRPr="004553D9">
        <w:rPr>
          <w:color w:val="161623"/>
          <w:spacing w:val="25"/>
        </w:rPr>
        <w:t xml:space="preserve"> </w:t>
      </w:r>
      <w:r w:rsidRPr="004553D9">
        <w:rPr>
          <w:color w:val="161623"/>
        </w:rPr>
        <w:t>statements,</w:t>
      </w:r>
      <w:r w:rsidRPr="004553D9">
        <w:rPr>
          <w:color w:val="161623"/>
          <w:spacing w:val="21"/>
        </w:rPr>
        <w:t xml:space="preserve"> </w:t>
      </w:r>
      <w:r w:rsidRPr="004553D9">
        <w:rPr>
          <w:color w:val="161623"/>
        </w:rPr>
        <w:t>whether due</w:t>
      </w:r>
      <w:r w:rsidRPr="004553D9">
        <w:rPr>
          <w:color w:val="161623"/>
          <w:spacing w:val="8"/>
        </w:rPr>
        <w:t xml:space="preserve"> </w:t>
      </w:r>
      <w:r w:rsidRPr="004553D9">
        <w:rPr>
          <w:color w:val="161623"/>
        </w:rPr>
        <w:t>to</w:t>
      </w:r>
      <w:r w:rsidRPr="004553D9">
        <w:rPr>
          <w:color w:val="161623"/>
          <w:spacing w:val="14"/>
        </w:rPr>
        <w:t xml:space="preserve"> </w:t>
      </w:r>
      <w:r w:rsidRPr="004553D9">
        <w:rPr>
          <w:color w:val="161623"/>
        </w:rPr>
        <w:t>fraud</w:t>
      </w:r>
      <w:r w:rsidRPr="004553D9">
        <w:rPr>
          <w:color w:val="161623"/>
          <w:spacing w:val="26"/>
        </w:rPr>
        <w:t xml:space="preserve"> </w:t>
      </w:r>
      <w:r w:rsidRPr="004553D9">
        <w:rPr>
          <w:color w:val="161623"/>
        </w:rPr>
        <w:t>or</w:t>
      </w:r>
      <w:r w:rsidRPr="004553D9">
        <w:rPr>
          <w:color w:val="161623"/>
          <w:spacing w:val="11"/>
        </w:rPr>
        <w:t xml:space="preserve"> </w:t>
      </w:r>
      <w:r w:rsidRPr="004553D9">
        <w:rPr>
          <w:color w:val="161623"/>
        </w:rPr>
        <w:t>error,</w:t>
      </w:r>
      <w:r w:rsidRPr="004553D9">
        <w:rPr>
          <w:color w:val="161623"/>
          <w:spacing w:val="17"/>
        </w:rPr>
        <w:t xml:space="preserve"> </w:t>
      </w:r>
      <w:r w:rsidRPr="004553D9">
        <w:rPr>
          <w:color w:val="161623"/>
        </w:rPr>
        <w:t>design</w:t>
      </w:r>
      <w:r w:rsidRPr="004553D9">
        <w:rPr>
          <w:color w:val="161623"/>
          <w:spacing w:val="21"/>
        </w:rPr>
        <w:t xml:space="preserve"> </w:t>
      </w:r>
      <w:r w:rsidRPr="004553D9">
        <w:rPr>
          <w:color w:val="161623"/>
        </w:rPr>
        <w:t>and</w:t>
      </w:r>
      <w:r w:rsidRPr="004553D9">
        <w:rPr>
          <w:color w:val="161623"/>
          <w:spacing w:val="20"/>
        </w:rPr>
        <w:t xml:space="preserve"> </w:t>
      </w:r>
      <w:r w:rsidRPr="004553D9">
        <w:rPr>
          <w:color w:val="161623"/>
        </w:rPr>
        <w:t>perform</w:t>
      </w:r>
      <w:r w:rsidRPr="004553D9">
        <w:rPr>
          <w:color w:val="161623"/>
          <w:spacing w:val="23"/>
        </w:rPr>
        <w:t xml:space="preserve"> </w:t>
      </w:r>
      <w:r w:rsidRPr="004553D9">
        <w:rPr>
          <w:color w:val="161623"/>
        </w:rPr>
        <w:t>audit</w:t>
      </w:r>
      <w:r w:rsidRPr="004553D9">
        <w:rPr>
          <w:color w:val="161623"/>
          <w:spacing w:val="24"/>
        </w:rPr>
        <w:t xml:space="preserve"> </w:t>
      </w:r>
      <w:r w:rsidRPr="004553D9">
        <w:rPr>
          <w:color w:val="161623"/>
        </w:rPr>
        <w:t>procedures</w:t>
      </w:r>
      <w:r w:rsidRPr="004553D9">
        <w:rPr>
          <w:color w:val="161623"/>
          <w:spacing w:val="37"/>
        </w:rPr>
        <w:t xml:space="preserve"> </w:t>
      </w:r>
      <w:r w:rsidRPr="004553D9">
        <w:rPr>
          <w:color w:val="161623"/>
        </w:rPr>
        <w:t>responsive</w:t>
      </w:r>
      <w:r w:rsidRPr="004553D9">
        <w:rPr>
          <w:color w:val="161623"/>
          <w:spacing w:val="16"/>
        </w:rPr>
        <w:t xml:space="preserve"> </w:t>
      </w:r>
      <w:r w:rsidRPr="004553D9">
        <w:rPr>
          <w:color w:val="161623"/>
        </w:rPr>
        <w:t>to</w:t>
      </w:r>
      <w:r w:rsidRPr="004553D9">
        <w:rPr>
          <w:color w:val="161623"/>
          <w:spacing w:val="9"/>
        </w:rPr>
        <w:t xml:space="preserve"> </w:t>
      </w:r>
      <w:r w:rsidRPr="004553D9">
        <w:rPr>
          <w:color w:val="161623"/>
        </w:rPr>
        <w:t>those</w:t>
      </w:r>
      <w:r w:rsidRPr="004553D9">
        <w:rPr>
          <w:color w:val="161623"/>
          <w:spacing w:val="24"/>
        </w:rPr>
        <w:t xml:space="preserve"> </w:t>
      </w:r>
      <w:r w:rsidRPr="004553D9">
        <w:rPr>
          <w:color w:val="161623"/>
        </w:rPr>
        <w:t>risk</w:t>
      </w:r>
      <w:r w:rsidRPr="004553D9">
        <w:rPr>
          <w:color w:val="161623"/>
          <w:spacing w:val="11"/>
        </w:rPr>
        <w:t>s</w:t>
      </w:r>
      <w:r w:rsidRPr="004553D9">
        <w:rPr>
          <w:color w:val="31313A"/>
        </w:rPr>
        <w:t>,</w:t>
      </w:r>
      <w:r w:rsidRPr="004553D9">
        <w:rPr>
          <w:color w:val="31313A"/>
          <w:spacing w:val="3"/>
        </w:rPr>
        <w:t xml:space="preserve"> </w:t>
      </w:r>
      <w:r w:rsidRPr="004553D9">
        <w:rPr>
          <w:color w:val="161623"/>
        </w:rPr>
        <w:t>and</w:t>
      </w:r>
      <w:r w:rsidRPr="004553D9">
        <w:rPr>
          <w:color w:val="161623"/>
          <w:w w:val="102"/>
        </w:rPr>
        <w:t xml:space="preserve"> </w:t>
      </w:r>
      <w:r w:rsidRPr="004553D9">
        <w:rPr>
          <w:color w:val="161623"/>
        </w:rPr>
        <w:t>obtain</w:t>
      </w:r>
      <w:r w:rsidRPr="004553D9">
        <w:rPr>
          <w:color w:val="161623"/>
          <w:spacing w:val="20"/>
        </w:rPr>
        <w:t xml:space="preserve"> </w:t>
      </w:r>
      <w:r w:rsidRPr="004553D9">
        <w:rPr>
          <w:color w:val="161623"/>
        </w:rPr>
        <w:t>audit</w:t>
      </w:r>
      <w:r w:rsidRPr="004553D9">
        <w:rPr>
          <w:color w:val="161623"/>
          <w:spacing w:val="19"/>
        </w:rPr>
        <w:t xml:space="preserve"> </w:t>
      </w:r>
      <w:r w:rsidRPr="004553D9">
        <w:rPr>
          <w:color w:val="161623"/>
        </w:rPr>
        <w:t>evidence</w:t>
      </w:r>
      <w:r w:rsidRPr="004553D9">
        <w:rPr>
          <w:color w:val="161623"/>
          <w:spacing w:val="12"/>
        </w:rPr>
        <w:t xml:space="preserve"> </w:t>
      </w:r>
      <w:r w:rsidRPr="004553D9">
        <w:rPr>
          <w:color w:val="161623"/>
        </w:rPr>
        <w:t>that</w:t>
      </w:r>
      <w:r w:rsidRPr="004553D9">
        <w:rPr>
          <w:color w:val="161623"/>
          <w:spacing w:val="24"/>
        </w:rPr>
        <w:t xml:space="preserve"> </w:t>
      </w:r>
      <w:r w:rsidRPr="004553D9">
        <w:rPr>
          <w:color w:val="161623"/>
        </w:rPr>
        <w:t>is</w:t>
      </w:r>
      <w:r w:rsidRPr="004553D9">
        <w:rPr>
          <w:color w:val="161623"/>
          <w:spacing w:val="2"/>
        </w:rPr>
        <w:t xml:space="preserve"> </w:t>
      </w:r>
      <w:r w:rsidRPr="004553D9">
        <w:rPr>
          <w:color w:val="161623"/>
        </w:rPr>
        <w:t>sufficient</w:t>
      </w:r>
      <w:r w:rsidRPr="004553D9">
        <w:rPr>
          <w:color w:val="161623"/>
          <w:spacing w:val="24"/>
        </w:rPr>
        <w:t xml:space="preserve"> </w:t>
      </w:r>
      <w:r w:rsidRPr="004553D9">
        <w:rPr>
          <w:color w:val="161623"/>
        </w:rPr>
        <w:t>and</w:t>
      </w:r>
      <w:r w:rsidRPr="004553D9">
        <w:rPr>
          <w:color w:val="161623"/>
          <w:spacing w:val="16"/>
        </w:rPr>
        <w:t xml:space="preserve"> </w:t>
      </w:r>
      <w:r w:rsidRPr="004553D9">
        <w:rPr>
          <w:color w:val="161623"/>
        </w:rPr>
        <w:t>appropriate</w:t>
      </w:r>
      <w:r w:rsidRPr="004553D9">
        <w:rPr>
          <w:color w:val="161623"/>
          <w:spacing w:val="20"/>
        </w:rPr>
        <w:t xml:space="preserve"> </w:t>
      </w:r>
      <w:r w:rsidRPr="004553D9">
        <w:rPr>
          <w:color w:val="161623"/>
        </w:rPr>
        <w:t>to</w:t>
      </w:r>
      <w:r w:rsidRPr="004553D9">
        <w:rPr>
          <w:color w:val="161623"/>
          <w:spacing w:val="25"/>
        </w:rPr>
        <w:t xml:space="preserve"> </w:t>
      </w:r>
      <w:r w:rsidRPr="004553D9">
        <w:rPr>
          <w:color w:val="161623"/>
        </w:rPr>
        <w:t>provide</w:t>
      </w:r>
      <w:r w:rsidRPr="004553D9">
        <w:rPr>
          <w:color w:val="161623"/>
          <w:spacing w:val="14"/>
        </w:rPr>
        <w:t xml:space="preserve"> </w:t>
      </w:r>
      <w:r w:rsidRPr="004553D9">
        <w:rPr>
          <w:color w:val="161623"/>
        </w:rPr>
        <w:t>a</w:t>
      </w:r>
      <w:r w:rsidRPr="004553D9">
        <w:rPr>
          <w:color w:val="161623"/>
          <w:spacing w:val="17"/>
        </w:rPr>
        <w:t xml:space="preserve"> </w:t>
      </w:r>
      <w:r w:rsidRPr="004553D9">
        <w:rPr>
          <w:color w:val="161623"/>
        </w:rPr>
        <w:t>basis</w:t>
      </w:r>
      <w:r w:rsidRPr="004553D9">
        <w:rPr>
          <w:color w:val="161623"/>
          <w:spacing w:val="8"/>
        </w:rPr>
        <w:t xml:space="preserve"> </w:t>
      </w:r>
      <w:r w:rsidRPr="004553D9">
        <w:rPr>
          <w:color w:val="161623"/>
        </w:rPr>
        <w:t>for</w:t>
      </w:r>
      <w:r w:rsidRPr="004553D9">
        <w:rPr>
          <w:color w:val="161623"/>
          <w:spacing w:val="24"/>
        </w:rPr>
        <w:t xml:space="preserve"> </w:t>
      </w:r>
      <w:r w:rsidRPr="004553D9">
        <w:rPr>
          <w:color w:val="161623"/>
        </w:rPr>
        <w:t>my</w:t>
      </w:r>
      <w:r w:rsidRPr="004553D9">
        <w:rPr>
          <w:color w:val="161623"/>
          <w:spacing w:val="13"/>
        </w:rPr>
        <w:t xml:space="preserve"> </w:t>
      </w:r>
      <w:r w:rsidRPr="004553D9">
        <w:rPr>
          <w:color w:val="161623"/>
        </w:rPr>
        <w:t>opinion</w:t>
      </w:r>
      <w:r w:rsidRPr="004553D9">
        <w:rPr>
          <w:color w:val="161623"/>
          <w:spacing w:val="-34"/>
        </w:rPr>
        <w:t xml:space="preserve"> </w:t>
      </w:r>
      <w:r w:rsidRPr="004553D9">
        <w:rPr>
          <w:color w:val="31313A"/>
        </w:rPr>
        <w:t>.</w:t>
      </w:r>
      <w:r w:rsidRPr="004553D9">
        <w:rPr>
          <w:color w:val="31313A"/>
          <w:w w:val="92"/>
        </w:rPr>
        <w:t xml:space="preserve"> </w:t>
      </w:r>
      <w:r w:rsidRPr="004553D9">
        <w:rPr>
          <w:color w:val="161623"/>
        </w:rPr>
        <w:t>The</w:t>
      </w:r>
      <w:r w:rsidRPr="004553D9">
        <w:rPr>
          <w:color w:val="161623"/>
          <w:spacing w:val="24"/>
        </w:rPr>
        <w:t xml:space="preserve"> </w:t>
      </w:r>
      <w:r w:rsidRPr="004553D9">
        <w:rPr>
          <w:color w:val="161623"/>
        </w:rPr>
        <w:t>risk</w:t>
      </w:r>
      <w:r w:rsidRPr="004553D9">
        <w:rPr>
          <w:color w:val="161623"/>
          <w:spacing w:val="12"/>
        </w:rPr>
        <w:t xml:space="preserve"> </w:t>
      </w:r>
      <w:r w:rsidRPr="004553D9">
        <w:rPr>
          <w:color w:val="161623"/>
        </w:rPr>
        <w:t>of</w:t>
      </w:r>
      <w:r w:rsidRPr="004553D9">
        <w:rPr>
          <w:color w:val="161623"/>
          <w:spacing w:val="16"/>
        </w:rPr>
        <w:t xml:space="preserve"> </w:t>
      </w:r>
      <w:r w:rsidRPr="004553D9">
        <w:rPr>
          <w:color w:val="161623"/>
        </w:rPr>
        <w:t>not</w:t>
      </w:r>
      <w:r w:rsidRPr="004553D9">
        <w:rPr>
          <w:color w:val="161623"/>
          <w:spacing w:val="5"/>
        </w:rPr>
        <w:t xml:space="preserve"> </w:t>
      </w:r>
      <w:r w:rsidRPr="004553D9">
        <w:rPr>
          <w:color w:val="161623"/>
        </w:rPr>
        <w:t>detecting</w:t>
      </w:r>
      <w:r w:rsidRPr="004553D9">
        <w:rPr>
          <w:color w:val="161623"/>
          <w:spacing w:val="27"/>
        </w:rPr>
        <w:t xml:space="preserve"> </w:t>
      </w:r>
      <w:r w:rsidRPr="004553D9">
        <w:rPr>
          <w:color w:val="161623"/>
        </w:rPr>
        <w:t>a</w:t>
      </w:r>
      <w:r w:rsidRPr="004553D9">
        <w:rPr>
          <w:color w:val="161623"/>
          <w:spacing w:val="17"/>
        </w:rPr>
        <w:t xml:space="preserve"> </w:t>
      </w:r>
      <w:r w:rsidRPr="004553D9">
        <w:rPr>
          <w:color w:val="161623"/>
        </w:rPr>
        <w:t>material</w:t>
      </w:r>
      <w:r w:rsidRPr="004553D9">
        <w:rPr>
          <w:color w:val="161623"/>
          <w:spacing w:val="24"/>
        </w:rPr>
        <w:t xml:space="preserve"> </w:t>
      </w:r>
      <w:r w:rsidRPr="004553D9">
        <w:rPr>
          <w:color w:val="161623"/>
        </w:rPr>
        <w:t>misstatement</w:t>
      </w:r>
      <w:r w:rsidRPr="004553D9">
        <w:rPr>
          <w:color w:val="161623"/>
          <w:spacing w:val="28"/>
        </w:rPr>
        <w:t xml:space="preserve"> </w:t>
      </w:r>
      <w:r w:rsidRPr="004553D9">
        <w:rPr>
          <w:color w:val="161623"/>
        </w:rPr>
        <w:t>resulting</w:t>
      </w:r>
      <w:r w:rsidRPr="004553D9">
        <w:rPr>
          <w:color w:val="161623"/>
          <w:spacing w:val="11"/>
        </w:rPr>
        <w:t xml:space="preserve"> </w:t>
      </w:r>
      <w:r w:rsidRPr="004553D9">
        <w:rPr>
          <w:color w:val="161623"/>
        </w:rPr>
        <w:t>from</w:t>
      </w:r>
      <w:r w:rsidRPr="004553D9">
        <w:rPr>
          <w:color w:val="161623"/>
          <w:spacing w:val="14"/>
        </w:rPr>
        <w:t xml:space="preserve"> </w:t>
      </w:r>
      <w:r w:rsidRPr="004553D9">
        <w:rPr>
          <w:color w:val="161623"/>
        </w:rPr>
        <w:t>fraud</w:t>
      </w:r>
      <w:r w:rsidRPr="004553D9">
        <w:rPr>
          <w:color w:val="161623"/>
          <w:spacing w:val="29"/>
        </w:rPr>
        <w:t xml:space="preserve"> </w:t>
      </w:r>
      <w:r w:rsidRPr="004553D9">
        <w:rPr>
          <w:color w:val="161623"/>
        </w:rPr>
        <w:t>is</w:t>
      </w:r>
      <w:r w:rsidRPr="004553D9">
        <w:rPr>
          <w:color w:val="161623"/>
          <w:spacing w:val="4"/>
        </w:rPr>
        <w:t xml:space="preserve"> </w:t>
      </w:r>
      <w:r w:rsidRPr="004553D9">
        <w:rPr>
          <w:color w:val="161623"/>
        </w:rPr>
        <w:t>higher</w:t>
      </w:r>
      <w:r w:rsidRPr="004553D9">
        <w:rPr>
          <w:color w:val="161623"/>
          <w:spacing w:val="6"/>
        </w:rPr>
        <w:t xml:space="preserve"> </w:t>
      </w:r>
      <w:r w:rsidRPr="004553D9">
        <w:rPr>
          <w:color w:val="161623"/>
        </w:rPr>
        <w:t>than</w:t>
      </w:r>
      <w:r w:rsidRPr="004553D9">
        <w:rPr>
          <w:color w:val="161623"/>
          <w:spacing w:val="12"/>
        </w:rPr>
        <w:t xml:space="preserve"> </w:t>
      </w:r>
      <w:r w:rsidRPr="004553D9">
        <w:rPr>
          <w:color w:val="161623"/>
        </w:rPr>
        <w:t>for</w:t>
      </w:r>
      <w:r w:rsidRPr="004553D9">
        <w:rPr>
          <w:color w:val="161623"/>
          <w:spacing w:val="16"/>
        </w:rPr>
        <w:t xml:space="preserve"> </w:t>
      </w:r>
      <w:r w:rsidRPr="004553D9">
        <w:rPr>
          <w:color w:val="161623"/>
        </w:rPr>
        <w:t>one</w:t>
      </w:r>
      <w:r w:rsidRPr="004553D9">
        <w:rPr>
          <w:color w:val="161623"/>
          <w:w w:val="103"/>
        </w:rPr>
        <w:t xml:space="preserve"> </w:t>
      </w:r>
      <w:r w:rsidRPr="004553D9">
        <w:rPr>
          <w:color w:val="161623"/>
        </w:rPr>
        <w:t>resulting</w:t>
      </w:r>
      <w:r w:rsidRPr="004553D9">
        <w:rPr>
          <w:color w:val="161623"/>
          <w:spacing w:val="13"/>
        </w:rPr>
        <w:t xml:space="preserve"> </w:t>
      </w:r>
      <w:r w:rsidRPr="004553D9">
        <w:rPr>
          <w:color w:val="161623"/>
        </w:rPr>
        <w:t>from</w:t>
      </w:r>
      <w:r w:rsidRPr="004553D9">
        <w:rPr>
          <w:color w:val="161623"/>
          <w:spacing w:val="21"/>
        </w:rPr>
        <w:t xml:space="preserve"> </w:t>
      </w:r>
      <w:r w:rsidRPr="004553D9">
        <w:rPr>
          <w:color w:val="161623"/>
        </w:rPr>
        <w:t>error,</w:t>
      </w:r>
      <w:r w:rsidRPr="004553D9">
        <w:rPr>
          <w:color w:val="161623"/>
          <w:spacing w:val="22"/>
        </w:rPr>
        <w:t xml:space="preserve"> </w:t>
      </w:r>
      <w:r w:rsidRPr="004553D9">
        <w:rPr>
          <w:color w:val="161623"/>
        </w:rPr>
        <w:t>as</w:t>
      </w:r>
      <w:r w:rsidRPr="004553D9">
        <w:rPr>
          <w:color w:val="161623"/>
          <w:spacing w:val="6"/>
        </w:rPr>
        <w:t xml:space="preserve"> </w:t>
      </w:r>
      <w:r w:rsidRPr="004553D9">
        <w:rPr>
          <w:color w:val="161623"/>
        </w:rPr>
        <w:t>fraud</w:t>
      </w:r>
      <w:r w:rsidRPr="004553D9">
        <w:rPr>
          <w:color w:val="161623"/>
          <w:spacing w:val="31"/>
        </w:rPr>
        <w:t xml:space="preserve"> </w:t>
      </w:r>
      <w:r w:rsidRPr="004553D9">
        <w:rPr>
          <w:color w:val="161623"/>
        </w:rPr>
        <w:t>may</w:t>
      </w:r>
      <w:r w:rsidRPr="004553D9">
        <w:rPr>
          <w:color w:val="161623"/>
          <w:spacing w:val="23"/>
        </w:rPr>
        <w:t xml:space="preserve"> </w:t>
      </w:r>
      <w:r w:rsidRPr="004553D9">
        <w:rPr>
          <w:color w:val="161623"/>
        </w:rPr>
        <w:t>involve</w:t>
      </w:r>
      <w:r w:rsidRPr="004553D9">
        <w:rPr>
          <w:color w:val="161623"/>
          <w:spacing w:val="16"/>
        </w:rPr>
        <w:t xml:space="preserve"> </w:t>
      </w:r>
      <w:r w:rsidRPr="004553D9">
        <w:rPr>
          <w:color w:val="161623"/>
        </w:rPr>
        <w:t>collusion,</w:t>
      </w:r>
      <w:r w:rsidRPr="004553D9">
        <w:rPr>
          <w:color w:val="161623"/>
          <w:spacing w:val="16"/>
        </w:rPr>
        <w:t xml:space="preserve"> </w:t>
      </w:r>
      <w:r w:rsidRPr="004553D9">
        <w:rPr>
          <w:color w:val="161623"/>
        </w:rPr>
        <w:t>forgery,</w:t>
      </w:r>
      <w:r w:rsidRPr="004553D9">
        <w:rPr>
          <w:color w:val="161623"/>
          <w:spacing w:val="38"/>
        </w:rPr>
        <w:t xml:space="preserve"> </w:t>
      </w:r>
      <w:r w:rsidRPr="004553D9">
        <w:rPr>
          <w:color w:val="161623"/>
        </w:rPr>
        <w:t>intentional</w:t>
      </w:r>
      <w:r w:rsidRPr="004553D9">
        <w:rPr>
          <w:color w:val="161623"/>
          <w:spacing w:val="18"/>
        </w:rPr>
        <w:t xml:space="preserve"> </w:t>
      </w:r>
      <w:r w:rsidRPr="004553D9">
        <w:rPr>
          <w:color w:val="161623"/>
        </w:rPr>
        <w:t>omissions, misrepresentations,</w:t>
      </w:r>
      <w:r w:rsidRPr="004553D9">
        <w:rPr>
          <w:color w:val="161623"/>
          <w:spacing w:val="44"/>
        </w:rPr>
        <w:t xml:space="preserve"> </w:t>
      </w:r>
      <w:r w:rsidRPr="004553D9">
        <w:rPr>
          <w:color w:val="161623"/>
        </w:rPr>
        <w:t>or</w:t>
      </w:r>
      <w:r w:rsidRPr="004553D9">
        <w:rPr>
          <w:color w:val="161623"/>
          <w:spacing w:val="7"/>
        </w:rPr>
        <w:t xml:space="preserve"> </w:t>
      </w:r>
      <w:r w:rsidRPr="004553D9">
        <w:rPr>
          <w:color w:val="161623"/>
        </w:rPr>
        <w:t>the</w:t>
      </w:r>
      <w:r w:rsidRPr="004553D9">
        <w:rPr>
          <w:color w:val="161623"/>
          <w:spacing w:val="22"/>
        </w:rPr>
        <w:t xml:space="preserve"> </w:t>
      </w:r>
      <w:r w:rsidRPr="004553D9">
        <w:rPr>
          <w:color w:val="161623"/>
        </w:rPr>
        <w:t>override</w:t>
      </w:r>
      <w:r w:rsidRPr="004553D9">
        <w:rPr>
          <w:color w:val="161623"/>
          <w:spacing w:val="23"/>
        </w:rPr>
        <w:t xml:space="preserve"> </w:t>
      </w:r>
      <w:r w:rsidRPr="004553D9">
        <w:rPr>
          <w:color w:val="161623"/>
        </w:rPr>
        <w:t>of</w:t>
      </w:r>
      <w:r w:rsidRPr="004553D9">
        <w:rPr>
          <w:color w:val="161623"/>
          <w:spacing w:val="21"/>
        </w:rPr>
        <w:t xml:space="preserve"> </w:t>
      </w:r>
      <w:r w:rsidRPr="004553D9">
        <w:rPr>
          <w:color w:val="161623"/>
        </w:rPr>
        <w:t>internal</w:t>
      </w:r>
      <w:r w:rsidRPr="004553D9">
        <w:rPr>
          <w:color w:val="161623"/>
          <w:spacing w:val="14"/>
        </w:rPr>
        <w:t xml:space="preserve"> </w:t>
      </w:r>
      <w:r w:rsidRPr="004553D9">
        <w:rPr>
          <w:color w:val="161623"/>
        </w:rPr>
        <w:t>control.</w:t>
      </w:r>
      <w:r>
        <w:rPr>
          <w:color w:val="161623"/>
        </w:rPr>
        <w:br/>
      </w:r>
    </w:p>
    <w:p w14:paraId="5BE72880" w14:textId="59191C91" w:rsidR="004553D9" w:rsidRDefault="004553D9" w:rsidP="00026A6F">
      <w:pPr>
        <w:pStyle w:val="ListParagraph"/>
        <w:numPr>
          <w:ilvl w:val="0"/>
          <w:numId w:val="49"/>
        </w:numPr>
        <w:spacing w:after="240" w:line="276" w:lineRule="auto"/>
        <w:ind w:left="714" w:hanging="357"/>
      </w:pPr>
      <w:r w:rsidRPr="004553D9">
        <w:rPr>
          <w:color w:val="161623"/>
        </w:rPr>
        <w:t>Obtain</w:t>
      </w:r>
      <w:r w:rsidRPr="004553D9">
        <w:rPr>
          <w:color w:val="161623"/>
          <w:spacing w:val="21"/>
        </w:rPr>
        <w:t xml:space="preserve"> </w:t>
      </w:r>
      <w:r w:rsidRPr="004553D9">
        <w:rPr>
          <w:color w:val="161623"/>
        </w:rPr>
        <w:t>an</w:t>
      </w:r>
      <w:r w:rsidRPr="004553D9">
        <w:rPr>
          <w:color w:val="161623"/>
          <w:spacing w:val="19"/>
        </w:rPr>
        <w:t xml:space="preserve"> </w:t>
      </w:r>
      <w:r w:rsidRPr="004553D9">
        <w:rPr>
          <w:color w:val="161623"/>
        </w:rPr>
        <w:t>understanding</w:t>
      </w:r>
      <w:r w:rsidRPr="004553D9">
        <w:rPr>
          <w:color w:val="161623"/>
          <w:spacing w:val="36"/>
        </w:rPr>
        <w:t xml:space="preserve"> </w:t>
      </w:r>
      <w:r w:rsidRPr="004553D9">
        <w:rPr>
          <w:color w:val="161623"/>
        </w:rPr>
        <w:t>of</w:t>
      </w:r>
      <w:r w:rsidRPr="004553D9">
        <w:rPr>
          <w:color w:val="161623"/>
          <w:spacing w:val="16"/>
        </w:rPr>
        <w:t xml:space="preserve"> </w:t>
      </w:r>
      <w:r w:rsidRPr="004553D9">
        <w:rPr>
          <w:color w:val="161623"/>
        </w:rPr>
        <w:t>internal</w:t>
      </w:r>
      <w:r w:rsidRPr="004553D9">
        <w:rPr>
          <w:color w:val="161623"/>
          <w:spacing w:val="15"/>
        </w:rPr>
        <w:t xml:space="preserve"> </w:t>
      </w:r>
      <w:r w:rsidRPr="004553D9">
        <w:rPr>
          <w:color w:val="161623"/>
        </w:rPr>
        <w:t>control</w:t>
      </w:r>
      <w:r w:rsidRPr="004553D9">
        <w:rPr>
          <w:color w:val="161623"/>
          <w:spacing w:val="20"/>
        </w:rPr>
        <w:t xml:space="preserve"> </w:t>
      </w:r>
      <w:r w:rsidRPr="004553D9">
        <w:rPr>
          <w:color w:val="161623"/>
        </w:rPr>
        <w:t>relevant</w:t>
      </w:r>
      <w:r w:rsidRPr="004553D9">
        <w:rPr>
          <w:color w:val="161623"/>
          <w:spacing w:val="3"/>
        </w:rPr>
        <w:t xml:space="preserve"> </w:t>
      </w:r>
      <w:r w:rsidRPr="004553D9">
        <w:rPr>
          <w:color w:val="161623"/>
        </w:rPr>
        <w:t>to</w:t>
      </w:r>
      <w:r w:rsidRPr="004553D9">
        <w:rPr>
          <w:color w:val="161623"/>
          <w:spacing w:val="8"/>
        </w:rPr>
        <w:t xml:space="preserve"> </w:t>
      </w:r>
      <w:r w:rsidRPr="004553D9">
        <w:rPr>
          <w:color w:val="161623"/>
        </w:rPr>
        <w:t>the</w:t>
      </w:r>
      <w:r w:rsidRPr="004553D9">
        <w:rPr>
          <w:color w:val="161623"/>
          <w:spacing w:val="22"/>
        </w:rPr>
        <w:t xml:space="preserve"> </w:t>
      </w:r>
      <w:r w:rsidRPr="004553D9">
        <w:rPr>
          <w:color w:val="161623"/>
        </w:rPr>
        <w:t>audit</w:t>
      </w:r>
      <w:r w:rsidRPr="004553D9">
        <w:rPr>
          <w:color w:val="161623"/>
          <w:spacing w:val="19"/>
        </w:rPr>
        <w:t xml:space="preserve"> </w:t>
      </w:r>
      <w:r w:rsidRPr="004553D9">
        <w:rPr>
          <w:color w:val="161623"/>
        </w:rPr>
        <w:t>in</w:t>
      </w:r>
      <w:r w:rsidRPr="004553D9">
        <w:rPr>
          <w:color w:val="161623"/>
          <w:spacing w:val="5"/>
        </w:rPr>
        <w:t xml:space="preserve"> </w:t>
      </w:r>
      <w:r w:rsidRPr="004553D9">
        <w:rPr>
          <w:color w:val="161623"/>
        </w:rPr>
        <w:t>order</w:t>
      </w:r>
      <w:r w:rsidRPr="004553D9">
        <w:rPr>
          <w:color w:val="161623"/>
          <w:spacing w:val="12"/>
        </w:rPr>
        <w:t xml:space="preserve"> </w:t>
      </w:r>
      <w:r w:rsidRPr="004553D9">
        <w:rPr>
          <w:color w:val="161623"/>
        </w:rPr>
        <w:t>to</w:t>
      </w:r>
      <w:r w:rsidRPr="004553D9">
        <w:rPr>
          <w:color w:val="161623"/>
          <w:spacing w:val="19"/>
        </w:rPr>
        <w:t xml:space="preserve"> </w:t>
      </w:r>
      <w:r w:rsidRPr="004553D9">
        <w:rPr>
          <w:color w:val="161623"/>
        </w:rPr>
        <w:t>design</w:t>
      </w:r>
      <w:r w:rsidRPr="004553D9">
        <w:rPr>
          <w:color w:val="161623"/>
          <w:spacing w:val="16"/>
        </w:rPr>
        <w:t xml:space="preserve"> </w:t>
      </w:r>
      <w:r w:rsidRPr="004553D9">
        <w:rPr>
          <w:color w:val="161623"/>
        </w:rPr>
        <w:t>audit</w:t>
      </w:r>
      <w:r w:rsidRPr="004553D9">
        <w:rPr>
          <w:color w:val="161623"/>
          <w:w w:val="99"/>
        </w:rPr>
        <w:t xml:space="preserve"> </w:t>
      </w:r>
      <w:r w:rsidRPr="004553D9">
        <w:rPr>
          <w:color w:val="161623"/>
        </w:rPr>
        <w:t>procedures</w:t>
      </w:r>
      <w:r w:rsidRPr="004553D9">
        <w:rPr>
          <w:color w:val="161623"/>
          <w:spacing w:val="21"/>
        </w:rPr>
        <w:t xml:space="preserve"> </w:t>
      </w:r>
      <w:r w:rsidRPr="004553D9">
        <w:rPr>
          <w:color w:val="161623"/>
        </w:rPr>
        <w:t>that</w:t>
      </w:r>
      <w:r w:rsidRPr="004553D9">
        <w:rPr>
          <w:color w:val="161623"/>
          <w:spacing w:val="27"/>
        </w:rPr>
        <w:t xml:space="preserve"> </w:t>
      </w:r>
      <w:r w:rsidRPr="004553D9">
        <w:rPr>
          <w:color w:val="161623"/>
        </w:rPr>
        <w:t>are</w:t>
      </w:r>
      <w:r w:rsidRPr="004553D9">
        <w:rPr>
          <w:color w:val="161623"/>
          <w:spacing w:val="13"/>
        </w:rPr>
        <w:t xml:space="preserve"> </w:t>
      </w:r>
      <w:r w:rsidRPr="004553D9">
        <w:rPr>
          <w:color w:val="161623"/>
        </w:rPr>
        <w:t>appropriate</w:t>
      </w:r>
      <w:r w:rsidRPr="004553D9">
        <w:rPr>
          <w:color w:val="161623"/>
          <w:spacing w:val="36"/>
        </w:rPr>
        <w:t xml:space="preserve"> </w:t>
      </w:r>
      <w:r w:rsidRPr="004553D9">
        <w:rPr>
          <w:color w:val="161623"/>
        </w:rPr>
        <w:t>in</w:t>
      </w:r>
      <w:r w:rsidRPr="004553D9">
        <w:rPr>
          <w:color w:val="161623"/>
          <w:spacing w:val="1"/>
        </w:rPr>
        <w:t xml:space="preserve"> </w:t>
      </w:r>
      <w:r w:rsidRPr="004553D9">
        <w:rPr>
          <w:color w:val="161623"/>
        </w:rPr>
        <w:t>the</w:t>
      </w:r>
      <w:r w:rsidRPr="004553D9">
        <w:rPr>
          <w:color w:val="161623"/>
          <w:spacing w:val="22"/>
        </w:rPr>
        <w:t xml:space="preserve"> </w:t>
      </w:r>
      <w:r w:rsidRPr="004553D9">
        <w:rPr>
          <w:color w:val="161623"/>
        </w:rPr>
        <w:t>circumstances,</w:t>
      </w:r>
      <w:r w:rsidRPr="004553D9">
        <w:rPr>
          <w:color w:val="161623"/>
          <w:spacing w:val="41"/>
        </w:rPr>
        <w:t xml:space="preserve"> </w:t>
      </w:r>
      <w:r w:rsidRPr="004553D9">
        <w:rPr>
          <w:color w:val="161623"/>
        </w:rPr>
        <w:t>but</w:t>
      </w:r>
      <w:r w:rsidRPr="004553D9">
        <w:rPr>
          <w:color w:val="161623"/>
          <w:spacing w:val="12"/>
        </w:rPr>
        <w:t xml:space="preserve"> </w:t>
      </w:r>
      <w:r w:rsidRPr="004553D9">
        <w:rPr>
          <w:color w:val="161623"/>
        </w:rPr>
        <w:t>not</w:t>
      </w:r>
      <w:r w:rsidRPr="004553D9">
        <w:rPr>
          <w:color w:val="161623"/>
          <w:spacing w:val="2"/>
        </w:rPr>
        <w:t xml:space="preserve"> </w:t>
      </w:r>
      <w:r w:rsidRPr="004553D9">
        <w:rPr>
          <w:color w:val="161623"/>
        </w:rPr>
        <w:t>for</w:t>
      </w:r>
      <w:r w:rsidRPr="004553D9">
        <w:rPr>
          <w:color w:val="161623"/>
          <w:spacing w:val="14"/>
        </w:rPr>
        <w:t xml:space="preserve"> </w:t>
      </w:r>
      <w:r w:rsidRPr="004553D9">
        <w:rPr>
          <w:color w:val="161623"/>
        </w:rPr>
        <w:t>the</w:t>
      </w:r>
      <w:r w:rsidRPr="004553D9">
        <w:rPr>
          <w:color w:val="161623"/>
          <w:spacing w:val="29"/>
        </w:rPr>
        <w:t xml:space="preserve"> </w:t>
      </w:r>
      <w:r w:rsidRPr="004553D9">
        <w:rPr>
          <w:color w:val="161623"/>
        </w:rPr>
        <w:t>purpose</w:t>
      </w:r>
      <w:r w:rsidRPr="004553D9">
        <w:rPr>
          <w:color w:val="161623"/>
          <w:spacing w:val="14"/>
        </w:rPr>
        <w:t xml:space="preserve"> </w:t>
      </w:r>
      <w:r w:rsidRPr="004553D9">
        <w:rPr>
          <w:color w:val="161623"/>
        </w:rPr>
        <w:t>of</w:t>
      </w:r>
      <w:r w:rsidRPr="004553D9">
        <w:rPr>
          <w:color w:val="161623"/>
          <w:spacing w:val="13"/>
        </w:rPr>
        <w:t xml:space="preserve"> </w:t>
      </w:r>
      <w:r w:rsidRPr="004553D9">
        <w:rPr>
          <w:color w:val="161623"/>
        </w:rPr>
        <w:t>expressing</w:t>
      </w:r>
      <w:r w:rsidRPr="004553D9">
        <w:rPr>
          <w:color w:val="161623"/>
          <w:w w:val="101"/>
        </w:rPr>
        <w:t xml:space="preserve"> </w:t>
      </w:r>
      <w:r w:rsidRPr="004553D9">
        <w:rPr>
          <w:color w:val="161623"/>
        </w:rPr>
        <w:t>an</w:t>
      </w:r>
      <w:r w:rsidRPr="004553D9">
        <w:rPr>
          <w:color w:val="161623"/>
          <w:spacing w:val="11"/>
        </w:rPr>
        <w:t xml:space="preserve"> </w:t>
      </w:r>
      <w:r w:rsidRPr="004553D9">
        <w:rPr>
          <w:color w:val="161623"/>
        </w:rPr>
        <w:t>opinion</w:t>
      </w:r>
      <w:r w:rsidRPr="004553D9">
        <w:rPr>
          <w:color w:val="161623"/>
          <w:spacing w:val="30"/>
        </w:rPr>
        <w:t xml:space="preserve"> </w:t>
      </w:r>
      <w:r w:rsidRPr="004553D9">
        <w:rPr>
          <w:color w:val="161623"/>
        </w:rPr>
        <w:t>on</w:t>
      </w:r>
      <w:r w:rsidRPr="004553D9">
        <w:rPr>
          <w:color w:val="161623"/>
          <w:spacing w:val="12"/>
        </w:rPr>
        <w:t xml:space="preserve"> </w:t>
      </w:r>
      <w:r w:rsidRPr="004553D9">
        <w:rPr>
          <w:color w:val="161623"/>
        </w:rPr>
        <w:t>the</w:t>
      </w:r>
      <w:r w:rsidRPr="004553D9">
        <w:rPr>
          <w:color w:val="161623"/>
          <w:spacing w:val="17"/>
        </w:rPr>
        <w:t xml:space="preserve"> </w:t>
      </w:r>
      <w:r w:rsidRPr="004553D9">
        <w:rPr>
          <w:color w:val="161623"/>
        </w:rPr>
        <w:t>effectiveness</w:t>
      </w:r>
      <w:r w:rsidRPr="004553D9">
        <w:rPr>
          <w:color w:val="161623"/>
          <w:spacing w:val="35"/>
        </w:rPr>
        <w:t xml:space="preserve"> </w:t>
      </w:r>
      <w:r w:rsidRPr="004553D9">
        <w:rPr>
          <w:color w:val="161623"/>
        </w:rPr>
        <w:t>of</w:t>
      </w:r>
      <w:r w:rsidRPr="004553D9">
        <w:rPr>
          <w:color w:val="161623"/>
          <w:spacing w:val="2"/>
        </w:rPr>
        <w:t xml:space="preserve"> </w:t>
      </w:r>
      <w:r w:rsidRPr="004553D9">
        <w:rPr>
          <w:color w:val="161623"/>
        </w:rPr>
        <w:t>the</w:t>
      </w:r>
      <w:r w:rsidRPr="004553D9">
        <w:rPr>
          <w:color w:val="161623"/>
          <w:spacing w:val="20"/>
        </w:rPr>
        <w:t xml:space="preserve"> </w:t>
      </w:r>
      <w:r w:rsidRPr="004553D9">
        <w:rPr>
          <w:color w:val="161623"/>
        </w:rPr>
        <w:t>agency</w:t>
      </w:r>
      <w:r w:rsidRPr="004553D9">
        <w:rPr>
          <w:color w:val="31313A"/>
          <w:spacing w:val="2"/>
        </w:rPr>
        <w:t>'</w:t>
      </w:r>
      <w:r w:rsidRPr="004553D9">
        <w:rPr>
          <w:color w:val="161623"/>
        </w:rPr>
        <w:t>s</w:t>
      </w:r>
      <w:r w:rsidRPr="004553D9">
        <w:rPr>
          <w:color w:val="161623"/>
          <w:spacing w:val="25"/>
        </w:rPr>
        <w:t xml:space="preserve"> </w:t>
      </w:r>
      <w:r w:rsidRPr="004553D9">
        <w:rPr>
          <w:color w:val="161623"/>
        </w:rPr>
        <w:t>internal</w:t>
      </w:r>
      <w:r w:rsidRPr="004553D9">
        <w:rPr>
          <w:color w:val="161623"/>
          <w:spacing w:val="15"/>
        </w:rPr>
        <w:t xml:space="preserve"> </w:t>
      </w:r>
      <w:r w:rsidRPr="004553D9">
        <w:rPr>
          <w:color w:val="161623"/>
        </w:rPr>
        <w:t>control.</w:t>
      </w:r>
      <w:r>
        <w:rPr>
          <w:color w:val="161623"/>
        </w:rPr>
        <w:br/>
      </w:r>
    </w:p>
    <w:p w14:paraId="7762527C" w14:textId="15BE8A94" w:rsidR="004553D9" w:rsidRDefault="004553D9" w:rsidP="00026A6F">
      <w:pPr>
        <w:pStyle w:val="ListParagraph"/>
        <w:numPr>
          <w:ilvl w:val="0"/>
          <w:numId w:val="49"/>
        </w:numPr>
        <w:spacing w:after="240" w:line="276" w:lineRule="auto"/>
        <w:ind w:left="714" w:hanging="357"/>
      </w:pPr>
      <w:r w:rsidRPr="004553D9">
        <w:rPr>
          <w:color w:val="161623"/>
        </w:rPr>
        <w:t>Evaluate</w:t>
      </w:r>
      <w:r w:rsidRPr="004553D9">
        <w:rPr>
          <w:color w:val="161623"/>
          <w:spacing w:val="8"/>
        </w:rPr>
        <w:t xml:space="preserve"> </w:t>
      </w:r>
      <w:r w:rsidRPr="004553D9">
        <w:rPr>
          <w:color w:val="161623"/>
        </w:rPr>
        <w:t>the</w:t>
      </w:r>
      <w:r w:rsidRPr="004553D9">
        <w:rPr>
          <w:color w:val="161623"/>
          <w:spacing w:val="20"/>
        </w:rPr>
        <w:t xml:space="preserve"> </w:t>
      </w:r>
      <w:r w:rsidRPr="004553D9">
        <w:rPr>
          <w:color w:val="161623"/>
        </w:rPr>
        <w:t>appropriateness</w:t>
      </w:r>
      <w:r w:rsidRPr="004553D9">
        <w:rPr>
          <w:color w:val="161623"/>
          <w:spacing w:val="52"/>
        </w:rPr>
        <w:t xml:space="preserve"> </w:t>
      </w:r>
      <w:r w:rsidRPr="004553D9">
        <w:rPr>
          <w:color w:val="161623"/>
        </w:rPr>
        <w:t>of</w:t>
      </w:r>
      <w:r w:rsidRPr="004553D9">
        <w:rPr>
          <w:color w:val="161623"/>
          <w:spacing w:val="13"/>
        </w:rPr>
        <w:t xml:space="preserve"> </w:t>
      </w:r>
      <w:r w:rsidRPr="004553D9">
        <w:rPr>
          <w:color w:val="161623"/>
        </w:rPr>
        <w:t>accounting</w:t>
      </w:r>
      <w:r w:rsidRPr="004553D9">
        <w:rPr>
          <w:color w:val="161623"/>
          <w:spacing w:val="36"/>
        </w:rPr>
        <w:t xml:space="preserve"> </w:t>
      </w:r>
      <w:r w:rsidRPr="004553D9">
        <w:rPr>
          <w:color w:val="161623"/>
        </w:rPr>
        <w:t>policies</w:t>
      </w:r>
      <w:r w:rsidRPr="004553D9">
        <w:rPr>
          <w:color w:val="161623"/>
          <w:spacing w:val="21"/>
        </w:rPr>
        <w:t xml:space="preserve"> </w:t>
      </w:r>
      <w:r w:rsidRPr="004553D9">
        <w:rPr>
          <w:color w:val="161623"/>
        </w:rPr>
        <w:t>used</w:t>
      </w:r>
      <w:r w:rsidRPr="004553D9">
        <w:rPr>
          <w:color w:val="161623"/>
          <w:spacing w:val="16"/>
        </w:rPr>
        <w:t xml:space="preserve"> </w:t>
      </w:r>
      <w:r w:rsidRPr="004553D9">
        <w:rPr>
          <w:color w:val="161623"/>
        </w:rPr>
        <w:t>and</w:t>
      </w:r>
      <w:r w:rsidRPr="004553D9">
        <w:rPr>
          <w:color w:val="161623"/>
          <w:spacing w:val="8"/>
        </w:rPr>
        <w:t xml:space="preserve"> </w:t>
      </w:r>
      <w:r w:rsidRPr="004553D9">
        <w:rPr>
          <w:color w:val="161623"/>
        </w:rPr>
        <w:t>the</w:t>
      </w:r>
      <w:r w:rsidRPr="004553D9">
        <w:rPr>
          <w:color w:val="161623"/>
          <w:spacing w:val="32"/>
        </w:rPr>
        <w:t xml:space="preserve"> </w:t>
      </w:r>
      <w:r w:rsidRPr="004553D9">
        <w:rPr>
          <w:color w:val="161623"/>
        </w:rPr>
        <w:t>reasonableness</w:t>
      </w:r>
      <w:r w:rsidRPr="004553D9">
        <w:rPr>
          <w:color w:val="161623"/>
          <w:spacing w:val="34"/>
        </w:rPr>
        <w:t xml:space="preserve"> </w:t>
      </w:r>
      <w:r w:rsidRPr="004553D9">
        <w:rPr>
          <w:color w:val="161623"/>
        </w:rPr>
        <w:t>of</w:t>
      </w:r>
      <w:r w:rsidRPr="004553D9">
        <w:rPr>
          <w:color w:val="161623"/>
          <w:w w:val="102"/>
        </w:rPr>
        <w:t xml:space="preserve"> </w:t>
      </w:r>
      <w:r w:rsidRPr="004553D9">
        <w:rPr>
          <w:color w:val="161623"/>
        </w:rPr>
        <w:t>accounting</w:t>
      </w:r>
      <w:r w:rsidRPr="004553D9">
        <w:rPr>
          <w:color w:val="161623"/>
          <w:spacing w:val="29"/>
        </w:rPr>
        <w:t xml:space="preserve"> </w:t>
      </w:r>
      <w:r w:rsidRPr="004553D9">
        <w:rPr>
          <w:color w:val="161623"/>
        </w:rPr>
        <w:t>estimates</w:t>
      </w:r>
      <w:r w:rsidRPr="004553D9">
        <w:rPr>
          <w:color w:val="161623"/>
          <w:spacing w:val="31"/>
        </w:rPr>
        <w:t xml:space="preserve"> </w:t>
      </w:r>
      <w:r w:rsidRPr="004553D9">
        <w:rPr>
          <w:color w:val="161623"/>
        </w:rPr>
        <w:t>and</w:t>
      </w:r>
      <w:r w:rsidRPr="004553D9">
        <w:rPr>
          <w:color w:val="161623"/>
          <w:spacing w:val="25"/>
        </w:rPr>
        <w:t xml:space="preserve"> </w:t>
      </w:r>
      <w:r w:rsidRPr="004553D9">
        <w:rPr>
          <w:color w:val="161623"/>
        </w:rPr>
        <w:t>related</w:t>
      </w:r>
      <w:r w:rsidRPr="004553D9">
        <w:rPr>
          <w:color w:val="161623"/>
          <w:spacing w:val="19"/>
        </w:rPr>
        <w:t xml:space="preserve"> </w:t>
      </w:r>
      <w:r w:rsidRPr="004553D9">
        <w:rPr>
          <w:color w:val="161623"/>
        </w:rPr>
        <w:t>disclosures</w:t>
      </w:r>
      <w:r w:rsidRPr="004553D9">
        <w:rPr>
          <w:color w:val="161623"/>
          <w:spacing w:val="40"/>
        </w:rPr>
        <w:t xml:space="preserve"> </w:t>
      </w:r>
      <w:r w:rsidRPr="004553D9">
        <w:rPr>
          <w:color w:val="161623"/>
        </w:rPr>
        <w:t>made</w:t>
      </w:r>
      <w:r w:rsidRPr="004553D9">
        <w:rPr>
          <w:color w:val="161623"/>
          <w:spacing w:val="24"/>
        </w:rPr>
        <w:t xml:space="preserve"> </w:t>
      </w:r>
      <w:r w:rsidRPr="004553D9">
        <w:rPr>
          <w:color w:val="161623"/>
        </w:rPr>
        <w:t>by</w:t>
      </w:r>
      <w:r w:rsidRPr="004553D9">
        <w:rPr>
          <w:color w:val="161623"/>
          <w:spacing w:val="11"/>
        </w:rPr>
        <w:t xml:space="preserve"> </w:t>
      </w:r>
      <w:r w:rsidRPr="004553D9">
        <w:rPr>
          <w:color w:val="161623"/>
        </w:rPr>
        <w:t>the</w:t>
      </w:r>
      <w:r w:rsidRPr="004553D9">
        <w:rPr>
          <w:color w:val="161623"/>
          <w:spacing w:val="13"/>
        </w:rPr>
        <w:t xml:space="preserve"> </w:t>
      </w:r>
      <w:r w:rsidRPr="004553D9">
        <w:rPr>
          <w:color w:val="161623"/>
        </w:rPr>
        <w:t>Authority</w:t>
      </w:r>
      <w:r w:rsidRPr="004553D9">
        <w:rPr>
          <w:color w:val="4F4F52"/>
        </w:rPr>
        <w:t>.</w:t>
      </w:r>
      <w:r>
        <w:rPr>
          <w:color w:val="4F4F52"/>
        </w:rPr>
        <w:br/>
      </w:r>
    </w:p>
    <w:p w14:paraId="6E510CB0" w14:textId="75E50059" w:rsidR="004553D9" w:rsidRDefault="004553D9" w:rsidP="00026A6F">
      <w:pPr>
        <w:pStyle w:val="ListParagraph"/>
        <w:numPr>
          <w:ilvl w:val="0"/>
          <w:numId w:val="49"/>
        </w:numPr>
        <w:spacing w:after="240" w:line="276" w:lineRule="auto"/>
        <w:ind w:left="714" w:hanging="357"/>
      </w:pPr>
      <w:r w:rsidRPr="004553D9">
        <w:rPr>
          <w:color w:val="161623"/>
        </w:rPr>
        <w:t>Conclude</w:t>
      </w:r>
      <w:r w:rsidRPr="004553D9">
        <w:rPr>
          <w:color w:val="161623"/>
          <w:spacing w:val="21"/>
        </w:rPr>
        <w:t xml:space="preserve"> </w:t>
      </w:r>
      <w:r w:rsidRPr="004553D9">
        <w:rPr>
          <w:color w:val="161623"/>
        </w:rPr>
        <w:t>on</w:t>
      </w:r>
      <w:r w:rsidRPr="004553D9">
        <w:rPr>
          <w:color w:val="161623"/>
          <w:spacing w:val="6"/>
        </w:rPr>
        <w:t xml:space="preserve"> </w:t>
      </w:r>
      <w:r w:rsidRPr="004553D9">
        <w:rPr>
          <w:color w:val="161623"/>
        </w:rPr>
        <w:t>the</w:t>
      </w:r>
      <w:r w:rsidRPr="004553D9">
        <w:rPr>
          <w:color w:val="161623"/>
          <w:spacing w:val="20"/>
        </w:rPr>
        <w:t xml:space="preserve"> </w:t>
      </w:r>
      <w:r w:rsidRPr="004553D9">
        <w:rPr>
          <w:color w:val="161623"/>
        </w:rPr>
        <w:t>appropriateness</w:t>
      </w:r>
      <w:r w:rsidRPr="004553D9">
        <w:rPr>
          <w:color w:val="161623"/>
          <w:spacing w:val="47"/>
        </w:rPr>
        <w:t xml:space="preserve"> </w:t>
      </w:r>
      <w:r w:rsidRPr="004553D9">
        <w:rPr>
          <w:color w:val="161623"/>
        </w:rPr>
        <w:t>of</w:t>
      </w:r>
      <w:r w:rsidRPr="004553D9">
        <w:rPr>
          <w:color w:val="161623"/>
          <w:spacing w:val="4"/>
        </w:rPr>
        <w:t xml:space="preserve"> </w:t>
      </w:r>
      <w:r w:rsidRPr="004553D9">
        <w:rPr>
          <w:color w:val="161623"/>
        </w:rPr>
        <w:t>the</w:t>
      </w:r>
      <w:r w:rsidRPr="004553D9">
        <w:rPr>
          <w:color w:val="161623"/>
          <w:spacing w:val="9"/>
        </w:rPr>
        <w:t xml:space="preserve"> </w:t>
      </w:r>
      <w:r w:rsidRPr="004553D9">
        <w:rPr>
          <w:color w:val="161623"/>
        </w:rPr>
        <w:t>Authority's</w:t>
      </w:r>
      <w:r w:rsidRPr="004553D9">
        <w:rPr>
          <w:color w:val="161623"/>
          <w:spacing w:val="45"/>
        </w:rPr>
        <w:t xml:space="preserve"> </w:t>
      </w:r>
      <w:r w:rsidRPr="004553D9">
        <w:rPr>
          <w:color w:val="161623"/>
        </w:rPr>
        <w:t>use</w:t>
      </w:r>
      <w:r w:rsidRPr="004553D9">
        <w:rPr>
          <w:color w:val="161623"/>
          <w:spacing w:val="14"/>
        </w:rPr>
        <w:t xml:space="preserve"> </w:t>
      </w:r>
      <w:r w:rsidRPr="004553D9">
        <w:rPr>
          <w:color w:val="161623"/>
        </w:rPr>
        <w:t>of</w:t>
      </w:r>
      <w:r w:rsidRPr="004553D9">
        <w:rPr>
          <w:color w:val="161623"/>
          <w:spacing w:val="7"/>
        </w:rPr>
        <w:t xml:space="preserve"> </w:t>
      </w:r>
      <w:r w:rsidRPr="004553D9">
        <w:rPr>
          <w:color w:val="161623"/>
        </w:rPr>
        <w:t>the</w:t>
      </w:r>
      <w:r w:rsidRPr="004553D9">
        <w:rPr>
          <w:color w:val="161623"/>
          <w:spacing w:val="21"/>
        </w:rPr>
        <w:t xml:space="preserve"> </w:t>
      </w:r>
      <w:r w:rsidRPr="004553D9">
        <w:rPr>
          <w:color w:val="161623"/>
        </w:rPr>
        <w:t>going</w:t>
      </w:r>
      <w:r w:rsidRPr="004553D9">
        <w:rPr>
          <w:color w:val="161623"/>
          <w:spacing w:val="27"/>
        </w:rPr>
        <w:t xml:space="preserve"> </w:t>
      </w:r>
      <w:r w:rsidRPr="004553D9">
        <w:rPr>
          <w:color w:val="161623"/>
        </w:rPr>
        <w:t>concern</w:t>
      </w:r>
      <w:r w:rsidRPr="004553D9">
        <w:rPr>
          <w:color w:val="161623"/>
          <w:spacing w:val="29"/>
        </w:rPr>
        <w:t xml:space="preserve"> </w:t>
      </w:r>
      <w:r w:rsidRPr="004553D9">
        <w:rPr>
          <w:color w:val="161623"/>
        </w:rPr>
        <w:t>basis</w:t>
      </w:r>
      <w:r w:rsidRPr="004553D9">
        <w:rPr>
          <w:color w:val="161623"/>
          <w:spacing w:val="10"/>
        </w:rPr>
        <w:t xml:space="preserve"> </w:t>
      </w:r>
      <w:r w:rsidRPr="004553D9">
        <w:rPr>
          <w:color w:val="161623"/>
        </w:rPr>
        <w:t>of</w:t>
      </w:r>
      <w:r w:rsidRPr="004553D9">
        <w:rPr>
          <w:color w:val="161623"/>
          <w:w w:val="105"/>
        </w:rPr>
        <w:t xml:space="preserve"> </w:t>
      </w:r>
      <w:r w:rsidRPr="004553D9">
        <w:rPr>
          <w:color w:val="161623"/>
        </w:rPr>
        <w:t>accounting</w:t>
      </w:r>
      <w:r w:rsidRPr="004553D9">
        <w:rPr>
          <w:color w:val="161623"/>
          <w:spacing w:val="36"/>
        </w:rPr>
        <w:t xml:space="preserve"> </w:t>
      </w:r>
      <w:r w:rsidRPr="004553D9">
        <w:rPr>
          <w:color w:val="161623"/>
        </w:rPr>
        <w:t>an</w:t>
      </w:r>
      <w:r w:rsidRPr="004553D9">
        <w:rPr>
          <w:color w:val="161623"/>
          <w:spacing w:val="15"/>
        </w:rPr>
        <w:t>d</w:t>
      </w:r>
      <w:r w:rsidRPr="004553D9">
        <w:rPr>
          <w:color w:val="31313A"/>
        </w:rPr>
        <w:t xml:space="preserve">, </w:t>
      </w:r>
      <w:r w:rsidRPr="004553D9">
        <w:rPr>
          <w:color w:val="161623"/>
        </w:rPr>
        <w:t>based</w:t>
      </w:r>
      <w:r w:rsidRPr="004553D9">
        <w:rPr>
          <w:color w:val="161623"/>
          <w:spacing w:val="16"/>
        </w:rPr>
        <w:t xml:space="preserve"> </w:t>
      </w:r>
      <w:r w:rsidRPr="004553D9">
        <w:rPr>
          <w:color w:val="161623"/>
        </w:rPr>
        <w:t>on</w:t>
      </w:r>
      <w:r w:rsidRPr="004553D9">
        <w:rPr>
          <w:color w:val="161623"/>
          <w:spacing w:val="1"/>
        </w:rPr>
        <w:t xml:space="preserve"> </w:t>
      </w:r>
      <w:r w:rsidRPr="004553D9">
        <w:rPr>
          <w:color w:val="161623"/>
        </w:rPr>
        <w:t>the</w:t>
      </w:r>
      <w:r w:rsidRPr="004553D9">
        <w:rPr>
          <w:color w:val="161623"/>
          <w:spacing w:val="19"/>
        </w:rPr>
        <w:t xml:space="preserve"> </w:t>
      </w:r>
      <w:r w:rsidRPr="004553D9">
        <w:rPr>
          <w:color w:val="161623"/>
        </w:rPr>
        <w:t>audit</w:t>
      </w:r>
      <w:r w:rsidRPr="004553D9">
        <w:rPr>
          <w:color w:val="161623"/>
          <w:spacing w:val="22"/>
        </w:rPr>
        <w:t xml:space="preserve"> </w:t>
      </w:r>
      <w:r w:rsidRPr="004553D9">
        <w:rPr>
          <w:color w:val="161623"/>
        </w:rPr>
        <w:t>evidence</w:t>
      </w:r>
      <w:r w:rsidRPr="004553D9">
        <w:rPr>
          <w:color w:val="161623"/>
          <w:spacing w:val="29"/>
        </w:rPr>
        <w:t xml:space="preserve"> </w:t>
      </w:r>
      <w:r w:rsidRPr="004553D9">
        <w:rPr>
          <w:color w:val="161623"/>
        </w:rPr>
        <w:t>obtained,</w:t>
      </w:r>
      <w:r w:rsidRPr="004553D9">
        <w:rPr>
          <w:color w:val="161623"/>
          <w:spacing w:val="20"/>
        </w:rPr>
        <w:t xml:space="preserve"> </w:t>
      </w:r>
      <w:r w:rsidRPr="004553D9">
        <w:rPr>
          <w:color w:val="161623"/>
        </w:rPr>
        <w:t>whether</w:t>
      </w:r>
      <w:r w:rsidRPr="004553D9">
        <w:rPr>
          <w:color w:val="161623"/>
          <w:spacing w:val="33"/>
        </w:rPr>
        <w:t xml:space="preserve"> </w:t>
      </w:r>
      <w:r w:rsidRPr="004553D9">
        <w:rPr>
          <w:color w:val="161623"/>
        </w:rPr>
        <w:t>a</w:t>
      </w:r>
      <w:r w:rsidRPr="004553D9">
        <w:rPr>
          <w:color w:val="161623"/>
          <w:spacing w:val="15"/>
        </w:rPr>
        <w:t xml:space="preserve"> </w:t>
      </w:r>
      <w:r w:rsidRPr="004553D9">
        <w:rPr>
          <w:color w:val="161623"/>
        </w:rPr>
        <w:t>material</w:t>
      </w:r>
      <w:r w:rsidRPr="004553D9">
        <w:rPr>
          <w:color w:val="161623"/>
          <w:spacing w:val="27"/>
        </w:rPr>
        <w:t xml:space="preserve"> </w:t>
      </w:r>
      <w:r w:rsidRPr="004553D9">
        <w:rPr>
          <w:color w:val="161623"/>
        </w:rPr>
        <w:t>uncertainty</w:t>
      </w:r>
      <w:r w:rsidRPr="004553D9">
        <w:rPr>
          <w:color w:val="161623"/>
          <w:spacing w:val="18"/>
        </w:rPr>
        <w:t xml:space="preserve"> </w:t>
      </w:r>
      <w:r w:rsidRPr="004553D9">
        <w:rPr>
          <w:color w:val="161623"/>
        </w:rPr>
        <w:t>exists</w:t>
      </w:r>
      <w:r w:rsidRPr="004553D9">
        <w:rPr>
          <w:color w:val="161623"/>
          <w:w w:val="102"/>
        </w:rPr>
        <w:t xml:space="preserve"> </w:t>
      </w:r>
      <w:r w:rsidRPr="004553D9">
        <w:rPr>
          <w:color w:val="161623"/>
        </w:rPr>
        <w:t>related</w:t>
      </w:r>
      <w:r w:rsidRPr="004553D9">
        <w:rPr>
          <w:color w:val="161623"/>
          <w:spacing w:val="4"/>
        </w:rPr>
        <w:t xml:space="preserve"> </w:t>
      </w:r>
      <w:r w:rsidRPr="004553D9">
        <w:rPr>
          <w:color w:val="161623"/>
        </w:rPr>
        <w:t>to</w:t>
      </w:r>
      <w:r w:rsidRPr="004553D9">
        <w:rPr>
          <w:color w:val="161623"/>
          <w:spacing w:val="18"/>
        </w:rPr>
        <w:t xml:space="preserve"> </w:t>
      </w:r>
      <w:r w:rsidRPr="004553D9">
        <w:rPr>
          <w:color w:val="161623"/>
        </w:rPr>
        <w:t>events</w:t>
      </w:r>
      <w:r w:rsidRPr="004553D9">
        <w:rPr>
          <w:color w:val="161623"/>
          <w:spacing w:val="25"/>
        </w:rPr>
        <w:t xml:space="preserve"> </w:t>
      </w:r>
      <w:r w:rsidRPr="004553D9">
        <w:rPr>
          <w:color w:val="161623"/>
        </w:rPr>
        <w:t>or</w:t>
      </w:r>
      <w:r w:rsidRPr="004553D9">
        <w:rPr>
          <w:color w:val="161623"/>
          <w:spacing w:val="16"/>
        </w:rPr>
        <w:t xml:space="preserve"> </w:t>
      </w:r>
      <w:r w:rsidRPr="004553D9">
        <w:rPr>
          <w:color w:val="161623"/>
        </w:rPr>
        <w:t>conditions</w:t>
      </w:r>
      <w:r w:rsidRPr="004553D9">
        <w:rPr>
          <w:color w:val="161623"/>
          <w:spacing w:val="22"/>
        </w:rPr>
        <w:t xml:space="preserve"> </w:t>
      </w:r>
      <w:r w:rsidRPr="004553D9">
        <w:rPr>
          <w:color w:val="161623"/>
        </w:rPr>
        <w:t>that</w:t>
      </w:r>
      <w:r w:rsidRPr="004553D9">
        <w:rPr>
          <w:color w:val="161623"/>
          <w:spacing w:val="24"/>
        </w:rPr>
        <w:t xml:space="preserve"> </w:t>
      </w:r>
      <w:r w:rsidRPr="004553D9">
        <w:rPr>
          <w:color w:val="161623"/>
        </w:rPr>
        <w:t>may</w:t>
      </w:r>
      <w:r w:rsidRPr="004553D9">
        <w:rPr>
          <w:color w:val="161623"/>
          <w:spacing w:val="6"/>
        </w:rPr>
        <w:t xml:space="preserve"> </w:t>
      </w:r>
      <w:r w:rsidRPr="004553D9">
        <w:rPr>
          <w:color w:val="161623"/>
        </w:rPr>
        <w:t>cast</w:t>
      </w:r>
      <w:r w:rsidRPr="004553D9">
        <w:rPr>
          <w:color w:val="161623"/>
          <w:spacing w:val="13"/>
        </w:rPr>
        <w:t xml:space="preserve"> </w:t>
      </w:r>
      <w:r w:rsidRPr="004553D9">
        <w:rPr>
          <w:color w:val="161623"/>
        </w:rPr>
        <w:t>significant</w:t>
      </w:r>
      <w:r w:rsidRPr="004553D9">
        <w:rPr>
          <w:color w:val="161623"/>
          <w:spacing w:val="30"/>
        </w:rPr>
        <w:t xml:space="preserve"> </w:t>
      </w:r>
      <w:r w:rsidRPr="004553D9">
        <w:rPr>
          <w:color w:val="161623"/>
        </w:rPr>
        <w:t>doubt</w:t>
      </w:r>
      <w:r w:rsidRPr="004553D9">
        <w:rPr>
          <w:color w:val="161623"/>
          <w:spacing w:val="19"/>
        </w:rPr>
        <w:t xml:space="preserve"> </w:t>
      </w:r>
      <w:r w:rsidRPr="004553D9">
        <w:rPr>
          <w:color w:val="161623"/>
        </w:rPr>
        <w:t>on</w:t>
      </w:r>
      <w:r w:rsidRPr="004553D9">
        <w:rPr>
          <w:color w:val="161623"/>
          <w:spacing w:val="3"/>
        </w:rPr>
        <w:t xml:space="preserve"> </w:t>
      </w:r>
      <w:r w:rsidRPr="004553D9">
        <w:rPr>
          <w:color w:val="161623"/>
        </w:rPr>
        <w:t>the</w:t>
      </w:r>
      <w:r w:rsidRPr="004553D9">
        <w:rPr>
          <w:color w:val="161623"/>
          <w:spacing w:val="15"/>
        </w:rPr>
        <w:t xml:space="preserve"> </w:t>
      </w:r>
      <w:r w:rsidRPr="004553D9">
        <w:rPr>
          <w:color w:val="161623"/>
        </w:rPr>
        <w:t>agency's</w:t>
      </w:r>
      <w:r w:rsidRPr="004553D9">
        <w:rPr>
          <w:color w:val="161623"/>
          <w:spacing w:val="19"/>
        </w:rPr>
        <w:t xml:space="preserve"> </w:t>
      </w:r>
      <w:r w:rsidRPr="004553D9">
        <w:rPr>
          <w:color w:val="161623"/>
        </w:rPr>
        <w:t>ability</w:t>
      </w:r>
      <w:r w:rsidRPr="004553D9">
        <w:rPr>
          <w:color w:val="161623"/>
          <w:spacing w:val="20"/>
        </w:rPr>
        <w:t xml:space="preserve"> </w:t>
      </w:r>
      <w:r w:rsidRPr="004553D9">
        <w:rPr>
          <w:color w:val="161623"/>
        </w:rPr>
        <w:t>to</w:t>
      </w:r>
      <w:r w:rsidRPr="004553D9">
        <w:rPr>
          <w:color w:val="161623"/>
          <w:w w:val="101"/>
        </w:rPr>
        <w:t xml:space="preserve"> </w:t>
      </w:r>
      <w:r w:rsidRPr="004553D9">
        <w:rPr>
          <w:color w:val="161623"/>
        </w:rPr>
        <w:t>continue</w:t>
      </w:r>
      <w:r w:rsidRPr="004553D9">
        <w:rPr>
          <w:color w:val="161623"/>
          <w:spacing w:val="19"/>
        </w:rPr>
        <w:t xml:space="preserve"> </w:t>
      </w:r>
      <w:r w:rsidRPr="004553D9">
        <w:rPr>
          <w:color w:val="161623"/>
        </w:rPr>
        <w:t>as</w:t>
      </w:r>
      <w:r w:rsidRPr="004553D9">
        <w:rPr>
          <w:color w:val="161623"/>
          <w:spacing w:val="15"/>
        </w:rPr>
        <w:t xml:space="preserve"> </w:t>
      </w:r>
      <w:r w:rsidRPr="004553D9">
        <w:rPr>
          <w:color w:val="161623"/>
        </w:rPr>
        <w:t>a</w:t>
      </w:r>
      <w:r w:rsidRPr="004553D9">
        <w:rPr>
          <w:color w:val="161623"/>
          <w:spacing w:val="11"/>
        </w:rPr>
        <w:t xml:space="preserve"> </w:t>
      </w:r>
      <w:r w:rsidRPr="004553D9">
        <w:rPr>
          <w:color w:val="161623"/>
        </w:rPr>
        <w:t>going</w:t>
      </w:r>
      <w:r w:rsidRPr="004553D9">
        <w:rPr>
          <w:color w:val="161623"/>
          <w:spacing w:val="23"/>
        </w:rPr>
        <w:t xml:space="preserve"> </w:t>
      </w:r>
      <w:r w:rsidRPr="004553D9">
        <w:rPr>
          <w:color w:val="161623"/>
        </w:rPr>
        <w:t>concern.</w:t>
      </w:r>
      <w:r w:rsidRPr="004553D9">
        <w:rPr>
          <w:color w:val="161623"/>
          <w:spacing w:val="39"/>
        </w:rPr>
        <w:t xml:space="preserve"> </w:t>
      </w:r>
      <w:r w:rsidRPr="004553D9">
        <w:rPr>
          <w:color w:val="161623"/>
        </w:rPr>
        <w:t>If</w:t>
      </w:r>
      <w:r w:rsidRPr="004553D9">
        <w:rPr>
          <w:color w:val="161623"/>
          <w:spacing w:val="10"/>
        </w:rPr>
        <w:t xml:space="preserve"> </w:t>
      </w:r>
      <w:r w:rsidRPr="004553D9">
        <w:rPr>
          <w:color w:val="161623"/>
        </w:rPr>
        <w:t>I</w:t>
      </w:r>
      <w:r w:rsidRPr="004553D9">
        <w:rPr>
          <w:color w:val="161623"/>
          <w:spacing w:val="-1"/>
        </w:rPr>
        <w:t xml:space="preserve"> </w:t>
      </w:r>
      <w:r w:rsidRPr="004553D9">
        <w:rPr>
          <w:color w:val="161623"/>
        </w:rPr>
        <w:t>conclude</w:t>
      </w:r>
      <w:r w:rsidRPr="004553D9">
        <w:rPr>
          <w:color w:val="161623"/>
          <w:spacing w:val="14"/>
        </w:rPr>
        <w:t xml:space="preserve"> </w:t>
      </w:r>
      <w:r w:rsidRPr="004553D9">
        <w:rPr>
          <w:color w:val="161623"/>
        </w:rPr>
        <w:t>that</w:t>
      </w:r>
      <w:r w:rsidRPr="004553D9">
        <w:rPr>
          <w:color w:val="161623"/>
          <w:spacing w:val="17"/>
        </w:rPr>
        <w:t xml:space="preserve"> </w:t>
      </w:r>
      <w:r w:rsidRPr="004553D9">
        <w:rPr>
          <w:color w:val="161623"/>
        </w:rPr>
        <w:t>a</w:t>
      </w:r>
      <w:r w:rsidRPr="004553D9">
        <w:rPr>
          <w:color w:val="161623"/>
          <w:spacing w:val="17"/>
        </w:rPr>
        <w:t xml:space="preserve"> </w:t>
      </w:r>
      <w:r w:rsidRPr="004553D9">
        <w:rPr>
          <w:color w:val="161623"/>
        </w:rPr>
        <w:t>material</w:t>
      </w:r>
      <w:r w:rsidRPr="004553D9">
        <w:rPr>
          <w:color w:val="161623"/>
          <w:spacing w:val="17"/>
        </w:rPr>
        <w:t xml:space="preserve"> </w:t>
      </w:r>
      <w:r w:rsidRPr="004553D9">
        <w:rPr>
          <w:color w:val="161623"/>
        </w:rPr>
        <w:t>uncertainty</w:t>
      </w:r>
      <w:r w:rsidRPr="004553D9">
        <w:rPr>
          <w:color w:val="161623"/>
          <w:spacing w:val="29"/>
        </w:rPr>
        <w:t xml:space="preserve"> </w:t>
      </w:r>
      <w:r w:rsidRPr="004553D9">
        <w:rPr>
          <w:color w:val="161623"/>
        </w:rPr>
        <w:t>exist</w:t>
      </w:r>
      <w:r w:rsidRPr="004553D9">
        <w:rPr>
          <w:color w:val="161623"/>
          <w:spacing w:val="15"/>
        </w:rPr>
        <w:t>s</w:t>
      </w:r>
      <w:r w:rsidRPr="004553D9">
        <w:rPr>
          <w:color w:val="31313A"/>
        </w:rPr>
        <w:t>,</w:t>
      </w:r>
      <w:r w:rsidRPr="004553D9">
        <w:rPr>
          <w:color w:val="31313A"/>
          <w:spacing w:val="15"/>
        </w:rPr>
        <w:t xml:space="preserve"> </w:t>
      </w:r>
      <w:r w:rsidRPr="004553D9">
        <w:rPr>
          <w:color w:val="161623"/>
        </w:rPr>
        <w:t>I</w:t>
      </w:r>
      <w:r w:rsidRPr="004553D9">
        <w:rPr>
          <w:color w:val="161623"/>
          <w:spacing w:val="-1"/>
        </w:rPr>
        <w:t xml:space="preserve"> </w:t>
      </w:r>
      <w:r w:rsidRPr="004553D9">
        <w:rPr>
          <w:color w:val="161623"/>
        </w:rPr>
        <w:t>am</w:t>
      </w:r>
      <w:r w:rsidRPr="004553D9">
        <w:rPr>
          <w:color w:val="161623"/>
          <w:spacing w:val="16"/>
        </w:rPr>
        <w:t xml:space="preserve"> </w:t>
      </w:r>
      <w:r w:rsidRPr="004553D9">
        <w:rPr>
          <w:color w:val="161623"/>
        </w:rPr>
        <w:t>required</w:t>
      </w:r>
      <w:r w:rsidRPr="004553D9">
        <w:rPr>
          <w:color w:val="161623"/>
          <w:spacing w:val="8"/>
        </w:rPr>
        <w:t xml:space="preserve"> </w:t>
      </w:r>
      <w:r w:rsidRPr="004553D9">
        <w:rPr>
          <w:color w:val="161623"/>
        </w:rPr>
        <w:t>to</w:t>
      </w:r>
      <w:r w:rsidRPr="004553D9">
        <w:rPr>
          <w:color w:val="161623"/>
          <w:w w:val="101"/>
        </w:rPr>
        <w:t xml:space="preserve"> </w:t>
      </w:r>
      <w:r w:rsidRPr="004553D9">
        <w:rPr>
          <w:color w:val="161623"/>
        </w:rPr>
        <w:t>draw</w:t>
      </w:r>
      <w:r w:rsidRPr="004553D9">
        <w:rPr>
          <w:color w:val="161623"/>
          <w:spacing w:val="21"/>
        </w:rPr>
        <w:t xml:space="preserve"> </w:t>
      </w:r>
      <w:r w:rsidRPr="004553D9">
        <w:rPr>
          <w:color w:val="161623"/>
        </w:rPr>
        <w:t>attention</w:t>
      </w:r>
      <w:r w:rsidRPr="004553D9">
        <w:rPr>
          <w:color w:val="161623"/>
          <w:spacing w:val="27"/>
        </w:rPr>
        <w:t xml:space="preserve"> </w:t>
      </w:r>
      <w:r w:rsidRPr="004553D9">
        <w:rPr>
          <w:color w:val="161623"/>
        </w:rPr>
        <w:t>in</w:t>
      </w:r>
      <w:r w:rsidRPr="004553D9">
        <w:rPr>
          <w:color w:val="161623"/>
          <w:spacing w:val="7"/>
        </w:rPr>
        <w:t xml:space="preserve"> </w:t>
      </w:r>
      <w:r w:rsidRPr="004553D9">
        <w:rPr>
          <w:color w:val="161623"/>
        </w:rPr>
        <w:t>my</w:t>
      </w:r>
      <w:r w:rsidRPr="004553D9">
        <w:rPr>
          <w:color w:val="161623"/>
          <w:spacing w:val="13"/>
        </w:rPr>
        <w:t xml:space="preserve"> </w:t>
      </w:r>
      <w:r w:rsidRPr="004553D9">
        <w:rPr>
          <w:color w:val="161623"/>
        </w:rPr>
        <w:t>audito</w:t>
      </w:r>
      <w:r w:rsidRPr="004553D9">
        <w:rPr>
          <w:color w:val="161623"/>
          <w:spacing w:val="13"/>
        </w:rPr>
        <w:t>r</w:t>
      </w:r>
      <w:r w:rsidRPr="004553D9">
        <w:rPr>
          <w:color w:val="31313A"/>
          <w:spacing w:val="2"/>
        </w:rPr>
        <w:t>'</w:t>
      </w:r>
      <w:r w:rsidRPr="004553D9">
        <w:rPr>
          <w:color w:val="161623"/>
        </w:rPr>
        <w:t>s</w:t>
      </w:r>
      <w:r w:rsidRPr="004553D9">
        <w:rPr>
          <w:color w:val="161623"/>
          <w:spacing w:val="18"/>
        </w:rPr>
        <w:t xml:space="preserve"> </w:t>
      </w:r>
      <w:r w:rsidRPr="004553D9">
        <w:rPr>
          <w:color w:val="161623"/>
        </w:rPr>
        <w:t>report</w:t>
      </w:r>
      <w:r w:rsidRPr="004553D9">
        <w:rPr>
          <w:color w:val="161623"/>
          <w:spacing w:val="4"/>
        </w:rPr>
        <w:t xml:space="preserve"> </w:t>
      </w:r>
      <w:r w:rsidRPr="004553D9">
        <w:rPr>
          <w:color w:val="161623"/>
        </w:rPr>
        <w:t>to</w:t>
      </w:r>
      <w:r w:rsidRPr="004553D9">
        <w:rPr>
          <w:color w:val="161623"/>
          <w:spacing w:val="11"/>
        </w:rPr>
        <w:t xml:space="preserve"> </w:t>
      </w:r>
      <w:r w:rsidRPr="004553D9">
        <w:rPr>
          <w:color w:val="161623"/>
        </w:rPr>
        <w:t>the</w:t>
      </w:r>
      <w:r w:rsidRPr="004553D9">
        <w:rPr>
          <w:color w:val="161623"/>
          <w:spacing w:val="25"/>
        </w:rPr>
        <w:t xml:space="preserve"> </w:t>
      </w:r>
      <w:r w:rsidRPr="004553D9">
        <w:rPr>
          <w:color w:val="161623"/>
        </w:rPr>
        <w:t>r</w:t>
      </w:r>
      <w:r w:rsidRPr="004553D9">
        <w:rPr>
          <w:color w:val="161623"/>
          <w:spacing w:val="-2"/>
        </w:rPr>
        <w:t>e</w:t>
      </w:r>
      <w:r w:rsidRPr="004553D9">
        <w:rPr>
          <w:color w:val="31313A"/>
          <w:spacing w:val="-13"/>
        </w:rPr>
        <w:t>l</w:t>
      </w:r>
      <w:r w:rsidRPr="004553D9">
        <w:rPr>
          <w:color w:val="161623"/>
        </w:rPr>
        <w:t>ated</w:t>
      </w:r>
      <w:r w:rsidRPr="004553D9">
        <w:rPr>
          <w:color w:val="161623"/>
          <w:spacing w:val="19"/>
        </w:rPr>
        <w:t xml:space="preserve"> </w:t>
      </w:r>
      <w:r w:rsidRPr="004553D9">
        <w:rPr>
          <w:color w:val="161623"/>
        </w:rPr>
        <w:t>disclosures</w:t>
      </w:r>
      <w:r w:rsidRPr="004553D9">
        <w:rPr>
          <w:color w:val="161623"/>
          <w:spacing w:val="40"/>
        </w:rPr>
        <w:t xml:space="preserve"> </w:t>
      </w:r>
      <w:r w:rsidRPr="004553D9">
        <w:rPr>
          <w:color w:val="161623"/>
        </w:rPr>
        <w:t>in</w:t>
      </w:r>
      <w:r w:rsidRPr="004553D9">
        <w:rPr>
          <w:color w:val="161623"/>
          <w:spacing w:val="-3"/>
        </w:rPr>
        <w:t xml:space="preserve"> </w:t>
      </w:r>
      <w:r w:rsidRPr="004553D9">
        <w:rPr>
          <w:color w:val="161623"/>
        </w:rPr>
        <w:t>the</w:t>
      </w:r>
      <w:r w:rsidRPr="004553D9">
        <w:rPr>
          <w:color w:val="161623"/>
          <w:spacing w:val="13"/>
        </w:rPr>
        <w:t xml:space="preserve"> </w:t>
      </w:r>
      <w:r w:rsidRPr="004553D9">
        <w:rPr>
          <w:color w:val="161623"/>
        </w:rPr>
        <w:t>financial</w:t>
      </w:r>
      <w:r w:rsidRPr="004553D9">
        <w:rPr>
          <w:color w:val="161623"/>
          <w:spacing w:val="36"/>
        </w:rPr>
        <w:t xml:space="preserve"> </w:t>
      </w:r>
      <w:r w:rsidRPr="004553D9">
        <w:rPr>
          <w:color w:val="161623"/>
        </w:rPr>
        <w:t>statements</w:t>
      </w:r>
      <w:r w:rsidRPr="004553D9">
        <w:rPr>
          <w:color w:val="161623"/>
          <w:spacing w:val="34"/>
        </w:rPr>
        <w:t xml:space="preserve"> </w:t>
      </w:r>
      <w:r w:rsidRPr="004553D9">
        <w:rPr>
          <w:color w:val="161623"/>
        </w:rPr>
        <w:t>or,</w:t>
      </w:r>
      <w:r w:rsidRPr="004553D9">
        <w:rPr>
          <w:color w:val="161623"/>
          <w:w w:val="97"/>
        </w:rPr>
        <w:t xml:space="preserve"> </w:t>
      </w:r>
      <w:r w:rsidRPr="004553D9">
        <w:rPr>
          <w:color w:val="161623"/>
        </w:rPr>
        <w:t>if</w:t>
      </w:r>
      <w:r w:rsidRPr="004553D9">
        <w:rPr>
          <w:color w:val="161623"/>
          <w:spacing w:val="3"/>
        </w:rPr>
        <w:t xml:space="preserve"> </w:t>
      </w:r>
      <w:r w:rsidRPr="004553D9">
        <w:rPr>
          <w:color w:val="161623"/>
        </w:rPr>
        <w:t>such</w:t>
      </w:r>
      <w:r w:rsidRPr="004553D9">
        <w:rPr>
          <w:color w:val="161623"/>
          <w:spacing w:val="17"/>
        </w:rPr>
        <w:t xml:space="preserve"> </w:t>
      </w:r>
      <w:r w:rsidRPr="004553D9">
        <w:rPr>
          <w:color w:val="161623"/>
        </w:rPr>
        <w:t>disclosures</w:t>
      </w:r>
      <w:r w:rsidRPr="004553D9">
        <w:rPr>
          <w:color w:val="161623"/>
          <w:spacing w:val="28"/>
        </w:rPr>
        <w:t xml:space="preserve"> </w:t>
      </w:r>
      <w:r w:rsidRPr="004553D9">
        <w:rPr>
          <w:color w:val="161623"/>
        </w:rPr>
        <w:t>are</w:t>
      </w:r>
      <w:r w:rsidRPr="004553D9">
        <w:rPr>
          <w:color w:val="161623"/>
          <w:spacing w:val="21"/>
        </w:rPr>
        <w:t xml:space="preserve"> </w:t>
      </w:r>
      <w:r w:rsidRPr="004553D9">
        <w:rPr>
          <w:color w:val="161623"/>
        </w:rPr>
        <w:t>inadequate</w:t>
      </w:r>
      <w:r w:rsidRPr="004553D9">
        <w:rPr>
          <w:color w:val="31313A"/>
        </w:rPr>
        <w:t>,</w:t>
      </w:r>
      <w:r w:rsidRPr="004553D9">
        <w:rPr>
          <w:color w:val="31313A"/>
          <w:spacing w:val="2"/>
        </w:rPr>
        <w:t xml:space="preserve"> </w:t>
      </w:r>
      <w:r w:rsidRPr="004553D9">
        <w:rPr>
          <w:color w:val="161623"/>
        </w:rPr>
        <w:t>to</w:t>
      </w:r>
      <w:r w:rsidRPr="004553D9">
        <w:rPr>
          <w:color w:val="161623"/>
          <w:spacing w:val="22"/>
        </w:rPr>
        <w:t xml:space="preserve"> </w:t>
      </w:r>
      <w:r w:rsidRPr="004553D9">
        <w:rPr>
          <w:color w:val="161623"/>
        </w:rPr>
        <w:t>modify</w:t>
      </w:r>
      <w:r w:rsidRPr="004553D9">
        <w:rPr>
          <w:color w:val="161623"/>
          <w:spacing w:val="24"/>
        </w:rPr>
        <w:t xml:space="preserve"> </w:t>
      </w:r>
      <w:r w:rsidRPr="004553D9">
        <w:rPr>
          <w:color w:val="161623"/>
        </w:rPr>
        <w:t>my</w:t>
      </w:r>
      <w:r w:rsidRPr="004553D9">
        <w:rPr>
          <w:color w:val="161623"/>
          <w:spacing w:val="7"/>
        </w:rPr>
        <w:t xml:space="preserve"> </w:t>
      </w:r>
      <w:r w:rsidRPr="004553D9">
        <w:rPr>
          <w:color w:val="161623"/>
        </w:rPr>
        <w:t>opinion.</w:t>
      </w:r>
      <w:r w:rsidRPr="004553D9">
        <w:rPr>
          <w:color w:val="161623"/>
          <w:spacing w:val="42"/>
        </w:rPr>
        <w:t xml:space="preserve"> </w:t>
      </w:r>
      <w:r w:rsidRPr="004553D9">
        <w:rPr>
          <w:color w:val="161623"/>
        </w:rPr>
        <w:t>My</w:t>
      </w:r>
      <w:r w:rsidRPr="004553D9">
        <w:rPr>
          <w:color w:val="161623"/>
          <w:spacing w:val="6"/>
        </w:rPr>
        <w:t xml:space="preserve"> </w:t>
      </w:r>
      <w:r w:rsidRPr="004553D9">
        <w:rPr>
          <w:color w:val="161623"/>
        </w:rPr>
        <w:t>conclusions</w:t>
      </w:r>
      <w:r w:rsidRPr="004553D9">
        <w:rPr>
          <w:color w:val="161623"/>
          <w:spacing w:val="30"/>
        </w:rPr>
        <w:t xml:space="preserve"> </w:t>
      </w:r>
      <w:r w:rsidRPr="004553D9">
        <w:rPr>
          <w:color w:val="161623"/>
        </w:rPr>
        <w:t>are</w:t>
      </w:r>
      <w:r w:rsidRPr="004553D9">
        <w:rPr>
          <w:color w:val="161623"/>
          <w:spacing w:val="21"/>
        </w:rPr>
        <w:t xml:space="preserve"> </w:t>
      </w:r>
      <w:r w:rsidRPr="004553D9">
        <w:rPr>
          <w:color w:val="161623"/>
        </w:rPr>
        <w:t>based</w:t>
      </w:r>
      <w:r w:rsidRPr="004553D9">
        <w:rPr>
          <w:color w:val="161623"/>
          <w:spacing w:val="24"/>
        </w:rPr>
        <w:t xml:space="preserve"> </w:t>
      </w:r>
      <w:r w:rsidRPr="004553D9">
        <w:rPr>
          <w:color w:val="161623"/>
        </w:rPr>
        <w:t>on</w:t>
      </w:r>
      <w:r w:rsidRPr="004553D9">
        <w:rPr>
          <w:color w:val="161623"/>
          <w:spacing w:val="5"/>
        </w:rPr>
        <w:t xml:space="preserve"> </w:t>
      </w:r>
      <w:r w:rsidRPr="004553D9">
        <w:rPr>
          <w:color w:val="161623"/>
        </w:rPr>
        <w:t>the</w:t>
      </w:r>
      <w:r w:rsidRPr="004553D9">
        <w:rPr>
          <w:color w:val="161623"/>
          <w:w w:val="102"/>
        </w:rPr>
        <w:t xml:space="preserve"> </w:t>
      </w:r>
      <w:r w:rsidRPr="004553D9">
        <w:rPr>
          <w:color w:val="161623"/>
        </w:rPr>
        <w:t>audit</w:t>
      </w:r>
      <w:r w:rsidRPr="004553D9">
        <w:rPr>
          <w:color w:val="161623"/>
          <w:spacing w:val="21"/>
        </w:rPr>
        <w:t xml:space="preserve"> </w:t>
      </w:r>
      <w:r w:rsidRPr="004553D9">
        <w:rPr>
          <w:color w:val="161623"/>
        </w:rPr>
        <w:t>evidence</w:t>
      </w:r>
      <w:r w:rsidRPr="004553D9">
        <w:rPr>
          <w:color w:val="161623"/>
          <w:spacing w:val="25"/>
        </w:rPr>
        <w:t xml:space="preserve"> </w:t>
      </w:r>
      <w:r w:rsidRPr="004553D9">
        <w:rPr>
          <w:color w:val="161623"/>
        </w:rPr>
        <w:t>obtained</w:t>
      </w:r>
      <w:r w:rsidRPr="004553D9">
        <w:rPr>
          <w:color w:val="161623"/>
          <w:spacing w:val="32"/>
        </w:rPr>
        <w:t xml:space="preserve"> </w:t>
      </w:r>
      <w:r w:rsidRPr="004553D9">
        <w:rPr>
          <w:color w:val="161623"/>
        </w:rPr>
        <w:t>up</w:t>
      </w:r>
      <w:r w:rsidRPr="004553D9">
        <w:rPr>
          <w:color w:val="161623"/>
          <w:spacing w:val="1"/>
        </w:rPr>
        <w:t xml:space="preserve"> </w:t>
      </w:r>
      <w:r w:rsidRPr="004553D9">
        <w:rPr>
          <w:color w:val="161623"/>
        </w:rPr>
        <w:t>to</w:t>
      </w:r>
      <w:r w:rsidRPr="004553D9">
        <w:rPr>
          <w:color w:val="161623"/>
          <w:spacing w:val="11"/>
        </w:rPr>
        <w:t xml:space="preserve"> </w:t>
      </w:r>
      <w:r w:rsidRPr="004553D9">
        <w:rPr>
          <w:color w:val="161623"/>
        </w:rPr>
        <w:t>the</w:t>
      </w:r>
      <w:r w:rsidRPr="004553D9">
        <w:rPr>
          <w:color w:val="161623"/>
          <w:spacing w:val="21"/>
        </w:rPr>
        <w:t xml:space="preserve"> </w:t>
      </w:r>
      <w:r w:rsidRPr="004553D9">
        <w:rPr>
          <w:color w:val="161623"/>
        </w:rPr>
        <w:t>date</w:t>
      </w:r>
      <w:r w:rsidRPr="004553D9">
        <w:rPr>
          <w:color w:val="161623"/>
          <w:spacing w:val="25"/>
        </w:rPr>
        <w:t xml:space="preserve"> </w:t>
      </w:r>
      <w:r w:rsidRPr="004553D9">
        <w:rPr>
          <w:color w:val="161623"/>
        </w:rPr>
        <w:t>of</w:t>
      </w:r>
      <w:r w:rsidRPr="004553D9">
        <w:rPr>
          <w:color w:val="161623"/>
          <w:spacing w:val="19"/>
        </w:rPr>
        <w:t xml:space="preserve"> </w:t>
      </w:r>
      <w:r w:rsidRPr="004553D9">
        <w:rPr>
          <w:color w:val="161623"/>
        </w:rPr>
        <w:t>my</w:t>
      </w:r>
      <w:r w:rsidRPr="004553D9">
        <w:rPr>
          <w:color w:val="161623"/>
          <w:spacing w:val="9"/>
        </w:rPr>
        <w:t xml:space="preserve"> </w:t>
      </w:r>
      <w:r w:rsidRPr="004553D9">
        <w:rPr>
          <w:color w:val="161623"/>
        </w:rPr>
        <w:t>auditor's</w:t>
      </w:r>
      <w:r w:rsidRPr="004553D9">
        <w:rPr>
          <w:color w:val="161623"/>
          <w:spacing w:val="29"/>
        </w:rPr>
        <w:t xml:space="preserve"> </w:t>
      </w:r>
      <w:r w:rsidRPr="004553D9">
        <w:rPr>
          <w:color w:val="161623"/>
        </w:rPr>
        <w:t>repor</w:t>
      </w:r>
      <w:r w:rsidRPr="004553D9">
        <w:rPr>
          <w:color w:val="161623"/>
          <w:spacing w:val="13"/>
        </w:rPr>
        <w:t>t</w:t>
      </w:r>
      <w:r w:rsidRPr="004553D9">
        <w:rPr>
          <w:color w:val="4F4F52"/>
        </w:rPr>
        <w:t>.</w:t>
      </w:r>
      <w:r>
        <w:rPr>
          <w:color w:val="4F4F52"/>
        </w:rPr>
        <w:br/>
      </w:r>
    </w:p>
    <w:p w14:paraId="38831E60" w14:textId="7B8F7489" w:rsidR="004553D9" w:rsidRDefault="004553D9" w:rsidP="00026A6F">
      <w:pPr>
        <w:pStyle w:val="ListParagraph"/>
        <w:numPr>
          <w:ilvl w:val="0"/>
          <w:numId w:val="49"/>
        </w:numPr>
        <w:spacing w:after="240" w:line="276" w:lineRule="auto"/>
        <w:ind w:left="714" w:hanging="357"/>
      </w:pPr>
      <w:r w:rsidRPr="004553D9">
        <w:rPr>
          <w:color w:val="161623"/>
        </w:rPr>
        <w:t>Evaluate</w:t>
      </w:r>
      <w:r w:rsidRPr="004553D9">
        <w:rPr>
          <w:color w:val="161623"/>
          <w:spacing w:val="7"/>
        </w:rPr>
        <w:t xml:space="preserve"> </w:t>
      </w:r>
      <w:r w:rsidRPr="004553D9">
        <w:rPr>
          <w:color w:val="161623"/>
        </w:rPr>
        <w:t>the</w:t>
      </w:r>
      <w:r w:rsidRPr="004553D9">
        <w:rPr>
          <w:color w:val="161623"/>
          <w:spacing w:val="18"/>
        </w:rPr>
        <w:t xml:space="preserve"> </w:t>
      </w:r>
      <w:r w:rsidRPr="004553D9">
        <w:rPr>
          <w:color w:val="161623"/>
        </w:rPr>
        <w:t>overall</w:t>
      </w:r>
      <w:r w:rsidRPr="004553D9">
        <w:rPr>
          <w:color w:val="161623"/>
          <w:spacing w:val="28"/>
        </w:rPr>
        <w:t xml:space="preserve"> </w:t>
      </w:r>
      <w:r w:rsidRPr="004553D9">
        <w:rPr>
          <w:color w:val="161623"/>
        </w:rPr>
        <w:t>presentation,</w:t>
      </w:r>
      <w:r w:rsidRPr="004553D9">
        <w:rPr>
          <w:color w:val="161623"/>
          <w:spacing w:val="26"/>
        </w:rPr>
        <w:t xml:space="preserve"> </w:t>
      </w:r>
      <w:r w:rsidRPr="004553D9">
        <w:rPr>
          <w:color w:val="161623"/>
        </w:rPr>
        <w:t>structure</w:t>
      </w:r>
      <w:r w:rsidRPr="004553D9">
        <w:rPr>
          <w:color w:val="161623"/>
          <w:spacing w:val="33"/>
        </w:rPr>
        <w:t xml:space="preserve"> </w:t>
      </w:r>
      <w:r w:rsidRPr="004553D9">
        <w:rPr>
          <w:color w:val="161623"/>
        </w:rPr>
        <w:t>and</w:t>
      </w:r>
      <w:r w:rsidRPr="004553D9">
        <w:rPr>
          <w:color w:val="161623"/>
          <w:spacing w:val="11"/>
        </w:rPr>
        <w:t xml:space="preserve"> </w:t>
      </w:r>
      <w:r w:rsidRPr="004553D9">
        <w:rPr>
          <w:color w:val="161623"/>
        </w:rPr>
        <w:t>content</w:t>
      </w:r>
      <w:r w:rsidRPr="004553D9">
        <w:rPr>
          <w:color w:val="161623"/>
          <w:spacing w:val="19"/>
        </w:rPr>
        <w:t xml:space="preserve"> </w:t>
      </w:r>
      <w:r w:rsidRPr="004553D9">
        <w:rPr>
          <w:color w:val="161623"/>
        </w:rPr>
        <w:t>of</w:t>
      </w:r>
      <w:r w:rsidRPr="004553D9">
        <w:rPr>
          <w:color w:val="161623"/>
          <w:spacing w:val="9"/>
        </w:rPr>
        <w:t xml:space="preserve"> </w:t>
      </w:r>
      <w:r w:rsidRPr="004553D9">
        <w:rPr>
          <w:color w:val="161623"/>
        </w:rPr>
        <w:t>the</w:t>
      </w:r>
      <w:r w:rsidRPr="004553D9">
        <w:rPr>
          <w:color w:val="161623"/>
          <w:spacing w:val="13"/>
        </w:rPr>
        <w:t xml:space="preserve"> </w:t>
      </w:r>
      <w:r w:rsidRPr="004553D9">
        <w:rPr>
          <w:color w:val="161623"/>
        </w:rPr>
        <w:t>financial</w:t>
      </w:r>
      <w:r w:rsidRPr="004553D9">
        <w:rPr>
          <w:color w:val="161623"/>
          <w:spacing w:val="35"/>
        </w:rPr>
        <w:t xml:space="preserve"> </w:t>
      </w:r>
      <w:r w:rsidRPr="004553D9">
        <w:rPr>
          <w:color w:val="161623"/>
        </w:rPr>
        <w:t>statements,</w:t>
      </w:r>
      <w:r w:rsidRPr="004553D9">
        <w:rPr>
          <w:color w:val="161623"/>
          <w:w w:val="99"/>
        </w:rPr>
        <w:t xml:space="preserve"> </w:t>
      </w:r>
      <w:r w:rsidRPr="004553D9">
        <w:rPr>
          <w:color w:val="161623"/>
        </w:rPr>
        <w:t>including</w:t>
      </w:r>
      <w:r w:rsidRPr="004553D9">
        <w:rPr>
          <w:color w:val="161623"/>
          <w:spacing w:val="15"/>
        </w:rPr>
        <w:t xml:space="preserve"> </w:t>
      </w:r>
      <w:r w:rsidRPr="004553D9">
        <w:rPr>
          <w:color w:val="161623"/>
        </w:rPr>
        <w:t>the</w:t>
      </w:r>
      <w:r w:rsidRPr="004553D9">
        <w:rPr>
          <w:color w:val="161623"/>
          <w:spacing w:val="14"/>
        </w:rPr>
        <w:t xml:space="preserve"> </w:t>
      </w:r>
      <w:r w:rsidRPr="004553D9">
        <w:rPr>
          <w:color w:val="161623"/>
        </w:rPr>
        <w:t>disclosures,</w:t>
      </w:r>
      <w:r w:rsidRPr="004553D9">
        <w:rPr>
          <w:color w:val="161623"/>
          <w:spacing w:val="43"/>
        </w:rPr>
        <w:t xml:space="preserve"> </w:t>
      </w:r>
      <w:r w:rsidRPr="004553D9">
        <w:rPr>
          <w:color w:val="161623"/>
        </w:rPr>
        <w:t>and</w:t>
      </w:r>
      <w:r w:rsidRPr="004553D9">
        <w:rPr>
          <w:color w:val="161623"/>
          <w:spacing w:val="9"/>
        </w:rPr>
        <w:t xml:space="preserve"> </w:t>
      </w:r>
      <w:r w:rsidRPr="004553D9">
        <w:rPr>
          <w:color w:val="161623"/>
        </w:rPr>
        <w:t>whether</w:t>
      </w:r>
      <w:r w:rsidRPr="004553D9">
        <w:rPr>
          <w:color w:val="161623"/>
          <w:spacing w:val="30"/>
        </w:rPr>
        <w:t xml:space="preserve"> </w:t>
      </w:r>
      <w:r w:rsidRPr="004553D9">
        <w:rPr>
          <w:color w:val="161623"/>
        </w:rPr>
        <w:t>the</w:t>
      </w:r>
      <w:r w:rsidRPr="004553D9">
        <w:rPr>
          <w:color w:val="161623"/>
          <w:spacing w:val="13"/>
        </w:rPr>
        <w:t xml:space="preserve"> </w:t>
      </w:r>
      <w:r w:rsidRPr="004553D9">
        <w:rPr>
          <w:color w:val="161623"/>
        </w:rPr>
        <w:t>financial</w:t>
      </w:r>
      <w:r w:rsidRPr="004553D9">
        <w:rPr>
          <w:color w:val="161623"/>
          <w:spacing w:val="30"/>
        </w:rPr>
        <w:t xml:space="preserve"> </w:t>
      </w:r>
      <w:r w:rsidRPr="004553D9">
        <w:rPr>
          <w:color w:val="161623"/>
        </w:rPr>
        <w:t>statements</w:t>
      </w:r>
      <w:r w:rsidRPr="004553D9">
        <w:rPr>
          <w:color w:val="161623"/>
          <w:spacing w:val="35"/>
        </w:rPr>
        <w:t xml:space="preserve"> </w:t>
      </w:r>
      <w:r w:rsidRPr="004553D9">
        <w:rPr>
          <w:color w:val="161623"/>
        </w:rPr>
        <w:t>represent</w:t>
      </w:r>
      <w:r w:rsidRPr="004553D9">
        <w:rPr>
          <w:color w:val="161623"/>
          <w:spacing w:val="22"/>
        </w:rPr>
        <w:t xml:space="preserve"> </w:t>
      </w:r>
      <w:r w:rsidRPr="004553D9">
        <w:rPr>
          <w:color w:val="161623"/>
        </w:rPr>
        <w:t>the</w:t>
      </w:r>
      <w:r w:rsidRPr="004553D9">
        <w:rPr>
          <w:color w:val="161623"/>
          <w:spacing w:val="27"/>
        </w:rPr>
        <w:t xml:space="preserve"> </w:t>
      </w:r>
      <w:r w:rsidRPr="004553D9">
        <w:rPr>
          <w:color w:val="161623"/>
        </w:rPr>
        <w:t>underlying</w:t>
      </w:r>
      <w:r w:rsidRPr="004553D9">
        <w:rPr>
          <w:color w:val="161623"/>
          <w:w w:val="101"/>
        </w:rPr>
        <w:t xml:space="preserve"> </w:t>
      </w:r>
      <w:r w:rsidRPr="004553D9">
        <w:rPr>
          <w:color w:val="161623"/>
        </w:rPr>
        <w:t>transact</w:t>
      </w:r>
      <w:r w:rsidRPr="004553D9">
        <w:rPr>
          <w:color w:val="161623"/>
          <w:spacing w:val="-25"/>
        </w:rPr>
        <w:t xml:space="preserve"> </w:t>
      </w:r>
      <w:r w:rsidRPr="004553D9">
        <w:rPr>
          <w:color w:val="31313A"/>
          <w:spacing w:val="-13"/>
        </w:rPr>
        <w:t>i</w:t>
      </w:r>
      <w:r w:rsidRPr="004553D9">
        <w:rPr>
          <w:color w:val="161623"/>
        </w:rPr>
        <w:t>ons</w:t>
      </w:r>
      <w:r w:rsidRPr="004553D9">
        <w:rPr>
          <w:color w:val="161623"/>
          <w:spacing w:val="19"/>
        </w:rPr>
        <w:t xml:space="preserve"> </w:t>
      </w:r>
      <w:r w:rsidRPr="004553D9">
        <w:rPr>
          <w:color w:val="161623"/>
        </w:rPr>
        <w:t>and</w:t>
      </w:r>
      <w:r w:rsidRPr="004553D9">
        <w:rPr>
          <w:color w:val="161623"/>
          <w:spacing w:val="15"/>
        </w:rPr>
        <w:t xml:space="preserve"> </w:t>
      </w:r>
      <w:r w:rsidRPr="004553D9">
        <w:rPr>
          <w:color w:val="161623"/>
        </w:rPr>
        <w:t>events</w:t>
      </w:r>
      <w:r w:rsidRPr="004553D9">
        <w:rPr>
          <w:color w:val="161623"/>
          <w:spacing w:val="33"/>
        </w:rPr>
        <w:t xml:space="preserve"> </w:t>
      </w:r>
      <w:r w:rsidRPr="004553D9">
        <w:rPr>
          <w:color w:val="161623"/>
        </w:rPr>
        <w:t>in</w:t>
      </w:r>
      <w:r w:rsidRPr="004553D9">
        <w:rPr>
          <w:color w:val="161623"/>
          <w:spacing w:val="9"/>
        </w:rPr>
        <w:t xml:space="preserve"> </w:t>
      </w:r>
      <w:r w:rsidRPr="004553D9">
        <w:rPr>
          <w:color w:val="161623"/>
        </w:rPr>
        <w:t>a</w:t>
      </w:r>
      <w:r w:rsidRPr="004553D9">
        <w:rPr>
          <w:color w:val="161623"/>
          <w:spacing w:val="23"/>
        </w:rPr>
        <w:t xml:space="preserve"> </w:t>
      </w:r>
      <w:r w:rsidRPr="004553D9">
        <w:rPr>
          <w:color w:val="161623"/>
        </w:rPr>
        <w:t>manner</w:t>
      </w:r>
      <w:r w:rsidRPr="004553D9">
        <w:rPr>
          <w:color w:val="161623"/>
          <w:spacing w:val="20"/>
        </w:rPr>
        <w:t xml:space="preserve"> </w:t>
      </w:r>
      <w:r w:rsidRPr="004553D9">
        <w:rPr>
          <w:color w:val="161623"/>
        </w:rPr>
        <w:t>that</w:t>
      </w:r>
      <w:r w:rsidRPr="004553D9">
        <w:rPr>
          <w:color w:val="161623"/>
          <w:spacing w:val="26"/>
        </w:rPr>
        <w:t xml:space="preserve"> </w:t>
      </w:r>
      <w:r w:rsidRPr="004553D9">
        <w:rPr>
          <w:color w:val="161623"/>
        </w:rPr>
        <w:t>achieves</w:t>
      </w:r>
      <w:r w:rsidRPr="004553D9">
        <w:rPr>
          <w:color w:val="161623"/>
          <w:spacing w:val="21"/>
        </w:rPr>
        <w:t xml:space="preserve"> </w:t>
      </w:r>
      <w:r w:rsidRPr="004553D9">
        <w:rPr>
          <w:color w:val="161623"/>
        </w:rPr>
        <w:t>fair</w:t>
      </w:r>
      <w:r w:rsidRPr="004553D9">
        <w:rPr>
          <w:color w:val="161623"/>
          <w:spacing w:val="37"/>
        </w:rPr>
        <w:t xml:space="preserve"> </w:t>
      </w:r>
      <w:r w:rsidRPr="004553D9">
        <w:rPr>
          <w:color w:val="161623"/>
        </w:rPr>
        <w:t>presentation</w:t>
      </w:r>
      <w:r w:rsidRPr="004553D9">
        <w:rPr>
          <w:color w:val="4F4F52"/>
        </w:rPr>
        <w:t>.</w:t>
      </w:r>
    </w:p>
    <w:p w14:paraId="1931130F" w14:textId="7A72437C" w:rsidR="004553D9" w:rsidRDefault="004553D9" w:rsidP="004553D9">
      <w:r>
        <w:rPr>
          <w:color w:val="161623"/>
        </w:rPr>
        <w:t>I</w:t>
      </w:r>
      <w:r>
        <w:rPr>
          <w:color w:val="161623"/>
          <w:spacing w:val="-15"/>
        </w:rPr>
        <w:t xml:space="preserve"> </w:t>
      </w:r>
      <w:r>
        <w:rPr>
          <w:color w:val="161623"/>
        </w:rPr>
        <w:t>communicate</w:t>
      </w:r>
      <w:r>
        <w:rPr>
          <w:color w:val="161623"/>
          <w:spacing w:val="32"/>
        </w:rPr>
        <w:t xml:space="preserve"> </w:t>
      </w:r>
      <w:r>
        <w:rPr>
          <w:color w:val="161623"/>
        </w:rPr>
        <w:t>with</w:t>
      </w:r>
      <w:r>
        <w:rPr>
          <w:color w:val="161623"/>
          <w:spacing w:val="20"/>
        </w:rPr>
        <w:t xml:space="preserve"> </w:t>
      </w:r>
      <w:r>
        <w:rPr>
          <w:color w:val="161623"/>
        </w:rPr>
        <w:t>the</w:t>
      </w:r>
      <w:r>
        <w:rPr>
          <w:color w:val="161623"/>
          <w:spacing w:val="14"/>
        </w:rPr>
        <w:t xml:space="preserve"> </w:t>
      </w:r>
      <w:r>
        <w:rPr>
          <w:color w:val="161623"/>
        </w:rPr>
        <w:t>Authority</w:t>
      </w:r>
      <w:r>
        <w:rPr>
          <w:color w:val="161623"/>
          <w:spacing w:val="42"/>
        </w:rPr>
        <w:t xml:space="preserve"> </w:t>
      </w:r>
      <w:r>
        <w:rPr>
          <w:color w:val="161623"/>
        </w:rPr>
        <w:t>regarding,</w:t>
      </w:r>
      <w:r>
        <w:rPr>
          <w:color w:val="161623"/>
          <w:spacing w:val="16"/>
        </w:rPr>
        <w:t xml:space="preserve"> </w:t>
      </w:r>
      <w:r>
        <w:rPr>
          <w:color w:val="161623"/>
        </w:rPr>
        <w:t>among</w:t>
      </w:r>
      <w:r>
        <w:rPr>
          <w:color w:val="161623"/>
          <w:spacing w:val="19"/>
        </w:rPr>
        <w:t xml:space="preserve"> </w:t>
      </w:r>
      <w:r>
        <w:rPr>
          <w:color w:val="161623"/>
        </w:rPr>
        <w:t>other</w:t>
      </w:r>
      <w:r>
        <w:rPr>
          <w:color w:val="161623"/>
          <w:spacing w:val="28"/>
        </w:rPr>
        <w:t xml:space="preserve"> </w:t>
      </w:r>
      <w:r>
        <w:rPr>
          <w:color w:val="161623"/>
        </w:rPr>
        <w:t>matters,</w:t>
      </w:r>
      <w:r>
        <w:rPr>
          <w:color w:val="161623"/>
          <w:spacing w:val="13"/>
        </w:rPr>
        <w:t xml:space="preserve"> </w:t>
      </w:r>
      <w:r>
        <w:rPr>
          <w:color w:val="161623"/>
        </w:rPr>
        <w:t>the</w:t>
      </w:r>
      <w:r>
        <w:rPr>
          <w:color w:val="161623"/>
          <w:spacing w:val="25"/>
        </w:rPr>
        <w:t xml:space="preserve"> </w:t>
      </w:r>
      <w:r>
        <w:rPr>
          <w:color w:val="161623"/>
        </w:rPr>
        <w:t>planned</w:t>
      </w:r>
      <w:r>
        <w:rPr>
          <w:color w:val="161623"/>
          <w:spacing w:val="15"/>
        </w:rPr>
        <w:t xml:space="preserve"> </w:t>
      </w:r>
      <w:r>
        <w:rPr>
          <w:color w:val="161623"/>
        </w:rPr>
        <w:t>scope</w:t>
      </w:r>
      <w:r>
        <w:rPr>
          <w:color w:val="161623"/>
          <w:spacing w:val="23"/>
        </w:rPr>
        <w:t xml:space="preserve"> </w:t>
      </w:r>
      <w:r>
        <w:rPr>
          <w:color w:val="161623"/>
        </w:rPr>
        <w:t>and</w:t>
      </w:r>
      <w:r>
        <w:rPr>
          <w:color w:val="161623"/>
          <w:spacing w:val="3"/>
        </w:rPr>
        <w:t xml:space="preserve"> </w:t>
      </w:r>
      <w:r>
        <w:rPr>
          <w:color w:val="161623"/>
        </w:rPr>
        <w:t>timing</w:t>
      </w:r>
      <w:r>
        <w:rPr>
          <w:color w:val="161623"/>
          <w:spacing w:val="29"/>
        </w:rPr>
        <w:t xml:space="preserve"> </w:t>
      </w:r>
      <w:r>
        <w:rPr>
          <w:color w:val="161623"/>
        </w:rPr>
        <w:t>of the</w:t>
      </w:r>
      <w:r>
        <w:rPr>
          <w:color w:val="161623"/>
          <w:spacing w:val="17"/>
        </w:rPr>
        <w:t xml:space="preserve"> </w:t>
      </w:r>
      <w:r>
        <w:rPr>
          <w:color w:val="161623"/>
        </w:rPr>
        <w:t>audit</w:t>
      </w:r>
      <w:r>
        <w:rPr>
          <w:color w:val="161623"/>
          <w:spacing w:val="19"/>
        </w:rPr>
        <w:t xml:space="preserve"> </w:t>
      </w:r>
      <w:r>
        <w:rPr>
          <w:color w:val="161623"/>
        </w:rPr>
        <w:t>and</w:t>
      </w:r>
      <w:r>
        <w:rPr>
          <w:color w:val="161623"/>
          <w:spacing w:val="12"/>
        </w:rPr>
        <w:t xml:space="preserve"> </w:t>
      </w:r>
      <w:r>
        <w:rPr>
          <w:color w:val="161623"/>
        </w:rPr>
        <w:t>significant</w:t>
      </w:r>
      <w:r>
        <w:rPr>
          <w:color w:val="161623"/>
          <w:spacing w:val="26"/>
        </w:rPr>
        <w:t xml:space="preserve"> </w:t>
      </w:r>
      <w:r>
        <w:rPr>
          <w:color w:val="161623"/>
        </w:rPr>
        <w:t>audit</w:t>
      </w:r>
      <w:r>
        <w:rPr>
          <w:color w:val="161623"/>
          <w:spacing w:val="13"/>
        </w:rPr>
        <w:t xml:space="preserve"> </w:t>
      </w:r>
      <w:r>
        <w:rPr>
          <w:color w:val="161623"/>
        </w:rPr>
        <w:t>findings,</w:t>
      </w:r>
      <w:r>
        <w:rPr>
          <w:color w:val="161623"/>
          <w:spacing w:val="36"/>
        </w:rPr>
        <w:t xml:space="preserve"> </w:t>
      </w:r>
      <w:r>
        <w:rPr>
          <w:color w:val="161623"/>
        </w:rPr>
        <w:t>including</w:t>
      </w:r>
      <w:r>
        <w:rPr>
          <w:color w:val="161623"/>
          <w:spacing w:val="24"/>
        </w:rPr>
        <w:t xml:space="preserve"> </w:t>
      </w:r>
      <w:r>
        <w:rPr>
          <w:color w:val="161623"/>
        </w:rPr>
        <w:t>any</w:t>
      </w:r>
      <w:r>
        <w:rPr>
          <w:color w:val="161623"/>
          <w:spacing w:val="14"/>
        </w:rPr>
        <w:t xml:space="preserve"> </w:t>
      </w:r>
      <w:r>
        <w:rPr>
          <w:color w:val="161623"/>
        </w:rPr>
        <w:t>significant</w:t>
      </w:r>
      <w:r>
        <w:rPr>
          <w:color w:val="161623"/>
          <w:spacing w:val="26"/>
        </w:rPr>
        <w:t xml:space="preserve"> </w:t>
      </w:r>
      <w:r>
        <w:rPr>
          <w:color w:val="161623"/>
        </w:rPr>
        <w:t>deficiencies</w:t>
      </w:r>
      <w:r>
        <w:rPr>
          <w:color w:val="161623"/>
          <w:spacing w:val="34"/>
        </w:rPr>
        <w:t xml:space="preserve"> </w:t>
      </w:r>
      <w:r>
        <w:rPr>
          <w:color w:val="161623"/>
        </w:rPr>
        <w:t>in</w:t>
      </w:r>
      <w:r>
        <w:rPr>
          <w:color w:val="161623"/>
          <w:spacing w:val="11"/>
        </w:rPr>
        <w:t xml:space="preserve"> </w:t>
      </w:r>
      <w:r>
        <w:rPr>
          <w:color w:val="161623"/>
        </w:rPr>
        <w:t>internal</w:t>
      </w:r>
      <w:r>
        <w:rPr>
          <w:color w:val="161623"/>
          <w:spacing w:val="13"/>
        </w:rPr>
        <w:t xml:space="preserve"> </w:t>
      </w:r>
      <w:r>
        <w:rPr>
          <w:color w:val="161623"/>
        </w:rPr>
        <w:t>control</w:t>
      </w:r>
      <w:r>
        <w:rPr>
          <w:color w:val="161623"/>
          <w:spacing w:val="11"/>
        </w:rPr>
        <w:t xml:space="preserve"> </w:t>
      </w:r>
      <w:r>
        <w:rPr>
          <w:color w:val="161623"/>
        </w:rPr>
        <w:t>that</w:t>
      </w:r>
      <w:r>
        <w:rPr>
          <w:color w:val="161623"/>
          <w:spacing w:val="32"/>
        </w:rPr>
        <w:t xml:space="preserve"> </w:t>
      </w:r>
      <w:r>
        <w:rPr>
          <w:color w:val="161623"/>
        </w:rPr>
        <w:t>I</w:t>
      </w:r>
      <w:r>
        <w:rPr>
          <w:color w:val="161623"/>
          <w:w w:val="97"/>
        </w:rPr>
        <w:t xml:space="preserve"> </w:t>
      </w:r>
      <w:r>
        <w:rPr>
          <w:color w:val="161623"/>
        </w:rPr>
        <w:t>identify</w:t>
      </w:r>
      <w:r>
        <w:rPr>
          <w:color w:val="161623"/>
          <w:spacing w:val="16"/>
        </w:rPr>
        <w:t xml:space="preserve"> </w:t>
      </w:r>
      <w:r>
        <w:rPr>
          <w:color w:val="161623"/>
        </w:rPr>
        <w:t>during</w:t>
      </w:r>
      <w:r>
        <w:rPr>
          <w:color w:val="161623"/>
          <w:spacing w:val="33"/>
        </w:rPr>
        <w:t xml:space="preserve"> </w:t>
      </w:r>
      <w:r>
        <w:rPr>
          <w:color w:val="161623"/>
        </w:rPr>
        <w:t>my</w:t>
      </w:r>
      <w:r>
        <w:rPr>
          <w:color w:val="161623"/>
          <w:spacing w:val="15"/>
        </w:rPr>
        <w:t xml:space="preserve"> </w:t>
      </w:r>
      <w:r>
        <w:rPr>
          <w:color w:val="161623"/>
        </w:rPr>
        <w:t>audit.</w:t>
      </w:r>
    </w:p>
    <w:p w14:paraId="3F53A5FF" w14:textId="77777777" w:rsidR="004553D9" w:rsidRDefault="004553D9" w:rsidP="004553D9">
      <w:pPr>
        <w:rPr>
          <w:b/>
        </w:rPr>
      </w:pPr>
      <w:r w:rsidRPr="004553D9">
        <w:rPr>
          <w:b/>
        </w:rPr>
        <w:t>Report</w:t>
      </w:r>
      <w:r w:rsidRPr="004553D9">
        <w:rPr>
          <w:b/>
          <w:spacing w:val="14"/>
        </w:rPr>
        <w:t xml:space="preserve"> </w:t>
      </w:r>
      <w:r w:rsidRPr="004553D9">
        <w:rPr>
          <w:b/>
        </w:rPr>
        <w:t>on</w:t>
      </w:r>
      <w:r w:rsidRPr="004553D9">
        <w:rPr>
          <w:b/>
          <w:spacing w:val="18"/>
        </w:rPr>
        <w:t xml:space="preserve"> </w:t>
      </w:r>
      <w:r w:rsidRPr="004553D9">
        <w:rPr>
          <w:b/>
        </w:rPr>
        <w:t>Controls</w:t>
      </w:r>
    </w:p>
    <w:p w14:paraId="0C93E090" w14:textId="4A28631C" w:rsidR="004553D9" w:rsidRPr="009B1B3A" w:rsidRDefault="004553D9" w:rsidP="009B1B3A">
      <w:pPr>
        <w:rPr>
          <w:b/>
          <w:i/>
        </w:rPr>
      </w:pPr>
      <w:r w:rsidRPr="009B1B3A">
        <w:rPr>
          <w:b/>
          <w:i/>
        </w:rPr>
        <w:t>Opinion</w:t>
      </w:r>
    </w:p>
    <w:p w14:paraId="06C02235" w14:textId="4350123C" w:rsidR="009B1B3A" w:rsidRDefault="009B1B3A" w:rsidP="009B1B3A">
      <w:r>
        <w:t>I</w:t>
      </w:r>
      <w:r>
        <w:rPr>
          <w:spacing w:val="7"/>
        </w:rPr>
        <w:t xml:space="preserve"> </w:t>
      </w:r>
      <w:r>
        <w:t>have</w:t>
      </w:r>
      <w:r>
        <w:rPr>
          <w:spacing w:val="16"/>
        </w:rPr>
        <w:t xml:space="preserve"> </w:t>
      </w:r>
      <w:r>
        <w:t>undertaken</w:t>
      </w:r>
      <w:r>
        <w:rPr>
          <w:spacing w:val="30"/>
        </w:rPr>
        <w:t xml:space="preserve"> </w:t>
      </w:r>
      <w:r>
        <w:t>a</w:t>
      </w:r>
      <w:r>
        <w:rPr>
          <w:spacing w:val="21"/>
        </w:rPr>
        <w:t xml:space="preserve"> </w:t>
      </w:r>
      <w:r>
        <w:t>reasonable</w:t>
      </w:r>
      <w:r>
        <w:rPr>
          <w:spacing w:val="21"/>
        </w:rPr>
        <w:t xml:space="preserve"> </w:t>
      </w:r>
      <w:r>
        <w:t>assurance</w:t>
      </w:r>
      <w:r>
        <w:rPr>
          <w:spacing w:val="33"/>
        </w:rPr>
        <w:t xml:space="preserve"> </w:t>
      </w:r>
      <w:r>
        <w:t>engagement</w:t>
      </w:r>
      <w:r>
        <w:rPr>
          <w:spacing w:val="37"/>
        </w:rPr>
        <w:t xml:space="preserve"> </w:t>
      </w:r>
      <w:r>
        <w:t>on</w:t>
      </w:r>
      <w:r>
        <w:rPr>
          <w:spacing w:val="12"/>
        </w:rPr>
        <w:t xml:space="preserve"> </w:t>
      </w:r>
      <w:r>
        <w:t>the</w:t>
      </w:r>
      <w:r>
        <w:rPr>
          <w:spacing w:val="20"/>
        </w:rPr>
        <w:t xml:space="preserve"> </w:t>
      </w:r>
      <w:r>
        <w:t>design</w:t>
      </w:r>
      <w:r>
        <w:rPr>
          <w:spacing w:val="24"/>
        </w:rPr>
        <w:t xml:space="preserve"> </w:t>
      </w:r>
      <w:r>
        <w:t>and</w:t>
      </w:r>
      <w:r>
        <w:rPr>
          <w:spacing w:val="21"/>
        </w:rPr>
        <w:t xml:space="preserve"> </w:t>
      </w:r>
      <w:r>
        <w:t>implementation</w:t>
      </w:r>
      <w:r>
        <w:rPr>
          <w:spacing w:val="39"/>
        </w:rPr>
        <w:t xml:space="preserve"> </w:t>
      </w:r>
      <w:r>
        <w:t>of</w:t>
      </w:r>
      <w:r>
        <w:rPr>
          <w:w w:val="105"/>
        </w:rPr>
        <w:t xml:space="preserve"> </w:t>
      </w:r>
      <w:r>
        <w:t>controls</w:t>
      </w:r>
      <w:r>
        <w:rPr>
          <w:spacing w:val="20"/>
        </w:rPr>
        <w:t xml:space="preserve"> </w:t>
      </w:r>
      <w:r>
        <w:t>exercised</w:t>
      </w:r>
      <w:r>
        <w:rPr>
          <w:spacing w:val="39"/>
        </w:rPr>
        <w:t xml:space="preserve"> </w:t>
      </w:r>
      <w:r>
        <w:t>by</w:t>
      </w:r>
      <w:r>
        <w:rPr>
          <w:spacing w:val="1"/>
        </w:rPr>
        <w:t xml:space="preserve"> </w:t>
      </w:r>
      <w:r>
        <w:t>the</w:t>
      </w:r>
      <w:r>
        <w:rPr>
          <w:spacing w:val="13"/>
        </w:rPr>
        <w:t xml:space="preserve"> </w:t>
      </w:r>
      <w:r>
        <w:t>WorkCover</w:t>
      </w:r>
      <w:r>
        <w:rPr>
          <w:spacing w:val="34"/>
        </w:rPr>
        <w:t xml:space="preserve"> </w:t>
      </w:r>
      <w:r>
        <w:t>Western</w:t>
      </w:r>
      <w:r>
        <w:rPr>
          <w:spacing w:val="15"/>
        </w:rPr>
        <w:t xml:space="preserve"> </w:t>
      </w:r>
      <w:r>
        <w:t>Australia</w:t>
      </w:r>
      <w:r>
        <w:rPr>
          <w:spacing w:val="32"/>
        </w:rPr>
        <w:t xml:space="preserve"> </w:t>
      </w:r>
      <w:r>
        <w:t>Authority</w:t>
      </w:r>
      <w:r>
        <w:rPr>
          <w:color w:val="31313A"/>
        </w:rPr>
        <w:t>.</w:t>
      </w:r>
      <w:r>
        <w:rPr>
          <w:color w:val="31313A"/>
          <w:spacing w:val="-2"/>
        </w:rPr>
        <w:t xml:space="preserve"> </w:t>
      </w:r>
      <w:r>
        <w:t>The</w:t>
      </w:r>
      <w:r>
        <w:rPr>
          <w:spacing w:val="18"/>
        </w:rPr>
        <w:t xml:space="preserve"> </w:t>
      </w:r>
      <w:r>
        <w:t>controls</w:t>
      </w:r>
      <w:r>
        <w:rPr>
          <w:spacing w:val="24"/>
        </w:rPr>
        <w:t xml:space="preserve"> </w:t>
      </w:r>
      <w:r>
        <w:t>exercised</w:t>
      </w:r>
      <w:r>
        <w:rPr>
          <w:spacing w:val="28"/>
        </w:rPr>
        <w:t xml:space="preserve"> </w:t>
      </w:r>
      <w:r>
        <w:t>by</w:t>
      </w:r>
      <w:r>
        <w:rPr>
          <w:spacing w:val="7"/>
        </w:rPr>
        <w:t xml:space="preserve"> </w:t>
      </w:r>
      <w:r>
        <w:t>the</w:t>
      </w:r>
      <w:r>
        <w:rPr>
          <w:w w:val="101"/>
        </w:rPr>
        <w:t xml:space="preserve"> </w:t>
      </w:r>
      <w:r>
        <w:t>Authority</w:t>
      </w:r>
      <w:r>
        <w:rPr>
          <w:spacing w:val="40"/>
        </w:rPr>
        <w:t xml:space="preserve"> </w:t>
      </w:r>
      <w:r>
        <w:t>are</w:t>
      </w:r>
      <w:r>
        <w:rPr>
          <w:spacing w:val="10"/>
        </w:rPr>
        <w:t xml:space="preserve"> </w:t>
      </w:r>
      <w:r>
        <w:t>those</w:t>
      </w:r>
      <w:r>
        <w:rPr>
          <w:spacing w:val="32"/>
        </w:rPr>
        <w:t xml:space="preserve"> </w:t>
      </w:r>
      <w:r>
        <w:t>policies</w:t>
      </w:r>
      <w:r>
        <w:rPr>
          <w:spacing w:val="14"/>
        </w:rPr>
        <w:t xml:space="preserve"> </w:t>
      </w:r>
      <w:r>
        <w:t>and</w:t>
      </w:r>
      <w:r>
        <w:rPr>
          <w:spacing w:val="24"/>
        </w:rPr>
        <w:t xml:space="preserve"> </w:t>
      </w:r>
      <w:r>
        <w:t>procedures</w:t>
      </w:r>
      <w:r>
        <w:rPr>
          <w:spacing w:val="30"/>
        </w:rPr>
        <w:t xml:space="preserve"> </w:t>
      </w:r>
      <w:r>
        <w:t>established</w:t>
      </w:r>
      <w:r>
        <w:rPr>
          <w:spacing w:val="38"/>
        </w:rPr>
        <w:t xml:space="preserve"> </w:t>
      </w:r>
      <w:r>
        <w:t>by</w:t>
      </w:r>
      <w:r>
        <w:rPr>
          <w:spacing w:val="3"/>
        </w:rPr>
        <w:t xml:space="preserve"> </w:t>
      </w:r>
      <w:r>
        <w:t>the</w:t>
      </w:r>
      <w:r>
        <w:rPr>
          <w:spacing w:val="14"/>
        </w:rPr>
        <w:t xml:space="preserve"> </w:t>
      </w:r>
      <w:r>
        <w:t>Authority</w:t>
      </w:r>
      <w:r>
        <w:rPr>
          <w:spacing w:val="32"/>
        </w:rPr>
        <w:t xml:space="preserve"> </w:t>
      </w:r>
      <w:r>
        <w:t>to</w:t>
      </w:r>
      <w:r>
        <w:rPr>
          <w:spacing w:val="17"/>
        </w:rPr>
        <w:t xml:space="preserve"> </w:t>
      </w:r>
      <w:r>
        <w:t>ensure</w:t>
      </w:r>
      <w:r>
        <w:rPr>
          <w:spacing w:val="13"/>
        </w:rPr>
        <w:t xml:space="preserve"> </w:t>
      </w:r>
      <w:r>
        <w:t>that</w:t>
      </w:r>
      <w:r>
        <w:rPr>
          <w:spacing w:val="11"/>
        </w:rPr>
        <w:t xml:space="preserve"> </w:t>
      </w:r>
      <w:r>
        <w:t>the</w:t>
      </w:r>
      <w:r>
        <w:rPr>
          <w:spacing w:val="19"/>
        </w:rPr>
        <w:t xml:space="preserve"> </w:t>
      </w:r>
      <w:r>
        <w:t>receipt,</w:t>
      </w:r>
      <w:r>
        <w:rPr>
          <w:w w:val="102"/>
        </w:rPr>
        <w:t xml:space="preserve"> </w:t>
      </w:r>
      <w:r>
        <w:t>expenditure</w:t>
      </w:r>
      <w:r>
        <w:rPr>
          <w:spacing w:val="36"/>
        </w:rPr>
        <w:t xml:space="preserve"> </w:t>
      </w:r>
      <w:r>
        <w:t>and</w:t>
      </w:r>
      <w:r>
        <w:rPr>
          <w:spacing w:val="22"/>
        </w:rPr>
        <w:t xml:space="preserve"> </w:t>
      </w:r>
      <w:r>
        <w:t>investment</w:t>
      </w:r>
      <w:r>
        <w:rPr>
          <w:spacing w:val="19"/>
        </w:rPr>
        <w:t xml:space="preserve"> </w:t>
      </w:r>
      <w:r>
        <w:t>of</w:t>
      </w:r>
      <w:r>
        <w:rPr>
          <w:spacing w:val="19"/>
        </w:rPr>
        <w:t xml:space="preserve"> </w:t>
      </w:r>
      <w:r>
        <w:t>money,</w:t>
      </w:r>
      <w:r>
        <w:rPr>
          <w:spacing w:val="11"/>
        </w:rPr>
        <w:t xml:space="preserve"> </w:t>
      </w:r>
      <w:r>
        <w:t>the</w:t>
      </w:r>
      <w:r>
        <w:rPr>
          <w:spacing w:val="24"/>
        </w:rPr>
        <w:t xml:space="preserve"> </w:t>
      </w:r>
      <w:r>
        <w:t>acquisition</w:t>
      </w:r>
      <w:r>
        <w:rPr>
          <w:spacing w:val="34"/>
        </w:rPr>
        <w:t xml:space="preserve"> </w:t>
      </w:r>
      <w:r>
        <w:t>and</w:t>
      </w:r>
      <w:r>
        <w:rPr>
          <w:spacing w:val="17"/>
        </w:rPr>
        <w:t xml:space="preserve"> </w:t>
      </w:r>
      <w:r>
        <w:t>disposal</w:t>
      </w:r>
      <w:r>
        <w:rPr>
          <w:spacing w:val="21"/>
        </w:rPr>
        <w:t xml:space="preserve"> </w:t>
      </w:r>
      <w:r>
        <w:t>of</w:t>
      </w:r>
      <w:r>
        <w:rPr>
          <w:spacing w:val="19"/>
        </w:rPr>
        <w:t xml:space="preserve"> </w:t>
      </w:r>
      <w:r>
        <w:t>property,</w:t>
      </w:r>
      <w:r>
        <w:rPr>
          <w:spacing w:val="25"/>
        </w:rPr>
        <w:t xml:space="preserve"> </w:t>
      </w:r>
      <w:r>
        <w:t>and</w:t>
      </w:r>
      <w:r>
        <w:rPr>
          <w:spacing w:val="11"/>
        </w:rPr>
        <w:t xml:space="preserve"> </w:t>
      </w:r>
      <w:r>
        <w:t>the</w:t>
      </w:r>
      <w:r>
        <w:rPr>
          <w:spacing w:val="24"/>
        </w:rPr>
        <w:t xml:space="preserve"> </w:t>
      </w:r>
      <w:r>
        <w:t>incurring</w:t>
      </w:r>
      <w:r>
        <w:rPr>
          <w:spacing w:val="12"/>
        </w:rPr>
        <w:t xml:space="preserve"> </w:t>
      </w:r>
      <w:r>
        <w:t>of liabilities</w:t>
      </w:r>
      <w:r>
        <w:rPr>
          <w:spacing w:val="29"/>
        </w:rPr>
        <w:t xml:space="preserve"> </w:t>
      </w:r>
      <w:r>
        <w:t>have</w:t>
      </w:r>
      <w:r>
        <w:rPr>
          <w:spacing w:val="23"/>
        </w:rPr>
        <w:t xml:space="preserve"> </w:t>
      </w:r>
      <w:r>
        <w:t>been</w:t>
      </w:r>
      <w:r>
        <w:rPr>
          <w:spacing w:val="21"/>
        </w:rPr>
        <w:t xml:space="preserve"> </w:t>
      </w:r>
      <w:r>
        <w:rPr>
          <w:color w:val="31313A"/>
          <w:spacing w:val="-9"/>
        </w:rPr>
        <w:t>i</w:t>
      </w:r>
      <w:r>
        <w:t>n</w:t>
      </w:r>
      <w:r>
        <w:rPr>
          <w:spacing w:val="9"/>
        </w:rPr>
        <w:t xml:space="preserve"> </w:t>
      </w:r>
      <w:r>
        <w:t>accordance</w:t>
      </w:r>
      <w:r>
        <w:rPr>
          <w:spacing w:val="30"/>
        </w:rPr>
        <w:t xml:space="preserve"> </w:t>
      </w:r>
      <w:r>
        <w:t>with</w:t>
      </w:r>
      <w:r>
        <w:rPr>
          <w:spacing w:val="35"/>
        </w:rPr>
        <w:t xml:space="preserve"> </w:t>
      </w:r>
      <w:r>
        <w:t>legislative</w:t>
      </w:r>
      <w:r>
        <w:rPr>
          <w:spacing w:val="28"/>
        </w:rPr>
        <w:t xml:space="preserve"> </w:t>
      </w:r>
      <w:r>
        <w:t>provi</w:t>
      </w:r>
      <w:r>
        <w:rPr>
          <w:spacing w:val="6"/>
        </w:rPr>
        <w:t>s</w:t>
      </w:r>
      <w:r>
        <w:rPr>
          <w:color w:val="31313A"/>
          <w:spacing w:val="-13"/>
        </w:rPr>
        <w:t>i</w:t>
      </w:r>
      <w:r>
        <w:t>ons</w:t>
      </w:r>
      <w:r>
        <w:rPr>
          <w:spacing w:val="25"/>
        </w:rPr>
        <w:t xml:space="preserve"> </w:t>
      </w:r>
      <w:r>
        <w:t>(the</w:t>
      </w:r>
      <w:r>
        <w:rPr>
          <w:spacing w:val="10"/>
        </w:rPr>
        <w:t xml:space="preserve"> </w:t>
      </w:r>
      <w:r>
        <w:t>overall</w:t>
      </w:r>
      <w:r>
        <w:rPr>
          <w:spacing w:val="26"/>
        </w:rPr>
        <w:t xml:space="preserve"> </w:t>
      </w:r>
      <w:r>
        <w:t>control</w:t>
      </w:r>
      <w:r>
        <w:rPr>
          <w:spacing w:val="25"/>
        </w:rPr>
        <w:t xml:space="preserve"> </w:t>
      </w:r>
      <w:r>
        <w:t>objectives)</w:t>
      </w:r>
      <w:r>
        <w:rPr>
          <w:color w:val="4F4F52"/>
        </w:rPr>
        <w:t>.</w:t>
      </w:r>
    </w:p>
    <w:p w14:paraId="033A9D09" w14:textId="71D84F47" w:rsidR="009B1B3A" w:rsidRDefault="009B1B3A" w:rsidP="009B1B3A">
      <w:r>
        <w:t>My</w:t>
      </w:r>
      <w:r>
        <w:rPr>
          <w:spacing w:val="6"/>
        </w:rPr>
        <w:t xml:space="preserve"> </w:t>
      </w:r>
      <w:r>
        <w:t>opinion</w:t>
      </w:r>
      <w:r>
        <w:rPr>
          <w:spacing w:val="36"/>
        </w:rPr>
        <w:t xml:space="preserve"> </w:t>
      </w:r>
      <w:r>
        <w:t>has</w:t>
      </w:r>
      <w:r>
        <w:rPr>
          <w:spacing w:val="13"/>
        </w:rPr>
        <w:t xml:space="preserve"> </w:t>
      </w:r>
      <w:r>
        <w:t>been</w:t>
      </w:r>
      <w:r>
        <w:rPr>
          <w:spacing w:val="3"/>
        </w:rPr>
        <w:t xml:space="preserve"> </w:t>
      </w:r>
      <w:r>
        <w:t>formed</w:t>
      </w:r>
      <w:r>
        <w:rPr>
          <w:spacing w:val="33"/>
        </w:rPr>
        <w:t xml:space="preserve"> </w:t>
      </w:r>
      <w:r>
        <w:t>on</w:t>
      </w:r>
      <w:r>
        <w:rPr>
          <w:spacing w:val="7"/>
        </w:rPr>
        <w:t xml:space="preserve"> </w:t>
      </w:r>
      <w:r>
        <w:t>the</w:t>
      </w:r>
      <w:r>
        <w:rPr>
          <w:spacing w:val="24"/>
        </w:rPr>
        <w:t xml:space="preserve"> </w:t>
      </w:r>
      <w:r>
        <w:t>basis</w:t>
      </w:r>
      <w:r>
        <w:rPr>
          <w:spacing w:val="16"/>
        </w:rPr>
        <w:t xml:space="preserve"> </w:t>
      </w:r>
      <w:r>
        <w:t>of</w:t>
      </w:r>
      <w:r>
        <w:rPr>
          <w:spacing w:val="8"/>
        </w:rPr>
        <w:t xml:space="preserve"> </w:t>
      </w:r>
      <w:r>
        <w:t>the</w:t>
      </w:r>
      <w:r>
        <w:rPr>
          <w:spacing w:val="26"/>
        </w:rPr>
        <w:t xml:space="preserve"> </w:t>
      </w:r>
      <w:r>
        <w:t>matters</w:t>
      </w:r>
      <w:r>
        <w:rPr>
          <w:spacing w:val="14"/>
        </w:rPr>
        <w:t xml:space="preserve"> </w:t>
      </w:r>
      <w:r>
        <w:t>outlined</w:t>
      </w:r>
      <w:r>
        <w:rPr>
          <w:spacing w:val="29"/>
        </w:rPr>
        <w:t xml:space="preserve"> </w:t>
      </w:r>
      <w:r>
        <w:t>in</w:t>
      </w:r>
      <w:r>
        <w:rPr>
          <w:spacing w:val="-3"/>
        </w:rPr>
        <w:t xml:space="preserve"> </w:t>
      </w:r>
      <w:r>
        <w:t>this</w:t>
      </w:r>
      <w:r>
        <w:rPr>
          <w:spacing w:val="27"/>
        </w:rPr>
        <w:t xml:space="preserve"> </w:t>
      </w:r>
      <w:r>
        <w:t>report.</w:t>
      </w:r>
    </w:p>
    <w:p w14:paraId="7AA71943" w14:textId="770835B7" w:rsidR="009B1B3A" w:rsidRDefault="009B1B3A" w:rsidP="009B1B3A">
      <w:r>
        <w:t>In</w:t>
      </w:r>
      <w:r>
        <w:rPr>
          <w:spacing w:val="1"/>
        </w:rPr>
        <w:t xml:space="preserve"> </w:t>
      </w:r>
      <w:r>
        <w:t>my</w:t>
      </w:r>
      <w:r>
        <w:rPr>
          <w:spacing w:val="14"/>
        </w:rPr>
        <w:t xml:space="preserve"> </w:t>
      </w:r>
      <w:r>
        <w:t>opinion,</w:t>
      </w:r>
      <w:r>
        <w:rPr>
          <w:spacing w:val="31"/>
        </w:rPr>
        <w:t xml:space="preserve"> </w:t>
      </w:r>
      <w:r>
        <w:t>in</w:t>
      </w:r>
      <w:r>
        <w:rPr>
          <w:spacing w:val="8"/>
        </w:rPr>
        <w:t xml:space="preserve"> </w:t>
      </w:r>
      <w:r>
        <w:t>all</w:t>
      </w:r>
      <w:r>
        <w:rPr>
          <w:spacing w:val="15"/>
        </w:rPr>
        <w:t xml:space="preserve"> </w:t>
      </w:r>
      <w:r>
        <w:t>material</w:t>
      </w:r>
      <w:r>
        <w:rPr>
          <w:spacing w:val="27"/>
        </w:rPr>
        <w:t xml:space="preserve"> </w:t>
      </w:r>
      <w:r>
        <w:t>respects,</w:t>
      </w:r>
      <w:r>
        <w:rPr>
          <w:spacing w:val="22"/>
        </w:rPr>
        <w:t xml:space="preserve"> </w:t>
      </w:r>
      <w:r>
        <w:t>the</w:t>
      </w:r>
      <w:r>
        <w:rPr>
          <w:spacing w:val="20"/>
        </w:rPr>
        <w:t xml:space="preserve"> </w:t>
      </w:r>
      <w:r>
        <w:t>controls</w:t>
      </w:r>
      <w:r>
        <w:rPr>
          <w:spacing w:val="21"/>
        </w:rPr>
        <w:t xml:space="preserve"> </w:t>
      </w:r>
      <w:r>
        <w:t>exercised</w:t>
      </w:r>
      <w:r>
        <w:rPr>
          <w:spacing w:val="36"/>
        </w:rPr>
        <w:t xml:space="preserve"> </w:t>
      </w:r>
      <w:r>
        <w:t>by</w:t>
      </w:r>
      <w:r>
        <w:rPr>
          <w:spacing w:val="2"/>
        </w:rPr>
        <w:t xml:space="preserve"> </w:t>
      </w:r>
      <w:r>
        <w:t>the</w:t>
      </w:r>
      <w:r>
        <w:rPr>
          <w:spacing w:val="9"/>
        </w:rPr>
        <w:t xml:space="preserve"> </w:t>
      </w:r>
      <w:r>
        <w:t>WorkCover</w:t>
      </w:r>
      <w:r>
        <w:rPr>
          <w:spacing w:val="24"/>
        </w:rPr>
        <w:t xml:space="preserve"> </w:t>
      </w:r>
      <w:r>
        <w:t>Western</w:t>
      </w:r>
      <w:r>
        <w:rPr>
          <w:spacing w:val="20"/>
        </w:rPr>
        <w:t xml:space="preserve"> </w:t>
      </w:r>
      <w:r>
        <w:t>Australia Autho</w:t>
      </w:r>
      <w:r>
        <w:rPr>
          <w:color w:val="31313A"/>
        </w:rPr>
        <w:t>r</w:t>
      </w:r>
      <w:r>
        <w:t>ity</w:t>
      </w:r>
      <w:r>
        <w:rPr>
          <w:spacing w:val="13"/>
        </w:rPr>
        <w:t xml:space="preserve"> </w:t>
      </w:r>
      <w:r>
        <w:t>are</w:t>
      </w:r>
      <w:r>
        <w:rPr>
          <w:spacing w:val="15"/>
        </w:rPr>
        <w:t xml:space="preserve"> </w:t>
      </w:r>
      <w:r>
        <w:t>sufficiently</w:t>
      </w:r>
      <w:r>
        <w:rPr>
          <w:spacing w:val="42"/>
        </w:rPr>
        <w:t xml:space="preserve"> </w:t>
      </w:r>
      <w:r>
        <w:t>adequate</w:t>
      </w:r>
      <w:r>
        <w:rPr>
          <w:spacing w:val="17"/>
        </w:rPr>
        <w:t xml:space="preserve"> </w:t>
      </w:r>
      <w:r>
        <w:t>to</w:t>
      </w:r>
      <w:r>
        <w:rPr>
          <w:spacing w:val="28"/>
        </w:rPr>
        <w:t xml:space="preserve"> </w:t>
      </w:r>
      <w:r>
        <w:t>provide</w:t>
      </w:r>
      <w:r>
        <w:rPr>
          <w:spacing w:val="23"/>
        </w:rPr>
        <w:t xml:space="preserve"> </w:t>
      </w:r>
      <w:r>
        <w:t>reasonable</w:t>
      </w:r>
      <w:r>
        <w:rPr>
          <w:spacing w:val="31"/>
        </w:rPr>
        <w:t xml:space="preserve"> </w:t>
      </w:r>
      <w:r>
        <w:t>assurance</w:t>
      </w:r>
      <w:r>
        <w:rPr>
          <w:spacing w:val="28"/>
        </w:rPr>
        <w:t xml:space="preserve"> </w:t>
      </w:r>
      <w:r>
        <w:t>that</w:t>
      </w:r>
      <w:r>
        <w:rPr>
          <w:spacing w:val="16"/>
        </w:rPr>
        <w:t xml:space="preserve"> </w:t>
      </w:r>
      <w:r>
        <w:t>the</w:t>
      </w:r>
      <w:r>
        <w:rPr>
          <w:spacing w:val="26"/>
        </w:rPr>
        <w:t xml:space="preserve"> </w:t>
      </w:r>
      <w:r>
        <w:t>receipt,</w:t>
      </w:r>
      <w:r>
        <w:rPr>
          <w:spacing w:val="23"/>
        </w:rPr>
        <w:t xml:space="preserve"> </w:t>
      </w:r>
      <w:r>
        <w:t>expenditure</w:t>
      </w:r>
      <w:r>
        <w:rPr>
          <w:w w:val="101"/>
        </w:rPr>
        <w:t xml:space="preserve"> </w:t>
      </w:r>
      <w:r>
        <w:t>and</w:t>
      </w:r>
      <w:r>
        <w:rPr>
          <w:spacing w:val="24"/>
        </w:rPr>
        <w:t xml:space="preserve"> </w:t>
      </w:r>
      <w:r>
        <w:t>investment</w:t>
      </w:r>
      <w:r>
        <w:rPr>
          <w:spacing w:val="26"/>
        </w:rPr>
        <w:t xml:space="preserve"> </w:t>
      </w:r>
      <w:r>
        <w:t>of</w:t>
      </w:r>
      <w:r>
        <w:rPr>
          <w:spacing w:val="20"/>
        </w:rPr>
        <w:t xml:space="preserve"> </w:t>
      </w:r>
      <w:r>
        <w:t>money</w:t>
      </w:r>
      <w:r>
        <w:rPr>
          <w:color w:val="31313A"/>
        </w:rPr>
        <w:t>,</w:t>
      </w:r>
      <w:r>
        <w:rPr>
          <w:color w:val="31313A"/>
          <w:spacing w:val="-3"/>
        </w:rPr>
        <w:t xml:space="preserve"> </w:t>
      </w:r>
      <w:r>
        <w:t>the</w:t>
      </w:r>
      <w:r>
        <w:rPr>
          <w:spacing w:val="19"/>
        </w:rPr>
        <w:t xml:space="preserve"> </w:t>
      </w:r>
      <w:r>
        <w:t>acq</w:t>
      </w:r>
      <w:r>
        <w:rPr>
          <w:spacing w:val="9"/>
        </w:rPr>
        <w:t>u</w:t>
      </w:r>
      <w:r>
        <w:rPr>
          <w:color w:val="31313A"/>
          <w:spacing w:val="-13"/>
        </w:rPr>
        <w:t>i</w:t>
      </w:r>
      <w:r>
        <w:t>sition</w:t>
      </w:r>
      <w:r>
        <w:rPr>
          <w:spacing w:val="27"/>
        </w:rPr>
        <w:t xml:space="preserve"> </w:t>
      </w:r>
      <w:r>
        <w:t>and</w:t>
      </w:r>
      <w:r>
        <w:rPr>
          <w:spacing w:val="12"/>
        </w:rPr>
        <w:t xml:space="preserve"> </w:t>
      </w:r>
      <w:r>
        <w:t>disposal</w:t>
      </w:r>
      <w:r>
        <w:rPr>
          <w:spacing w:val="28"/>
        </w:rPr>
        <w:t xml:space="preserve"> </w:t>
      </w:r>
      <w:r>
        <w:t>of</w:t>
      </w:r>
      <w:r>
        <w:rPr>
          <w:spacing w:val="19"/>
        </w:rPr>
        <w:t xml:space="preserve"> </w:t>
      </w:r>
      <w:r>
        <w:t>property</w:t>
      </w:r>
      <w:r>
        <w:rPr>
          <w:spacing w:val="26"/>
        </w:rPr>
        <w:t xml:space="preserve"> </w:t>
      </w:r>
      <w:r>
        <w:t>and</w:t>
      </w:r>
      <w:r>
        <w:rPr>
          <w:spacing w:val="9"/>
        </w:rPr>
        <w:t xml:space="preserve"> </w:t>
      </w:r>
      <w:r>
        <w:t>the</w:t>
      </w:r>
      <w:r>
        <w:rPr>
          <w:spacing w:val="25"/>
        </w:rPr>
        <w:t xml:space="preserve"> </w:t>
      </w:r>
      <w:r>
        <w:t>incurring</w:t>
      </w:r>
      <w:r>
        <w:rPr>
          <w:spacing w:val="16"/>
        </w:rPr>
        <w:t xml:space="preserve"> </w:t>
      </w:r>
      <w:r>
        <w:t>of</w:t>
      </w:r>
      <w:r>
        <w:rPr>
          <w:spacing w:val="21"/>
        </w:rPr>
        <w:t xml:space="preserve"> </w:t>
      </w:r>
      <w:r>
        <w:t>liabilities have</w:t>
      </w:r>
      <w:r>
        <w:rPr>
          <w:spacing w:val="19"/>
        </w:rPr>
        <w:t xml:space="preserve"> </w:t>
      </w:r>
      <w:r>
        <w:t>been</w:t>
      </w:r>
      <w:r>
        <w:rPr>
          <w:spacing w:val="17"/>
        </w:rPr>
        <w:t xml:space="preserve"> </w:t>
      </w:r>
      <w:r>
        <w:t>in</w:t>
      </w:r>
      <w:r>
        <w:rPr>
          <w:spacing w:val="9"/>
        </w:rPr>
        <w:t xml:space="preserve"> </w:t>
      </w:r>
      <w:r>
        <w:t>accordance</w:t>
      </w:r>
      <w:r>
        <w:rPr>
          <w:spacing w:val="20"/>
        </w:rPr>
        <w:t xml:space="preserve"> </w:t>
      </w:r>
      <w:r>
        <w:t>with</w:t>
      </w:r>
      <w:r>
        <w:rPr>
          <w:spacing w:val="35"/>
        </w:rPr>
        <w:t xml:space="preserve"> </w:t>
      </w:r>
      <w:r>
        <w:t>legislative</w:t>
      </w:r>
      <w:r>
        <w:rPr>
          <w:spacing w:val="40"/>
        </w:rPr>
        <w:t xml:space="preserve"> </w:t>
      </w:r>
      <w:r>
        <w:t>provisions</w:t>
      </w:r>
      <w:r>
        <w:rPr>
          <w:spacing w:val="24"/>
        </w:rPr>
        <w:t xml:space="preserve"> </w:t>
      </w:r>
      <w:r>
        <w:t>during</w:t>
      </w:r>
      <w:r>
        <w:rPr>
          <w:spacing w:val="16"/>
        </w:rPr>
        <w:t xml:space="preserve"> </w:t>
      </w:r>
      <w:r>
        <w:t>the</w:t>
      </w:r>
      <w:r>
        <w:rPr>
          <w:spacing w:val="23"/>
        </w:rPr>
        <w:t xml:space="preserve"> </w:t>
      </w:r>
      <w:r>
        <w:t>year</w:t>
      </w:r>
      <w:r>
        <w:rPr>
          <w:spacing w:val="27"/>
        </w:rPr>
        <w:t xml:space="preserve"> </w:t>
      </w:r>
      <w:r>
        <w:t>ended</w:t>
      </w:r>
      <w:r>
        <w:rPr>
          <w:spacing w:val="28"/>
        </w:rPr>
        <w:t xml:space="preserve"> </w:t>
      </w:r>
      <w:r>
        <w:t>30</w:t>
      </w:r>
      <w:r>
        <w:rPr>
          <w:spacing w:val="11"/>
        </w:rPr>
        <w:t xml:space="preserve"> </w:t>
      </w:r>
      <w:r>
        <w:t>June</w:t>
      </w:r>
      <w:r>
        <w:rPr>
          <w:spacing w:val="24"/>
        </w:rPr>
        <w:t xml:space="preserve"> </w:t>
      </w:r>
      <w:r>
        <w:t>2018.</w:t>
      </w:r>
    </w:p>
    <w:p w14:paraId="110199FB" w14:textId="16115279" w:rsidR="009B1B3A" w:rsidRPr="009B1B3A" w:rsidRDefault="009B1B3A" w:rsidP="009B1B3A">
      <w:pPr>
        <w:rPr>
          <w:b/>
          <w:i/>
        </w:rPr>
      </w:pPr>
      <w:r w:rsidRPr="009B1B3A">
        <w:rPr>
          <w:b/>
          <w:i/>
        </w:rPr>
        <w:t xml:space="preserve">The Authority’s Responsibilities </w:t>
      </w:r>
    </w:p>
    <w:p w14:paraId="55B74186" w14:textId="38E2D095" w:rsidR="009B1B3A" w:rsidRDefault="009B1B3A" w:rsidP="009B1B3A">
      <w:r>
        <w:t>The</w:t>
      </w:r>
      <w:r>
        <w:rPr>
          <w:spacing w:val="8"/>
        </w:rPr>
        <w:t xml:space="preserve"> </w:t>
      </w:r>
      <w:r>
        <w:t>Authority</w:t>
      </w:r>
      <w:r>
        <w:rPr>
          <w:spacing w:val="45"/>
        </w:rPr>
        <w:t xml:space="preserve"> </w:t>
      </w:r>
      <w:r>
        <w:t>is</w:t>
      </w:r>
      <w:r>
        <w:rPr>
          <w:spacing w:val="14"/>
        </w:rPr>
        <w:t xml:space="preserve"> </w:t>
      </w:r>
      <w:r>
        <w:t>responsible</w:t>
      </w:r>
      <w:r>
        <w:rPr>
          <w:spacing w:val="18"/>
        </w:rPr>
        <w:t xml:space="preserve"> </w:t>
      </w:r>
      <w:r>
        <w:t>for</w:t>
      </w:r>
      <w:r>
        <w:rPr>
          <w:spacing w:val="21"/>
        </w:rPr>
        <w:t xml:space="preserve"> </w:t>
      </w:r>
      <w:r>
        <w:t>designing</w:t>
      </w:r>
      <w:r>
        <w:rPr>
          <w:color w:val="4F4F52"/>
        </w:rPr>
        <w:t>,</w:t>
      </w:r>
      <w:r>
        <w:rPr>
          <w:color w:val="4F4F52"/>
          <w:spacing w:val="-1"/>
        </w:rPr>
        <w:t xml:space="preserve"> </w:t>
      </w:r>
      <w:r>
        <w:t>implementing</w:t>
      </w:r>
      <w:r>
        <w:rPr>
          <w:spacing w:val="38"/>
        </w:rPr>
        <w:t xml:space="preserve"> </w:t>
      </w:r>
      <w:r>
        <w:t>and</w:t>
      </w:r>
      <w:r>
        <w:rPr>
          <w:spacing w:val="23"/>
        </w:rPr>
        <w:t xml:space="preserve"> </w:t>
      </w:r>
      <w:r>
        <w:t>maintaining</w:t>
      </w:r>
      <w:r>
        <w:rPr>
          <w:spacing w:val="24"/>
        </w:rPr>
        <w:t xml:space="preserve"> </w:t>
      </w:r>
      <w:r>
        <w:t>controls</w:t>
      </w:r>
      <w:r>
        <w:rPr>
          <w:spacing w:val="21"/>
        </w:rPr>
        <w:t xml:space="preserve"> </w:t>
      </w:r>
      <w:r>
        <w:t>to</w:t>
      </w:r>
      <w:r>
        <w:rPr>
          <w:spacing w:val="22"/>
        </w:rPr>
        <w:t xml:space="preserve"> </w:t>
      </w:r>
      <w:r>
        <w:t>ensure</w:t>
      </w:r>
      <w:r>
        <w:rPr>
          <w:spacing w:val="22"/>
        </w:rPr>
        <w:t xml:space="preserve"> </w:t>
      </w:r>
      <w:r>
        <w:t>that</w:t>
      </w:r>
      <w:r>
        <w:rPr>
          <w:spacing w:val="19"/>
        </w:rPr>
        <w:t xml:space="preserve"> </w:t>
      </w:r>
      <w:r>
        <w:t>the</w:t>
      </w:r>
      <w:r>
        <w:rPr>
          <w:w w:val="102"/>
        </w:rPr>
        <w:t xml:space="preserve"> </w:t>
      </w:r>
      <w:r>
        <w:t>receip</w:t>
      </w:r>
      <w:r>
        <w:rPr>
          <w:spacing w:val="15"/>
        </w:rPr>
        <w:t>t</w:t>
      </w:r>
      <w:r>
        <w:rPr>
          <w:color w:val="31313A"/>
        </w:rPr>
        <w:t>,</w:t>
      </w:r>
      <w:r>
        <w:rPr>
          <w:color w:val="31313A"/>
          <w:spacing w:val="1"/>
        </w:rPr>
        <w:t xml:space="preserve"> </w:t>
      </w:r>
      <w:r>
        <w:t>expenditure</w:t>
      </w:r>
      <w:r>
        <w:rPr>
          <w:spacing w:val="35"/>
        </w:rPr>
        <w:t xml:space="preserve"> </w:t>
      </w:r>
      <w:r>
        <w:t>and</w:t>
      </w:r>
      <w:r>
        <w:rPr>
          <w:spacing w:val="19"/>
        </w:rPr>
        <w:t xml:space="preserve"> </w:t>
      </w:r>
      <w:r>
        <w:t>investment</w:t>
      </w:r>
      <w:r>
        <w:rPr>
          <w:spacing w:val="24"/>
        </w:rPr>
        <w:t xml:space="preserve"> </w:t>
      </w:r>
      <w:r>
        <w:t>of</w:t>
      </w:r>
      <w:r>
        <w:rPr>
          <w:spacing w:val="17"/>
        </w:rPr>
        <w:t xml:space="preserve"> </w:t>
      </w:r>
      <w:r>
        <w:t>mone</w:t>
      </w:r>
      <w:r>
        <w:rPr>
          <w:spacing w:val="15"/>
        </w:rPr>
        <w:t>y</w:t>
      </w:r>
      <w:r>
        <w:rPr>
          <w:color w:val="31313A"/>
        </w:rPr>
        <w:t>,</w:t>
      </w:r>
      <w:r>
        <w:rPr>
          <w:color w:val="31313A"/>
          <w:spacing w:val="2"/>
        </w:rPr>
        <w:t xml:space="preserve"> </w:t>
      </w:r>
      <w:r>
        <w:t>the</w:t>
      </w:r>
      <w:r>
        <w:rPr>
          <w:spacing w:val="25"/>
        </w:rPr>
        <w:t xml:space="preserve"> </w:t>
      </w:r>
      <w:r>
        <w:t>acquisition</w:t>
      </w:r>
      <w:r>
        <w:rPr>
          <w:spacing w:val="34"/>
        </w:rPr>
        <w:t xml:space="preserve"> </w:t>
      </w:r>
      <w:r>
        <w:t>and</w:t>
      </w:r>
      <w:r>
        <w:rPr>
          <w:spacing w:val="19"/>
        </w:rPr>
        <w:t xml:space="preserve"> </w:t>
      </w:r>
      <w:r>
        <w:t>disposal</w:t>
      </w:r>
      <w:r>
        <w:rPr>
          <w:spacing w:val="21"/>
        </w:rPr>
        <w:t xml:space="preserve"> </w:t>
      </w:r>
      <w:r>
        <w:t>of</w:t>
      </w:r>
      <w:r>
        <w:rPr>
          <w:spacing w:val="19"/>
        </w:rPr>
        <w:t xml:space="preserve"> </w:t>
      </w:r>
      <w:r>
        <w:t>property,</w:t>
      </w:r>
      <w:r>
        <w:rPr>
          <w:spacing w:val="19"/>
        </w:rPr>
        <w:t xml:space="preserve"> </w:t>
      </w:r>
      <w:r>
        <w:t>and</w:t>
      </w:r>
      <w:r>
        <w:rPr>
          <w:spacing w:val="12"/>
        </w:rPr>
        <w:t xml:space="preserve"> </w:t>
      </w:r>
      <w:r>
        <w:t>the</w:t>
      </w:r>
      <w:r>
        <w:rPr>
          <w:w w:val="102"/>
        </w:rPr>
        <w:t xml:space="preserve"> </w:t>
      </w:r>
      <w:r>
        <w:t>incurring</w:t>
      </w:r>
      <w:r>
        <w:rPr>
          <w:spacing w:val="24"/>
        </w:rPr>
        <w:t xml:space="preserve"> </w:t>
      </w:r>
      <w:r>
        <w:t>of</w:t>
      </w:r>
      <w:r>
        <w:rPr>
          <w:spacing w:val="25"/>
        </w:rPr>
        <w:t xml:space="preserve"> </w:t>
      </w:r>
      <w:r>
        <w:t>liabilities</w:t>
      </w:r>
      <w:r>
        <w:rPr>
          <w:spacing w:val="18"/>
        </w:rPr>
        <w:t xml:space="preserve"> </w:t>
      </w:r>
      <w:r>
        <w:t>are</w:t>
      </w:r>
      <w:r>
        <w:rPr>
          <w:spacing w:val="14"/>
        </w:rPr>
        <w:t xml:space="preserve"> </w:t>
      </w:r>
      <w:r>
        <w:rPr>
          <w:color w:val="31313A"/>
          <w:spacing w:val="-9"/>
        </w:rPr>
        <w:t>i</w:t>
      </w:r>
      <w:r>
        <w:t>n</w:t>
      </w:r>
      <w:r>
        <w:rPr>
          <w:spacing w:val="7"/>
        </w:rPr>
        <w:t xml:space="preserve"> </w:t>
      </w:r>
      <w:r>
        <w:t>accordance</w:t>
      </w:r>
      <w:r>
        <w:rPr>
          <w:spacing w:val="28"/>
        </w:rPr>
        <w:t xml:space="preserve"> </w:t>
      </w:r>
      <w:r>
        <w:t>with</w:t>
      </w:r>
      <w:r>
        <w:rPr>
          <w:spacing w:val="16"/>
        </w:rPr>
        <w:t xml:space="preserve"> </w:t>
      </w:r>
      <w:r>
        <w:t>the</w:t>
      </w:r>
      <w:r>
        <w:rPr>
          <w:spacing w:val="26"/>
        </w:rPr>
        <w:t xml:space="preserve"> </w:t>
      </w:r>
      <w:r>
        <w:rPr>
          <w:rFonts w:eastAsia="Arial" w:cs="Arial"/>
          <w:i/>
        </w:rPr>
        <w:t>Financial</w:t>
      </w:r>
      <w:r>
        <w:rPr>
          <w:rFonts w:eastAsia="Arial" w:cs="Arial"/>
          <w:i/>
          <w:spacing w:val="35"/>
        </w:rPr>
        <w:t xml:space="preserve"> </w:t>
      </w:r>
      <w:r>
        <w:rPr>
          <w:rFonts w:eastAsia="Arial" w:cs="Arial"/>
          <w:i/>
        </w:rPr>
        <w:t>Management</w:t>
      </w:r>
      <w:r>
        <w:rPr>
          <w:rFonts w:eastAsia="Arial" w:cs="Arial"/>
          <w:i/>
          <w:spacing w:val="20"/>
        </w:rPr>
        <w:t xml:space="preserve"> </w:t>
      </w:r>
      <w:r>
        <w:rPr>
          <w:rFonts w:eastAsia="Arial" w:cs="Arial"/>
          <w:i/>
        </w:rPr>
        <w:t>Act</w:t>
      </w:r>
      <w:r>
        <w:rPr>
          <w:rFonts w:eastAsia="Arial" w:cs="Arial"/>
          <w:i/>
          <w:spacing w:val="31"/>
        </w:rPr>
        <w:t xml:space="preserve"> </w:t>
      </w:r>
      <w:r>
        <w:rPr>
          <w:rFonts w:eastAsia="Arial" w:cs="Arial"/>
          <w:i/>
        </w:rPr>
        <w:t>200</w:t>
      </w:r>
      <w:r>
        <w:rPr>
          <w:rFonts w:eastAsia="Arial" w:cs="Arial"/>
          <w:i/>
          <w:spacing w:val="12"/>
        </w:rPr>
        <w:t>6</w:t>
      </w:r>
      <w:r>
        <w:rPr>
          <w:rFonts w:eastAsia="Arial" w:cs="Arial"/>
          <w:i/>
          <w:color w:val="31313A"/>
        </w:rPr>
        <w:t>,</w:t>
      </w:r>
      <w:r>
        <w:rPr>
          <w:rFonts w:eastAsia="Arial" w:cs="Arial"/>
          <w:i/>
          <w:color w:val="31313A"/>
          <w:spacing w:val="10"/>
        </w:rPr>
        <w:t xml:space="preserve"> </w:t>
      </w:r>
      <w:r>
        <w:t>the</w:t>
      </w:r>
      <w:r>
        <w:rPr>
          <w:spacing w:val="20"/>
        </w:rPr>
        <w:t xml:space="preserve"> </w:t>
      </w:r>
      <w:r>
        <w:t>Treasurer's</w:t>
      </w:r>
      <w:r>
        <w:rPr>
          <w:w w:val="101"/>
        </w:rPr>
        <w:t xml:space="preserve"> </w:t>
      </w:r>
      <w:r>
        <w:t>Instructions</w:t>
      </w:r>
      <w:r>
        <w:rPr>
          <w:spacing w:val="24"/>
        </w:rPr>
        <w:t xml:space="preserve"> </w:t>
      </w:r>
      <w:r>
        <w:t>and</w:t>
      </w:r>
      <w:r>
        <w:rPr>
          <w:spacing w:val="16"/>
        </w:rPr>
        <w:t xml:space="preserve"> </w:t>
      </w:r>
      <w:r>
        <w:t>other</w:t>
      </w:r>
      <w:r>
        <w:rPr>
          <w:spacing w:val="26"/>
        </w:rPr>
        <w:t xml:space="preserve"> </w:t>
      </w:r>
      <w:r>
        <w:t>relevant</w:t>
      </w:r>
      <w:r>
        <w:rPr>
          <w:spacing w:val="9"/>
        </w:rPr>
        <w:t xml:space="preserve"> </w:t>
      </w:r>
      <w:r>
        <w:t>written</w:t>
      </w:r>
      <w:r>
        <w:rPr>
          <w:spacing w:val="39"/>
        </w:rPr>
        <w:t xml:space="preserve"> </w:t>
      </w:r>
      <w:r>
        <w:t>law.</w:t>
      </w:r>
    </w:p>
    <w:p w14:paraId="773A3095" w14:textId="3176F45A" w:rsidR="009B1B3A" w:rsidRDefault="009B1B3A" w:rsidP="009B1B3A">
      <w:pPr>
        <w:rPr>
          <w:b/>
          <w:i/>
        </w:rPr>
      </w:pPr>
      <w:r>
        <w:rPr>
          <w:b/>
          <w:i/>
        </w:rPr>
        <w:br/>
      </w:r>
      <w:r>
        <w:rPr>
          <w:b/>
          <w:i/>
        </w:rPr>
        <w:br/>
      </w:r>
      <w:r w:rsidRPr="009B1B3A">
        <w:rPr>
          <w:b/>
          <w:i/>
        </w:rPr>
        <w:t>Auditor</w:t>
      </w:r>
      <w:r w:rsidRPr="009B1B3A">
        <w:rPr>
          <w:b/>
          <w:i/>
          <w:spacing w:val="1"/>
        </w:rPr>
        <w:t xml:space="preserve"> </w:t>
      </w:r>
      <w:r w:rsidRPr="009B1B3A">
        <w:rPr>
          <w:b/>
          <w:i/>
        </w:rPr>
        <w:t>General's</w:t>
      </w:r>
      <w:r w:rsidRPr="009B1B3A">
        <w:rPr>
          <w:b/>
          <w:i/>
          <w:spacing w:val="26"/>
        </w:rPr>
        <w:t xml:space="preserve"> </w:t>
      </w:r>
      <w:r w:rsidRPr="009B1B3A">
        <w:rPr>
          <w:b/>
          <w:i/>
        </w:rPr>
        <w:t>Responsibilities</w:t>
      </w:r>
    </w:p>
    <w:p w14:paraId="7ACC88FB" w14:textId="2A7C8EBB" w:rsidR="009B1B3A" w:rsidRDefault="009B1B3A" w:rsidP="009B1B3A">
      <w:r>
        <w:t>As</w:t>
      </w:r>
      <w:r>
        <w:rPr>
          <w:spacing w:val="27"/>
        </w:rPr>
        <w:t xml:space="preserve"> </w:t>
      </w:r>
      <w:r>
        <w:t>required</w:t>
      </w:r>
      <w:r>
        <w:rPr>
          <w:spacing w:val="23"/>
        </w:rPr>
        <w:t xml:space="preserve"> </w:t>
      </w:r>
      <w:r>
        <w:t>by</w:t>
      </w:r>
      <w:r>
        <w:rPr>
          <w:spacing w:val="1"/>
        </w:rPr>
        <w:t xml:space="preserve"> </w:t>
      </w:r>
      <w:r>
        <w:t>the</w:t>
      </w:r>
      <w:r>
        <w:rPr>
          <w:spacing w:val="7"/>
        </w:rPr>
        <w:t xml:space="preserve"> </w:t>
      </w:r>
      <w:r>
        <w:rPr>
          <w:rFonts w:eastAsia="Arial" w:cs="Arial"/>
          <w:i/>
        </w:rPr>
        <w:t>Auditor</w:t>
      </w:r>
      <w:r>
        <w:rPr>
          <w:rFonts w:eastAsia="Arial" w:cs="Arial"/>
          <w:i/>
          <w:spacing w:val="41"/>
        </w:rPr>
        <w:t xml:space="preserve"> </w:t>
      </w:r>
      <w:r>
        <w:rPr>
          <w:rFonts w:eastAsia="Arial" w:cs="Arial"/>
          <w:i/>
        </w:rPr>
        <w:t>General</w:t>
      </w:r>
      <w:r>
        <w:rPr>
          <w:rFonts w:eastAsia="Arial" w:cs="Arial"/>
          <w:i/>
          <w:spacing w:val="-8"/>
        </w:rPr>
        <w:t xml:space="preserve"> </w:t>
      </w:r>
      <w:r>
        <w:rPr>
          <w:rFonts w:eastAsia="Arial" w:cs="Arial"/>
          <w:i/>
        </w:rPr>
        <w:t>Act</w:t>
      </w:r>
      <w:r>
        <w:rPr>
          <w:rFonts w:eastAsia="Arial" w:cs="Arial"/>
          <w:i/>
          <w:spacing w:val="24"/>
        </w:rPr>
        <w:t xml:space="preserve"> </w:t>
      </w:r>
      <w:r>
        <w:rPr>
          <w:rFonts w:eastAsia="Arial" w:cs="Arial"/>
          <w:i/>
        </w:rPr>
        <w:t>2006,</w:t>
      </w:r>
      <w:r>
        <w:rPr>
          <w:rFonts w:eastAsia="Arial" w:cs="Arial"/>
          <w:i/>
          <w:spacing w:val="12"/>
        </w:rPr>
        <w:t xml:space="preserve"> </w:t>
      </w:r>
      <w:r>
        <w:t>my</w:t>
      </w:r>
      <w:r>
        <w:rPr>
          <w:spacing w:val="18"/>
        </w:rPr>
        <w:t xml:space="preserve"> </w:t>
      </w:r>
      <w:r>
        <w:t>responsibility</w:t>
      </w:r>
      <w:r>
        <w:rPr>
          <w:spacing w:val="35"/>
        </w:rPr>
        <w:t xml:space="preserve"> </w:t>
      </w:r>
      <w:r>
        <w:t>as</w:t>
      </w:r>
      <w:r>
        <w:rPr>
          <w:spacing w:val="10"/>
        </w:rPr>
        <w:t xml:space="preserve"> </w:t>
      </w:r>
      <w:r>
        <w:t>an</w:t>
      </w:r>
      <w:r>
        <w:rPr>
          <w:spacing w:val="15"/>
        </w:rPr>
        <w:t xml:space="preserve"> </w:t>
      </w:r>
      <w:r>
        <w:t>assurance</w:t>
      </w:r>
      <w:r>
        <w:rPr>
          <w:spacing w:val="37"/>
        </w:rPr>
        <w:t xml:space="preserve"> </w:t>
      </w:r>
      <w:r>
        <w:t>practitioner</w:t>
      </w:r>
      <w:r>
        <w:rPr>
          <w:spacing w:val="36"/>
        </w:rPr>
        <w:t xml:space="preserve"> </w:t>
      </w:r>
      <w:r>
        <w:t>is</w:t>
      </w:r>
      <w:r>
        <w:rPr>
          <w:spacing w:val="-10"/>
        </w:rPr>
        <w:t xml:space="preserve"> </w:t>
      </w:r>
      <w:r>
        <w:t>to</w:t>
      </w:r>
      <w:r>
        <w:rPr>
          <w:w w:val="101"/>
        </w:rPr>
        <w:t xml:space="preserve"> </w:t>
      </w:r>
      <w:r>
        <w:t>express</w:t>
      </w:r>
      <w:r>
        <w:rPr>
          <w:spacing w:val="21"/>
        </w:rPr>
        <w:t xml:space="preserve"> </w:t>
      </w:r>
      <w:r>
        <w:t>an</w:t>
      </w:r>
      <w:r>
        <w:rPr>
          <w:spacing w:val="15"/>
        </w:rPr>
        <w:t xml:space="preserve"> </w:t>
      </w:r>
      <w:r>
        <w:t>opinion</w:t>
      </w:r>
      <w:r>
        <w:rPr>
          <w:spacing w:val="22"/>
        </w:rPr>
        <w:t xml:space="preserve"> </w:t>
      </w:r>
      <w:r>
        <w:t>on</w:t>
      </w:r>
      <w:r>
        <w:rPr>
          <w:spacing w:val="7"/>
        </w:rPr>
        <w:t xml:space="preserve"> </w:t>
      </w:r>
      <w:r>
        <w:t>the</w:t>
      </w:r>
      <w:r>
        <w:rPr>
          <w:spacing w:val="12"/>
        </w:rPr>
        <w:t xml:space="preserve"> </w:t>
      </w:r>
      <w:r>
        <w:t>suitability</w:t>
      </w:r>
      <w:r>
        <w:rPr>
          <w:spacing w:val="34"/>
        </w:rPr>
        <w:t xml:space="preserve"> </w:t>
      </w:r>
      <w:r>
        <w:t>of</w:t>
      </w:r>
      <w:r>
        <w:rPr>
          <w:spacing w:val="5"/>
        </w:rPr>
        <w:t xml:space="preserve"> </w:t>
      </w:r>
      <w:r>
        <w:t>the</w:t>
      </w:r>
      <w:r>
        <w:rPr>
          <w:spacing w:val="19"/>
        </w:rPr>
        <w:t xml:space="preserve"> </w:t>
      </w:r>
      <w:r>
        <w:t>design</w:t>
      </w:r>
      <w:r>
        <w:rPr>
          <w:spacing w:val="21"/>
        </w:rPr>
        <w:t xml:space="preserve"> </w:t>
      </w:r>
      <w:r>
        <w:t>of</w:t>
      </w:r>
      <w:r>
        <w:rPr>
          <w:spacing w:val="1"/>
        </w:rPr>
        <w:t xml:space="preserve"> </w:t>
      </w:r>
      <w:r>
        <w:t>the</w:t>
      </w:r>
      <w:r>
        <w:rPr>
          <w:spacing w:val="22"/>
        </w:rPr>
        <w:t xml:space="preserve"> </w:t>
      </w:r>
      <w:r>
        <w:t>controls</w:t>
      </w:r>
      <w:r>
        <w:rPr>
          <w:spacing w:val="11"/>
        </w:rPr>
        <w:t xml:space="preserve"> </w:t>
      </w:r>
      <w:r>
        <w:t>to</w:t>
      </w:r>
      <w:r>
        <w:rPr>
          <w:spacing w:val="26"/>
        </w:rPr>
        <w:t xml:space="preserve"> </w:t>
      </w:r>
      <w:r>
        <w:t>achieve</w:t>
      </w:r>
      <w:r>
        <w:rPr>
          <w:spacing w:val="15"/>
        </w:rPr>
        <w:t xml:space="preserve"> </w:t>
      </w:r>
      <w:r>
        <w:t>the</w:t>
      </w:r>
      <w:r>
        <w:rPr>
          <w:spacing w:val="18"/>
        </w:rPr>
        <w:t xml:space="preserve"> </w:t>
      </w:r>
      <w:r>
        <w:t>overall</w:t>
      </w:r>
      <w:r>
        <w:rPr>
          <w:spacing w:val="22"/>
        </w:rPr>
        <w:t xml:space="preserve"> </w:t>
      </w:r>
      <w:r>
        <w:t>control</w:t>
      </w:r>
      <w:r>
        <w:rPr>
          <w:w w:val="99"/>
        </w:rPr>
        <w:t xml:space="preserve"> </w:t>
      </w:r>
      <w:r>
        <w:t>objectives</w:t>
      </w:r>
      <w:r>
        <w:rPr>
          <w:spacing w:val="27"/>
        </w:rPr>
        <w:t xml:space="preserve"> </w:t>
      </w:r>
      <w:r>
        <w:t>and</w:t>
      </w:r>
      <w:r>
        <w:rPr>
          <w:spacing w:val="5"/>
        </w:rPr>
        <w:t xml:space="preserve"> </w:t>
      </w:r>
      <w:r>
        <w:t>the</w:t>
      </w:r>
      <w:r>
        <w:rPr>
          <w:spacing w:val="24"/>
        </w:rPr>
        <w:t xml:space="preserve"> </w:t>
      </w:r>
      <w:r>
        <w:t>implementation</w:t>
      </w:r>
      <w:r>
        <w:rPr>
          <w:spacing w:val="37"/>
        </w:rPr>
        <w:t xml:space="preserve"> </w:t>
      </w:r>
      <w:r>
        <w:t>of</w:t>
      </w:r>
      <w:r>
        <w:rPr>
          <w:spacing w:val="8"/>
        </w:rPr>
        <w:t xml:space="preserve"> </w:t>
      </w:r>
      <w:r>
        <w:t>the</w:t>
      </w:r>
      <w:r>
        <w:rPr>
          <w:spacing w:val="18"/>
        </w:rPr>
        <w:t xml:space="preserve"> </w:t>
      </w:r>
      <w:r>
        <w:t>controls</w:t>
      </w:r>
      <w:r>
        <w:rPr>
          <w:spacing w:val="24"/>
        </w:rPr>
        <w:t xml:space="preserve"> </w:t>
      </w:r>
      <w:r>
        <w:t>as</w:t>
      </w:r>
      <w:r>
        <w:rPr>
          <w:spacing w:val="7"/>
        </w:rPr>
        <w:t xml:space="preserve"> </w:t>
      </w:r>
      <w:r>
        <w:t>designed.</w:t>
      </w:r>
      <w:r>
        <w:rPr>
          <w:spacing w:val="41"/>
        </w:rPr>
        <w:t xml:space="preserve"> </w:t>
      </w:r>
      <w:r>
        <w:t>I</w:t>
      </w:r>
      <w:r>
        <w:rPr>
          <w:spacing w:val="-10"/>
        </w:rPr>
        <w:t xml:space="preserve"> </w:t>
      </w:r>
      <w:r>
        <w:t>conducted</w:t>
      </w:r>
      <w:r>
        <w:rPr>
          <w:spacing w:val="26"/>
        </w:rPr>
        <w:t xml:space="preserve"> </w:t>
      </w:r>
      <w:r>
        <w:t>my</w:t>
      </w:r>
      <w:r>
        <w:rPr>
          <w:spacing w:val="7"/>
        </w:rPr>
        <w:t xml:space="preserve"> </w:t>
      </w:r>
      <w:r>
        <w:t>engagement</w:t>
      </w:r>
      <w:r>
        <w:rPr>
          <w:spacing w:val="41"/>
        </w:rPr>
        <w:t xml:space="preserve"> </w:t>
      </w:r>
      <w:r>
        <w:t>in</w:t>
      </w:r>
      <w:r>
        <w:rPr>
          <w:w w:val="105"/>
        </w:rPr>
        <w:t xml:space="preserve"> </w:t>
      </w:r>
      <w:r>
        <w:t>accordance</w:t>
      </w:r>
      <w:r>
        <w:rPr>
          <w:spacing w:val="27"/>
        </w:rPr>
        <w:t xml:space="preserve"> </w:t>
      </w:r>
      <w:r>
        <w:t>with</w:t>
      </w:r>
      <w:r>
        <w:rPr>
          <w:spacing w:val="28"/>
        </w:rPr>
        <w:t xml:space="preserve"> </w:t>
      </w:r>
      <w:r>
        <w:t>Standard</w:t>
      </w:r>
      <w:r>
        <w:rPr>
          <w:spacing w:val="26"/>
        </w:rPr>
        <w:t xml:space="preserve"> </w:t>
      </w:r>
      <w:r>
        <w:t>on</w:t>
      </w:r>
      <w:r>
        <w:rPr>
          <w:spacing w:val="5"/>
        </w:rPr>
        <w:t xml:space="preserve"> </w:t>
      </w:r>
      <w:r>
        <w:t>Assurance</w:t>
      </w:r>
      <w:r>
        <w:rPr>
          <w:spacing w:val="45"/>
        </w:rPr>
        <w:t xml:space="preserve"> </w:t>
      </w:r>
      <w:r>
        <w:t>Engagements</w:t>
      </w:r>
      <w:r>
        <w:rPr>
          <w:spacing w:val="13"/>
        </w:rPr>
        <w:t xml:space="preserve"> </w:t>
      </w:r>
      <w:r>
        <w:t>ASAE</w:t>
      </w:r>
      <w:r>
        <w:rPr>
          <w:spacing w:val="29"/>
        </w:rPr>
        <w:t xml:space="preserve"> </w:t>
      </w:r>
      <w:r>
        <w:t>3150</w:t>
      </w:r>
      <w:r>
        <w:rPr>
          <w:spacing w:val="2"/>
        </w:rPr>
        <w:t xml:space="preserve"> </w:t>
      </w:r>
      <w:r>
        <w:rPr>
          <w:rFonts w:eastAsia="Arial" w:cs="Arial"/>
          <w:i/>
        </w:rPr>
        <w:t>Assurance</w:t>
      </w:r>
      <w:r>
        <w:rPr>
          <w:rFonts w:eastAsia="Arial" w:cs="Arial"/>
          <w:i/>
          <w:spacing w:val="50"/>
        </w:rPr>
        <w:t xml:space="preserve"> </w:t>
      </w:r>
      <w:r>
        <w:rPr>
          <w:rFonts w:eastAsia="Arial" w:cs="Arial"/>
          <w:i/>
        </w:rPr>
        <w:t>Engagements</w:t>
      </w:r>
      <w:r>
        <w:rPr>
          <w:rFonts w:eastAsia="Arial" w:cs="Arial"/>
          <w:i/>
          <w:spacing w:val="37"/>
        </w:rPr>
        <w:t xml:space="preserve"> </w:t>
      </w:r>
      <w:r>
        <w:rPr>
          <w:rFonts w:eastAsia="Arial" w:cs="Arial"/>
          <w:i/>
        </w:rPr>
        <w:t>on</w:t>
      </w:r>
      <w:r>
        <w:rPr>
          <w:rFonts w:eastAsia="Arial" w:cs="Arial"/>
          <w:i/>
          <w:w w:val="101"/>
        </w:rPr>
        <w:t xml:space="preserve"> </w:t>
      </w:r>
      <w:r>
        <w:rPr>
          <w:rFonts w:eastAsia="Arial" w:cs="Arial"/>
          <w:i/>
        </w:rPr>
        <w:t>Controls</w:t>
      </w:r>
      <w:r>
        <w:rPr>
          <w:rFonts w:eastAsia="Arial" w:cs="Arial"/>
          <w:i/>
          <w:spacing w:val="13"/>
        </w:rPr>
        <w:t xml:space="preserve"> </w:t>
      </w:r>
      <w:r>
        <w:t>issued</w:t>
      </w:r>
      <w:r>
        <w:rPr>
          <w:spacing w:val="20"/>
        </w:rPr>
        <w:t xml:space="preserve"> </w:t>
      </w:r>
      <w:r>
        <w:t>by</w:t>
      </w:r>
      <w:r>
        <w:rPr>
          <w:spacing w:val="2"/>
        </w:rPr>
        <w:t xml:space="preserve"> </w:t>
      </w:r>
      <w:r>
        <w:t>the</w:t>
      </w:r>
      <w:r>
        <w:rPr>
          <w:spacing w:val="14"/>
        </w:rPr>
        <w:t xml:space="preserve"> </w:t>
      </w:r>
      <w:r>
        <w:t>Australian</w:t>
      </w:r>
      <w:r>
        <w:rPr>
          <w:spacing w:val="33"/>
        </w:rPr>
        <w:t xml:space="preserve"> </w:t>
      </w:r>
      <w:r>
        <w:t>Auditing</w:t>
      </w:r>
      <w:r>
        <w:rPr>
          <w:spacing w:val="30"/>
        </w:rPr>
        <w:t xml:space="preserve"> </w:t>
      </w:r>
      <w:r>
        <w:t>and</w:t>
      </w:r>
      <w:r>
        <w:rPr>
          <w:spacing w:val="6"/>
        </w:rPr>
        <w:t xml:space="preserve"> </w:t>
      </w:r>
      <w:r>
        <w:t>Assurance</w:t>
      </w:r>
      <w:r>
        <w:rPr>
          <w:spacing w:val="40"/>
        </w:rPr>
        <w:t xml:space="preserve"> </w:t>
      </w:r>
      <w:r>
        <w:t>Standards</w:t>
      </w:r>
      <w:r>
        <w:rPr>
          <w:spacing w:val="40"/>
        </w:rPr>
        <w:t xml:space="preserve"> </w:t>
      </w:r>
      <w:r>
        <w:t>Boar</w:t>
      </w:r>
      <w:r>
        <w:rPr>
          <w:spacing w:val="11"/>
        </w:rPr>
        <w:t>d</w:t>
      </w:r>
      <w:r>
        <w:rPr>
          <w:color w:val="494850"/>
        </w:rPr>
        <w:t>.</w:t>
      </w:r>
      <w:r>
        <w:rPr>
          <w:color w:val="494850"/>
          <w:spacing w:val="-2"/>
        </w:rPr>
        <w:t xml:space="preserve"> </w:t>
      </w:r>
      <w:r>
        <w:t>That</w:t>
      </w:r>
      <w:r>
        <w:rPr>
          <w:spacing w:val="17"/>
        </w:rPr>
        <w:t xml:space="preserve"> </w:t>
      </w:r>
      <w:r>
        <w:t>standard</w:t>
      </w:r>
      <w:r>
        <w:rPr>
          <w:spacing w:val="25"/>
        </w:rPr>
        <w:t xml:space="preserve"> </w:t>
      </w:r>
      <w:r>
        <w:t>requires</w:t>
      </w:r>
      <w:r>
        <w:rPr>
          <w:w w:val="102"/>
        </w:rPr>
        <w:t xml:space="preserve"> </w:t>
      </w:r>
      <w:r>
        <w:t>that</w:t>
      </w:r>
      <w:r>
        <w:rPr>
          <w:spacing w:val="30"/>
        </w:rPr>
        <w:t xml:space="preserve"> </w:t>
      </w:r>
      <w:r>
        <w:t>I comply</w:t>
      </w:r>
      <w:r>
        <w:rPr>
          <w:spacing w:val="9"/>
        </w:rPr>
        <w:t xml:space="preserve"> </w:t>
      </w:r>
      <w:r>
        <w:t>with</w:t>
      </w:r>
      <w:r>
        <w:rPr>
          <w:spacing w:val="25"/>
        </w:rPr>
        <w:t xml:space="preserve"> </w:t>
      </w:r>
      <w:r>
        <w:t>relevant</w:t>
      </w:r>
      <w:r>
        <w:rPr>
          <w:spacing w:val="14"/>
        </w:rPr>
        <w:t xml:space="preserve"> </w:t>
      </w:r>
      <w:r>
        <w:t>ethical</w:t>
      </w:r>
      <w:r>
        <w:rPr>
          <w:spacing w:val="30"/>
        </w:rPr>
        <w:t xml:space="preserve"> </w:t>
      </w:r>
      <w:r>
        <w:t>requirements</w:t>
      </w:r>
      <w:r>
        <w:rPr>
          <w:spacing w:val="35"/>
        </w:rPr>
        <w:t xml:space="preserve"> </w:t>
      </w:r>
      <w:r>
        <w:t>and</w:t>
      </w:r>
      <w:r>
        <w:rPr>
          <w:spacing w:val="16"/>
        </w:rPr>
        <w:t xml:space="preserve"> </w:t>
      </w:r>
      <w:r>
        <w:t>plan</w:t>
      </w:r>
      <w:r>
        <w:rPr>
          <w:spacing w:val="14"/>
        </w:rPr>
        <w:t xml:space="preserve"> </w:t>
      </w:r>
      <w:r>
        <w:t>and</w:t>
      </w:r>
      <w:r>
        <w:rPr>
          <w:spacing w:val="21"/>
        </w:rPr>
        <w:t xml:space="preserve"> </w:t>
      </w:r>
      <w:r>
        <w:t>perform</w:t>
      </w:r>
      <w:r>
        <w:rPr>
          <w:spacing w:val="19"/>
        </w:rPr>
        <w:t xml:space="preserve"> </w:t>
      </w:r>
      <w:r>
        <w:t>my</w:t>
      </w:r>
      <w:r>
        <w:rPr>
          <w:spacing w:val="18"/>
        </w:rPr>
        <w:t xml:space="preserve"> </w:t>
      </w:r>
      <w:r>
        <w:t>procedures</w:t>
      </w:r>
      <w:r>
        <w:rPr>
          <w:spacing w:val="21"/>
        </w:rPr>
        <w:t xml:space="preserve"> </w:t>
      </w:r>
      <w:r>
        <w:t>to</w:t>
      </w:r>
      <w:r>
        <w:rPr>
          <w:spacing w:val="21"/>
        </w:rPr>
        <w:t xml:space="preserve"> </w:t>
      </w:r>
      <w:r>
        <w:t>obtain</w:t>
      </w:r>
      <w:r>
        <w:rPr>
          <w:w w:val="99"/>
        </w:rPr>
        <w:t xml:space="preserve"> </w:t>
      </w:r>
      <w:r>
        <w:t>reasonable</w:t>
      </w:r>
      <w:r>
        <w:rPr>
          <w:spacing w:val="18"/>
        </w:rPr>
        <w:t xml:space="preserve"> </w:t>
      </w:r>
      <w:r>
        <w:t>assurance</w:t>
      </w:r>
      <w:r>
        <w:rPr>
          <w:spacing w:val="27"/>
        </w:rPr>
        <w:t xml:space="preserve"> </w:t>
      </w:r>
      <w:r>
        <w:t>about</w:t>
      </w:r>
      <w:r>
        <w:rPr>
          <w:spacing w:val="13"/>
        </w:rPr>
        <w:t xml:space="preserve"> </w:t>
      </w:r>
      <w:r>
        <w:t>whether,</w:t>
      </w:r>
      <w:r>
        <w:rPr>
          <w:spacing w:val="44"/>
        </w:rPr>
        <w:t xml:space="preserve"> </w:t>
      </w:r>
      <w:r>
        <w:t>in</w:t>
      </w:r>
      <w:r>
        <w:rPr>
          <w:spacing w:val="7"/>
        </w:rPr>
        <w:t xml:space="preserve"> </w:t>
      </w:r>
      <w:r>
        <w:t>all</w:t>
      </w:r>
      <w:r>
        <w:rPr>
          <w:spacing w:val="19"/>
        </w:rPr>
        <w:t xml:space="preserve"> </w:t>
      </w:r>
      <w:r>
        <w:t>material</w:t>
      </w:r>
      <w:r>
        <w:rPr>
          <w:spacing w:val="24"/>
        </w:rPr>
        <w:t xml:space="preserve"> </w:t>
      </w:r>
      <w:r>
        <w:t>respects,</w:t>
      </w:r>
      <w:r>
        <w:rPr>
          <w:spacing w:val="15"/>
        </w:rPr>
        <w:t xml:space="preserve"> </w:t>
      </w:r>
      <w:r>
        <w:t>the</w:t>
      </w:r>
      <w:r>
        <w:rPr>
          <w:spacing w:val="19"/>
        </w:rPr>
        <w:t xml:space="preserve"> </w:t>
      </w:r>
      <w:r>
        <w:t>controls</w:t>
      </w:r>
      <w:r>
        <w:rPr>
          <w:spacing w:val="22"/>
        </w:rPr>
        <w:t xml:space="preserve"> </w:t>
      </w:r>
      <w:r>
        <w:t>are</w:t>
      </w:r>
      <w:r>
        <w:rPr>
          <w:spacing w:val="14"/>
        </w:rPr>
        <w:t xml:space="preserve"> </w:t>
      </w:r>
      <w:r>
        <w:t>suitably</w:t>
      </w:r>
      <w:r>
        <w:rPr>
          <w:spacing w:val="29"/>
        </w:rPr>
        <w:t xml:space="preserve"> </w:t>
      </w:r>
      <w:r>
        <w:t>designed</w:t>
      </w:r>
      <w:r>
        <w:rPr>
          <w:spacing w:val="22"/>
        </w:rPr>
        <w:t xml:space="preserve"> </w:t>
      </w:r>
      <w:r>
        <w:t>to</w:t>
      </w:r>
      <w:r>
        <w:rPr>
          <w:w w:val="101"/>
        </w:rPr>
        <w:t xml:space="preserve"> </w:t>
      </w:r>
      <w:r>
        <w:t>achieve</w:t>
      </w:r>
      <w:r>
        <w:rPr>
          <w:spacing w:val="8"/>
        </w:rPr>
        <w:t xml:space="preserve"> </w:t>
      </w:r>
      <w:r>
        <w:t>the</w:t>
      </w:r>
      <w:r>
        <w:rPr>
          <w:spacing w:val="26"/>
        </w:rPr>
        <w:t xml:space="preserve"> </w:t>
      </w:r>
      <w:r>
        <w:t>overall</w:t>
      </w:r>
      <w:r>
        <w:rPr>
          <w:spacing w:val="19"/>
        </w:rPr>
        <w:t xml:space="preserve"> </w:t>
      </w:r>
      <w:r>
        <w:t>control</w:t>
      </w:r>
      <w:r>
        <w:rPr>
          <w:spacing w:val="17"/>
        </w:rPr>
        <w:t xml:space="preserve"> </w:t>
      </w:r>
      <w:r>
        <w:t>objectives</w:t>
      </w:r>
      <w:r>
        <w:rPr>
          <w:spacing w:val="34"/>
        </w:rPr>
        <w:t xml:space="preserve"> </w:t>
      </w:r>
      <w:r>
        <w:t>and</w:t>
      </w:r>
      <w:r>
        <w:rPr>
          <w:spacing w:val="6"/>
        </w:rPr>
        <w:t xml:space="preserve"> </w:t>
      </w:r>
      <w:r>
        <w:t>the</w:t>
      </w:r>
      <w:r>
        <w:rPr>
          <w:spacing w:val="20"/>
        </w:rPr>
        <w:t xml:space="preserve"> </w:t>
      </w:r>
      <w:r>
        <w:t>controls,</w:t>
      </w:r>
      <w:r>
        <w:rPr>
          <w:spacing w:val="35"/>
        </w:rPr>
        <w:t xml:space="preserve"> </w:t>
      </w:r>
      <w:r>
        <w:t>necessary</w:t>
      </w:r>
      <w:r>
        <w:rPr>
          <w:spacing w:val="19"/>
        </w:rPr>
        <w:t xml:space="preserve"> </w:t>
      </w:r>
      <w:r>
        <w:t>to</w:t>
      </w:r>
      <w:r>
        <w:rPr>
          <w:spacing w:val="23"/>
        </w:rPr>
        <w:t xml:space="preserve"> </w:t>
      </w:r>
      <w:r>
        <w:t>achieve</w:t>
      </w:r>
      <w:r>
        <w:rPr>
          <w:spacing w:val="20"/>
        </w:rPr>
        <w:t xml:space="preserve"> </w:t>
      </w:r>
      <w:r>
        <w:t>the</w:t>
      </w:r>
      <w:r>
        <w:rPr>
          <w:spacing w:val="20"/>
        </w:rPr>
        <w:t xml:space="preserve"> </w:t>
      </w:r>
      <w:r>
        <w:t>overall</w:t>
      </w:r>
      <w:r>
        <w:rPr>
          <w:spacing w:val="23"/>
        </w:rPr>
        <w:t xml:space="preserve"> </w:t>
      </w:r>
      <w:r>
        <w:t>control</w:t>
      </w:r>
      <w:r>
        <w:rPr>
          <w:w w:val="98"/>
        </w:rPr>
        <w:t xml:space="preserve"> </w:t>
      </w:r>
      <w:r>
        <w:t>objectives</w:t>
      </w:r>
      <w:r>
        <w:rPr>
          <w:spacing w:val="-27"/>
        </w:rPr>
        <w:t xml:space="preserve"> </w:t>
      </w:r>
      <w:r>
        <w:rPr>
          <w:color w:val="494850"/>
        </w:rPr>
        <w:t>,</w:t>
      </w:r>
      <w:r>
        <w:rPr>
          <w:color w:val="494850"/>
          <w:spacing w:val="-11"/>
        </w:rPr>
        <w:t xml:space="preserve"> </w:t>
      </w:r>
      <w:r>
        <w:t>were</w:t>
      </w:r>
      <w:r>
        <w:rPr>
          <w:spacing w:val="32"/>
        </w:rPr>
        <w:t xml:space="preserve"> </w:t>
      </w:r>
      <w:r>
        <w:t>implemented</w:t>
      </w:r>
      <w:r>
        <w:rPr>
          <w:spacing w:val="35"/>
        </w:rPr>
        <w:t xml:space="preserve"> </w:t>
      </w:r>
      <w:r>
        <w:t>as</w:t>
      </w:r>
      <w:r>
        <w:rPr>
          <w:spacing w:val="14"/>
        </w:rPr>
        <w:t xml:space="preserve"> </w:t>
      </w:r>
      <w:r>
        <w:t>designed.</w:t>
      </w:r>
    </w:p>
    <w:p w14:paraId="6407AA7C" w14:textId="7823D2CF" w:rsidR="009B1B3A" w:rsidRDefault="009B1B3A" w:rsidP="009B1B3A">
      <w:r>
        <w:t>An</w:t>
      </w:r>
      <w:r>
        <w:rPr>
          <w:spacing w:val="25"/>
        </w:rPr>
        <w:t xml:space="preserve"> </w:t>
      </w:r>
      <w:r>
        <w:t>assurance</w:t>
      </w:r>
      <w:r>
        <w:rPr>
          <w:spacing w:val="26"/>
        </w:rPr>
        <w:t xml:space="preserve"> </w:t>
      </w:r>
      <w:r>
        <w:t>engagement</w:t>
      </w:r>
      <w:r>
        <w:rPr>
          <w:spacing w:val="23"/>
        </w:rPr>
        <w:t xml:space="preserve"> </w:t>
      </w:r>
      <w:r>
        <w:t>to</w:t>
      </w:r>
      <w:r>
        <w:rPr>
          <w:spacing w:val="26"/>
        </w:rPr>
        <w:t xml:space="preserve"> </w:t>
      </w:r>
      <w:r>
        <w:t>report</w:t>
      </w:r>
      <w:r>
        <w:rPr>
          <w:spacing w:val="14"/>
        </w:rPr>
        <w:t xml:space="preserve"> </w:t>
      </w:r>
      <w:r>
        <w:t>on</w:t>
      </w:r>
      <w:r>
        <w:rPr>
          <w:spacing w:val="10"/>
        </w:rPr>
        <w:t xml:space="preserve"> </w:t>
      </w:r>
      <w:r>
        <w:t>the</w:t>
      </w:r>
      <w:r>
        <w:rPr>
          <w:spacing w:val="19"/>
        </w:rPr>
        <w:t xml:space="preserve"> </w:t>
      </w:r>
      <w:r>
        <w:t>design</w:t>
      </w:r>
      <w:r>
        <w:rPr>
          <w:spacing w:val="16"/>
        </w:rPr>
        <w:t xml:space="preserve"> </w:t>
      </w:r>
      <w:r>
        <w:t>and</w:t>
      </w:r>
      <w:r>
        <w:rPr>
          <w:spacing w:val="21"/>
        </w:rPr>
        <w:t xml:space="preserve"> </w:t>
      </w:r>
      <w:r>
        <w:t>implementation</w:t>
      </w:r>
      <w:r>
        <w:rPr>
          <w:spacing w:val="38"/>
        </w:rPr>
        <w:t xml:space="preserve"> </w:t>
      </w:r>
      <w:r>
        <w:t>of</w:t>
      </w:r>
      <w:r>
        <w:rPr>
          <w:spacing w:val="14"/>
        </w:rPr>
        <w:t xml:space="preserve"> </w:t>
      </w:r>
      <w:r>
        <w:t>controls</w:t>
      </w:r>
      <w:r>
        <w:rPr>
          <w:spacing w:val="29"/>
        </w:rPr>
        <w:t xml:space="preserve"> </w:t>
      </w:r>
      <w:r>
        <w:t>involves performing</w:t>
      </w:r>
      <w:r>
        <w:rPr>
          <w:spacing w:val="25"/>
        </w:rPr>
        <w:t xml:space="preserve"> </w:t>
      </w:r>
      <w:r>
        <w:t>procedures</w:t>
      </w:r>
      <w:r>
        <w:rPr>
          <w:spacing w:val="24"/>
        </w:rPr>
        <w:t xml:space="preserve"> </w:t>
      </w:r>
      <w:r>
        <w:t>to</w:t>
      </w:r>
      <w:r>
        <w:rPr>
          <w:spacing w:val="21"/>
        </w:rPr>
        <w:t xml:space="preserve"> </w:t>
      </w:r>
      <w:r>
        <w:t>obtain</w:t>
      </w:r>
      <w:r>
        <w:rPr>
          <w:spacing w:val="22"/>
        </w:rPr>
        <w:t xml:space="preserve"> </w:t>
      </w:r>
      <w:r>
        <w:t>evidence</w:t>
      </w:r>
      <w:r>
        <w:rPr>
          <w:spacing w:val="20"/>
        </w:rPr>
        <w:t xml:space="preserve"> </w:t>
      </w:r>
      <w:r>
        <w:t>about</w:t>
      </w:r>
      <w:r>
        <w:rPr>
          <w:spacing w:val="13"/>
        </w:rPr>
        <w:t xml:space="preserve"> </w:t>
      </w:r>
      <w:r>
        <w:t>the</w:t>
      </w:r>
      <w:r>
        <w:rPr>
          <w:spacing w:val="14"/>
        </w:rPr>
        <w:t xml:space="preserve"> </w:t>
      </w:r>
      <w:r>
        <w:t>suitability</w:t>
      </w:r>
      <w:r>
        <w:rPr>
          <w:spacing w:val="29"/>
        </w:rPr>
        <w:t xml:space="preserve"> </w:t>
      </w:r>
      <w:r>
        <w:t>of</w:t>
      </w:r>
      <w:r>
        <w:rPr>
          <w:spacing w:val="9"/>
        </w:rPr>
        <w:t xml:space="preserve"> </w:t>
      </w:r>
      <w:r>
        <w:t>the</w:t>
      </w:r>
      <w:r>
        <w:rPr>
          <w:spacing w:val="19"/>
        </w:rPr>
        <w:t xml:space="preserve"> </w:t>
      </w:r>
      <w:r>
        <w:t>design</w:t>
      </w:r>
      <w:r>
        <w:rPr>
          <w:spacing w:val="23"/>
        </w:rPr>
        <w:t xml:space="preserve"> </w:t>
      </w:r>
      <w:r>
        <w:t>of</w:t>
      </w:r>
      <w:r>
        <w:rPr>
          <w:spacing w:val="14"/>
        </w:rPr>
        <w:t xml:space="preserve"> </w:t>
      </w:r>
      <w:r>
        <w:t>controls</w:t>
      </w:r>
      <w:r>
        <w:rPr>
          <w:spacing w:val="20"/>
        </w:rPr>
        <w:t xml:space="preserve"> </w:t>
      </w:r>
      <w:r>
        <w:t>to</w:t>
      </w:r>
      <w:r>
        <w:rPr>
          <w:spacing w:val="16"/>
        </w:rPr>
        <w:t xml:space="preserve"> </w:t>
      </w:r>
      <w:r>
        <w:t>achieve</w:t>
      </w:r>
      <w:r>
        <w:rPr>
          <w:w w:val="101"/>
        </w:rPr>
        <w:t xml:space="preserve"> </w:t>
      </w:r>
      <w:r>
        <w:t>the</w:t>
      </w:r>
      <w:r>
        <w:rPr>
          <w:spacing w:val="19"/>
        </w:rPr>
        <w:t xml:space="preserve"> </w:t>
      </w:r>
      <w:r>
        <w:t>overall</w:t>
      </w:r>
      <w:r>
        <w:rPr>
          <w:spacing w:val="16"/>
        </w:rPr>
        <w:t xml:space="preserve"> </w:t>
      </w:r>
      <w:r>
        <w:t>control</w:t>
      </w:r>
      <w:r>
        <w:rPr>
          <w:spacing w:val="23"/>
        </w:rPr>
        <w:t xml:space="preserve"> </w:t>
      </w:r>
      <w:r>
        <w:t>objectives</w:t>
      </w:r>
      <w:r>
        <w:rPr>
          <w:spacing w:val="28"/>
        </w:rPr>
        <w:t xml:space="preserve"> </w:t>
      </w:r>
      <w:r>
        <w:t>and</w:t>
      </w:r>
      <w:r>
        <w:rPr>
          <w:spacing w:val="13"/>
        </w:rPr>
        <w:t xml:space="preserve"> </w:t>
      </w:r>
      <w:r>
        <w:t>the</w:t>
      </w:r>
      <w:r>
        <w:rPr>
          <w:spacing w:val="25"/>
        </w:rPr>
        <w:t xml:space="preserve"> </w:t>
      </w:r>
      <w:r>
        <w:t>implementation</w:t>
      </w:r>
      <w:r>
        <w:rPr>
          <w:spacing w:val="38"/>
        </w:rPr>
        <w:t xml:space="preserve"> </w:t>
      </w:r>
      <w:r>
        <w:t>of</w:t>
      </w:r>
      <w:r>
        <w:rPr>
          <w:spacing w:val="7"/>
        </w:rPr>
        <w:t xml:space="preserve"> </w:t>
      </w:r>
      <w:r>
        <w:t>those</w:t>
      </w:r>
      <w:r>
        <w:rPr>
          <w:spacing w:val="20"/>
        </w:rPr>
        <w:t xml:space="preserve"> </w:t>
      </w:r>
      <w:r>
        <w:t>controls</w:t>
      </w:r>
      <w:r>
        <w:rPr>
          <w:color w:val="494850"/>
        </w:rPr>
        <w:t>.</w:t>
      </w:r>
      <w:r>
        <w:rPr>
          <w:color w:val="494850"/>
          <w:spacing w:val="-1"/>
        </w:rPr>
        <w:t xml:space="preserve"> </w:t>
      </w:r>
      <w:r>
        <w:t>The</w:t>
      </w:r>
      <w:r>
        <w:rPr>
          <w:spacing w:val="23"/>
        </w:rPr>
        <w:t xml:space="preserve"> </w:t>
      </w:r>
      <w:r>
        <w:t>procedures</w:t>
      </w:r>
      <w:r>
        <w:rPr>
          <w:spacing w:val="23"/>
        </w:rPr>
        <w:t xml:space="preserve"> </w:t>
      </w:r>
      <w:r>
        <w:t>selected</w:t>
      </w:r>
      <w:r>
        <w:rPr>
          <w:w w:val="98"/>
        </w:rPr>
        <w:t xml:space="preserve"> </w:t>
      </w:r>
      <w:r>
        <w:t>depend</w:t>
      </w:r>
      <w:r>
        <w:rPr>
          <w:spacing w:val="25"/>
        </w:rPr>
        <w:t xml:space="preserve"> </w:t>
      </w:r>
      <w:r>
        <w:t>on</w:t>
      </w:r>
      <w:r>
        <w:rPr>
          <w:spacing w:val="21"/>
        </w:rPr>
        <w:t xml:space="preserve"> </w:t>
      </w:r>
      <w:r>
        <w:t>my</w:t>
      </w:r>
      <w:r>
        <w:rPr>
          <w:spacing w:val="-8"/>
        </w:rPr>
        <w:t xml:space="preserve"> </w:t>
      </w:r>
      <w:r>
        <w:t>judgement,</w:t>
      </w:r>
      <w:r>
        <w:rPr>
          <w:spacing w:val="54"/>
        </w:rPr>
        <w:t xml:space="preserve"> </w:t>
      </w:r>
      <w:r>
        <w:t>including</w:t>
      </w:r>
      <w:r>
        <w:rPr>
          <w:spacing w:val="8"/>
        </w:rPr>
        <w:t xml:space="preserve"> </w:t>
      </w:r>
      <w:r>
        <w:t>the</w:t>
      </w:r>
      <w:r>
        <w:rPr>
          <w:spacing w:val="23"/>
        </w:rPr>
        <w:t xml:space="preserve"> </w:t>
      </w:r>
      <w:r>
        <w:t>assessment</w:t>
      </w:r>
      <w:r>
        <w:rPr>
          <w:spacing w:val="30"/>
        </w:rPr>
        <w:t xml:space="preserve"> </w:t>
      </w:r>
      <w:r>
        <w:t>of</w:t>
      </w:r>
      <w:r>
        <w:rPr>
          <w:spacing w:val="4"/>
        </w:rPr>
        <w:t xml:space="preserve"> </w:t>
      </w:r>
      <w:r>
        <w:t>the</w:t>
      </w:r>
      <w:r>
        <w:rPr>
          <w:spacing w:val="22"/>
        </w:rPr>
        <w:t xml:space="preserve"> </w:t>
      </w:r>
      <w:r>
        <w:t>risks</w:t>
      </w:r>
      <w:r>
        <w:rPr>
          <w:spacing w:val="3"/>
        </w:rPr>
        <w:t xml:space="preserve"> </w:t>
      </w:r>
      <w:r>
        <w:t>that</w:t>
      </w:r>
      <w:r>
        <w:rPr>
          <w:spacing w:val="25"/>
        </w:rPr>
        <w:t xml:space="preserve"> </w:t>
      </w:r>
      <w:r>
        <w:t>controls</w:t>
      </w:r>
      <w:r>
        <w:rPr>
          <w:spacing w:val="28"/>
        </w:rPr>
        <w:t xml:space="preserve"> </w:t>
      </w:r>
      <w:r>
        <w:t>are</w:t>
      </w:r>
      <w:r>
        <w:rPr>
          <w:spacing w:val="16"/>
        </w:rPr>
        <w:t xml:space="preserve"> </w:t>
      </w:r>
      <w:r>
        <w:t>not</w:t>
      </w:r>
      <w:r>
        <w:rPr>
          <w:spacing w:val="5"/>
        </w:rPr>
        <w:t xml:space="preserve"> </w:t>
      </w:r>
      <w:r>
        <w:t>suitably</w:t>
      </w:r>
      <w:r>
        <w:rPr>
          <w:w w:val="98"/>
        </w:rPr>
        <w:t xml:space="preserve"> </w:t>
      </w:r>
      <w:r>
        <w:t>designed</w:t>
      </w:r>
      <w:r>
        <w:rPr>
          <w:spacing w:val="23"/>
        </w:rPr>
        <w:t xml:space="preserve"> </w:t>
      </w:r>
      <w:r>
        <w:t>or</w:t>
      </w:r>
      <w:r>
        <w:rPr>
          <w:spacing w:val="22"/>
        </w:rPr>
        <w:t xml:space="preserve"> </w:t>
      </w:r>
      <w:r>
        <w:t>implemented</w:t>
      </w:r>
      <w:r>
        <w:rPr>
          <w:spacing w:val="32"/>
        </w:rPr>
        <w:t xml:space="preserve"> </w:t>
      </w:r>
      <w:r>
        <w:t>as</w:t>
      </w:r>
      <w:r>
        <w:rPr>
          <w:spacing w:val="16"/>
        </w:rPr>
        <w:t xml:space="preserve"> </w:t>
      </w:r>
      <w:r>
        <w:t>designed.</w:t>
      </w:r>
      <w:r>
        <w:rPr>
          <w:spacing w:val="36"/>
        </w:rPr>
        <w:t xml:space="preserve"> </w:t>
      </w:r>
      <w:r>
        <w:t>My</w:t>
      </w:r>
      <w:r>
        <w:rPr>
          <w:spacing w:val="13"/>
        </w:rPr>
        <w:t xml:space="preserve"> </w:t>
      </w:r>
      <w:r>
        <w:t>procedures</w:t>
      </w:r>
      <w:r>
        <w:rPr>
          <w:spacing w:val="37"/>
        </w:rPr>
        <w:t xml:space="preserve"> </w:t>
      </w:r>
      <w:r>
        <w:t>included</w:t>
      </w:r>
      <w:r>
        <w:rPr>
          <w:spacing w:val="10"/>
        </w:rPr>
        <w:t xml:space="preserve"> </w:t>
      </w:r>
      <w:r>
        <w:t>testing</w:t>
      </w:r>
      <w:r>
        <w:rPr>
          <w:spacing w:val="20"/>
        </w:rPr>
        <w:t xml:space="preserve"> </w:t>
      </w:r>
      <w:r>
        <w:t>the</w:t>
      </w:r>
      <w:r>
        <w:rPr>
          <w:spacing w:val="26"/>
        </w:rPr>
        <w:t xml:space="preserve"> </w:t>
      </w:r>
      <w:r>
        <w:t>implementation</w:t>
      </w:r>
      <w:r>
        <w:rPr>
          <w:spacing w:val="36"/>
        </w:rPr>
        <w:t xml:space="preserve"> </w:t>
      </w:r>
      <w:r>
        <w:t>of</w:t>
      </w:r>
      <w:r>
        <w:rPr>
          <w:spacing w:val="11"/>
        </w:rPr>
        <w:t xml:space="preserve"> </w:t>
      </w:r>
      <w:r>
        <w:t>those</w:t>
      </w:r>
      <w:r>
        <w:rPr>
          <w:w w:val="101"/>
        </w:rPr>
        <w:t xml:space="preserve"> </w:t>
      </w:r>
      <w:r>
        <w:t>controls</w:t>
      </w:r>
      <w:r>
        <w:rPr>
          <w:spacing w:val="22"/>
        </w:rPr>
        <w:t xml:space="preserve"> </w:t>
      </w:r>
      <w:r>
        <w:t>that</w:t>
      </w:r>
      <w:r>
        <w:rPr>
          <w:spacing w:val="28"/>
        </w:rPr>
        <w:t xml:space="preserve"> </w:t>
      </w:r>
      <w:r>
        <w:t>I</w:t>
      </w:r>
      <w:r>
        <w:rPr>
          <w:spacing w:val="-14"/>
        </w:rPr>
        <w:t xml:space="preserve"> </w:t>
      </w:r>
      <w:r>
        <w:t>consider</w:t>
      </w:r>
      <w:r>
        <w:rPr>
          <w:spacing w:val="39"/>
        </w:rPr>
        <w:t xml:space="preserve"> </w:t>
      </w:r>
      <w:r>
        <w:t>necessary</w:t>
      </w:r>
      <w:r>
        <w:rPr>
          <w:spacing w:val="20"/>
        </w:rPr>
        <w:t xml:space="preserve"> </w:t>
      </w:r>
      <w:r>
        <w:t>to</w:t>
      </w:r>
      <w:r>
        <w:rPr>
          <w:spacing w:val="23"/>
        </w:rPr>
        <w:t xml:space="preserve"> </w:t>
      </w:r>
      <w:r>
        <w:t>achieve</w:t>
      </w:r>
      <w:r>
        <w:rPr>
          <w:spacing w:val="15"/>
        </w:rPr>
        <w:t xml:space="preserve"> </w:t>
      </w:r>
      <w:r>
        <w:t>the</w:t>
      </w:r>
      <w:r>
        <w:rPr>
          <w:spacing w:val="27"/>
        </w:rPr>
        <w:t xml:space="preserve"> </w:t>
      </w:r>
      <w:r>
        <w:t>overall</w:t>
      </w:r>
      <w:r>
        <w:rPr>
          <w:spacing w:val="27"/>
        </w:rPr>
        <w:t xml:space="preserve"> </w:t>
      </w:r>
      <w:r>
        <w:t>control</w:t>
      </w:r>
      <w:r>
        <w:rPr>
          <w:spacing w:val="25"/>
        </w:rPr>
        <w:t xml:space="preserve"> </w:t>
      </w:r>
      <w:r>
        <w:t>objectives</w:t>
      </w:r>
      <w:r>
        <w:rPr>
          <w:color w:val="494850"/>
        </w:rPr>
        <w:t>.</w:t>
      </w:r>
    </w:p>
    <w:p w14:paraId="15243E73" w14:textId="77777777" w:rsidR="009B1B3A" w:rsidRDefault="009B1B3A" w:rsidP="009B1B3A">
      <w:r>
        <w:t>I</w:t>
      </w:r>
      <w:r>
        <w:rPr>
          <w:spacing w:val="6"/>
        </w:rPr>
        <w:t xml:space="preserve"> </w:t>
      </w:r>
      <w:r>
        <w:t>believe</w:t>
      </w:r>
      <w:r>
        <w:rPr>
          <w:spacing w:val="8"/>
        </w:rPr>
        <w:t xml:space="preserve"> </w:t>
      </w:r>
      <w:r>
        <w:t>that</w:t>
      </w:r>
      <w:r>
        <w:rPr>
          <w:spacing w:val="12"/>
        </w:rPr>
        <w:t xml:space="preserve"> </w:t>
      </w:r>
      <w:r>
        <w:t>the</w:t>
      </w:r>
      <w:r>
        <w:rPr>
          <w:spacing w:val="18"/>
        </w:rPr>
        <w:t xml:space="preserve"> </w:t>
      </w:r>
      <w:r>
        <w:t>evidence</w:t>
      </w:r>
      <w:r>
        <w:rPr>
          <w:spacing w:val="38"/>
        </w:rPr>
        <w:t xml:space="preserve"> </w:t>
      </w:r>
      <w:r>
        <w:t>I</w:t>
      </w:r>
      <w:r>
        <w:rPr>
          <w:spacing w:val="-10"/>
        </w:rPr>
        <w:t xml:space="preserve"> </w:t>
      </w:r>
      <w:r>
        <w:t>have</w:t>
      </w:r>
      <w:r>
        <w:rPr>
          <w:spacing w:val="10"/>
        </w:rPr>
        <w:t xml:space="preserve"> </w:t>
      </w:r>
      <w:r>
        <w:t>obtained</w:t>
      </w:r>
      <w:r>
        <w:rPr>
          <w:spacing w:val="35"/>
        </w:rPr>
        <w:t xml:space="preserve"> </w:t>
      </w:r>
      <w:r>
        <w:t>is</w:t>
      </w:r>
      <w:r>
        <w:rPr>
          <w:spacing w:val="4"/>
        </w:rPr>
        <w:t xml:space="preserve"> </w:t>
      </w:r>
      <w:r>
        <w:t>sufficient</w:t>
      </w:r>
      <w:r>
        <w:rPr>
          <w:spacing w:val="24"/>
        </w:rPr>
        <w:t xml:space="preserve"> </w:t>
      </w:r>
      <w:r>
        <w:t>and</w:t>
      </w:r>
      <w:r>
        <w:rPr>
          <w:spacing w:val="18"/>
        </w:rPr>
        <w:t xml:space="preserve"> </w:t>
      </w:r>
      <w:r>
        <w:t>appropriate</w:t>
      </w:r>
      <w:r>
        <w:rPr>
          <w:spacing w:val="20"/>
        </w:rPr>
        <w:t xml:space="preserve"> </w:t>
      </w:r>
      <w:r>
        <w:t>to</w:t>
      </w:r>
      <w:r>
        <w:rPr>
          <w:spacing w:val="26"/>
        </w:rPr>
        <w:t xml:space="preserve"> </w:t>
      </w:r>
      <w:r>
        <w:t>provide</w:t>
      </w:r>
      <w:r>
        <w:rPr>
          <w:spacing w:val="14"/>
        </w:rPr>
        <w:t xml:space="preserve"> </w:t>
      </w:r>
      <w:r>
        <w:t>a</w:t>
      </w:r>
      <w:r>
        <w:rPr>
          <w:spacing w:val="26"/>
        </w:rPr>
        <w:t xml:space="preserve"> </w:t>
      </w:r>
      <w:r>
        <w:t>basis</w:t>
      </w:r>
      <w:r>
        <w:rPr>
          <w:spacing w:val="2"/>
        </w:rPr>
        <w:t xml:space="preserve"> </w:t>
      </w:r>
      <w:r>
        <w:t>for</w:t>
      </w:r>
      <w:r>
        <w:rPr>
          <w:spacing w:val="30"/>
        </w:rPr>
        <w:t xml:space="preserve"> </w:t>
      </w:r>
      <w:r>
        <w:t>my opinion.</w:t>
      </w:r>
    </w:p>
    <w:p w14:paraId="115B393A" w14:textId="1F965FFB" w:rsidR="009B1B3A" w:rsidRDefault="009B1B3A" w:rsidP="009B1B3A">
      <w:pPr>
        <w:rPr>
          <w:b/>
          <w:i/>
        </w:rPr>
      </w:pPr>
      <w:r>
        <w:rPr>
          <w:b/>
          <w:i/>
        </w:rPr>
        <w:t>Limitations of Controls</w:t>
      </w:r>
    </w:p>
    <w:p w14:paraId="2A8B9D83" w14:textId="49266A34" w:rsidR="009B1B3A" w:rsidRDefault="009B1B3A" w:rsidP="009B1B3A">
      <w:pPr>
        <w:rPr>
          <w:color w:val="494850"/>
          <w:w w:val="105"/>
        </w:rPr>
      </w:pPr>
      <w:r>
        <w:rPr>
          <w:w w:val="105"/>
        </w:rPr>
        <w:t>Because</w:t>
      </w:r>
      <w:r>
        <w:rPr>
          <w:spacing w:val="-10"/>
          <w:w w:val="105"/>
        </w:rPr>
        <w:t xml:space="preserve"> </w:t>
      </w:r>
      <w:r>
        <w:rPr>
          <w:w w:val="105"/>
        </w:rPr>
        <w:t>of</w:t>
      </w:r>
      <w:r>
        <w:rPr>
          <w:spacing w:val="-16"/>
          <w:w w:val="105"/>
        </w:rPr>
        <w:t xml:space="preserve"> </w:t>
      </w:r>
      <w:r>
        <w:rPr>
          <w:w w:val="105"/>
        </w:rPr>
        <w:t>the</w:t>
      </w:r>
      <w:r>
        <w:rPr>
          <w:spacing w:val="-3"/>
          <w:w w:val="105"/>
        </w:rPr>
        <w:t xml:space="preserve"> </w:t>
      </w:r>
      <w:r>
        <w:rPr>
          <w:w w:val="105"/>
        </w:rPr>
        <w:t>inherent</w:t>
      </w:r>
      <w:r>
        <w:rPr>
          <w:spacing w:val="-7"/>
          <w:w w:val="105"/>
        </w:rPr>
        <w:t xml:space="preserve"> </w:t>
      </w:r>
      <w:r>
        <w:rPr>
          <w:w w:val="105"/>
        </w:rPr>
        <w:t>limitations</w:t>
      </w:r>
      <w:r>
        <w:rPr>
          <w:spacing w:val="-6"/>
          <w:w w:val="105"/>
        </w:rPr>
        <w:t xml:space="preserve"> </w:t>
      </w:r>
      <w:r>
        <w:rPr>
          <w:w w:val="105"/>
        </w:rPr>
        <w:t>of</w:t>
      </w:r>
      <w:r>
        <w:rPr>
          <w:spacing w:val="-13"/>
          <w:w w:val="105"/>
        </w:rPr>
        <w:t xml:space="preserve"> </w:t>
      </w:r>
      <w:r>
        <w:rPr>
          <w:w w:val="105"/>
        </w:rPr>
        <w:t>any</w:t>
      </w:r>
      <w:r>
        <w:rPr>
          <w:spacing w:val="-7"/>
          <w:w w:val="105"/>
        </w:rPr>
        <w:t xml:space="preserve"> </w:t>
      </w:r>
      <w:r>
        <w:rPr>
          <w:w w:val="105"/>
        </w:rPr>
        <w:t>internal</w:t>
      </w:r>
      <w:r>
        <w:rPr>
          <w:spacing w:val="-11"/>
          <w:w w:val="105"/>
        </w:rPr>
        <w:t xml:space="preserve"> </w:t>
      </w:r>
      <w:r>
        <w:rPr>
          <w:w w:val="105"/>
        </w:rPr>
        <w:t>control</w:t>
      </w:r>
      <w:r>
        <w:rPr>
          <w:spacing w:val="-6"/>
          <w:w w:val="105"/>
        </w:rPr>
        <w:t xml:space="preserve"> </w:t>
      </w:r>
      <w:r>
        <w:rPr>
          <w:w w:val="105"/>
        </w:rPr>
        <w:t>structure it</w:t>
      </w:r>
      <w:r>
        <w:rPr>
          <w:spacing w:val="-19"/>
          <w:w w:val="105"/>
        </w:rPr>
        <w:t xml:space="preserve"> </w:t>
      </w:r>
      <w:r>
        <w:rPr>
          <w:w w:val="105"/>
        </w:rPr>
        <w:t>is</w:t>
      </w:r>
      <w:r>
        <w:rPr>
          <w:spacing w:val="-12"/>
          <w:w w:val="105"/>
        </w:rPr>
        <w:t xml:space="preserve"> </w:t>
      </w:r>
      <w:r>
        <w:rPr>
          <w:w w:val="105"/>
        </w:rPr>
        <w:t>possible</w:t>
      </w:r>
      <w:r>
        <w:rPr>
          <w:spacing w:val="-18"/>
          <w:w w:val="105"/>
        </w:rPr>
        <w:t xml:space="preserve"> </w:t>
      </w:r>
      <w:r>
        <w:rPr>
          <w:w w:val="105"/>
        </w:rPr>
        <w:t>that,</w:t>
      </w:r>
      <w:r>
        <w:rPr>
          <w:spacing w:val="-5"/>
          <w:w w:val="105"/>
        </w:rPr>
        <w:t xml:space="preserve"> </w:t>
      </w:r>
      <w:r>
        <w:rPr>
          <w:w w:val="105"/>
        </w:rPr>
        <w:t>even</w:t>
      </w:r>
      <w:r>
        <w:rPr>
          <w:spacing w:val="-11"/>
          <w:w w:val="105"/>
        </w:rPr>
        <w:t xml:space="preserve"> </w:t>
      </w:r>
      <w:r>
        <w:rPr>
          <w:w w:val="105"/>
        </w:rPr>
        <w:t>if</w:t>
      </w:r>
      <w:r>
        <w:rPr>
          <w:spacing w:val="-23"/>
          <w:w w:val="105"/>
        </w:rPr>
        <w:t xml:space="preserve"> </w:t>
      </w:r>
      <w:r>
        <w:rPr>
          <w:w w:val="105"/>
        </w:rPr>
        <w:t>the</w:t>
      </w:r>
      <w:r>
        <w:rPr>
          <w:w w:val="102"/>
        </w:rPr>
        <w:t xml:space="preserve"> </w:t>
      </w:r>
      <w:r>
        <w:rPr>
          <w:w w:val="105"/>
        </w:rPr>
        <w:t>controls</w:t>
      </w:r>
      <w:r>
        <w:rPr>
          <w:spacing w:val="-9"/>
          <w:w w:val="105"/>
        </w:rPr>
        <w:t xml:space="preserve"> </w:t>
      </w:r>
      <w:r>
        <w:rPr>
          <w:w w:val="105"/>
        </w:rPr>
        <w:t>are</w:t>
      </w:r>
      <w:r>
        <w:rPr>
          <w:spacing w:val="-16"/>
          <w:w w:val="105"/>
        </w:rPr>
        <w:t xml:space="preserve"> </w:t>
      </w:r>
      <w:r>
        <w:rPr>
          <w:w w:val="105"/>
        </w:rPr>
        <w:t>suitably</w:t>
      </w:r>
      <w:r>
        <w:rPr>
          <w:spacing w:val="-8"/>
          <w:w w:val="105"/>
        </w:rPr>
        <w:t xml:space="preserve"> </w:t>
      </w:r>
      <w:r>
        <w:rPr>
          <w:w w:val="105"/>
        </w:rPr>
        <w:t>designed</w:t>
      </w:r>
      <w:r>
        <w:rPr>
          <w:spacing w:val="-8"/>
          <w:w w:val="105"/>
        </w:rPr>
        <w:t xml:space="preserve"> </w:t>
      </w:r>
      <w:r>
        <w:rPr>
          <w:w w:val="105"/>
        </w:rPr>
        <w:t>and</w:t>
      </w:r>
      <w:r>
        <w:rPr>
          <w:spacing w:val="-12"/>
          <w:w w:val="105"/>
        </w:rPr>
        <w:t xml:space="preserve"> </w:t>
      </w:r>
      <w:r>
        <w:rPr>
          <w:w w:val="105"/>
        </w:rPr>
        <w:t>implemented</w:t>
      </w:r>
      <w:r>
        <w:rPr>
          <w:spacing w:val="-8"/>
          <w:w w:val="105"/>
        </w:rPr>
        <w:t xml:space="preserve"> </w:t>
      </w:r>
      <w:r>
        <w:rPr>
          <w:w w:val="105"/>
        </w:rPr>
        <w:t>as</w:t>
      </w:r>
      <w:r>
        <w:rPr>
          <w:spacing w:val="-19"/>
          <w:w w:val="105"/>
        </w:rPr>
        <w:t xml:space="preserve"> </w:t>
      </w:r>
      <w:r>
        <w:rPr>
          <w:w w:val="105"/>
        </w:rPr>
        <w:t>designed,</w:t>
      </w:r>
      <w:r>
        <w:rPr>
          <w:spacing w:val="-2"/>
          <w:w w:val="105"/>
        </w:rPr>
        <w:t xml:space="preserve"> </w:t>
      </w:r>
      <w:r>
        <w:rPr>
          <w:w w:val="105"/>
        </w:rPr>
        <w:t>once</w:t>
      </w:r>
      <w:r>
        <w:rPr>
          <w:spacing w:val="-18"/>
          <w:w w:val="105"/>
        </w:rPr>
        <w:t xml:space="preserve"> </w:t>
      </w:r>
      <w:r>
        <w:rPr>
          <w:w w:val="105"/>
        </w:rPr>
        <w:t>the</w:t>
      </w:r>
      <w:r>
        <w:rPr>
          <w:spacing w:val="-9"/>
          <w:w w:val="105"/>
        </w:rPr>
        <w:t xml:space="preserve"> </w:t>
      </w:r>
      <w:r>
        <w:rPr>
          <w:w w:val="105"/>
        </w:rPr>
        <w:t>controls</w:t>
      </w:r>
      <w:r>
        <w:rPr>
          <w:spacing w:val="-9"/>
          <w:w w:val="105"/>
        </w:rPr>
        <w:t xml:space="preserve"> </w:t>
      </w:r>
      <w:r>
        <w:rPr>
          <w:w w:val="105"/>
        </w:rPr>
        <w:t>are</w:t>
      </w:r>
      <w:r>
        <w:rPr>
          <w:spacing w:val="-12"/>
          <w:w w:val="105"/>
        </w:rPr>
        <w:t xml:space="preserve"> </w:t>
      </w:r>
      <w:r>
        <w:rPr>
          <w:w w:val="105"/>
        </w:rPr>
        <w:t>in</w:t>
      </w:r>
      <w:r>
        <w:rPr>
          <w:spacing w:val="-20"/>
          <w:w w:val="105"/>
        </w:rPr>
        <w:t xml:space="preserve"> </w:t>
      </w:r>
      <w:r>
        <w:rPr>
          <w:w w:val="105"/>
        </w:rPr>
        <w:t>operation,</w:t>
      </w:r>
      <w:r>
        <w:rPr>
          <w:spacing w:val="-9"/>
          <w:w w:val="105"/>
        </w:rPr>
        <w:t xml:space="preserve"> </w:t>
      </w:r>
      <w:r>
        <w:rPr>
          <w:w w:val="105"/>
        </w:rPr>
        <w:t>the</w:t>
      </w:r>
      <w:r>
        <w:rPr>
          <w:w w:val="102"/>
        </w:rPr>
        <w:t xml:space="preserve"> </w:t>
      </w:r>
      <w:r>
        <w:rPr>
          <w:w w:val="105"/>
        </w:rPr>
        <w:t>overall</w:t>
      </w:r>
      <w:r>
        <w:rPr>
          <w:spacing w:val="-7"/>
          <w:w w:val="105"/>
        </w:rPr>
        <w:t xml:space="preserve"> </w:t>
      </w:r>
      <w:r>
        <w:rPr>
          <w:w w:val="105"/>
        </w:rPr>
        <w:t>control</w:t>
      </w:r>
      <w:r>
        <w:rPr>
          <w:spacing w:val="-7"/>
          <w:w w:val="105"/>
        </w:rPr>
        <w:t xml:space="preserve"> </w:t>
      </w:r>
      <w:r>
        <w:rPr>
          <w:w w:val="105"/>
        </w:rPr>
        <w:t>objectives</w:t>
      </w:r>
      <w:r>
        <w:rPr>
          <w:spacing w:val="7"/>
          <w:w w:val="105"/>
        </w:rPr>
        <w:t xml:space="preserve"> </w:t>
      </w:r>
      <w:r>
        <w:rPr>
          <w:w w:val="105"/>
        </w:rPr>
        <w:t>may</w:t>
      </w:r>
      <w:r>
        <w:rPr>
          <w:spacing w:val="-8"/>
          <w:w w:val="105"/>
        </w:rPr>
        <w:t xml:space="preserve"> </w:t>
      </w:r>
      <w:r>
        <w:rPr>
          <w:w w:val="105"/>
        </w:rPr>
        <w:t>not</w:t>
      </w:r>
      <w:r>
        <w:rPr>
          <w:spacing w:val="-13"/>
          <w:w w:val="105"/>
        </w:rPr>
        <w:t xml:space="preserve"> </w:t>
      </w:r>
      <w:r>
        <w:rPr>
          <w:w w:val="105"/>
        </w:rPr>
        <w:t>be</w:t>
      </w:r>
      <w:r>
        <w:rPr>
          <w:spacing w:val="-20"/>
          <w:w w:val="105"/>
        </w:rPr>
        <w:t xml:space="preserve"> </w:t>
      </w:r>
      <w:r>
        <w:rPr>
          <w:w w:val="105"/>
        </w:rPr>
        <w:t>achieved</w:t>
      </w:r>
      <w:r>
        <w:rPr>
          <w:spacing w:val="-9"/>
          <w:w w:val="105"/>
        </w:rPr>
        <w:t xml:space="preserve"> </w:t>
      </w:r>
      <w:r>
        <w:rPr>
          <w:w w:val="105"/>
        </w:rPr>
        <w:t>so</w:t>
      </w:r>
      <w:r>
        <w:rPr>
          <w:spacing w:val="-16"/>
          <w:w w:val="105"/>
        </w:rPr>
        <w:t xml:space="preserve"> </w:t>
      </w:r>
      <w:r>
        <w:rPr>
          <w:w w:val="105"/>
        </w:rPr>
        <w:t>that</w:t>
      </w:r>
      <w:r>
        <w:rPr>
          <w:spacing w:val="-16"/>
          <w:w w:val="105"/>
        </w:rPr>
        <w:t xml:space="preserve"> </w:t>
      </w:r>
      <w:r>
        <w:rPr>
          <w:w w:val="105"/>
        </w:rPr>
        <w:t>fraud,</w:t>
      </w:r>
      <w:r>
        <w:rPr>
          <w:spacing w:val="-4"/>
          <w:w w:val="105"/>
        </w:rPr>
        <w:t xml:space="preserve"> </w:t>
      </w:r>
      <w:r>
        <w:rPr>
          <w:w w:val="105"/>
        </w:rPr>
        <w:t>error,</w:t>
      </w:r>
      <w:r>
        <w:rPr>
          <w:spacing w:val="-6"/>
          <w:w w:val="105"/>
        </w:rPr>
        <w:t xml:space="preserve"> </w:t>
      </w:r>
      <w:r>
        <w:rPr>
          <w:w w:val="105"/>
        </w:rPr>
        <w:t>or</w:t>
      </w:r>
      <w:r>
        <w:rPr>
          <w:spacing w:val="-5"/>
          <w:w w:val="105"/>
        </w:rPr>
        <w:t xml:space="preserve"> </w:t>
      </w:r>
      <w:r>
        <w:rPr>
          <w:w w:val="105"/>
        </w:rPr>
        <w:t>noncompliance</w:t>
      </w:r>
      <w:r>
        <w:rPr>
          <w:spacing w:val="-9"/>
          <w:w w:val="105"/>
        </w:rPr>
        <w:t xml:space="preserve"> </w:t>
      </w:r>
      <w:r>
        <w:rPr>
          <w:w w:val="105"/>
        </w:rPr>
        <w:t>with</w:t>
      </w:r>
      <w:r>
        <w:rPr>
          <w:spacing w:val="-4"/>
          <w:w w:val="105"/>
        </w:rPr>
        <w:t xml:space="preserve"> </w:t>
      </w:r>
      <w:r>
        <w:rPr>
          <w:w w:val="105"/>
        </w:rPr>
        <w:t>laws</w:t>
      </w:r>
      <w:r>
        <w:rPr>
          <w:spacing w:val="-18"/>
          <w:w w:val="105"/>
        </w:rPr>
        <w:t xml:space="preserve"> </w:t>
      </w:r>
      <w:r>
        <w:rPr>
          <w:w w:val="105"/>
        </w:rPr>
        <w:t>and</w:t>
      </w:r>
      <w:r>
        <w:rPr>
          <w:w w:val="103"/>
        </w:rPr>
        <w:t xml:space="preserve"> </w:t>
      </w:r>
      <w:r>
        <w:rPr>
          <w:w w:val="105"/>
        </w:rPr>
        <w:t>regulations</w:t>
      </w:r>
      <w:r>
        <w:rPr>
          <w:spacing w:val="-2"/>
          <w:w w:val="105"/>
        </w:rPr>
        <w:t xml:space="preserve"> </w:t>
      </w:r>
      <w:r>
        <w:rPr>
          <w:w w:val="105"/>
        </w:rPr>
        <w:t>may</w:t>
      </w:r>
      <w:r>
        <w:rPr>
          <w:spacing w:val="-17"/>
          <w:w w:val="105"/>
        </w:rPr>
        <w:t xml:space="preserve"> </w:t>
      </w:r>
      <w:r>
        <w:rPr>
          <w:w w:val="105"/>
        </w:rPr>
        <w:t>occur</w:t>
      </w:r>
      <w:r>
        <w:rPr>
          <w:spacing w:val="-9"/>
          <w:w w:val="105"/>
        </w:rPr>
        <w:t xml:space="preserve"> </w:t>
      </w:r>
      <w:r>
        <w:rPr>
          <w:w w:val="105"/>
        </w:rPr>
        <w:t>and</w:t>
      </w:r>
      <w:r>
        <w:rPr>
          <w:spacing w:val="-8"/>
          <w:w w:val="105"/>
        </w:rPr>
        <w:t xml:space="preserve"> </w:t>
      </w:r>
      <w:r>
        <w:rPr>
          <w:w w:val="105"/>
        </w:rPr>
        <w:t>not</w:t>
      </w:r>
      <w:r>
        <w:rPr>
          <w:spacing w:val="-14"/>
          <w:w w:val="105"/>
        </w:rPr>
        <w:t xml:space="preserve"> </w:t>
      </w:r>
      <w:r>
        <w:rPr>
          <w:w w:val="105"/>
        </w:rPr>
        <w:t>be</w:t>
      </w:r>
      <w:r>
        <w:rPr>
          <w:spacing w:val="-21"/>
          <w:w w:val="105"/>
        </w:rPr>
        <w:t xml:space="preserve"> </w:t>
      </w:r>
      <w:r>
        <w:rPr>
          <w:w w:val="105"/>
        </w:rPr>
        <w:t>detected.</w:t>
      </w:r>
      <w:r>
        <w:rPr>
          <w:spacing w:val="-7"/>
          <w:w w:val="105"/>
        </w:rPr>
        <w:t xml:space="preserve"> </w:t>
      </w:r>
      <w:r>
        <w:rPr>
          <w:w w:val="105"/>
        </w:rPr>
        <w:t>Any</w:t>
      </w:r>
      <w:r>
        <w:rPr>
          <w:spacing w:val="-3"/>
          <w:w w:val="105"/>
        </w:rPr>
        <w:t xml:space="preserve"> </w:t>
      </w:r>
      <w:r>
        <w:rPr>
          <w:w w:val="105"/>
        </w:rPr>
        <w:t>projection</w:t>
      </w:r>
      <w:r>
        <w:rPr>
          <w:spacing w:val="-6"/>
          <w:w w:val="105"/>
        </w:rPr>
        <w:t xml:space="preserve"> </w:t>
      </w:r>
      <w:r>
        <w:rPr>
          <w:w w:val="105"/>
        </w:rPr>
        <w:t>of</w:t>
      </w:r>
      <w:r>
        <w:rPr>
          <w:spacing w:val="-18"/>
          <w:w w:val="105"/>
        </w:rPr>
        <w:t xml:space="preserve"> </w:t>
      </w:r>
      <w:r>
        <w:rPr>
          <w:w w:val="105"/>
        </w:rPr>
        <w:t>the</w:t>
      </w:r>
      <w:r>
        <w:rPr>
          <w:spacing w:val="-11"/>
          <w:w w:val="105"/>
        </w:rPr>
        <w:t xml:space="preserve"> </w:t>
      </w:r>
      <w:r>
        <w:rPr>
          <w:w w:val="105"/>
        </w:rPr>
        <w:t>outcome</w:t>
      </w:r>
      <w:r>
        <w:rPr>
          <w:spacing w:val="-1"/>
          <w:w w:val="105"/>
        </w:rPr>
        <w:t xml:space="preserve"> </w:t>
      </w:r>
      <w:r>
        <w:rPr>
          <w:w w:val="105"/>
        </w:rPr>
        <w:t>of</w:t>
      </w:r>
      <w:r>
        <w:rPr>
          <w:spacing w:val="-19"/>
          <w:w w:val="105"/>
        </w:rPr>
        <w:t xml:space="preserve"> </w:t>
      </w:r>
      <w:r>
        <w:rPr>
          <w:w w:val="105"/>
        </w:rPr>
        <w:t>the</w:t>
      </w:r>
      <w:r>
        <w:rPr>
          <w:spacing w:val="-10"/>
          <w:w w:val="105"/>
        </w:rPr>
        <w:t xml:space="preserve"> </w:t>
      </w:r>
      <w:r>
        <w:rPr>
          <w:w w:val="105"/>
        </w:rPr>
        <w:t>evaluation</w:t>
      </w:r>
      <w:r>
        <w:rPr>
          <w:spacing w:val="-1"/>
          <w:w w:val="105"/>
        </w:rPr>
        <w:t xml:space="preserve"> </w:t>
      </w:r>
      <w:r>
        <w:rPr>
          <w:w w:val="105"/>
        </w:rPr>
        <w:t>of</w:t>
      </w:r>
      <w:r>
        <w:rPr>
          <w:spacing w:val="-21"/>
          <w:w w:val="105"/>
        </w:rPr>
        <w:t xml:space="preserve"> </w:t>
      </w:r>
      <w:r>
        <w:rPr>
          <w:w w:val="105"/>
        </w:rPr>
        <w:t>the</w:t>
      </w:r>
      <w:r>
        <w:rPr>
          <w:w w:val="102"/>
        </w:rPr>
        <w:t xml:space="preserve"> </w:t>
      </w:r>
      <w:r>
        <w:rPr>
          <w:w w:val="105"/>
        </w:rPr>
        <w:t>suitability</w:t>
      </w:r>
      <w:r>
        <w:rPr>
          <w:spacing w:val="-2"/>
          <w:w w:val="105"/>
        </w:rPr>
        <w:t xml:space="preserve"> </w:t>
      </w:r>
      <w:r>
        <w:rPr>
          <w:w w:val="105"/>
        </w:rPr>
        <w:t>of</w:t>
      </w:r>
      <w:r>
        <w:rPr>
          <w:spacing w:val="-18"/>
          <w:w w:val="105"/>
        </w:rPr>
        <w:t xml:space="preserve"> </w:t>
      </w:r>
      <w:r>
        <w:rPr>
          <w:w w:val="105"/>
        </w:rPr>
        <w:t>the</w:t>
      </w:r>
      <w:r>
        <w:rPr>
          <w:spacing w:val="-8"/>
          <w:w w:val="105"/>
        </w:rPr>
        <w:t xml:space="preserve"> </w:t>
      </w:r>
      <w:r>
        <w:rPr>
          <w:w w:val="105"/>
        </w:rPr>
        <w:t>design</w:t>
      </w:r>
      <w:r>
        <w:rPr>
          <w:spacing w:val="-5"/>
          <w:w w:val="105"/>
        </w:rPr>
        <w:t xml:space="preserve"> </w:t>
      </w:r>
      <w:r>
        <w:rPr>
          <w:w w:val="105"/>
        </w:rPr>
        <w:t>of</w:t>
      </w:r>
      <w:r>
        <w:rPr>
          <w:spacing w:val="-11"/>
          <w:w w:val="105"/>
        </w:rPr>
        <w:t xml:space="preserve"> </w:t>
      </w:r>
      <w:r>
        <w:rPr>
          <w:w w:val="105"/>
        </w:rPr>
        <w:t>controls</w:t>
      </w:r>
      <w:r>
        <w:rPr>
          <w:spacing w:val="-8"/>
          <w:w w:val="105"/>
        </w:rPr>
        <w:t xml:space="preserve"> </w:t>
      </w:r>
      <w:r>
        <w:rPr>
          <w:w w:val="105"/>
        </w:rPr>
        <w:t>to</w:t>
      </w:r>
      <w:r>
        <w:rPr>
          <w:spacing w:val="-10"/>
          <w:w w:val="105"/>
        </w:rPr>
        <w:t xml:space="preserve"> </w:t>
      </w:r>
      <w:r>
        <w:rPr>
          <w:w w:val="105"/>
        </w:rPr>
        <w:t>future</w:t>
      </w:r>
      <w:r>
        <w:rPr>
          <w:spacing w:val="1"/>
          <w:w w:val="105"/>
        </w:rPr>
        <w:t xml:space="preserve"> </w:t>
      </w:r>
      <w:r>
        <w:rPr>
          <w:w w:val="105"/>
        </w:rPr>
        <w:t>periods</w:t>
      </w:r>
      <w:r>
        <w:rPr>
          <w:spacing w:val="-2"/>
          <w:w w:val="105"/>
        </w:rPr>
        <w:t xml:space="preserve"> </w:t>
      </w:r>
      <w:r>
        <w:rPr>
          <w:w w:val="105"/>
        </w:rPr>
        <w:t>is</w:t>
      </w:r>
      <w:r>
        <w:rPr>
          <w:spacing w:val="-18"/>
          <w:w w:val="105"/>
        </w:rPr>
        <w:t xml:space="preserve"> </w:t>
      </w:r>
      <w:r>
        <w:rPr>
          <w:w w:val="105"/>
        </w:rPr>
        <w:t>subject</w:t>
      </w:r>
      <w:r>
        <w:rPr>
          <w:spacing w:val="-10"/>
          <w:w w:val="105"/>
        </w:rPr>
        <w:t xml:space="preserve"> </w:t>
      </w:r>
      <w:r>
        <w:rPr>
          <w:w w:val="105"/>
        </w:rPr>
        <w:t>to</w:t>
      </w:r>
      <w:r>
        <w:rPr>
          <w:spacing w:val="-10"/>
          <w:w w:val="105"/>
        </w:rPr>
        <w:t xml:space="preserve"> </w:t>
      </w:r>
      <w:r>
        <w:rPr>
          <w:w w:val="105"/>
        </w:rPr>
        <w:t>the</w:t>
      </w:r>
      <w:r>
        <w:rPr>
          <w:spacing w:val="-1"/>
          <w:w w:val="105"/>
        </w:rPr>
        <w:t xml:space="preserve"> </w:t>
      </w:r>
      <w:r>
        <w:rPr>
          <w:w w:val="105"/>
        </w:rPr>
        <w:t>risk</w:t>
      </w:r>
      <w:r>
        <w:rPr>
          <w:spacing w:val="-12"/>
          <w:w w:val="105"/>
        </w:rPr>
        <w:t xml:space="preserve"> </w:t>
      </w:r>
      <w:r>
        <w:rPr>
          <w:w w:val="105"/>
        </w:rPr>
        <w:t>that</w:t>
      </w:r>
      <w:r>
        <w:rPr>
          <w:spacing w:val="-15"/>
          <w:w w:val="105"/>
        </w:rPr>
        <w:t xml:space="preserve"> </w:t>
      </w:r>
      <w:r>
        <w:rPr>
          <w:w w:val="105"/>
        </w:rPr>
        <w:t>the</w:t>
      </w:r>
      <w:r>
        <w:rPr>
          <w:spacing w:val="-8"/>
          <w:w w:val="105"/>
        </w:rPr>
        <w:t xml:space="preserve"> </w:t>
      </w:r>
      <w:r>
        <w:rPr>
          <w:w w:val="105"/>
        </w:rPr>
        <w:t>controls</w:t>
      </w:r>
      <w:r>
        <w:rPr>
          <w:spacing w:val="-1"/>
          <w:w w:val="105"/>
        </w:rPr>
        <w:t xml:space="preserve"> </w:t>
      </w:r>
      <w:r>
        <w:rPr>
          <w:w w:val="105"/>
        </w:rPr>
        <w:t>may</w:t>
      </w:r>
      <w:r>
        <w:rPr>
          <w:w w:val="99"/>
        </w:rPr>
        <w:t xml:space="preserve"> </w:t>
      </w:r>
      <w:r>
        <w:rPr>
          <w:w w:val="105"/>
        </w:rPr>
        <w:t>become</w:t>
      </w:r>
      <w:r>
        <w:rPr>
          <w:spacing w:val="-10"/>
          <w:w w:val="105"/>
        </w:rPr>
        <w:t xml:space="preserve"> </w:t>
      </w:r>
      <w:r>
        <w:rPr>
          <w:w w:val="105"/>
        </w:rPr>
        <w:t>unsuitable</w:t>
      </w:r>
      <w:r>
        <w:rPr>
          <w:spacing w:val="-9"/>
          <w:w w:val="105"/>
        </w:rPr>
        <w:t xml:space="preserve"> </w:t>
      </w:r>
      <w:r>
        <w:rPr>
          <w:w w:val="105"/>
        </w:rPr>
        <w:t>because</w:t>
      </w:r>
      <w:r>
        <w:rPr>
          <w:spacing w:val="-14"/>
          <w:w w:val="105"/>
        </w:rPr>
        <w:t xml:space="preserve"> </w:t>
      </w:r>
      <w:r>
        <w:rPr>
          <w:w w:val="105"/>
        </w:rPr>
        <w:t>of</w:t>
      </w:r>
      <w:r>
        <w:rPr>
          <w:spacing w:val="-18"/>
          <w:w w:val="105"/>
        </w:rPr>
        <w:t xml:space="preserve"> </w:t>
      </w:r>
      <w:r>
        <w:rPr>
          <w:w w:val="105"/>
        </w:rPr>
        <w:t>changes</w:t>
      </w:r>
      <w:r>
        <w:rPr>
          <w:spacing w:val="-10"/>
          <w:w w:val="105"/>
        </w:rPr>
        <w:t xml:space="preserve"> </w:t>
      </w:r>
      <w:r>
        <w:rPr>
          <w:w w:val="105"/>
        </w:rPr>
        <w:t>in</w:t>
      </w:r>
      <w:r>
        <w:rPr>
          <w:spacing w:val="-22"/>
          <w:w w:val="105"/>
        </w:rPr>
        <w:t xml:space="preserve"> </w:t>
      </w:r>
      <w:r>
        <w:rPr>
          <w:w w:val="105"/>
        </w:rPr>
        <w:t>conditions</w:t>
      </w:r>
      <w:r>
        <w:rPr>
          <w:color w:val="494850"/>
          <w:w w:val="105"/>
        </w:rPr>
        <w:t>.</w:t>
      </w:r>
    </w:p>
    <w:p w14:paraId="61C52EE5" w14:textId="27B81AC8" w:rsidR="009B1B3A" w:rsidRPr="008121F9" w:rsidRDefault="009B1B3A" w:rsidP="009B1B3A">
      <w:pPr>
        <w:rPr>
          <w:b/>
          <w:w w:val="105"/>
        </w:rPr>
      </w:pPr>
      <w:r w:rsidRPr="008121F9">
        <w:rPr>
          <w:b/>
          <w:w w:val="105"/>
        </w:rPr>
        <w:t>Report on the Key Performance Indicators</w:t>
      </w:r>
    </w:p>
    <w:p w14:paraId="64A4F782" w14:textId="5439DD96" w:rsidR="009B1B3A" w:rsidRPr="008121F9" w:rsidRDefault="009B1B3A" w:rsidP="009B1B3A">
      <w:pPr>
        <w:rPr>
          <w:b/>
          <w:i/>
          <w:w w:val="105"/>
        </w:rPr>
      </w:pPr>
      <w:r w:rsidRPr="008121F9">
        <w:rPr>
          <w:b/>
          <w:i/>
          <w:w w:val="105"/>
        </w:rPr>
        <w:t>Opinion</w:t>
      </w:r>
    </w:p>
    <w:p w14:paraId="3F46C012" w14:textId="77777777" w:rsidR="009B1B3A" w:rsidRDefault="009B1B3A" w:rsidP="009B1B3A">
      <w:r>
        <w:t>I</w:t>
      </w:r>
      <w:r>
        <w:rPr>
          <w:spacing w:val="-8"/>
        </w:rPr>
        <w:t xml:space="preserve"> </w:t>
      </w:r>
      <w:r>
        <w:t>have</w:t>
      </w:r>
      <w:r>
        <w:rPr>
          <w:spacing w:val="19"/>
        </w:rPr>
        <w:t xml:space="preserve"> </w:t>
      </w:r>
      <w:r>
        <w:t>undertaken</w:t>
      </w:r>
      <w:r>
        <w:rPr>
          <w:spacing w:val="32"/>
        </w:rPr>
        <w:t xml:space="preserve"> </w:t>
      </w:r>
      <w:r>
        <w:t>a</w:t>
      </w:r>
      <w:r>
        <w:rPr>
          <w:spacing w:val="23"/>
        </w:rPr>
        <w:t xml:space="preserve"> </w:t>
      </w:r>
      <w:r>
        <w:t>reasonable</w:t>
      </w:r>
      <w:r>
        <w:rPr>
          <w:spacing w:val="22"/>
        </w:rPr>
        <w:t xml:space="preserve"> </w:t>
      </w:r>
      <w:r>
        <w:t>assurance</w:t>
      </w:r>
      <w:r>
        <w:rPr>
          <w:spacing w:val="42"/>
        </w:rPr>
        <w:t xml:space="preserve"> </w:t>
      </w:r>
      <w:r>
        <w:t>engagement</w:t>
      </w:r>
      <w:r>
        <w:rPr>
          <w:spacing w:val="33"/>
        </w:rPr>
        <w:t xml:space="preserve"> </w:t>
      </w:r>
      <w:r>
        <w:t>on</w:t>
      </w:r>
      <w:r>
        <w:rPr>
          <w:spacing w:val="9"/>
        </w:rPr>
        <w:t xml:space="preserve"> </w:t>
      </w:r>
      <w:r>
        <w:t>the</w:t>
      </w:r>
      <w:r>
        <w:rPr>
          <w:spacing w:val="28"/>
        </w:rPr>
        <w:t xml:space="preserve"> </w:t>
      </w:r>
      <w:r>
        <w:t>key</w:t>
      </w:r>
      <w:r>
        <w:rPr>
          <w:spacing w:val="18"/>
        </w:rPr>
        <w:t xml:space="preserve"> </w:t>
      </w:r>
      <w:r>
        <w:t>performance</w:t>
      </w:r>
      <w:r>
        <w:rPr>
          <w:spacing w:val="36"/>
        </w:rPr>
        <w:t xml:space="preserve"> </w:t>
      </w:r>
      <w:r>
        <w:t>indicators</w:t>
      </w:r>
      <w:r>
        <w:rPr>
          <w:spacing w:val="14"/>
        </w:rPr>
        <w:t xml:space="preserve"> </w:t>
      </w:r>
      <w:r>
        <w:t>of</w:t>
      </w:r>
      <w:r>
        <w:rPr>
          <w:spacing w:val="12"/>
        </w:rPr>
        <w:t xml:space="preserve"> </w:t>
      </w:r>
      <w:r>
        <w:t>the</w:t>
      </w:r>
      <w:r>
        <w:rPr>
          <w:w w:val="102"/>
        </w:rPr>
        <w:t xml:space="preserve"> </w:t>
      </w:r>
      <w:r>
        <w:t>WorkCover</w:t>
      </w:r>
      <w:r>
        <w:rPr>
          <w:spacing w:val="30"/>
        </w:rPr>
        <w:t xml:space="preserve"> </w:t>
      </w:r>
      <w:r>
        <w:t>Western</w:t>
      </w:r>
      <w:r>
        <w:rPr>
          <w:spacing w:val="15"/>
        </w:rPr>
        <w:t xml:space="preserve"> </w:t>
      </w:r>
      <w:r>
        <w:t>Australia</w:t>
      </w:r>
      <w:r>
        <w:rPr>
          <w:spacing w:val="25"/>
        </w:rPr>
        <w:t xml:space="preserve"> </w:t>
      </w:r>
      <w:r>
        <w:t>Authority</w:t>
      </w:r>
      <w:r>
        <w:rPr>
          <w:spacing w:val="28"/>
        </w:rPr>
        <w:t xml:space="preserve"> </w:t>
      </w:r>
      <w:r>
        <w:t>for</w:t>
      </w:r>
      <w:r>
        <w:rPr>
          <w:spacing w:val="15"/>
        </w:rPr>
        <w:t xml:space="preserve"> </w:t>
      </w:r>
      <w:r>
        <w:t>the</w:t>
      </w:r>
      <w:r>
        <w:rPr>
          <w:spacing w:val="14"/>
        </w:rPr>
        <w:t xml:space="preserve"> </w:t>
      </w:r>
      <w:r>
        <w:t>year</w:t>
      </w:r>
      <w:r>
        <w:rPr>
          <w:spacing w:val="25"/>
        </w:rPr>
        <w:t xml:space="preserve"> </w:t>
      </w:r>
      <w:r>
        <w:t>ended</w:t>
      </w:r>
      <w:r>
        <w:rPr>
          <w:spacing w:val="26"/>
        </w:rPr>
        <w:t xml:space="preserve"> </w:t>
      </w:r>
      <w:r>
        <w:t>30</w:t>
      </w:r>
      <w:r>
        <w:rPr>
          <w:spacing w:val="8"/>
        </w:rPr>
        <w:t xml:space="preserve"> </w:t>
      </w:r>
      <w:r>
        <w:t>June</w:t>
      </w:r>
      <w:r>
        <w:rPr>
          <w:spacing w:val="21"/>
        </w:rPr>
        <w:t xml:space="preserve"> </w:t>
      </w:r>
      <w:r>
        <w:t>2018.</w:t>
      </w:r>
      <w:r>
        <w:rPr>
          <w:spacing w:val="19"/>
        </w:rPr>
        <w:t xml:space="preserve"> </w:t>
      </w:r>
      <w:r>
        <w:t>The</w:t>
      </w:r>
      <w:r>
        <w:rPr>
          <w:spacing w:val="24"/>
        </w:rPr>
        <w:t xml:space="preserve"> </w:t>
      </w:r>
      <w:r>
        <w:t>key</w:t>
      </w:r>
      <w:r>
        <w:rPr>
          <w:spacing w:val="16"/>
        </w:rPr>
        <w:t xml:space="preserve"> </w:t>
      </w:r>
      <w:r>
        <w:t>performance indicators</w:t>
      </w:r>
      <w:r>
        <w:rPr>
          <w:spacing w:val="24"/>
        </w:rPr>
        <w:t xml:space="preserve"> </w:t>
      </w:r>
      <w:r>
        <w:t>are</w:t>
      </w:r>
      <w:r>
        <w:rPr>
          <w:spacing w:val="10"/>
        </w:rPr>
        <w:t xml:space="preserve"> </w:t>
      </w:r>
      <w:r>
        <w:t>the</w:t>
      </w:r>
      <w:r>
        <w:rPr>
          <w:spacing w:val="24"/>
        </w:rPr>
        <w:t xml:space="preserve"> </w:t>
      </w:r>
      <w:r>
        <w:t>key</w:t>
      </w:r>
      <w:r>
        <w:rPr>
          <w:spacing w:val="10"/>
        </w:rPr>
        <w:t xml:space="preserve"> </w:t>
      </w:r>
      <w:r>
        <w:t>effectiveness</w:t>
      </w:r>
      <w:r>
        <w:rPr>
          <w:spacing w:val="41"/>
        </w:rPr>
        <w:t xml:space="preserve"> </w:t>
      </w:r>
      <w:r>
        <w:t>indicators</w:t>
      </w:r>
      <w:r>
        <w:rPr>
          <w:spacing w:val="20"/>
        </w:rPr>
        <w:t xml:space="preserve"> </w:t>
      </w:r>
      <w:r>
        <w:t>and</w:t>
      </w:r>
      <w:r>
        <w:rPr>
          <w:spacing w:val="8"/>
        </w:rPr>
        <w:t xml:space="preserve"> </w:t>
      </w:r>
      <w:r>
        <w:t>the</w:t>
      </w:r>
      <w:r>
        <w:rPr>
          <w:spacing w:val="26"/>
        </w:rPr>
        <w:t xml:space="preserve"> </w:t>
      </w:r>
      <w:r>
        <w:t>key</w:t>
      </w:r>
      <w:r>
        <w:rPr>
          <w:spacing w:val="12"/>
        </w:rPr>
        <w:t xml:space="preserve"> </w:t>
      </w:r>
      <w:r>
        <w:t>efficiency</w:t>
      </w:r>
      <w:r>
        <w:rPr>
          <w:spacing w:val="36"/>
        </w:rPr>
        <w:t xml:space="preserve"> </w:t>
      </w:r>
      <w:r>
        <w:t>indicators</w:t>
      </w:r>
      <w:r>
        <w:rPr>
          <w:spacing w:val="14"/>
        </w:rPr>
        <w:t xml:space="preserve"> </w:t>
      </w:r>
      <w:r>
        <w:t>that</w:t>
      </w:r>
      <w:r>
        <w:rPr>
          <w:spacing w:val="30"/>
        </w:rPr>
        <w:t xml:space="preserve"> </w:t>
      </w:r>
      <w:r>
        <w:t>provide performance</w:t>
      </w:r>
      <w:r>
        <w:rPr>
          <w:spacing w:val="33"/>
        </w:rPr>
        <w:t xml:space="preserve"> </w:t>
      </w:r>
      <w:r>
        <w:t>information</w:t>
      </w:r>
      <w:r>
        <w:rPr>
          <w:spacing w:val="34"/>
        </w:rPr>
        <w:t xml:space="preserve"> </w:t>
      </w:r>
      <w:r>
        <w:t>about</w:t>
      </w:r>
      <w:r>
        <w:rPr>
          <w:spacing w:val="25"/>
        </w:rPr>
        <w:t xml:space="preserve"> </w:t>
      </w:r>
      <w:r>
        <w:t>achieving</w:t>
      </w:r>
      <w:r>
        <w:rPr>
          <w:spacing w:val="33"/>
        </w:rPr>
        <w:t xml:space="preserve"> </w:t>
      </w:r>
      <w:r>
        <w:t>outcomes</w:t>
      </w:r>
      <w:r>
        <w:rPr>
          <w:spacing w:val="34"/>
        </w:rPr>
        <w:t xml:space="preserve"> </w:t>
      </w:r>
      <w:r>
        <w:t>and</w:t>
      </w:r>
      <w:r>
        <w:rPr>
          <w:spacing w:val="20"/>
        </w:rPr>
        <w:t xml:space="preserve"> </w:t>
      </w:r>
      <w:r>
        <w:t>delivering</w:t>
      </w:r>
      <w:r>
        <w:rPr>
          <w:spacing w:val="37"/>
        </w:rPr>
        <w:t xml:space="preserve"> </w:t>
      </w:r>
      <w:r>
        <w:t>services.</w:t>
      </w:r>
    </w:p>
    <w:p w14:paraId="6571DDF7" w14:textId="77777777" w:rsidR="009B1B3A" w:rsidRDefault="009B1B3A" w:rsidP="009B1B3A">
      <w:r>
        <w:t>In</w:t>
      </w:r>
      <w:r>
        <w:rPr>
          <w:spacing w:val="12"/>
        </w:rPr>
        <w:t xml:space="preserve"> </w:t>
      </w:r>
      <w:r>
        <w:t>my</w:t>
      </w:r>
      <w:r>
        <w:rPr>
          <w:spacing w:val="8"/>
        </w:rPr>
        <w:t xml:space="preserve"> </w:t>
      </w:r>
      <w:r>
        <w:t>opinion,</w:t>
      </w:r>
      <w:r>
        <w:rPr>
          <w:spacing w:val="31"/>
        </w:rPr>
        <w:t xml:space="preserve"> </w:t>
      </w:r>
      <w:r>
        <w:t>in</w:t>
      </w:r>
      <w:r>
        <w:rPr>
          <w:spacing w:val="7"/>
        </w:rPr>
        <w:t xml:space="preserve"> </w:t>
      </w:r>
      <w:r>
        <w:t>all</w:t>
      </w:r>
      <w:r>
        <w:rPr>
          <w:spacing w:val="14"/>
        </w:rPr>
        <w:t xml:space="preserve"> </w:t>
      </w:r>
      <w:r>
        <w:t>material</w:t>
      </w:r>
      <w:r>
        <w:rPr>
          <w:spacing w:val="27"/>
        </w:rPr>
        <w:t xml:space="preserve"> </w:t>
      </w:r>
      <w:r>
        <w:t>respects,</w:t>
      </w:r>
      <w:r>
        <w:rPr>
          <w:spacing w:val="21"/>
        </w:rPr>
        <w:t xml:space="preserve"> </w:t>
      </w:r>
      <w:r>
        <w:t>the</w:t>
      </w:r>
      <w:r>
        <w:rPr>
          <w:spacing w:val="25"/>
        </w:rPr>
        <w:t xml:space="preserve"> </w:t>
      </w:r>
      <w:r>
        <w:t>key</w:t>
      </w:r>
      <w:r>
        <w:rPr>
          <w:spacing w:val="15"/>
        </w:rPr>
        <w:t xml:space="preserve"> </w:t>
      </w:r>
      <w:r>
        <w:t>performance</w:t>
      </w:r>
      <w:r>
        <w:rPr>
          <w:spacing w:val="21"/>
        </w:rPr>
        <w:t xml:space="preserve"> </w:t>
      </w:r>
      <w:r>
        <w:t>indicators</w:t>
      </w:r>
      <w:r>
        <w:rPr>
          <w:spacing w:val="25"/>
        </w:rPr>
        <w:t xml:space="preserve"> </w:t>
      </w:r>
      <w:r>
        <w:t>of</w:t>
      </w:r>
      <w:r>
        <w:rPr>
          <w:spacing w:val="9"/>
        </w:rPr>
        <w:t xml:space="preserve"> </w:t>
      </w:r>
      <w:r>
        <w:t>the</w:t>
      </w:r>
      <w:r>
        <w:rPr>
          <w:spacing w:val="8"/>
        </w:rPr>
        <w:t xml:space="preserve"> </w:t>
      </w:r>
      <w:r>
        <w:t>WorkCover</w:t>
      </w:r>
      <w:r>
        <w:rPr>
          <w:spacing w:val="24"/>
        </w:rPr>
        <w:t xml:space="preserve"> </w:t>
      </w:r>
      <w:r>
        <w:t>Western Australia</w:t>
      </w:r>
      <w:r>
        <w:rPr>
          <w:spacing w:val="28"/>
        </w:rPr>
        <w:t xml:space="preserve"> </w:t>
      </w:r>
      <w:r>
        <w:t>Authority</w:t>
      </w:r>
      <w:r>
        <w:rPr>
          <w:spacing w:val="47"/>
        </w:rPr>
        <w:t xml:space="preserve"> </w:t>
      </w:r>
      <w:r>
        <w:t>are</w:t>
      </w:r>
      <w:r>
        <w:rPr>
          <w:spacing w:val="22"/>
        </w:rPr>
        <w:t xml:space="preserve"> </w:t>
      </w:r>
      <w:r>
        <w:t>relevant</w:t>
      </w:r>
      <w:r>
        <w:rPr>
          <w:spacing w:val="16"/>
        </w:rPr>
        <w:t xml:space="preserve"> </w:t>
      </w:r>
      <w:r>
        <w:t>and</w:t>
      </w:r>
      <w:r>
        <w:rPr>
          <w:spacing w:val="13"/>
        </w:rPr>
        <w:t xml:space="preserve"> </w:t>
      </w:r>
      <w:r>
        <w:t>appropriate</w:t>
      </w:r>
      <w:r>
        <w:rPr>
          <w:spacing w:val="22"/>
        </w:rPr>
        <w:t xml:space="preserve"> </w:t>
      </w:r>
      <w:r>
        <w:t>to</w:t>
      </w:r>
      <w:r>
        <w:rPr>
          <w:spacing w:val="23"/>
        </w:rPr>
        <w:t xml:space="preserve"> </w:t>
      </w:r>
      <w:r>
        <w:t>assist</w:t>
      </w:r>
      <w:r>
        <w:rPr>
          <w:spacing w:val="30"/>
        </w:rPr>
        <w:t xml:space="preserve"> </w:t>
      </w:r>
      <w:r>
        <w:t>users</w:t>
      </w:r>
      <w:r>
        <w:rPr>
          <w:spacing w:val="6"/>
        </w:rPr>
        <w:t xml:space="preserve"> </w:t>
      </w:r>
      <w:r>
        <w:t>to</w:t>
      </w:r>
      <w:r>
        <w:rPr>
          <w:spacing w:val="23"/>
        </w:rPr>
        <w:t xml:space="preserve"> </w:t>
      </w:r>
      <w:r>
        <w:t>assess</w:t>
      </w:r>
      <w:r>
        <w:rPr>
          <w:spacing w:val="17"/>
        </w:rPr>
        <w:t xml:space="preserve"> </w:t>
      </w:r>
      <w:r>
        <w:t>the</w:t>
      </w:r>
      <w:r>
        <w:rPr>
          <w:spacing w:val="15"/>
        </w:rPr>
        <w:t xml:space="preserve"> </w:t>
      </w:r>
      <w:r>
        <w:t>Authority's</w:t>
      </w:r>
      <w:r>
        <w:rPr>
          <w:w w:val="102"/>
        </w:rPr>
        <w:t xml:space="preserve"> </w:t>
      </w:r>
      <w:r>
        <w:t>performance</w:t>
      </w:r>
      <w:r>
        <w:rPr>
          <w:spacing w:val="21"/>
        </w:rPr>
        <w:t xml:space="preserve"> </w:t>
      </w:r>
      <w:r>
        <w:t>and</w:t>
      </w:r>
      <w:r>
        <w:rPr>
          <w:spacing w:val="8"/>
        </w:rPr>
        <w:t xml:space="preserve"> </w:t>
      </w:r>
      <w:r>
        <w:t>fairly</w:t>
      </w:r>
      <w:r>
        <w:rPr>
          <w:spacing w:val="30"/>
        </w:rPr>
        <w:t xml:space="preserve"> </w:t>
      </w:r>
      <w:r>
        <w:t>represent</w:t>
      </w:r>
      <w:r>
        <w:rPr>
          <w:spacing w:val="28"/>
        </w:rPr>
        <w:t xml:space="preserve"> </w:t>
      </w:r>
      <w:r>
        <w:t>indicated</w:t>
      </w:r>
      <w:r>
        <w:rPr>
          <w:spacing w:val="26"/>
        </w:rPr>
        <w:t xml:space="preserve"> </w:t>
      </w:r>
      <w:r>
        <w:t>performance</w:t>
      </w:r>
      <w:r>
        <w:rPr>
          <w:spacing w:val="24"/>
        </w:rPr>
        <w:t xml:space="preserve"> </w:t>
      </w:r>
      <w:r>
        <w:t>for</w:t>
      </w:r>
      <w:r>
        <w:rPr>
          <w:spacing w:val="16"/>
        </w:rPr>
        <w:t xml:space="preserve"> </w:t>
      </w:r>
      <w:r>
        <w:t>the</w:t>
      </w:r>
      <w:r>
        <w:rPr>
          <w:spacing w:val="20"/>
        </w:rPr>
        <w:t xml:space="preserve"> </w:t>
      </w:r>
      <w:r>
        <w:t>year</w:t>
      </w:r>
      <w:r>
        <w:rPr>
          <w:spacing w:val="25"/>
        </w:rPr>
        <w:t xml:space="preserve"> </w:t>
      </w:r>
      <w:r>
        <w:t>ended</w:t>
      </w:r>
      <w:r>
        <w:rPr>
          <w:spacing w:val="31"/>
        </w:rPr>
        <w:t xml:space="preserve"> </w:t>
      </w:r>
      <w:r>
        <w:t>30</w:t>
      </w:r>
      <w:r>
        <w:rPr>
          <w:spacing w:val="17"/>
        </w:rPr>
        <w:t xml:space="preserve"> </w:t>
      </w:r>
      <w:r>
        <w:t>June</w:t>
      </w:r>
      <w:r>
        <w:rPr>
          <w:spacing w:val="17"/>
        </w:rPr>
        <w:t xml:space="preserve"> </w:t>
      </w:r>
      <w:r>
        <w:t>2018.</w:t>
      </w:r>
    </w:p>
    <w:p w14:paraId="05E29F75" w14:textId="620BF922" w:rsidR="009B1B3A" w:rsidRDefault="009B1B3A" w:rsidP="009B1B3A">
      <w:pPr>
        <w:rPr>
          <w:b/>
          <w:i/>
        </w:rPr>
      </w:pPr>
      <w:r w:rsidRPr="009B1B3A">
        <w:rPr>
          <w:b/>
          <w:i/>
        </w:rPr>
        <w:t>The</w:t>
      </w:r>
      <w:r w:rsidRPr="009B1B3A">
        <w:rPr>
          <w:b/>
          <w:i/>
          <w:spacing w:val="-15"/>
        </w:rPr>
        <w:t xml:space="preserve"> </w:t>
      </w:r>
      <w:r w:rsidRPr="009B1B3A">
        <w:rPr>
          <w:b/>
          <w:i/>
        </w:rPr>
        <w:t>Authority's</w:t>
      </w:r>
      <w:r w:rsidRPr="009B1B3A">
        <w:rPr>
          <w:b/>
          <w:i/>
          <w:spacing w:val="43"/>
        </w:rPr>
        <w:t xml:space="preserve"> </w:t>
      </w:r>
      <w:r w:rsidRPr="009B1B3A">
        <w:rPr>
          <w:b/>
          <w:i/>
        </w:rPr>
        <w:t>Responsibility for</w:t>
      </w:r>
      <w:r w:rsidRPr="009B1B3A">
        <w:rPr>
          <w:b/>
          <w:i/>
          <w:spacing w:val="19"/>
        </w:rPr>
        <w:t xml:space="preserve"> </w:t>
      </w:r>
      <w:r w:rsidRPr="009B1B3A">
        <w:rPr>
          <w:b/>
          <w:i/>
        </w:rPr>
        <w:t>the</w:t>
      </w:r>
      <w:r w:rsidRPr="009B1B3A">
        <w:rPr>
          <w:b/>
          <w:i/>
          <w:spacing w:val="19"/>
        </w:rPr>
        <w:t xml:space="preserve"> </w:t>
      </w:r>
      <w:r w:rsidRPr="009B1B3A">
        <w:rPr>
          <w:b/>
          <w:i/>
        </w:rPr>
        <w:t>Key</w:t>
      </w:r>
      <w:r w:rsidRPr="009B1B3A">
        <w:rPr>
          <w:b/>
          <w:i/>
          <w:spacing w:val="20"/>
        </w:rPr>
        <w:t xml:space="preserve"> </w:t>
      </w:r>
      <w:r w:rsidRPr="009B1B3A">
        <w:rPr>
          <w:b/>
          <w:i/>
        </w:rPr>
        <w:t>Performance</w:t>
      </w:r>
      <w:r w:rsidRPr="009B1B3A">
        <w:rPr>
          <w:b/>
          <w:i/>
          <w:spacing w:val="47"/>
        </w:rPr>
        <w:t xml:space="preserve"> </w:t>
      </w:r>
      <w:r w:rsidRPr="009B1B3A">
        <w:rPr>
          <w:b/>
          <w:i/>
        </w:rPr>
        <w:t>Indicators</w:t>
      </w:r>
    </w:p>
    <w:p w14:paraId="2F0EBDB8" w14:textId="0F682815" w:rsidR="009B1B3A" w:rsidRDefault="009B1B3A" w:rsidP="009B1B3A">
      <w:r>
        <w:t>The</w:t>
      </w:r>
      <w:r>
        <w:rPr>
          <w:spacing w:val="10"/>
        </w:rPr>
        <w:t xml:space="preserve"> </w:t>
      </w:r>
      <w:r>
        <w:t>Authority</w:t>
      </w:r>
      <w:r>
        <w:rPr>
          <w:spacing w:val="45"/>
        </w:rPr>
        <w:t xml:space="preserve"> </w:t>
      </w:r>
      <w:r>
        <w:t>is</w:t>
      </w:r>
      <w:r>
        <w:rPr>
          <w:spacing w:val="14"/>
        </w:rPr>
        <w:t xml:space="preserve"> </w:t>
      </w:r>
      <w:r>
        <w:t>responsible</w:t>
      </w:r>
      <w:r>
        <w:rPr>
          <w:spacing w:val="12"/>
        </w:rPr>
        <w:t xml:space="preserve"> </w:t>
      </w:r>
      <w:r>
        <w:t>for</w:t>
      </w:r>
      <w:r>
        <w:rPr>
          <w:spacing w:val="20"/>
        </w:rPr>
        <w:t xml:space="preserve"> </w:t>
      </w:r>
      <w:r>
        <w:t>the</w:t>
      </w:r>
      <w:r>
        <w:rPr>
          <w:spacing w:val="24"/>
        </w:rPr>
        <w:t xml:space="preserve"> </w:t>
      </w:r>
      <w:r>
        <w:t>preparation</w:t>
      </w:r>
      <w:r>
        <w:rPr>
          <w:spacing w:val="26"/>
        </w:rPr>
        <w:t xml:space="preserve"> </w:t>
      </w:r>
      <w:r>
        <w:t>and</w:t>
      </w:r>
      <w:r>
        <w:rPr>
          <w:spacing w:val="6"/>
        </w:rPr>
        <w:t xml:space="preserve"> </w:t>
      </w:r>
      <w:r>
        <w:t>fair</w:t>
      </w:r>
      <w:r>
        <w:rPr>
          <w:spacing w:val="28"/>
        </w:rPr>
        <w:t xml:space="preserve"> </w:t>
      </w:r>
      <w:r>
        <w:t>presentation</w:t>
      </w:r>
      <w:r>
        <w:rPr>
          <w:spacing w:val="24"/>
        </w:rPr>
        <w:t xml:space="preserve"> </w:t>
      </w:r>
      <w:r>
        <w:t>of</w:t>
      </w:r>
      <w:r>
        <w:rPr>
          <w:spacing w:val="9"/>
        </w:rPr>
        <w:t xml:space="preserve"> </w:t>
      </w:r>
      <w:r>
        <w:t>the</w:t>
      </w:r>
      <w:r>
        <w:rPr>
          <w:spacing w:val="24"/>
        </w:rPr>
        <w:t xml:space="preserve"> </w:t>
      </w:r>
      <w:r>
        <w:t>key</w:t>
      </w:r>
      <w:r>
        <w:rPr>
          <w:spacing w:val="15"/>
        </w:rPr>
        <w:t xml:space="preserve"> </w:t>
      </w:r>
      <w:r>
        <w:t>performance indicators</w:t>
      </w:r>
      <w:r>
        <w:rPr>
          <w:spacing w:val="21"/>
        </w:rPr>
        <w:t xml:space="preserve"> </w:t>
      </w:r>
      <w:r>
        <w:t>in</w:t>
      </w:r>
      <w:r>
        <w:rPr>
          <w:spacing w:val="8"/>
        </w:rPr>
        <w:t xml:space="preserve"> </w:t>
      </w:r>
      <w:r>
        <w:t>accordance</w:t>
      </w:r>
      <w:r>
        <w:rPr>
          <w:spacing w:val="25"/>
        </w:rPr>
        <w:t xml:space="preserve"> </w:t>
      </w:r>
      <w:r>
        <w:t>with</w:t>
      </w:r>
      <w:r>
        <w:rPr>
          <w:spacing w:val="22"/>
        </w:rPr>
        <w:t xml:space="preserve"> </w:t>
      </w:r>
      <w:r>
        <w:t>the</w:t>
      </w:r>
      <w:r>
        <w:rPr>
          <w:spacing w:val="27"/>
        </w:rPr>
        <w:t xml:space="preserve"> </w:t>
      </w:r>
      <w:r>
        <w:rPr>
          <w:rFonts w:eastAsia="Arial" w:cs="Arial"/>
          <w:i/>
        </w:rPr>
        <w:t>Financial</w:t>
      </w:r>
      <w:r>
        <w:rPr>
          <w:rFonts w:eastAsia="Arial" w:cs="Arial"/>
          <w:i/>
          <w:spacing w:val="42"/>
        </w:rPr>
        <w:t xml:space="preserve"> </w:t>
      </w:r>
      <w:r>
        <w:rPr>
          <w:rFonts w:eastAsia="Arial" w:cs="Arial"/>
          <w:i/>
        </w:rPr>
        <w:t>Management</w:t>
      </w:r>
      <w:r>
        <w:rPr>
          <w:rFonts w:eastAsia="Arial" w:cs="Arial"/>
          <w:i/>
          <w:spacing w:val="21"/>
        </w:rPr>
        <w:t xml:space="preserve"> </w:t>
      </w:r>
      <w:r>
        <w:rPr>
          <w:rFonts w:eastAsia="Arial" w:cs="Arial"/>
          <w:i/>
        </w:rPr>
        <w:t>Act</w:t>
      </w:r>
      <w:r>
        <w:rPr>
          <w:rFonts w:eastAsia="Arial" w:cs="Arial"/>
          <w:i/>
          <w:spacing w:val="34"/>
        </w:rPr>
        <w:t xml:space="preserve"> </w:t>
      </w:r>
      <w:r>
        <w:rPr>
          <w:rFonts w:eastAsia="Arial" w:cs="Arial"/>
          <w:i/>
        </w:rPr>
        <w:t>2006</w:t>
      </w:r>
      <w:r>
        <w:rPr>
          <w:rFonts w:eastAsia="Arial" w:cs="Arial"/>
          <w:i/>
          <w:spacing w:val="20"/>
        </w:rPr>
        <w:t xml:space="preserve"> </w:t>
      </w:r>
      <w:r>
        <w:t>and</w:t>
      </w:r>
      <w:r>
        <w:rPr>
          <w:spacing w:val="16"/>
        </w:rPr>
        <w:t xml:space="preserve"> </w:t>
      </w:r>
      <w:r>
        <w:t>the</w:t>
      </w:r>
      <w:r>
        <w:rPr>
          <w:spacing w:val="15"/>
        </w:rPr>
        <w:t xml:space="preserve"> </w:t>
      </w:r>
      <w:r>
        <w:t>Treasurer's</w:t>
      </w:r>
      <w:r>
        <w:rPr>
          <w:spacing w:val="41"/>
        </w:rPr>
        <w:t xml:space="preserve"> </w:t>
      </w:r>
      <w:r>
        <w:t>Instructions and</w:t>
      </w:r>
      <w:r>
        <w:rPr>
          <w:spacing w:val="8"/>
        </w:rPr>
        <w:t xml:space="preserve"> </w:t>
      </w:r>
      <w:r>
        <w:t>for</w:t>
      </w:r>
      <w:r>
        <w:rPr>
          <w:spacing w:val="21"/>
        </w:rPr>
        <w:t xml:space="preserve"> </w:t>
      </w:r>
      <w:r>
        <w:t>such</w:t>
      </w:r>
      <w:r>
        <w:rPr>
          <w:spacing w:val="28"/>
        </w:rPr>
        <w:t xml:space="preserve"> </w:t>
      </w:r>
      <w:r>
        <w:t>internal</w:t>
      </w:r>
      <w:r>
        <w:rPr>
          <w:spacing w:val="11"/>
        </w:rPr>
        <w:t xml:space="preserve"> </w:t>
      </w:r>
      <w:r>
        <w:t>control</w:t>
      </w:r>
      <w:r>
        <w:rPr>
          <w:spacing w:val="21"/>
        </w:rPr>
        <w:t xml:space="preserve"> </w:t>
      </w:r>
      <w:r>
        <w:t>as</w:t>
      </w:r>
      <w:r>
        <w:rPr>
          <w:spacing w:val="6"/>
        </w:rPr>
        <w:t xml:space="preserve"> </w:t>
      </w:r>
      <w:r>
        <w:t>the</w:t>
      </w:r>
      <w:r>
        <w:rPr>
          <w:spacing w:val="8"/>
        </w:rPr>
        <w:t xml:space="preserve"> </w:t>
      </w:r>
      <w:r>
        <w:t>Authority</w:t>
      </w:r>
      <w:r>
        <w:rPr>
          <w:spacing w:val="33"/>
        </w:rPr>
        <w:t xml:space="preserve"> </w:t>
      </w:r>
      <w:r>
        <w:t>determines</w:t>
      </w:r>
      <w:r>
        <w:rPr>
          <w:spacing w:val="48"/>
        </w:rPr>
        <w:t xml:space="preserve"> </w:t>
      </w:r>
      <w:r>
        <w:t>necessary</w:t>
      </w:r>
      <w:r>
        <w:rPr>
          <w:spacing w:val="19"/>
        </w:rPr>
        <w:t xml:space="preserve"> </w:t>
      </w:r>
      <w:r>
        <w:t>to</w:t>
      </w:r>
      <w:r>
        <w:rPr>
          <w:spacing w:val="16"/>
        </w:rPr>
        <w:t xml:space="preserve"> </w:t>
      </w:r>
      <w:r>
        <w:t>enable</w:t>
      </w:r>
      <w:r>
        <w:rPr>
          <w:spacing w:val="13"/>
        </w:rPr>
        <w:t xml:space="preserve"> </w:t>
      </w:r>
      <w:r>
        <w:t>the</w:t>
      </w:r>
      <w:r>
        <w:rPr>
          <w:spacing w:val="25"/>
        </w:rPr>
        <w:t xml:space="preserve"> </w:t>
      </w:r>
      <w:r>
        <w:t>preparation</w:t>
      </w:r>
      <w:r>
        <w:rPr>
          <w:spacing w:val="28"/>
        </w:rPr>
        <w:t xml:space="preserve"> </w:t>
      </w:r>
      <w:r>
        <w:t>of</w:t>
      </w:r>
      <w:r>
        <w:rPr>
          <w:spacing w:val="18"/>
        </w:rPr>
        <w:t xml:space="preserve"> </w:t>
      </w:r>
      <w:r>
        <w:t>key</w:t>
      </w:r>
      <w:r>
        <w:rPr>
          <w:w w:val="101"/>
        </w:rPr>
        <w:t xml:space="preserve"> </w:t>
      </w:r>
      <w:r>
        <w:t>performance</w:t>
      </w:r>
      <w:r>
        <w:rPr>
          <w:spacing w:val="31"/>
        </w:rPr>
        <w:t xml:space="preserve"> </w:t>
      </w:r>
      <w:r>
        <w:t>indicators</w:t>
      </w:r>
      <w:r>
        <w:rPr>
          <w:spacing w:val="16"/>
        </w:rPr>
        <w:t xml:space="preserve"> </w:t>
      </w:r>
      <w:r>
        <w:t>that</w:t>
      </w:r>
      <w:r>
        <w:rPr>
          <w:spacing w:val="15"/>
        </w:rPr>
        <w:t xml:space="preserve"> </w:t>
      </w:r>
      <w:r>
        <w:t>are</w:t>
      </w:r>
      <w:r>
        <w:rPr>
          <w:spacing w:val="6"/>
        </w:rPr>
        <w:t xml:space="preserve"> </w:t>
      </w:r>
      <w:r>
        <w:t>free</w:t>
      </w:r>
      <w:r>
        <w:rPr>
          <w:spacing w:val="16"/>
        </w:rPr>
        <w:t xml:space="preserve"> </w:t>
      </w:r>
      <w:r>
        <w:t>from</w:t>
      </w:r>
      <w:r>
        <w:rPr>
          <w:spacing w:val="31"/>
        </w:rPr>
        <w:t xml:space="preserve"> </w:t>
      </w:r>
      <w:r>
        <w:t>material</w:t>
      </w:r>
      <w:r>
        <w:rPr>
          <w:spacing w:val="22"/>
        </w:rPr>
        <w:t xml:space="preserve"> </w:t>
      </w:r>
      <w:r>
        <w:t>misstatement,</w:t>
      </w:r>
      <w:r>
        <w:rPr>
          <w:spacing w:val="32"/>
        </w:rPr>
        <w:t xml:space="preserve"> </w:t>
      </w:r>
      <w:r>
        <w:t>whether</w:t>
      </w:r>
      <w:r>
        <w:rPr>
          <w:spacing w:val="30"/>
        </w:rPr>
        <w:t xml:space="preserve"> </w:t>
      </w:r>
      <w:r>
        <w:t>due</w:t>
      </w:r>
      <w:r>
        <w:rPr>
          <w:spacing w:val="6"/>
        </w:rPr>
        <w:t xml:space="preserve"> </w:t>
      </w:r>
      <w:r>
        <w:t>to</w:t>
      </w:r>
      <w:r>
        <w:rPr>
          <w:spacing w:val="15"/>
        </w:rPr>
        <w:t xml:space="preserve"> </w:t>
      </w:r>
      <w:r>
        <w:t>fraud</w:t>
      </w:r>
      <w:r>
        <w:rPr>
          <w:spacing w:val="25"/>
        </w:rPr>
        <w:t xml:space="preserve"> </w:t>
      </w:r>
      <w:r>
        <w:t>or</w:t>
      </w:r>
      <w:r>
        <w:rPr>
          <w:spacing w:val="14"/>
        </w:rPr>
        <w:t xml:space="preserve"> </w:t>
      </w:r>
      <w:r>
        <w:t>error.</w:t>
      </w:r>
    </w:p>
    <w:p w14:paraId="639103FF" w14:textId="4D534AC4" w:rsidR="009B1B3A" w:rsidRDefault="009B1B3A" w:rsidP="009B1B3A">
      <w:pPr>
        <w:rPr>
          <w:rFonts w:eastAsia="Arial" w:cs="Arial"/>
          <w:i/>
        </w:rPr>
      </w:pPr>
      <w:r>
        <w:t>In</w:t>
      </w:r>
      <w:r>
        <w:rPr>
          <w:spacing w:val="7"/>
        </w:rPr>
        <w:t xml:space="preserve"> </w:t>
      </w:r>
      <w:r>
        <w:t>preparing</w:t>
      </w:r>
      <w:r>
        <w:rPr>
          <w:spacing w:val="15"/>
        </w:rPr>
        <w:t xml:space="preserve"> </w:t>
      </w:r>
      <w:r>
        <w:t>the</w:t>
      </w:r>
      <w:r>
        <w:rPr>
          <w:spacing w:val="25"/>
        </w:rPr>
        <w:t xml:space="preserve"> </w:t>
      </w:r>
      <w:r>
        <w:t>key</w:t>
      </w:r>
      <w:r>
        <w:rPr>
          <w:spacing w:val="23"/>
        </w:rPr>
        <w:t xml:space="preserve"> </w:t>
      </w:r>
      <w:r>
        <w:t>performance</w:t>
      </w:r>
      <w:r>
        <w:rPr>
          <w:spacing w:val="32"/>
        </w:rPr>
        <w:t xml:space="preserve"> </w:t>
      </w:r>
      <w:r>
        <w:t>indicators,</w:t>
      </w:r>
      <w:r>
        <w:rPr>
          <w:spacing w:val="24"/>
        </w:rPr>
        <w:t xml:space="preserve"> </w:t>
      </w:r>
      <w:r>
        <w:t>the</w:t>
      </w:r>
      <w:r>
        <w:rPr>
          <w:spacing w:val="14"/>
        </w:rPr>
        <w:t xml:space="preserve"> </w:t>
      </w:r>
      <w:r>
        <w:t>Authority</w:t>
      </w:r>
      <w:r>
        <w:rPr>
          <w:spacing w:val="46"/>
        </w:rPr>
        <w:t xml:space="preserve"> </w:t>
      </w:r>
      <w:r>
        <w:t>is</w:t>
      </w:r>
      <w:r>
        <w:rPr>
          <w:spacing w:val="8"/>
        </w:rPr>
        <w:t xml:space="preserve"> </w:t>
      </w:r>
      <w:r>
        <w:t>responsible</w:t>
      </w:r>
      <w:r>
        <w:rPr>
          <w:spacing w:val="19"/>
        </w:rPr>
        <w:t xml:space="preserve"> </w:t>
      </w:r>
      <w:r>
        <w:t>for</w:t>
      </w:r>
      <w:r>
        <w:rPr>
          <w:spacing w:val="27"/>
        </w:rPr>
        <w:t xml:space="preserve"> </w:t>
      </w:r>
      <w:r>
        <w:t>identifying</w:t>
      </w:r>
      <w:r>
        <w:rPr>
          <w:spacing w:val="26"/>
        </w:rPr>
        <w:t xml:space="preserve"> </w:t>
      </w:r>
      <w:r>
        <w:t>key</w:t>
      </w:r>
      <w:r>
        <w:rPr>
          <w:w w:val="98"/>
        </w:rPr>
        <w:t xml:space="preserve"> </w:t>
      </w:r>
      <w:r>
        <w:t>performance</w:t>
      </w:r>
      <w:r>
        <w:rPr>
          <w:spacing w:val="33"/>
        </w:rPr>
        <w:t xml:space="preserve"> </w:t>
      </w:r>
      <w:r>
        <w:t>indicators</w:t>
      </w:r>
      <w:r>
        <w:rPr>
          <w:spacing w:val="14"/>
        </w:rPr>
        <w:t xml:space="preserve"> </w:t>
      </w:r>
      <w:r>
        <w:t>that</w:t>
      </w:r>
      <w:r>
        <w:rPr>
          <w:spacing w:val="23"/>
        </w:rPr>
        <w:t xml:space="preserve"> </w:t>
      </w:r>
      <w:r>
        <w:t>are</w:t>
      </w:r>
      <w:r>
        <w:rPr>
          <w:spacing w:val="26"/>
        </w:rPr>
        <w:t xml:space="preserve"> </w:t>
      </w:r>
      <w:r>
        <w:t>relevant</w:t>
      </w:r>
      <w:r>
        <w:rPr>
          <w:spacing w:val="21"/>
        </w:rPr>
        <w:t xml:space="preserve"> </w:t>
      </w:r>
      <w:r>
        <w:t>and</w:t>
      </w:r>
      <w:r>
        <w:rPr>
          <w:spacing w:val="19"/>
        </w:rPr>
        <w:t xml:space="preserve"> </w:t>
      </w:r>
      <w:r>
        <w:t>appropriate</w:t>
      </w:r>
      <w:r>
        <w:rPr>
          <w:spacing w:val="38"/>
        </w:rPr>
        <w:t xml:space="preserve"> </w:t>
      </w:r>
      <w:r>
        <w:t>having</w:t>
      </w:r>
      <w:r>
        <w:rPr>
          <w:spacing w:val="25"/>
        </w:rPr>
        <w:t xml:space="preserve"> </w:t>
      </w:r>
      <w:r>
        <w:t>regard</w:t>
      </w:r>
      <w:r>
        <w:rPr>
          <w:spacing w:val="2"/>
        </w:rPr>
        <w:t xml:space="preserve"> </w:t>
      </w:r>
      <w:r>
        <w:t>to</w:t>
      </w:r>
      <w:r>
        <w:rPr>
          <w:spacing w:val="16"/>
        </w:rPr>
        <w:t xml:space="preserve"> </w:t>
      </w:r>
      <w:r>
        <w:t>their</w:t>
      </w:r>
      <w:r>
        <w:rPr>
          <w:spacing w:val="30"/>
        </w:rPr>
        <w:t xml:space="preserve"> </w:t>
      </w:r>
      <w:r>
        <w:t>purpose</w:t>
      </w:r>
      <w:r>
        <w:rPr>
          <w:spacing w:val="24"/>
        </w:rPr>
        <w:t xml:space="preserve"> </w:t>
      </w:r>
      <w:r>
        <w:t>in</w:t>
      </w:r>
      <w:r>
        <w:rPr>
          <w:w w:val="98"/>
        </w:rPr>
        <w:t xml:space="preserve"> </w:t>
      </w:r>
      <w:r>
        <w:t>accordance</w:t>
      </w:r>
      <w:r>
        <w:rPr>
          <w:spacing w:val="28"/>
        </w:rPr>
        <w:t xml:space="preserve"> </w:t>
      </w:r>
      <w:r>
        <w:t>with</w:t>
      </w:r>
      <w:r>
        <w:rPr>
          <w:spacing w:val="26"/>
        </w:rPr>
        <w:t xml:space="preserve"> </w:t>
      </w:r>
      <w:r>
        <w:t>Treasurer's</w:t>
      </w:r>
      <w:r>
        <w:rPr>
          <w:spacing w:val="3"/>
        </w:rPr>
        <w:t xml:space="preserve"> </w:t>
      </w:r>
      <w:r>
        <w:t>Instruction</w:t>
      </w:r>
      <w:r>
        <w:rPr>
          <w:spacing w:val="22"/>
        </w:rPr>
        <w:t xml:space="preserve"> </w:t>
      </w:r>
      <w:r>
        <w:t>904</w:t>
      </w:r>
      <w:r>
        <w:rPr>
          <w:spacing w:val="20"/>
        </w:rPr>
        <w:t xml:space="preserve"> </w:t>
      </w:r>
      <w:r>
        <w:rPr>
          <w:rFonts w:eastAsia="Arial" w:cs="Arial"/>
          <w:i/>
        </w:rPr>
        <w:t>Key</w:t>
      </w:r>
      <w:r>
        <w:rPr>
          <w:rFonts w:eastAsia="Arial" w:cs="Arial"/>
          <w:i/>
          <w:spacing w:val="22"/>
        </w:rPr>
        <w:t xml:space="preserve"> </w:t>
      </w:r>
      <w:r>
        <w:rPr>
          <w:rFonts w:eastAsia="Arial" w:cs="Arial"/>
          <w:i/>
        </w:rPr>
        <w:t>Performance</w:t>
      </w:r>
      <w:r>
        <w:rPr>
          <w:rFonts w:eastAsia="Arial" w:cs="Arial"/>
          <w:i/>
          <w:spacing w:val="47"/>
        </w:rPr>
        <w:t xml:space="preserve"> </w:t>
      </w:r>
      <w:r>
        <w:rPr>
          <w:rFonts w:eastAsia="Arial" w:cs="Arial"/>
          <w:i/>
        </w:rPr>
        <w:t>Indicators.</w:t>
      </w:r>
    </w:p>
    <w:p w14:paraId="29D6702B" w14:textId="76948BE8" w:rsidR="009B1B3A" w:rsidRDefault="009B1B3A" w:rsidP="009B1B3A">
      <w:pPr>
        <w:rPr>
          <w:b/>
          <w:i/>
          <w:color w:val="161523"/>
        </w:rPr>
      </w:pPr>
      <w:r>
        <w:rPr>
          <w:b/>
          <w:i/>
          <w:color w:val="161523"/>
        </w:rPr>
        <w:t>Auditor</w:t>
      </w:r>
      <w:r w:rsidRPr="009B1B3A">
        <w:rPr>
          <w:b/>
          <w:i/>
          <w:color w:val="161523"/>
          <w:spacing w:val="8"/>
        </w:rPr>
        <w:t xml:space="preserve"> </w:t>
      </w:r>
      <w:r w:rsidRPr="009B1B3A">
        <w:rPr>
          <w:b/>
          <w:i/>
          <w:color w:val="161523"/>
        </w:rPr>
        <w:t>General's</w:t>
      </w:r>
      <w:r w:rsidRPr="009B1B3A">
        <w:rPr>
          <w:b/>
          <w:i/>
          <w:color w:val="161523"/>
          <w:spacing w:val="31"/>
        </w:rPr>
        <w:t xml:space="preserve"> </w:t>
      </w:r>
      <w:r w:rsidRPr="009B1B3A">
        <w:rPr>
          <w:b/>
          <w:i/>
          <w:color w:val="161523"/>
        </w:rPr>
        <w:t>Responsibility</w:t>
      </w:r>
    </w:p>
    <w:p w14:paraId="366C742A" w14:textId="77777777" w:rsidR="009B1B3A" w:rsidRDefault="009B1B3A" w:rsidP="009B1B3A">
      <w:r>
        <w:t>As</w:t>
      </w:r>
      <w:r>
        <w:rPr>
          <w:spacing w:val="33"/>
        </w:rPr>
        <w:t xml:space="preserve"> </w:t>
      </w:r>
      <w:r>
        <w:t>required</w:t>
      </w:r>
      <w:r>
        <w:rPr>
          <w:spacing w:val="24"/>
        </w:rPr>
        <w:t xml:space="preserve"> </w:t>
      </w:r>
      <w:r>
        <w:t>by</w:t>
      </w:r>
      <w:r>
        <w:rPr>
          <w:spacing w:val="1"/>
        </w:rPr>
        <w:t xml:space="preserve"> </w:t>
      </w:r>
      <w:r>
        <w:t>the</w:t>
      </w:r>
      <w:r>
        <w:rPr>
          <w:spacing w:val="8"/>
        </w:rPr>
        <w:t xml:space="preserve"> </w:t>
      </w:r>
      <w:r>
        <w:rPr>
          <w:rFonts w:eastAsia="Arial" w:cs="Arial"/>
          <w:i/>
        </w:rPr>
        <w:t>Auditor</w:t>
      </w:r>
      <w:r>
        <w:rPr>
          <w:rFonts w:eastAsia="Arial" w:cs="Arial"/>
          <w:i/>
          <w:spacing w:val="47"/>
        </w:rPr>
        <w:t xml:space="preserve"> </w:t>
      </w:r>
      <w:r>
        <w:rPr>
          <w:rFonts w:eastAsia="Arial" w:cs="Arial"/>
          <w:i/>
        </w:rPr>
        <w:t>General</w:t>
      </w:r>
      <w:r>
        <w:rPr>
          <w:rFonts w:eastAsia="Arial" w:cs="Arial"/>
          <w:i/>
          <w:spacing w:val="-2"/>
        </w:rPr>
        <w:t xml:space="preserve"> </w:t>
      </w:r>
      <w:r>
        <w:rPr>
          <w:rFonts w:eastAsia="Arial" w:cs="Arial"/>
          <w:i/>
        </w:rPr>
        <w:t>Act</w:t>
      </w:r>
      <w:r>
        <w:rPr>
          <w:rFonts w:eastAsia="Arial" w:cs="Arial"/>
          <w:i/>
          <w:spacing w:val="30"/>
        </w:rPr>
        <w:t xml:space="preserve"> </w:t>
      </w:r>
      <w:r>
        <w:rPr>
          <w:rFonts w:eastAsia="Arial" w:cs="Arial"/>
          <w:i/>
        </w:rPr>
        <w:t>2006,</w:t>
      </w:r>
      <w:r>
        <w:rPr>
          <w:rFonts w:eastAsia="Arial" w:cs="Arial"/>
          <w:i/>
          <w:spacing w:val="18"/>
        </w:rPr>
        <w:t xml:space="preserve"> </w:t>
      </w:r>
      <w:r>
        <w:t>my</w:t>
      </w:r>
      <w:r>
        <w:rPr>
          <w:spacing w:val="13"/>
        </w:rPr>
        <w:t xml:space="preserve"> </w:t>
      </w:r>
      <w:r>
        <w:t>responsibility</w:t>
      </w:r>
      <w:r>
        <w:rPr>
          <w:spacing w:val="33"/>
        </w:rPr>
        <w:t xml:space="preserve"> </w:t>
      </w:r>
      <w:r>
        <w:t>as</w:t>
      </w:r>
      <w:r>
        <w:rPr>
          <w:spacing w:val="18"/>
        </w:rPr>
        <w:t xml:space="preserve"> </w:t>
      </w:r>
      <w:r>
        <w:t>an</w:t>
      </w:r>
      <w:r>
        <w:rPr>
          <w:spacing w:val="15"/>
        </w:rPr>
        <w:t xml:space="preserve"> </w:t>
      </w:r>
      <w:r>
        <w:t>assurance</w:t>
      </w:r>
      <w:r>
        <w:rPr>
          <w:spacing w:val="33"/>
        </w:rPr>
        <w:t xml:space="preserve"> </w:t>
      </w:r>
      <w:r>
        <w:t>practitioner</w:t>
      </w:r>
      <w:r>
        <w:rPr>
          <w:spacing w:val="31"/>
        </w:rPr>
        <w:t xml:space="preserve"> </w:t>
      </w:r>
      <w:r>
        <w:t>is</w:t>
      </w:r>
      <w:r>
        <w:rPr>
          <w:spacing w:val="-8"/>
        </w:rPr>
        <w:t xml:space="preserve"> </w:t>
      </w:r>
      <w:r>
        <w:t>to</w:t>
      </w:r>
      <w:r>
        <w:rPr>
          <w:w w:val="101"/>
        </w:rPr>
        <w:t xml:space="preserve"> </w:t>
      </w:r>
      <w:r>
        <w:t>express</w:t>
      </w:r>
      <w:r>
        <w:rPr>
          <w:spacing w:val="25"/>
        </w:rPr>
        <w:t xml:space="preserve"> </w:t>
      </w:r>
      <w:r>
        <w:t>an</w:t>
      </w:r>
      <w:r>
        <w:rPr>
          <w:spacing w:val="17"/>
        </w:rPr>
        <w:t xml:space="preserve"> </w:t>
      </w:r>
      <w:r>
        <w:t>opinion</w:t>
      </w:r>
      <w:r>
        <w:rPr>
          <w:spacing w:val="24"/>
        </w:rPr>
        <w:t xml:space="preserve"> </w:t>
      </w:r>
      <w:r>
        <w:t>on</w:t>
      </w:r>
      <w:r>
        <w:rPr>
          <w:spacing w:val="7"/>
        </w:rPr>
        <w:t xml:space="preserve"> </w:t>
      </w:r>
      <w:r>
        <w:t>the</w:t>
      </w:r>
      <w:r>
        <w:rPr>
          <w:spacing w:val="24"/>
        </w:rPr>
        <w:t xml:space="preserve"> </w:t>
      </w:r>
      <w:r>
        <w:t>key</w:t>
      </w:r>
      <w:r>
        <w:rPr>
          <w:spacing w:val="17"/>
        </w:rPr>
        <w:t xml:space="preserve"> </w:t>
      </w:r>
      <w:r>
        <w:t>performance</w:t>
      </w:r>
      <w:r>
        <w:rPr>
          <w:spacing w:val="24"/>
        </w:rPr>
        <w:t xml:space="preserve"> </w:t>
      </w:r>
      <w:r>
        <w:t>indicators.</w:t>
      </w:r>
      <w:r>
        <w:rPr>
          <w:spacing w:val="19"/>
        </w:rPr>
        <w:t xml:space="preserve"> </w:t>
      </w:r>
      <w:r>
        <w:t>The</w:t>
      </w:r>
      <w:r>
        <w:rPr>
          <w:spacing w:val="19"/>
        </w:rPr>
        <w:t xml:space="preserve"> </w:t>
      </w:r>
      <w:r>
        <w:t>objectives</w:t>
      </w:r>
      <w:r>
        <w:rPr>
          <w:spacing w:val="29"/>
        </w:rPr>
        <w:t xml:space="preserve"> </w:t>
      </w:r>
      <w:r>
        <w:t>of</w:t>
      </w:r>
      <w:r>
        <w:rPr>
          <w:spacing w:val="19"/>
        </w:rPr>
        <w:t xml:space="preserve"> </w:t>
      </w:r>
      <w:r>
        <w:t>my</w:t>
      </w:r>
      <w:r>
        <w:rPr>
          <w:spacing w:val="14"/>
        </w:rPr>
        <w:t xml:space="preserve"> </w:t>
      </w:r>
      <w:r>
        <w:t>engagement</w:t>
      </w:r>
      <w:r>
        <w:rPr>
          <w:spacing w:val="36"/>
        </w:rPr>
        <w:t xml:space="preserve"> </w:t>
      </w:r>
      <w:r>
        <w:t>are</w:t>
      </w:r>
      <w:r>
        <w:rPr>
          <w:spacing w:val="8"/>
        </w:rPr>
        <w:t xml:space="preserve"> </w:t>
      </w:r>
      <w:r>
        <w:t>to</w:t>
      </w:r>
      <w:r>
        <w:rPr>
          <w:w w:val="98"/>
        </w:rPr>
        <w:t xml:space="preserve"> </w:t>
      </w:r>
      <w:r>
        <w:t>obtain</w:t>
      </w:r>
      <w:r>
        <w:rPr>
          <w:spacing w:val="31"/>
        </w:rPr>
        <w:t xml:space="preserve"> </w:t>
      </w:r>
      <w:r>
        <w:t>reasonable</w:t>
      </w:r>
      <w:r>
        <w:rPr>
          <w:spacing w:val="28"/>
        </w:rPr>
        <w:t xml:space="preserve"> </w:t>
      </w:r>
      <w:r>
        <w:t>assurance</w:t>
      </w:r>
      <w:r>
        <w:rPr>
          <w:spacing w:val="31"/>
        </w:rPr>
        <w:t xml:space="preserve"> </w:t>
      </w:r>
      <w:r>
        <w:t>about</w:t>
      </w:r>
      <w:r>
        <w:rPr>
          <w:spacing w:val="11"/>
        </w:rPr>
        <w:t xml:space="preserve"> </w:t>
      </w:r>
      <w:r>
        <w:t>whether</w:t>
      </w:r>
      <w:r>
        <w:rPr>
          <w:spacing w:val="36"/>
        </w:rPr>
        <w:t xml:space="preserve"> </w:t>
      </w:r>
      <w:r>
        <w:t>the</w:t>
      </w:r>
      <w:r>
        <w:rPr>
          <w:spacing w:val="28"/>
        </w:rPr>
        <w:t xml:space="preserve"> </w:t>
      </w:r>
      <w:r>
        <w:t>key</w:t>
      </w:r>
      <w:r>
        <w:rPr>
          <w:spacing w:val="23"/>
        </w:rPr>
        <w:t xml:space="preserve"> </w:t>
      </w:r>
      <w:r>
        <w:t>performance</w:t>
      </w:r>
      <w:r>
        <w:rPr>
          <w:spacing w:val="36"/>
        </w:rPr>
        <w:t xml:space="preserve"> </w:t>
      </w:r>
      <w:r>
        <w:t>indicators</w:t>
      </w:r>
      <w:r>
        <w:rPr>
          <w:spacing w:val="22"/>
        </w:rPr>
        <w:t xml:space="preserve"> </w:t>
      </w:r>
      <w:r>
        <w:t>are</w:t>
      </w:r>
      <w:r>
        <w:rPr>
          <w:spacing w:val="30"/>
        </w:rPr>
        <w:t xml:space="preserve"> </w:t>
      </w:r>
      <w:r>
        <w:t>relevant</w:t>
      </w:r>
      <w:r>
        <w:rPr>
          <w:spacing w:val="12"/>
        </w:rPr>
        <w:t xml:space="preserve"> </w:t>
      </w:r>
      <w:r>
        <w:t>and appropriate</w:t>
      </w:r>
      <w:r>
        <w:rPr>
          <w:spacing w:val="23"/>
        </w:rPr>
        <w:t xml:space="preserve"> </w:t>
      </w:r>
      <w:r>
        <w:t>to</w:t>
      </w:r>
      <w:r>
        <w:rPr>
          <w:spacing w:val="25"/>
        </w:rPr>
        <w:t xml:space="preserve"> </w:t>
      </w:r>
      <w:r>
        <w:t>assist</w:t>
      </w:r>
      <w:r>
        <w:rPr>
          <w:spacing w:val="33"/>
        </w:rPr>
        <w:t xml:space="preserve"> </w:t>
      </w:r>
      <w:r>
        <w:t>users</w:t>
      </w:r>
      <w:r>
        <w:rPr>
          <w:spacing w:val="7"/>
        </w:rPr>
        <w:t xml:space="preserve"> </w:t>
      </w:r>
      <w:r>
        <w:t>to</w:t>
      </w:r>
      <w:r>
        <w:rPr>
          <w:spacing w:val="19"/>
        </w:rPr>
        <w:t xml:space="preserve"> </w:t>
      </w:r>
      <w:r>
        <w:t>assess</w:t>
      </w:r>
      <w:r>
        <w:rPr>
          <w:spacing w:val="18"/>
        </w:rPr>
        <w:t xml:space="preserve"> </w:t>
      </w:r>
      <w:r>
        <w:t>the</w:t>
      </w:r>
      <w:r>
        <w:rPr>
          <w:spacing w:val="28"/>
        </w:rPr>
        <w:t xml:space="preserve"> </w:t>
      </w:r>
      <w:r>
        <w:t>agency's</w:t>
      </w:r>
      <w:r>
        <w:rPr>
          <w:spacing w:val="32"/>
        </w:rPr>
        <w:t xml:space="preserve"> </w:t>
      </w:r>
      <w:r>
        <w:t>performance</w:t>
      </w:r>
      <w:r>
        <w:rPr>
          <w:spacing w:val="30"/>
        </w:rPr>
        <w:t xml:space="preserve"> </w:t>
      </w:r>
      <w:r>
        <w:t>and</w:t>
      </w:r>
      <w:r>
        <w:rPr>
          <w:spacing w:val="11"/>
        </w:rPr>
        <w:t xml:space="preserve"> </w:t>
      </w:r>
      <w:r>
        <w:t>whether</w:t>
      </w:r>
      <w:r>
        <w:rPr>
          <w:spacing w:val="24"/>
        </w:rPr>
        <w:t xml:space="preserve"> </w:t>
      </w:r>
      <w:r>
        <w:t>the</w:t>
      </w:r>
      <w:r>
        <w:rPr>
          <w:spacing w:val="27"/>
        </w:rPr>
        <w:t xml:space="preserve"> </w:t>
      </w:r>
      <w:r>
        <w:t>key</w:t>
      </w:r>
      <w:r>
        <w:rPr>
          <w:spacing w:val="19"/>
        </w:rPr>
        <w:t xml:space="preserve"> </w:t>
      </w:r>
      <w:r>
        <w:t>performance</w:t>
      </w:r>
      <w:r>
        <w:rPr>
          <w:w w:val="101"/>
        </w:rPr>
        <w:t xml:space="preserve"> </w:t>
      </w:r>
      <w:r>
        <w:t>indicators</w:t>
      </w:r>
      <w:r>
        <w:rPr>
          <w:spacing w:val="23"/>
        </w:rPr>
        <w:t xml:space="preserve"> </w:t>
      </w:r>
      <w:r>
        <w:t>are</w:t>
      </w:r>
      <w:r>
        <w:rPr>
          <w:spacing w:val="8"/>
        </w:rPr>
        <w:t xml:space="preserve"> </w:t>
      </w:r>
      <w:r>
        <w:t>free</w:t>
      </w:r>
      <w:r>
        <w:rPr>
          <w:spacing w:val="16"/>
        </w:rPr>
        <w:t xml:space="preserve"> </w:t>
      </w:r>
      <w:r>
        <w:t>from</w:t>
      </w:r>
      <w:r>
        <w:rPr>
          <w:spacing w:val="32"/>
        </w:rPr>
        <w:t xml:space="preserve"> </w:t>
      </w:r>
      <w:r>
        <w:t>material</w:t>
      </w:r>
      <w:r>
        <w:rPr>
          <w:spacing w:val="20"/>
        </w:rPr>
        <w:t xml:space="preserve"> </w:t>
      </w:r>
      <w:r>
        <w:t>misstatement,</w:t>
      </w:r>
      <w:r>
        <w:rPr>
          <w:spacing w:val="23"/>
        </w:rPr>
        <w:t xml:space="preserve"> </w:t>
      </w:r>
      <w:r>
        <w:t>whether</w:t>
      </w:r>
      <w:r>
        <w:rPr>
          <w:spacing w:val="36"/>
        </w:rPr>
        <w:t xml:space="preserve"> </w:t>
      </w:r>
      <w:r>
        <w:t>due</w:t>
      </w:r>
      <w:r>
        <w:rPr>
          <w:spacing w:val="10"/>
        </w:rPr>
        <w:t xml:space="preserve"> </w:t>
      </w:r>
      <w:r>
        <w:t>to</w:t>
      </w:r>
      <w:r>
        <w:rPr>
          <w:spacing w:val="10"/>
        </w:rPr>
        <w:t xml:space="preserve"> </w:t>
      </w:r>
      <w:r>
        <w:t>fraud</w:t>
      </w:r>
      <w:r>
        <w:rPr>
          <w:spacing w:val="26"/>
        </w:rPr>
        <w:t xml:space="preserve"> </w:t>
      </w:r>
      <w:r>
        <w:t>or</w:t>
      </w:r>
      <w:r>
        <w:rPr>
          <w:spacing w:val="20"/>
        </w:rPr>
        <w:t xml:space="preserve"> </w:t>
      </w:r>
      <w:r>
        <w:t>error,</w:t>
      </w:r>
      <w:r>
        <w:rPr>
          <w:spacing w:val="24"/>
        </w:rPr>
        <w:t xml:space="preserve"> </w:t>
      </w:r>
      <w:r>
        <w:t>and</w:t>
      </w:r>
      <w:r>
        <w:rPr>
          <w:spacing w:val="7"/>
        </w:rPr>
        <w:t xml:space="preserve"> </w:t>
      </w:r>
      <w:r>
        <w:t>to</w:t>
      </w:r>
      <w:r>
        <w:rPr>
          <w:spacing w:val="21"/>
        </w:rPr>
        <w:t xml:space="preserve"> </w:t>
      </w:r>
      <w:r>
        <w:t>issue</w:t>
      </w:r>
      <w:r>
        <w:rPr>
          <w:spacing w:val="3"/>
        </w:rPr>
        <w:t xml:space="preserve"> </w:t>
      </w:r>
      <w:r>
        <w:t>an</w:t>
      </w:r>
      <w:r>
        <w:rPr>
          <w:w w:val="104"/>
        </w:rPr>
        <w:t xml:space="preserve"> </w:t>
      </w:r>
      <w:r>
        <w:t>auditor's</w:t>
      </w:r>
      <w:r>
        <w:rPr>
          <w:spacing w:val="31"/>
        </w:rPr>
        <w:t xml:space="preserve"> </w:t>
      </w:r>
      <w:r>
        <w:t>report</w:t>
      </w:r>
      <w:r>
        <w:rPr>
          <w:spacing w:val="11"/>
        </w:rPr>
        <w:t xml:space="preserve"> </w:t>
      </w:r>
      <w:r>
        <w:t>that</w:t>
      </w:r>
      <w:r>
        <w:rPr>
          <w:spacing w:val="31"/>
        </w:rPr>
        <w:t xml:space="preserve"> </w:t>
      </w:r>
      <w:r>
        <w:t>includes</w:t>
      </w:r>
      <w:r>
        <w:rPr>
          <w:spacing w:val="28"/>
        </w:rPr>
        <w:t xml:space="preserve"> </w:t>
      </w:r>
      <w:r>
        <w:t>my</w:t>
      </w:r>
      <w:r>
        <w:rPr>
          <w:spacing w:val="15"/>
        </w:rPr>
        <w:t xml:space="preserve"> </w:t>
      </w:r>
      <w:r>
        <w:t>opinion.</w:t>
      </w:r>
    </w:p>
    <w:p w14:paraId="485FA622" w14:textId="77777777" w:rsidR="009B1B3A" w:rsidRDefault="009B1B3A" w:rsidP="009B1B3A">
      <w:pPr>
        <w:rPr>
          <w:rFonts w:eastAsia="Arial"/>
        </w:rPr>
      </w:pPr>
      <w:r>
        <w:rPr>
          <w:rFonts w:eastAsia="Arial"/>
        </w:rPr>
        <w:t>I</w:t>
      </w:r>
      <w:r>
        <w:rPr>
          <w:rFonts w:eastAsia="Arial"/>
          <w:spacing w:val="-8"/>
        </w:rPr>
        <w:t xml:space="preserve"> </w:t>
      </w:r>
      <w:r>
        <w:rPr>
          <w:rFonts w:eastAsia="Arial"/>
        </w:rPr>
        <w:t>conducted</w:t>
      </w:r>
      <w:r>
        <w:rPr>
          <w:rFonts w:eastAsia="Arial"/>
          <w:spacing w:val="40"/>
        </w:rPr>
        <w:t xml:space="preserve"> </w:t>
      </w:r>
      <w:r>
        <w:rPr>
          <w:rFonts w:eastAsia="Arial"/>
        </w:rPr>
        <w:t>my</w:t>
      </w:r>
      <w:r>
        <w:rPr>
          <w:rFonts w:eastAsia="Arial"/>
          <w:spacing w:val="12"/>
        </w:rPr>
        <w:t xml:space="preserve"> </w:t>
      </w:r>
      <w:r>
        <w:rPr>
          <w:rFonts w:eastAsia="Arial"/>
        </w:rPr>
        <w:t>engagement</w:t>
      </w:r>
      <w:r>
        <w:rPr>
          <w:rFonts w:eastAsia="Arial"/>
          <w:spacing w:val="47"/>
        </w:rPr>
        <w:t xml:space="preserve"> </w:t>
      </w:r>
      <w:r>
        <w:rPr>
          <w:rFonts w:eastAsia="Arial"/>
        </w:rPr>
        <w:t>in</w:t>
      </w:r>
      <w:r>
        <w:rPr>
          <w:rFonts w:eastAsia="Arial"/>
          <w:spacing w:val="11"/>
        </w:rPr>
        <w:t xml:space="preserve"> </w:t>
      </w:r>
      <w:r>
        <w:rPr>
          <w:rFonts w:eastAsia="Arial"/>
        </w:rPr>
        <w:t>accordance</w:t>
      </w:r>
      <w:r>
        <w:rPr>
          <w:rFonts w:eastAsia="Arial"/>
          <w:spacing w:val="17"/>
        </w:rPr>
        <w:t xml:space="preserve"> </w:t>
      </w:r>
      <w:r>
        <w:rPr>
          <w:rFonts w:eastAsia="Arial"/>
        </w:rPr>
        <w:t>with</w:t>
      </w:r>
      <w:r>
        <w:rPr>
          <w:rFonts w:eastAsia="Arial"/>
          <w:spacing w:val="25"/>
        </w:rPr>
        <w:t xml:space="preserve"> </w:t>
      </w:r>
      <w:r>
        <w:rPr>
          <w:rFonts w:eastAsia="Arial"/>
        </w:rPr>
        <w:t>Standard</w:t>
      </w:r>
      <w:r>
        <w:rPr>
          <w:rFonts w:eastAsia="Arial"/>
          <w:spacing w:val="22"/>
        </w:rPr>
        <w:t xml:space="preserve"> </w:t>
      </w:r>
      <w:r>
        <w:rPr>
          <w:rFonts w:eastAsia="Arial"/>
        </w:rPr>
        <w:t>on</w:t>
      </w:r>
      <w:r>
        <w:rPr>
          <w:rFonts w:eastAsia="Arial"/>
          <w:spacing w:val="9"/>
        </w:rPr>
        <w:t xml:space="preserve"> </w:t>
      </w:r>
      <w:r>
        <w:rPr>
          <w:rFonts w:eastAsia="Arial"/>
        </w:rPr>
        <w:t>Assurance</w:t>
      </w:r>
      <w:r>
        <w:rPr>
          <w:rFonts w:eastAsia="Arial"/>
          <w:spacing w:val="1"/>
        </w:rPr>
        <w:t xml:space="preserve"> </w:t>
      </w:r>
      <w:r>
        <w:rPr>
          <w:rFonts w:eastAsia="Arial"/>
        </w:rPr>
        <w:t>Engagements</w:t>
      </w:r>
      <w:r>
        <w:rPr>
          <w:rFonts w:eastAsia="Arial"/>
          <w:spacing w:val="16"/>
        </w:rPr>
        <w:t xml:space="preserve"> </w:t>
      </w:r>
      <w:r>
        <w:rPr>
          <w:rFonts w:eastAsia="Arial"/>
        </w:rPr>
        <w:t>ASAE</w:t>
      </w:r>
      <w:r>
        <w:rPr>
          <w:rFonts w:eastAsia="Arial"/>
          <w:spacing w:val="37"/>
        </w:rPr>
        <w:t xml:space="preserve"> </w:t>
      </w:r>
      <w:r>
        <w:rPr>
          <w:rFonts w:eastAsia="Arial"/>
        </w:rPr>
        <w:t>3000</w:t>
      </w:r>
      <w:r>
        <w:rPr>
          <w:rFonts w:eastAsia="Arial"/>
          <w:w w:val="101"/>
        </w:rPr>
        <w:t xml:space="preserve"> </w:t>
      </w:r>
      <w:r>
        <w:rPr>
          <w:rFonts w:eastAsia="Arial"/>
          <w:i/>
        </w:rPr>
        <w:t>Assurance</w:t>
      </w:r>
      <w:r>
        <w:rPr>
          <w:rFonts w:eastAsia="Arial"/>
          <w:i/>
          <w:spacing w:val="42"/>
        </w:rPr>
        <w:t xml:space="preserve"> </w:t>
      </w:r>
      <w:r>
        <w:rPr>
          <w:rFonts w:eastAsia="Arial"/>
          <w:i/>
        </w:rPr>
        <w:t>Engagements</w:t>
      </w:r>
      <w:r>
        <w:rPr>
          <w:rFonts w:eastAsia="Arial"/>
          <w:i/>
          <w:spacing w:val="49"/>
        </w:rPr>
        <w:t xml:space="preserve"> </w:t>
      </w:r>
      <w:r>
        <w:rPr>
          <w:rFonts w:eastAsia="Arial"/>
          <w:i/>
        </w:rPr>
        <w:t>Other</w:t>
      </w:r>
      <w:r>
        <w:rPr>
          <w:rFonts w:eastAsia="Arial"/>
          <w:i/>
          <w:spacing w:val="10"/>
        </w:rPr>
        <w:t xml:space="preserve"> </w:t>
      </w:r>
      <w:r>
        <w:rPr>
          <w:rFonts w:eastAsia="Arial"/>
          <w:i/>
        </w:rPr>
        <w:t>than</w:t>
      </w:r>
      <w:r>
        <w:rPr>
          <w:rFonts w:eastAsia="Arial"/>
          <w:i/>
          <w:spacing w:val="3"/>
        </w:rPr>
        <w:t xml:space="preserve"> </w:t>
      </w:r>
      <w:r>
        <w:rPr>
          <w:rFonts w:eastAsia="Arial"/>
          <w:i/>
        </w:rPr>
        <w:t>Audits</w:t>
      </w:r>
      <w:r>
        <w:rPr>
          <w:rFonts w:eastAsia="Arial"/>
          <w:i/>
          <w:spacing w:val="31"/>
        </w:rPr>
        <w:t xml:space="preserve"> </w:t>
      </w:r>
      <w:r>
        <w:rPr>
          <w:rFonts w:eastAsia="Arial"/>
          <w:i/>
        </w:rPr>
        <w:t>or</w:t>
      </w:r>
      <w:r>
        <w:rPr>
          <w:rFonts w:eastAsia="Arial"/>
          <w:i/>
          <w:spacing w:val="12"/>
        </w:rPr>
        <w:t xml:space="preserve"> </w:t>
      </w:r>
      <w:r>
        <w:rPr>
          <w:rFonts w:eastAsia="Arial"/>
          <w:i/>
        </w:rPr>
        <w:t>Reviews</w:t>
      </w:r>
      <w:r>
        <w:rPr>
          <w:rFonts w:eastAsia="Arial"/>
          <w:i/>
          <w:spacing w:val="28"/>
        </w:rPr>
        <w:t xml:space="preserve"> </w:t>
      </w:r>
      <w:r>
        <w:rPr>
          <w:rFonts w:eastAsia="Arial"/>
          <w:i/>
        </w:rPr>
        <w:t>of</w:t>
      </w:r>
      <w:r>
        <w:rPr>
          <w:rFonts w:eastAsia="Arial"/>
          <w:i/>
          <w:spacing w:val="11"/>
        </w:rPr>
        <w:t xml:space="preserve"> </w:t>
      </w:r>
      <w:r>
        <w:rPr>
          <w:rFonts w:eastAsia="Arial"/>
          <w:i/>
        </w:rPr>
        <w:t>Historical</w:t>
      </w:r>
      <w:r>
        <w:rPr>
          <w:rFonts w:eastAsia="Arial"/>
          <w:i/>
          <w:spacing w:val="33"/>
        </w:rPr>
        <w:t xml:space="preserve"> </w:t>
      </w:r>
      <w:r>
        <w:rPr>
          <w:rFonts w:eastAsia="Arial"/>
          <w:i/>
        </w:rPr>
        <w:t>Financial</w:t>
      </w:r>
      <w:r>
        <w:rPr>
          <w:rFonts w:eastAsia="Arial"/>
          <w:i/>
          <w:spacing w:val="30"/>
        </w:rPr>
        <w:t xml:space="preserve"> </w:t>
      </w:r>
      <w:r>
        <w:rPr>
          <w:rFonts w:eastAsia="Arial"/>
          <w:i/>
        </w:rPr>
        <w:t>Information</w:t>
      </w:r>
      <w:r>
        <w:rPr>
          <w:rFonts w:eastAsia="Arial"/>
          <w:i/>
          <w:spacing w:val="33"/>
        </w:rPr>
        <w:t xml:space="preserve"> </w:t>
      </w:r>
      <w:r>
        <w:rPr>
          <w:rFonts w:eastAsia="Arial"/>
        </w:rPr>
        <w:t>issued</w:t>
      </w:r>
      <w:r>
        <w:rPr>
          <w:rFonts w:eastAsia="Arial"/>
          <w:spacing w:val="22"/>
        </w:rPr>
        <w:t xml:space="preserve"> </w:t>
      </w:r>
      <w:r>
        <w:rPr>
          <w:rFonts w:eastAsia="Arial"/>
        </w:rPr>
        <w:t>by the</w:t>
      </w:r>
      <w:r>
        <w:rPr>
          <w:rFonts w:eastAsia="Arial"/>
          <w:spacing w:val="7"/>
        </w:rPr>
        <w:t xml:space="preserve"> </w:t>
      </w:r>
      <w:r>
        <w:rPr>
          <w:rFonts w:eastAsia="Arial"/>
        </w:rPr>
        <w:t>Australian</w:t>
      </w:r>
      <w:r>
        <w:rPr>
          <w:rFonts w:eastAsia="Arial"/>
          <w:spacing w:val="34"/>
        </w:rPr>
        <w:t xml:space="preserve"> </w:t>
      </w:r>
      <w:r>
        <w:rPr>
          <w:rFonts w:eastAsia="Arial"/>
        </w:rPr>
        <w:t>Auditing</w:t>
      </w:r>
      <w:r>
        <w:rPr>
          <w:rFonts w:eastAsia="Arial"/>
          <w:spacing w:val="36"/>
        </w:rPr>
        <w:t xml:space="preserve"> </w:t>
      </w:r>
      <w:r>
        <w:rPr>
          <w:rFonts w:eastAsia="Arial"/>
        </w:rPr>
        <w:t>and</w:t>
      </w:r>
      <w:r>
        <w:rPr>
          <w:rFonts w:eastAsia="Arial"/>
          <w:spacing w:val="7"/>
        </w:rPr>
        <w:t xml:space="preserve"> </w:t>
      </w:r>
      <w:r>
        <w:rPr>
          <w:rFonts w:eastAsia="Arial"/>
        </w:rPr>
        <w:t>Assurance</w:t>
      </w:r>
      <w:r>
        <w:rPr>
          <w:rFonts w:eastAsia="Arial"/>
          <w:spacing w:val="50"/>
        </w:rPr>
        <w:t xml:space="preserve"> </w:t>
      </w:r>
      <w:r>
        <w:rPr>
          <w:rFonts w:eastAsia="Arial"/>
        </w:rPr>
        <w:t>Standards</w:t>
      </w:r>
      <w:r>
        <w:rPr>
          <w:rFonts w:eastAsia="Arial"/>
          <w:spacing w:val="29"/>
        </w:rPr>
        <w:t xml:space="preserve"> </w:t>
      </w:r>
      <w:r>
        <w:rPr>
          <w:rFonts w:eastAsia="Arial"/>
        </w:rPr>
        <w:t>Boar</w:t>
      </w:r>
      <w:r>
        <w:rPr>
          <w:rFonts w:eastAsia="Arial"/>
          <w:spacing w:val="8"/>
        </w:rPr>
        <w:t>d</w:t>
      </w:r>
      <w:r>
        <w:rPr>
          <w:rFonts w:eastAsia="Arial"/>
          <w:color w:val="67626B"/>
        </w:rPr>
        <w:t>.</w:t>
      </w:r>
      <w:r>
        <w:rPr>
          <w:rFonts w:eastAsia="Arial"/>
          <w:color w:val="67626B"/>
          <w:spacing w:val="-9"/>
        </w:rPr>
        <w:t xml:space="preserve"> </w:t>
      </w:r>
      <w:r>
        <w:rPr>
          <w:rFonts w:eastAsia="Arial"/>
        </w:rPr>
        <w:t>That</w:t>
      </w:r>
      <w:r>
        <w:rPr>
          <w:rFonts w:eastAsia="Arial"/>
          <w:spacing w:val="24"/>
        </w:rPr>
        <w:t xml:space="preserve"> </w:t>
      </w:r>
      <w:r>
        <w:rPr>
          <w:rFonts w:eastAsia="Arial"/>
        </w:rPr>
        <w:t>standard</w:t>
      </w:r>
      <w:r>
        <w:rPr>
          <w:rFonts w:eastAsia="Arial"/>
          <w:spacing w:val="28"/>
        </w:rPr>
        <w:t xml:space="preserve"> </w:t>
      </w:r>
      <w:r>
        <w:rPr>
          <w:rFonts w:eastAsia="Arial"/>
        </w:rPr>
        <w:t>requires</w:t>
      </w:r>
      <w:r>
        <w:rPr>
          <w:rFonts w:eastAsia="Arial"/>
          <w:spacing w:val="11"/>
        </w:rPr>
        <w:t xml:space="preserve"> </w:t>
      </w:r>
      <w:r>
        <w:rPr>
          <w:rFonts w:eastAsia="Arial"/>
        </w:rPr>
        <w:t>that</w:t>
      </w:r>
      <w:r>
        <w:rPr>
          <w:rFonts w:eastAsia="Arial"/>
          <w:spacing w:val="40"/>
        </w:rPr>
        <w:t xml:space="preserve"> </w:t>
      </w:r>
      <w:r>
        <w:rPr>
          <w:rFonts w:eastAsia="Arial"/>
        </w:rPr>
        <w:t>I</w:t>
      </w:r>
      <w:r>
        <w:rPr>
          <w:rFonts w:eastAsia="Arial"/>
          <w:spacing w:val="3"/>
        </w:rPr>
        <w:t xml:space="preserve"> </w:t>
      </w:r>
      <w:r>
        <w:rPr>
          <w:rFonts w:eastAsia="Arial"/>
        </w:rPr>
        <w:t>comply</w:t>
      </w:r>
      <w:r>
        <w:rPr>
          <w:rFonts w:eastAsia="Arial"/>
          <w:spacing w:val="16"/>
        </w:rPr>
        <w:t xml:space="preserve"> </w:t>
      </w:r>
      <w:r>
        <w:rPr>
          <w:rFonts w:eastAsia="Arial"/>
        </w:rPr>
        <w:t>with</w:t>
      </w:r>
      <w:r>
        <w:rPr>
          <w:rFonts w:eastAsia="Arial"/>
          <w:w w:val="101"/>
        </w:rPr>
        <w:t xml:space="preserve"> </w:t>
      </w:r>
      <w:r>
        <w:rPr>
          <w:rFonts w:eastAsia="Arial"/>
        </w:rPr>
        <w:t>relevant</w:t>
      </w:r>
      <w:r>
        <w:rPr>
          <w:rFonts w:eastAsia="Arial"/>
          <w:spacing w:val="20"/>
        </w:rPr>
        <w:t xml:space="preserve"> </w:t>
      </w:r>
      <w:r>
        <w:rPr>
          <w:rFonts w:eastAsia="Arial"/>
        </w:rPr>
        <w:t>ethical</w:t>
      </w:r>
      <w:r>
        <w:rPr>
          <w:rFonts w:eastAsia="Arial"/>
          <w:spacing w:val="32"/>
        </w:rPr>
        <w:t xml:space="preserve"> </w:t>
      </w:r>
      <w:r>
        <w:rPr>
          <w:rFonts w:eastAsia="Arial"/>
        </w:rPr>
        <w:t>requirements</w:t>
      </w:r>
      <w:r>
        <w:rPr>
          <w:rFonts w:eastAsia="Arial"/>
          <w:spacing w:val="34"/>
        </w:rPr>
        <w:t xml:space="preserve"> </w:t>
      </w:r>
      <w:r>
        <w:rPr>
          <w:rFonts w:eastAsia="Arial"/>
        </w:rPr>
        <w:t>relating</w:t>
      </w:r>
      <w:r>
        <w:rPr>
          <w:rFonts w:eastAsia="Arial"/>
          <w:spacing w:val="16"/>
        </w:rPr>
        <w:t xml:space="preserve"> </w:t>
      </w:r>
      <w:r>
        <w:rPr>
          <w:rFonts w:eastAsia="Arial"/>
        </w:rPr>
        <w:t>to</w:t>
      </w:r>
      <w:r>
        <w:rPr>
          <w:rFonts w:eastAsia="Arial"/>
          <w:spacing w:val="27"/>
        </w:rPr>
        <w:t xml:space="preserve"> </w:t>
      </w:r>
      <w:r>
        <w:rPr>
          <w:rFonts w:eastAsia="Arial"/>
        </w:rPr>
        <w:t>assurance</w:t>
      </w:r>
      <w:r>
        <w:rPr>
          <w:rFonts w:eastAsia="Arial"/>
          <w:spacing w:val="35"/>
        </w:rPr>
        <w:t xml:space="preserve"> </w:t>
      </w:r>
      <w:r>
        <w:rPr>
          <w:rFonts w:eastAsia="Arial"/>
        </w:rPr>
        <w:t>engagements.</w:t>
      </w:r>
    </w:p>
    <w:p w14:paraId="79B1493E" w14:textId="6499FD28" w:rsidR="009B1B3A" w:rsidRDefault="009B1B3A" w:rsidP="009B1B3A">
      <w:r>
        <w:t>An</w:t>
      </w:r>
      <w:r>
        <w:rPr>
          <w:spacing w:val="26"/>
        </w:rPr>
        <w:t xml:space="preserve"> </w:t>
      </w:r>
      <w:r>
        <w:t>assurance</w:t>
      </w:r>
      <w:r>
        <w:rPr>
          <w:spacing w:val="31"/>
        </w:rPr>
        <w:t xml:space="preserve"> </w:t>
      </w:r>
      <w:r>
        <w:t>engagement</w:t>
      </w:r>
      <w:r>
        <w:rPr>
          <w:spacing w:val="45"/>
        </w:rPr>
        <w:t xml:space="preserve"> </w:t>
      </w:r>
      <w:r>
        <w:t>involves</w:t>
      </w:r>
      <w:r>
        <w:rPr>
          <w:spacing w:val="26"/>
        </w:rPr>
        <w:t xml:space="preserve"> </w:t>
      </w:r>
      <w:r>
        <w:t>performing</w:t>
      </w:r>
      <w:r>
        <w:rPr>
          <w:spacing w:val="35"/>
        </w:rPr>
        <w:t xml:space="preserve"> </w:t>
      </w:r>
      <w:r>
        <w:t>procedures</w:t>
      </w:r>
      <w:r>
        <w:rPr>
          <w:spacing w:val="21"/>
        </w:rPr>
        <w:t xml:space="preserve"> </w:t>
      </w:r>
      <w:r>
        <w:t>to</w:t>
      </w:r>
      <w:r>
        <w:rPr>
          <w:spacing w:val="28"/>
        </w:rPr>
        <w:t xml:space="preserve"> </w:t>
      </w:r>
      <w:r>
        <w:t>obtain</w:t>
      </w:r>
      <w:r>
        <w:rPr>
          <w:spacing w:val="22"/>
        </w:rPr>
        <w:t xml:space="preserve"> </w:t>
      </w:r>
      <w:r>
        <w:t>evidence</w:t>
      </w:r>
      <w:r>
        <w:rPr>
          <w:spacing w:val="26"/>
        </w:rPr>
        <w:t xml:space="preserve"> </w:t>
      </w:r>
      <w:r>
        <w:t>about</w:t>
      </w:r>
      <w:r>
        <w:rPr>
          <w:spacing w:val="20"/>
        </w:rPr>
        <w:t xml:space="preserve"> </w:t>
      </w:r>
      <w:r>
        <w:t>the</w:t>
      </w:r>
      <w:r>
        <w:rPr>
          <w:spacing w:val="22"/>
        </w:rPr>
        <w:t xml:space="preserve"> </w:t>
      </w:r>
      <w:r>
        <w:t>amounts and</w:t>
      </w:r>
      <w:r>
        <w:rPr>
          <w:spacing w:val="12"/>
        </w:rPr>
        <w:t xml:space="preserve"> </w:t>
      </w:r>
      <w:r>
        <w:t>disclosures</w:t>
      </w:r>
      <w:r>
        <w:rPr>
          <w:spacing w:val="40"/>
        </w:rPr>
        <w:t xml:space="preserve"> </w:t>
      </w:r>
      <w:r>
        <w:t>in</w:t>
      </w:r>
      <w:r>
        <w:rPr>
          <w:spacing w:val="6"/>
        </w:rPr>
        <w:t xml:space="preserve"> </w:t>
      </w:r>
      <w:r>
        <w:t>the</w:t>
      </w:r>
      <w:r>
        <w:rPr>
          <w:spacing w:val="25"/>
        </w:rPr>
        <w:t xml:space="preserve"> </w:t>
      </w:r>
      <w:r>
        <w:t>key</w:t>
      </w:r>
      <w:r>
        <w:rPr>
          <w:spacing w:val="15"/>
        </w:rPr>
        <w:t xml:space="preserve"> </w:t>
      </w:r>
      <w:r>
        <w:t>performance</w:t>
      </w:r>
      <w:r>
        <w:rPr>
          <w:spacing w:val="39"/>
        </w:rPr>
        <w:t xml:space="preserve"> </w:t>
      </w:r>
      <w:r>
        <w:t>indicators.</w:t>
      </w:r>
      <w:r>
        <w:rPr>
          <w:spacing w:val="36"/>
        </w:rPr>
        <w:t xml:space="preserve"> </w:t>
      </w:r>
      <w:r>
        <w:t>It</w:t>
      </w:r>
      <w:r>
        <w:rPr>
          <w:spacing w:val="7"/>
        </w:rPr>
        <w:t xml:space="preserve"> </w:t>
      </w:r>
      <w:r>
        <w:t>also</w:t>
      </w:r>
      <w:r>
        <w:rPr>
          <w:spacing w:val="30"/>
        </w:rPr>
        <w:t xml:space="preserve"> </w:t>
      </w:r>
      <w:r>
        <w:t>involves</w:t>
      </w:r>
      <w:r>
        <w:rPr>
          <w:spacing w:val="20"/>
        </w:rPr>
        <w:t xml:space="preserve"> </w:t>
      </w:r>
      <w:r>
        <w:t>evaluating</w:t>
      </w:r>
      <w:r>
        <w:rPr>
          <w:spacing w:val="23"/>
        </w:rPr>
        <w:t xml:space="preserve"> </w:t>
      </w:r>
      <w:r>
        <w:t>the</w:t>
      </w:r>
      <w:r>
        <w:rPr>
          <w:spacing w:val="25"/>
        </w:rPr>
        <w:t xml:space="preserve"> </w:t>
      </w:r>
      <w:r>
        <w:t>relevance</w:t>
      </w:r>
      <w:r>
        <w:rPr>
          <w:spacing w:val="24"/>
        </w:rPr>
        <w:t xml:space="preserve"> </w:t>
      </w:r>
      <w:r>
        <w:t>and</w:t>
      </w:r>
      <w:r>
        <w:rPr>
          <w:w w:val="102"/>
        </w:rPr>
        <w:t xml:space="preserve"> </w:t>
      </w:r>
      <w:r>
        <w:t>appropriateness</w:t>
      </w:r>
      <w:r>
        <w:rPr>
          <w:spacing w:val="42"/>
        </w:rPr>
        <w:t xml:space="preserve"> </w:t>
      </w:r>
      <w:r>
        <w:t>of</w:t>
      </w:r>
      <w:r>
        <w:rPr>
          <w:spacing w:val="4"/>
        </w:rPr>
        <w:t xml:space="preserve"> </w:t>
      </w:r>
      <w:r>
        <w:t>the</w:t>
      </w:r>
      <w:r>
        <w:rPr>
          <w:spacing w:val="26"/>
        </w:rPr>
        <w:t xml:space="preserve"> </w:t>
      </w:r>
      <w:r>
        <w:t>key</w:t>
      </w:r>
      <w:r>
        <w:rPr>
          <w:spacing w:val="18"/>
        </w:rPr>
        <w:t xml:space="preserve"> </w:t>
      </w:r>
      <w:r>
        <w:t>performance</w:t>
      </w:r>
      <w:r>
        <w:rPr>
          <w:spacing w:val="33"/>
        </w:rPr>
        <w:t xml:space="preserve"> </w:t>
      </w:r>
      <w:r>
        <w:rPr>
          <w:color w:val="2D2B36"/>
        </w:rPr>
        <w:t>indicators</w:t>
      </w:r>
      <w:r>
        <w:rPr>
          <w:color w:val="2D2B36"/>
          <w:spacing w:val="19"/>
        </w:rPr>
        <w:t xml:space="preserve"> </w:t>
      </w:r>
      <w:r>
        <w:t>against</w:t>
      </w:r>
      <w:r>
        <w:rPr>
          <w:spacing w:val="22"/>
        </w:rPr>
        <w:t xml:space="preserve"> </w:t>
      </w:r>
      <w:r>
        <w:t>the</w:t>
      </w:r>
      <w:r>
        <w:rPr>
          <w:spacing w:val="27"/>
        </w:rPr>
        <w:t xml:space="preserve"> </w:t>
      </w:r>
      <w:r>
        <w:t>criteria</w:t>
      </w:r>
      <w:r>
        <w:rPr>
          <w:spacing w:val="28"/>
        </w:rPr>
        <w:t xml:space="preserve"> </w:t>
      </w:r>
      <w:r>
        <w:t>and</w:t>
      </w:r>
      <w:r>
        <w:rPr>
          <w:spacing w:val="16"/>
        </w:rPr>
        <w:t xml:space="preserve"> </w:t>
      </w:r>
      <w:r>
        <w:t>guidance</w:t>
      </w:r>
      <w:r>
        <w:rPr>
          <w:spacing w:val="38"/>
        </w:rPr>
        <w:t xml:space="preserve"> </w:t>
      </w:r>
      <w:r>
        <w:t>in</w:t>
      </w:r>
      <w:r>
        <w:rPr>
          <w:spacing w:val="5"/>
        </w:rPr>
        <w:t xml:space="preserve"> </w:t>
      </w:r>
      <w:r>
        <w:t>Treasurer's</w:t>
      </w:r>
      <w:r>
        <w:rPr>
          <w:w w:val="101"/>
        </w:rPr>
        <w:t xml:space="preserve"> </w:t>
      </w:r>
      <w:r>
        <w:t>Instruction</w:t>
      </w:r>
      <w:r>
        <w:rPr>
          <w:spacing w:val="14"/>
        </w:rPr>
        <w:t xml:space="preserve"> </w:t>
      </w:r>
      <w:r>
        <w:t>904</w:t>
      </w:r>
      <w:r>
        <w:rPr>
          <w:spacing w:val="9"/>
        </w:rPr>
        <w:t xml:space="preserve"> </w:t>
      </w:r>
      <w:r>
        <w:t>for</w:t>
      </w:r>
      <w:r>
        <w:rPr>
          <w:spacing w:val="32"/>
        </w:rPr>
        <w:t xml:space="preserve"> </w:t>
      </w:r>
      <w:r>
        <w:t>measuring</w:t>
      </w:r>
      <w:r>
        <w:rPr>
          <w:spacing w:val="17"/>
        </w:rPr>
        <w:t xml:space="preserve"> </w:t>
      </w:r>
      <w:r>
        <w:t>the</w:t>
      </w:r>
      <w:r>
        <w:rPr>
          <w:spacing w:val="17"/>
        </w:rPr>
        <w:t xml:space="preserve"> </w:t>
      </w:r>
      <w:r>
        <w:t>extent</w:t>
      </w:r>
      <w:r>
        <w:rPr>
          <w:spacing w:val="23"/>
        </w:rPr>
        <w:t xml:space="preserve"> </w:t>
      </w:r>
      <w:r>
        <w:t>of</w:t>
      </w:r>
      <w:r>
        <w:rPr>
          <w:spacing w:val="20"/>
        </w:rPr>
        <w:t xml:space="preserve"> </w:t>
      </w:r>
      <w:r>
        <w:t>outcome</w:t>
      </w:r>
      <w:r>
        <w:rPr>
          <w:spacing w:val="26"/>
        </w:rPr>
        <w:t xml:space="preserve"> </w:t>
      </w:r>
      <w:r>
        <w:t>achievement</w:t>
      </w:r>
      <w:r>
        <w:rPr>
          <w:spacing w:val="41"/>
        </w:rPr>
        <w:t xml:space="preserve"> </w:t>
      </w:r>
      <w:r>
        <w:t>and</w:t>
      </w:r>
      <w:r>
        <w:rPr>
          <w:spacing w:val="14"/>
        </w:rPr>
        <w:t xml:space="preserve"> </w:t>
      </w:r>
      <w:r>
        <w:t>the</w:t>
      </w:r>
      <w:r>
        <w:rPr>
          <w:spacing w:val="17"/>
        </w:rPr>
        <w:t xml:space="preserve"> </w:t>
      </w:r>
      <w:r>
        <w:t>efficiency</w:t>
      </w:r>
      <w:r>
        <w:rPr>
          <w:spacing w:val="27"/>
        </w:rPr>
        <w:t xml:space="preserve"> </w:t>
      </w:r>
      <w:r>
        <w:t>of</w:t>
      </w:r>
      <w:r>
        <w:rPr>
          <w:spacing w:val="19"/>
        </w:rPr>
        <w:t xml:space="preserve"> </w:t>
      </w:r>
      <w:r>
        <w:t>service</w:t>
      </w:r>
      <w:r>
        <w:rPr>
          <w:w w:val="101"/>
        </w:rPr>
        <w:t xml:space="preserve"> </w:t>
      </w:r>
      <w:r>
        <w:t>delivery.</w:t>
      </w:r>
      <w:r>
        <w:rPr>
          <w:spacing w:val="26"/>
        </w:rPr>
        <w:t xml:space="preserve"> </w:t>
      </w:r>
      <w:r>
        <w:t>The</w:t>
      </w:r>
      <w:r>
        <w:rPr>
          <w:spacing w:val="23"/>
        </w:rPr>
        <w:t xml:space="preserve"> </w:t>
      </w:r>
      <w:r>
        <w:t>procedures</w:t>
      </w:r>
      <w:r>
        <w:rPr>
          <w:spacing w:val="18"/>
        </w:rPr>
        <w:t xml:space="preserve"> </w:t>
      </w:r>
      <w:r>
        <w:t>selected</w:t>
      </w:r>
      <w:r>
        <w:rPr>
          <w:spacing w:val="32"/>
        </w:rPr>
        <w:t xml:space="preserve"> </w:t>
      </w:r>
      <w:r>
        <w:t>depend</w:t>
      </w:r>
      <w:r>
        <w:rPr>
          <w:spacing w:val="30"/>
        </w:rPr>
        <w:t xml:space="preserve"> </w:t>
      </w:r>
      <w:r>
        <w:t>on</w:t>
      </w:r>
      <w:r>
        <w:rPr>
          <w:spacing w:val="25"/>
        </w:rPr>
        <w:t xml:space="preserve"> </w:t>
      </w:r>
      <w:r>
        <w:t>my</w:t>
      </w:r>
      <w:r>
        <w:rPr>
          <w:spacing w:val="-6"/>
        </w:rPr>
        <w:t xml:space="preserve"> </w:t>
      </w:r>
      <w:r>
        <w:t>judgement,</w:t>
      </w:r>
      <w:r>
        <w:rPr>
          <w:spacing w:val="3"/>
        </w:rPr>
        <w:t xml:space="preserve"> </w:t>
      </w:r>
      <w:r>
        <w:rPr>
          <w:color w:val="2D2B36"/>
        </w:rPr>
        <w:t>including</w:t>
      </w:r>
      <w:r>
        <w:rPr>
          <w:color w:val="2D2B36"/>
          <w:spacing w:val="15"/>
        </w:rPr>
        <w:t xml:space="preserve"> </w:t>
      </w:r>
      <w:r>
        <w:t>the</w:t>
      </w:r>
      <w:r>
        <w:rPr>
          <w:spacing w:val="24"/>
        </w:rPr>
        <w:t xml:space="preserve"> </w:t>
      </w:r>
      <w:r>
        <w:t>assessment</w:t>
      </w:r>
      <w:r>
        <w:rPr>
          <w:spacing w:val="39"/>
        </w:rPr>
        <w:t xml:space="preserve"> </w:t>
      </w:r>
      <w:r>
        <w:t>of</w:t>
      </w:r>
      <w:r>
        <w:rPr>
          <w:spacing w:val="3"/>
        </w:rPr>
        <w:t xml:space="preserve"> </w:t>
      </w:r>
      <w:r>
        <w:t>the</w:t>
      </w:r>
      <w:r>
        <w:rPr>
          <w:spacing w:val="24"/>
        </w:rPr>
        <w:t xml:space="preserve"> </w:t>
      </w:r>
      <w:r>
        <w:t>risks</w:t>
      </w:r>
      <w:r>
        <w:rPr>
          <w:w w:val="101"/>
        </w:rPr>
        <w:t xml:space="preserve"> </w:t>
      </w:r>
      <w:r>
        <w:t>of</w:t>
      </w:r>
      <w:r>
        <w:rPr>
          <w:spacing w:val="20"/>
        </w:rPr>
        <w:t xml:space="preserve"> </w:t>
      </w:r>
      <w:r>
        <w:t>material</w:t>
      </w:r>
      <w:r>
        <w:rPr>
          <w:spacing w:val="25"/>
        </w:rPr>
        <w:t xml:space="preserve"> </w:t>
      </w:r>
      <w:r>
        <w:t>misstatement</w:t>
      </w:r>
      <w:r>
        <w:rPr>
          <w:spacing w:val="19"/>
        </w:rPr>
        <w:t xml:space="preserve"> </w:t>
      </w:r>
      <w:r>
        <w:t>of</w:t>
      </w:r>
      <w:r>
        <w:rPr>
          <w:spacing w:val="4"/>
        </w:rPr>
        <w:t xml:space="preserve"> </w:t>
      </w:r>
      <w:r>
        <w:t>the</w:t>
      </w:r>
      <w:r>
        <w:rPr>
          <w:spacing w:val="25"/>
        </w:rPr>
        <w:t xml:space="preserve"> </w:t>
      </w:r>
      <w:r>
        <w:t>key</w:t>
      </w:r>
      <w:r>
        <w:rPr>
          <w:spacing w:val="15"/>
        </w:rPr>
        <w:t xml:space="preserve"> </w:t>
      </w:r>
      <w:r>
        <w:t>performance</w:t>
      </w:r>
      <w:r>
        <w:rPr>
          <w:spacing w:val="38"/>
        </w:rPr>
        <w:t xml:space="preserve"> </w:t>
      </w:r>
      <w:r>
        <w:t>indicators</w:t>
      </w:r>
      <w:r>
        <w:rPr>
          <w:color w:val="67626B"/>
        </w:rPr>
        <w:t>.</w:t>
      </w:r>
      <w:r>
        <w:rPr>
          <w:color w:val="67626B"/>
          <w:spacing w:val="2"/>
        </w:rPr>
        <w:t xml:space="preserve"> </w:t>
      </w:r>
      <w:r>
        <w:t>In</w:t>
      </w:r>
      <w:r>
        <w:rPr>
          <w:spacing w:val="8"/>
        </w:rPr>
        <w:t xml:space="preserve"> </w:t>
      </w:r>
      <w:r>
        <w:t>making</w:t>
      </w:r>
      <w:r>
        <w:rPr>
          <w:spacing w:val="18"/>
        </w:rPr>
        <w:t xml:space="preserve"> </w:t>
      </w:r>
      <w:r>
        <w:t>these</w:t>
      </w:r>
      <w:r>
        <w:rPr>
          <w:spacing w:val="31"/>
        </w:rPr>
        <w:t xml:space="preserve"> </w:t>
      </w:r>
      <w:r>
        <w:t>risk</w:t>
      </w:r>
      <w:r>
        <w:rPr>
          <w:spacing w:val="20"/>
        </w:rPr>
        <w:t xml:space="preserve"> </w:t>
      </w:r>
      <w:r>
        <w:t>assessments</w:t>
      </w:r>
      <w:r>
        <w:rPr>
          <w:spacing w:val="43"/>
        </w:rPr>
        <w:t xml:space="preserve"> </w:t>
      </w:r>
      <w:r>
        <w:t>I</w:t>
      </w:r>
      <w:r>
        <w:rPr>
          <w:w w:val="97"/>
        </w:rPr>
        <w:t xml:space="preserve"> </w:t>
      </w:r>
      <w:r>
        <w:t>obtain</w:t>
      </w:r>
      <w:r>
        <w:rPr>
          <w:spacing w:val="22"/>
        </w:rPr>
        <w:t xml:space="preserve"> </w:t>
      </w:r>
      <w:r>
        <w:t>an</w:t>
      </w:r>
      <w:r>
        <w:rPr>
          <w:spacing w:val="23"/>
        </w:rPr>
        <w:t xml:space="preserve"> </w:t>
      </w:r>
      <w:r>
        <w:t>understanding</w:t>
      </w:r>
      <w:r>
        <w:rPr>
          <w:spacing w:val="38"/>
        </w:rPr>
        <w:t xml:space="preserve"> </w:t>
      </w:r>
      <w:r>
        <w:t>of</w:t>
      </w:r>
      <w:r>
        <w:rPr>
          <w:spacing w:val="19"/>
        </w:rPr>
        <w:t xml:space="preserve"> </w:t>
      </w:r>
      <w:r>
        <w:t>internal</w:t>
      </w:r>
      <w:r>
        <w:rPr>
          <w:spacing w:val="19"/>
        </w:rPr>
        <w:t xml:space="preserve"> </w:t>
      </w:r>
      <w:r>
        <w:t>control</w:t>
      </w:r>
      <w:r>
        <w:rPr>
          <w:spacing w:val="29"/>
        </w:rPr>
        <w:t xml:space="preserve"> </w:t>
      </w:r>
      <w:r>
        <w:t>relevant</w:t>
      </w:r>
      <w:r>
        <w:rPr>
          <w:spacing w:val="15"/>
        </w:rPr>
        <w:t xml:space="preserve"> </w:t>
      </w:r>
      <w:r>
        <w:t>to</w:t>
      </w:r>
      <w:r>
        <w:rPr>
          <w:spacing w:val="11"/>
        </w:rPr>
        <w:t xml:space="preserve"> </w:t>
      </w:r>
      <w:r>
        <w:t>the</w:t>
      </w:r>
      <w:r>
        <w:rPr>
          <w:spacing w:val="17"/>
        </w:rPr>
        <w:t xml:space="preserve"> </w:t>
      </w:r>
      <w:r>
        <w:t>engagement</w:t>
      </w:r>
      <w:r>
        <w:rPr>
          <w:spacing w:val="38"/>
        </w:rPr>
        <w:t xml:space="preserve"> </w:t>
      </w:r>
      <w:r>
        <w:t>in</w:t>
      </w:r>
      <w:r>
        <w:rPr>
          <w:spacing w:val="8"/>
        </w:rPr>
        <w:t xml:space="preserve"> </w:t>
      </w:r>
      <w:r>
        <w:t>order</w:t>
      </w:r>
      <w:r>
        <w:rPr>
          <w:spacing w:val="15"/>
        </w:rPr>
        <w:t xml:space="preserve"> </w:t>
      </w:r>
      <w:r>
        <w:t>to</w:t>
      </w:r>
      <w:r>
        <w:rPr>
          <w:spacing w:val="17"/>
        </w:rPr>
        <w:t xml:space="preserve"> </w:t>
      </w:r>
      <w:r>
        <w:t>design</w:t>
      </w:r>
      <w:r>
        <w:rPr>
          <w:w w:val="104"/>
        </w:rPr>
        <w:t xml:space="preserve"> </w:t>
      </w:r>
      <w:r>
        <w:t>procedures</w:t>
      </w:r>
      <w:r>
        <w:rPr>
          <w:spacing w:val="18"/>
        </w:rPr>
        <w:t xml:space="preserve"> </w:t>
      </w:r>
      <w:r>
        <w:t>that</w:t>
      </w:r>
      <w:r>
        <w:rPr>
          <w:spacing w:val="30"/>
        </w:rPr>
        <w:t xml:space="preserve"> </w:t>
      </w:r>
      <w:r>
        <w:t>are</w:t>
      </w:r>
      <w:r>
        <w:rPr>
          <w:spacing w:val="22"/>
        </w:rPr>
        <w:t xml:space="preserve"> </w:t>
      </w:r>
      <w:r>
        <w:t>appropriate</w:t>
      </w:r>
      <w:r>
        <w:rPr>
          <w:spacing w:val="39"/>
        </w:rPr>
        <w:t xml:space="preserve"> </w:t>
      </w:r>
      <w:r>
        <w:t>in</w:t>
      </w:r>
      <w:r>
        <w:rPr>
          <w:spacing w:val="5"/>
        </w:rPr>
        <w:t xml:space="preserve"> </w:t>
      </w:r>
      <w:r>
        <w:t>the</w:t>
      </w:r>
      <w:r>
        <w:rPr>
          <w:spacing w:val="20"/>
        </w:rPr>
        <w:t xml:space="preserve"> </w:t>
      </w:r>
      <w:r>
        <w:t>circumstances.</w:t>
      </w:r>
      <w:r>
        <w:br w:type="page"/>
        <w:t>I</w:t>
      </w:r>
      <w:r>
        <w:rPr>
          <w:spacing w:val="6"/>
        </w:rPr>
        <w:t xml:space="preserve"> </w:t>
      </w:r>
      <w:r>
        <w:t>believe</w:t>
      </w:r>
      <w:r>
        <w:rPr>
          <w:spacing w:val="10"/>
        </w:rPr>
        <w:t xml:space="preserve"> </w:t>
      </w:r>
      <w:r>
        <w:t>that</w:t>
      </w:r>
      <w:r>
        <w:rPr>
          <w:spacing w:val="12"/>
        </w:rPr>
        <w:t xml:space="preserve"> </w:t>
      </w:r>
      <w:r>
        <w:t>the</w:t>
      </w:r>
      <w:r>
        <w:rPr>
          <w:spacing w:val="17"/>
        </w:rPr>
        <w:t xml:space="preserve"> </w:t>
      </w:r>
      <w:r>
        <w:t>evidence</w:t>
      </w:r>
      <w:r>
        <w:rPr>
          <w:spacing w:val="33"/>
        </w:rPr>
        <w:t xml:space="preserve"> </w:t>
      </w:r>
      <w:r>
        <w:t>I</w:t>
      </w:r>
      <w:r>
        <w:rPr>
          <w:spacing w:val="7"/>
        </w:rPr>
        <w:t xml:space="preserve"> </w:t>
      </w:r>
      <w:r>
        <w:t>have</w:t>
      </w:r>
      <w:r>
        <w:rPr>
          <w:spacing w:val="17"/>
        </w:rPr>
        <w:t xml:space="preserve"> </w:t>
      </w:r>
      <w:r>
        <w:t>obtained</w:t>
      </w:r>
      <w:r>
        <w:rPr>
          <w:spacing w:val="34"/>
        </w:rPr>
        <w:t xml:space="preserve"> </w:t>
      </w:r>
      <w:r>
        <w:t>is</w:t>
      </w:r>
      <w:r>
        <w:rPr>
          <w:spacing w:val="4"/>
        </w:rPr>
        <w:t xml:space="preserve"> </w:t>
      </w:r>
      <w:r>
        <w:t>sufficient</w:t>
      </w:r>
      <w:r>
        <w:rPr>
          <w:spacing w:val="25"/>
        </w:rPr>
        <w:t xml:space="preserve"> </w:t>
      </w:r>
      <w:r>
        <w:t>and</w:t>
      </w:r>
      <w:r>
        <w:rPr>
          <w:spacing w:val="11"/>
        </w:rPr>
        <w:t xml:space="preserve"> </w:t>
      </w:r>
      <w:r>
        <w:t>appropriate</w:t>
      </w:r>
      <w:r>
        <w:rPr>
          <w:spacing w:val="31"/>
        </w:rPr>
        <w:t xml:space="preserve"> </w:t>
      </w:r>
      <w:r>
        <w:t>to</w:t>
      </w:r>
      <w:r>
        <w:rPr>
          <w:spacing w:val="27"/>
        </w:rPr>
        <w:t xml:space="preserve"> </w:t>
      </w:r>
      <w:r>
        <w:t>provide</w:t>
      </w:r>
      <w:r>
        <w:rPr>
          <w:spacing w:val="17"/>
        </w:rPr>
        <w:t xml:space="preserve"> </w:t>
      </w:r>
      <w:r>
        <w:t>a</w:t>
      </w:r>
      <w:r>
        <w:rPr>
          <w:spacing w:val="21"/>
        </w:rPr>
        <w:t xml:space="preserve"> </w:t>
      </w:r>
      <w:r>
        <w:t>basis for</w:t>
      </w:r>
      <w:r>
        <w:rPr>
          <w:spacing w:val="37"/>
        </w:rPr>
        <w:t xml:space="preserve"> </w:t>
      </w:r>
      <w:r>
        <w:t>my opinion.</w:t>
      </w:r>
    </w:p>
    <w:p w14:paraId="0DCA276F" w14:textId="7DAF8AB7" w:rsidR="009B1B3A" w:rsidRDefault="009B1B3A" w:rsidP="009B1B3A">
      <w:pPr>
        <w:rPr>
          <w:b/>
        </w:rPr>
      </w:pPr>
      <w:r w:rsidRPr="009B1B3A">
        <w:rPr>
          <w:b/>
        </w:rPr>
        <w:t>My</w:t>
      </w:r>
      <w:r w:rsidRPr="009B1B3A">
        <w:rPr>
          <w:b/>
          <w:spacing w:val="12"/>
        </w:rPr>
        <w:t xml:space="preserve"> </w:t>
      </w:r>
      <w:r w:rsidRPr="009B1B3A">
        <w:rPr>
          <w:b/>
        </w:rPr>
        <w:t>Independence</w:t>
      </w:r>
      <w:r w:rsidRPr="009B1B3A">
        <w:rPr>
          <w:b/>
          <w:spacing w:val="33"/>
        </w:rPr>
        <w:t xml:space="preserve"> </w:t>
      </w:r>
      <w:r w:rsidRPr="009B1B3A">
        <w:rPr>
          <w:b/>
        </w:rPr>
        <w:t>and</w:t>
      </w:r>
      <w:r w:rsidRPr="009B1B3A">
        <w:rPr>
          <w:b/>
          <w:spacing w:val="22"/>
        </w:rPr>
        <w:t xml:space="preserve"> </w:t>
      </w:r>
      <w:r w:rsidRPr="009B1B3A">
        <w:rPr>
          <w:b/>
        </w:rPr>
        <w:t>Quality</w:t>
      </w:r>
      <w:r w:rsidRPr="009B1B3A">
        <w:rPr>
          <w:b/>
          <w:spacing w:val="31"/>
        </w:rPr>
        <w:t xml:space="preserve"> </w:t>
      </w:r>
      <w:r w:rsidRPr="009B1B3A">
        <w:rPr>
          <w:b/>
        </w:rPr>
        <w:t>Control</w:t>
      </w:r>
      <w:r w:rsidRPr="009B1B3A">
        <w:rPr>
          <w:b/>
          <w:spacing w:val="23"/>
        </w:rPr>
        <w:t xml:space="preserve"> </w:t>
      </w:r>
      <w:r w:rsidRPr="009B1B3A">
        <w:rPr>
          <w:b/>
        </w:rPr>
        <w:t>Relating</w:t>
      </w:r>
      <w:r w:rsidRPr="009B1B3A">
        <w:rPr>
          <w:b/>
          <w:spacing w:val="10"/>
        </w:rPr>
        <w:t xml:space="preserve"> </w:t>
      </w:r>
      <w:r w:rsidRPr="009B1B3A">
        <w:rPr>
          <w:b/>
        </w:rPr>
        <w:t>to</w:t>
      </w:r>
      <w:r w:rsidRPr="009B1B3A">
        <w:rPr>
          <w:b/>
          <w:spacing w:val="14"/>
        </w:rPr>
        <w:t xml:space="preserve"> </w:t>
      </w:r>
      <w:r w:rsidRPr="009B1B3A">
        <w:rPr>
          <w:b/>
        </w:rPr>
        <w:t>the</w:t>
      </w:r>
      <w:r w:rsidRPr="009B1B3A">
        <w:rPr>
          <w:b/>
          <w:spacing w:val="25"/>
        </w:rPr>
        <w:t xml:space="preserve"> </w:t>
      </w:r>
      <w:r w:rsidRPr="009B1B3A">
        <w:rPr>
          <w:b/>
        </w:rPr>
        <w:t>Reports</w:t>
      </w:r>
      <w:r w:rsidRPr="009B1B3A">
        <w:rPr>
          <w:b/>
          <w:spacing w:val="25"/>
        </w:rPr>
        <w:t xml:space="preserve"> </w:t>
      </w:r>
      <w:r w:rsidRPr="009B1B3A">
        <w:rPr>
          <w:b/>
        </w:rPr>
        <w:t>on</w:t>
      </w:r>
      <w:r w:rsidRPr="009B1B3A">
        <w:rPr>
          <w:b/>
          <w:spacing w:val="18"/>
        </w:rPr>
        <w:t xml:space="preserve"> </w:t>
      </w:r>
      <w:r w:rsidRPr="009B1B3A">
        <w:rPr>
          <w:b/>
        </w:rPr>
        <w:t>Controls</w:t>
      </w:r>
      <w:r w:rsidRPr="009B1B3A">
        <w:rPr>
          <w:b/>
          <w:spacing w:val="36"/>
        </w:rPr>
        <w:t xml:space="preserve"> </w:t>
      </w:r>
      <w:r w:rsidRPr="009B1B3A">
        <w:rPr>
          <w:b/>
        </w:rPr>
        <w:t>and</w:t>
      </w:r>
      <w:r w:rsidRPr="009B1B3A">
        <w:rPr>
          <w:b/>
          <w:spacing w:val="23"/>
        </w:rPr>
        <w:t xml:space="preserve"> </w:t>
      </w:r>
      <w:r w:rsidRPr="009B1B3A">
        <w:rPr>
          <w:b/>
        </w:rPr>
        <w:t>Key</w:t>
      </w:r>
      <w:r w:rsidRPr="009B1B3A">
        <w:rPr>
          <w:b/>
          <w:w w:val="102"/>
        </w:rPr>
        <w:t xml:space="preserve"> </w:t>
      </w:r>
      <w:r>
        <w:rPr>
          <w:b/>
        </w:rPr>
        <w:t>Performance</w:t>
      </w:r>
      <w:r w:rsidRPr="009B1B3A">
        <w:rPr>
          <w:b/>
          <w:spacing w:val="9"/>
        </w:rPr>
        <w:t xml:space="preserve"> </w:t>
      </w:r>
      <w:r w:rsidRPr="009B1B3A">
        <w:rPr>
          <w:b/>
        </w:rPr>
        <w:t>Indicators</w:t>
      </w:r>
    </w:p>
    <w:p w14:paraId="6E635FB9" w14:textId="755C410D" w:rsidR="009B1B3A" w:rsidRPr="009B1B3A" w:rsidRDefault="009B1B3A" w:rsidP="009B1B3A">
      <w:pPr>
        <w:rPr>
          <w:rFonts w:eastAsia="Arial" w:cs="Arial"/>
        </w:rPr>
      </w:pPr>
      <w:r w:rsidRPr="009B1B3A">
        <w:rPr>
          <w:rFonts w:eastAsia="Arial" w:cs="Arial"/>
          <w:w w:val="105"/>
        </w:rPr>
        <w:t>I</w:t>
      </w:r>
      <w:r w:rsidRPr="009B1B3A">
        <w:rPr>
          <w:rFonts w:eastAsia="Arial" w:cs="Arial"/>
          <w:spacing w:val="-16"/>
          <w:w w:val="105"/>
        </w:rPr>
        <w:t xml:space="preserve"> </w:t>
      </w:r>
      <w:r w:rsidRPr="009B1B3A">
        <w:rPr>
          <w:rFonts w:eastAsia="Arial" w:cs="Arial"/>
          <w:w w:val="105"/>
        </w:rPr>
        <w:t>have</w:t>
      </w:r>
      <w:r w:rsidRPr="009B1B3A">
        <w:rPr>
          <w:rFonts w:eastAsia="Arial" w:cs="Arial"/>
          <w:spacing w:val="-13"/>
          <w:w w:val="105"/>
        </w:rPr>
        <w:t xml:space="preserve"> </w:t>
      </w:r>
      <w:r w:rsidRPr="009B1B3A">
        <w:rPr>
          <w:rFonts w:eastAsia="Arial" w:cs="Arial"/>
          <w:w w:val="105"/>
        </w:rPr>
        <w:t>complied</w:t>
      </w:r>
      <w:r w:rsidRPr="009B1B3A">
        <w:rPr>
          <w:rFonts w:eastAsia="Arial" w:cs="Arial"/>
          <w:spacing w:val="-9"/>
          <w:w w:val="105"/>
        </w:rPr>
        <w:t xml:space="preserve"> </w:t>
      </w:r>
      <w:r w:rsidRPr="009B1B3A">
        <w:rPr>
          <w:rFonts w:eastAsia="Arial" w:cs="Arial"/>
          <w:w w:val="105"/>
        </w:rPr>
        <w:t>with</w:t>
      </w:r>
      <w:r w:rsidRPr="009B1B3A">
        <w:rPr>
          <w:rFonts w:eastAsia="Arial" w:cs="Arial"/>
          <w:spacing w:val="-10"/>
          <w:w w:val="105"/>
        </w:rPr>
        <w:t xml:space="preserve"> </w:t>
      </w:r>
      <w:r w:rsidRPr="009B1B3A">
        <w:rPr>
          <w:rFonts w:eastAsia="Arial" w:cs="Arial"/>
          <w:w w:val="105"/>
        </w:rPr>
        <w:t>the</w:t>
      </w:r>
      <w:r w:rsidRPr="009B1B3A">
        <w:rPr>
          <w:rFonts w:eastAsia="Arial" w:cs="Arial"/>
          <w:spacing w:val="-6"/>
          <w:w w:val="105"/>
        </w:rPr>
        <w:t xml:space="preserve"> </w:t>
      </w:r>
      <w:r w:rsidRPr="009B1B3A">
        <w:rPr>
          <w:rFonts w:eastAsia="Arial" w:cs="Arial"/>
          <w:w w:val="105"/>
        </w:rPr>
        <w:t>independence</w:t>
      </w:r>
      <w:r w:rsidRPr="009B1B3A">
        <w:rPr>
          <w:rFonts w:eastAsia="Arial" w:cs="Arial"/>
          <w:spacing w:val="6"/>
          <w:w w:val="105"/>
        </w:rPr>
        <w:t xml:space="preserve"> </w:t>
      </w:r>
      <w:r w:rsidRPr="009B1B3A">
        <w:rPr>
          <w:rFonts w:eastAsia="Arial" w:cs="Arial"/>
          <w:w w:val="105"/>
        </w:rPr>
        <w:t>requirements</w:t>
      </w:r>
      <w:r w:rsidRPr="009B1B3A">
        <w:rPr>
          <w:rFonts w:eastAsia="Arial" w:cs="Arial"/>
          <w:spacing w:val="-2"/>
          <w:w w:val="105"/>
        </w:rPr>
        <w:t xml:space="preserve"> </w:t>
      </w:r>
      <w:r w:rsidRPr="009B1B3A">
        <w:rPr>
          <w:rFonts w:eastAsia="Arial" w:cs="Arial"/>
          <w:w w:val="105"/>
        </w:rPr>
        <w:t>of</w:t>
      </w:r>
      <w:r w:rsidRPr="009B1B3A">
        <w:rPr>
          <w:rFonts w:eastAsia="Arial" w:cs="Arial"/>
          <w:spacing w:val="-19"/>
          <w:w w:val="105"/>
        </w:rPr>
        <w:t xml:space="preserve"> </w:t>
      </w:r>
      <w:r w:rsidRPr="009B1B3A">
        <w:rPr>
          <w:rFonts w:eastAsia="Arial" w:cs="Arial"/>
          <w:w w:val="105"/>
        </w:rPr>
        <w:t>the</w:t>
      </w:r>
      <w:r w:rsidRPr="009B1B3A">
        <w:rPr>
          <w:rFonts w:eastAsia="Arial" w:cs="Arial"/>
          <w:spacing w:val="-17"/>
          <w:w w:val="105"/>
        </w:rPr>
        <w:t xml:space="preserve"> </w:t>
      </w:r>
      <w:r w:rsidRPr="009B1B3A">
        <w:rPr>
          <w:rFonts w:eastAsia="Arial" w:cs="Arial"/>
          <w:i/>
          <w:w w:val="105"/>
        </w:rPr>
        <w:t>Auditor</w:t>
      </w:r>
      <w:r w:rsidRPr="009B1B3A">
        <w:rPr>
          <w:rFonts w:eastAsia="Arial" w:cs="Arial"/>
          <w:i/>
          <w:spacing w:val="11"/>
          <w:w w:val="105"/>
        </w:rPr>
        <w:t xml:space="preserve"> </w:t>
      </w:r>
      <w:r w:rsidRPr="009B1B3A">
        <w:rPr>
          <w:rFonts w:eastAsia="Arial" w:cs="Arial"/>
          <w:i/>
          <w:w w:val="105"/>
        </w:rPr>
        <w:t>General</w:t>
      </w:r>
      <w:r w:rsidRPr="009B1B3A">
        <w:rPr>
          <w:rFonts w:eastAsia="Arial" w:cs="Arial"/>
          <w:i/>
          <w:spacing w:val="-20"/>
          <w:w w:val="105"/>
        </w:rPr>
        <w:t xml:space="preserve"> </w:t>
      </w:r>
      <w:r w:rsidRPr="009B1B3A">
        <w:rPr>
          <w:rFonts w:eastAsia="Arial" w:cs="Arial"/>
          <w:i/>
          <w:w w:val="105"/>
        </w:rPr>
        <w:t>Act</w:t>
      </w:r>
      <w:r w:rsidRPr="009B1B3A">
        <w:rPr>
          <w:rFonts w:eastAsia="Arial" w:cs="Arial"/>
          <w:i/>
          <w:spacing w:val="2"/>
          <w:w w:val="105"/>
        </w:rPr>
        <w:t xml:space="preserve"> </w:t>
      </w:r>
      <w:r w:rsidRPr="009B1B3A">
        <w:rPr>
          <w:rFonts w:eastAsia="Arial" w:cs="Arial"/>
          <w:i/>
          <w:w w:val="105"/>
        </w:rPr>
        <w:t>2006</w:t>
      </w:r>
      <w:r w:rsidRPr="009B1B3A">
        <w:rPr>
          <w:rFonts w:eastAsia="Arial" w:cs="Arial"/>
          <w:i/>
          <w:spacing w:val="-6"/>
          <w:w w:val="105"/>
        </w:rPr>
        <w:t xml:space="preserve"> </w:t>
      </w:r>
      <w:r w:rsidRPr="009B1B3A">
        <w:rPr>
          <w:rFonts w:eastAsia="Arial" w:cs="Arial"/>
          <w:w w:val="105"/>
        </w:rPr>
        <w:t>and</w:t>
      </w:r>
      <w:r w:rsidRPr="009B1B3A">
        <w:rPr>
          <w:rFonts w:eastAsia="Arial" w:cs="Arial"/>
          <w:spacing w:val="-17"/>
          <w:w w:val="105"/>
        </w:rPr>
        <w:t xml:space="preserve"> </w:t>
      </w:r>
      <w:r w:rsidRPr="009B1B3A">
        <w:rPr>
          <w:rFonts w:eastAsia="Arial" w:cs="Arial"/>
          <w:w w:val="105"/>
        </w:rPr>
        <w:t>the</w:t>
      </w:r>
      <w:r w:rsidRPr="009B1B3A">
        <w:rPr>
          <w:rFonts w:eastAsia="Arial" w:cs="Arial"/>
          <w:w w:val="103"/>
        </w:rPr>
        <w:t xml:space="preserve"> </w:t>
      </w:r>
      <w:r w:rsidRPr="009B1B3A">
        <w:rPr>
          <w:rFonts w:eastAsia="Arial" w:cs="Arial"/>
          <w:w w:val="105"/>
        </w:rPr>
        <w:t>relevant</w:t>
      </w:r>
      <w:r w:rsidRPr="009B1B3A">
        <w:rPr>
          <w:rFonts w:eastAsia="Arial" w:cs="Arial"/>
          <w:spacing w:val="-20"/>
          <w:w w:val="105"/>
        </w:rPr>
        <w:t xml:space="preserve"> </w:t>
      </w:r>
      <w:r w:rsidRPr="009B1B3A">
        <w:rPr>
          <w:rFonts w:eastAsia="Arial" w:cs="Arial"/>
          <w:w w:val="105"/>
        </w:rPr>
        <w:t>ethical</w:t>
      </w:r>
      <w:r w:rsidRPr="009B1B3A">
        <w:rPr>
          <w:rFonts w:eastAsia="Arial" w:cs="Arial"/>
          <w:spacing w:val="-9"/>
          <w:w w:val="105"/>
        </w:rPr>
        <w:t xml:space="preserve"> </w:t>
      </w:r>
      <w:r w:rsidRPr="009B1B3A">
        <w:rPr>
          <w:rFonts w:eastAsia="Arial" w:cs="Arial"/>
          <w:w w:val="105"/>
        </w:rPr>
        <w:t>requirements</w:t>
      </w:r>
      <w:r w:rsidRPr="009B1B3A">
        <w:rPr>
          <w:rFonts w:eastAsia="Arial" w:cs="Arial"/>
          <w:spacing w:val="-5"/>
          <w:w w:val="105"/>
        </w:rPr>
        <w:t xml:space="preserve"> </w:t>
      </w:r>
      <w:r w:rsidRPr="009B1B3A">
        <w:rPr>
          <w:rFonts w:eastAsia="Arial" w:cs="Arial"/>
          <w:w w:val="105"/>
        </w:rPr>
        <w:t>relating</w:t>
      </w:r>
      <w:r w:rsidRPr="009B1B3A">
        <w:rPr>
          <w:rFonts w:eastAsia="Arial" w:cs="Arial"/>
          <w:spacing w:val="-17"/>
          <w:w w:val="105"/>
        </w:rPr>
        <w:t xml:space="preserve"> </w:t>
      </w:r>
      <w:r w:rsidRPr="009B1B3A">
        <w:rPr>
          <w:rFonts w:eastAsia="Arial" w:cs="Arial"/>
          <w:w w:val="105"/>
        </w:rPr>
        <w:t>to</w:t>
      </w:r>
      <w:r w:rsidRPr="009B1B3A">
        <w:rPr>
          <w:rFonts w:eastAsia="Arial" w:cs="Arial"/>
          <w:spacing w:val="-12"/>
          <w:w w:val="105"/>
        </w:rPr>
        <w:t xml:space="preserve"> </w:t>
      </w:r>
      <w:r w:rsidRPr="009B1B3A">
        <w:rPr>
          <w:rFonts w:eastAsia="Arial" w:cs="Arial"/>
          <w:w w:val="105"/>
        </w:rPr>
        <w:t>assurance</w:t>
      </w:r>
      <w:r w:rsidRPr="009B1B3A">
        <w:rPr>
          <w:rFonts w:eastAsia="Arial" w:cs="Arial"/>
          <w:spacing w:val="-10"/>
          <w:w w:val="105"/>
        </w:rPr>
        <w:t xml:space="preserve"> </w:t>
      </w:r>
      <w:r w:rsidRPr="009B1B3A">
        <w:rPr>
          <w:rFonts w:eastAsia="Arial" w:cs="Arial"/>
          <w:w w:val="105"/>
        </w:rPr>
        <w:t>engagements</w:t>
      </w:r>
      <w:r w:rsidRPr="009B1B3A">
        <w:rPr>
          <w:rFonts w:eastAsia="Arial" w:cs="Arial"/>
          <w:color w:val="3B3B3D"/>
          <w:w w:val="105"/>
        </w:rPr>
        <w:t>.</w:t>
      </w:r>
      <w:r w:rsidRPr="009B1B3A">
        <w:rPr>
          <w:rFonts w:eastAsia="Arial" w:cs="Arial"/>
          <w:color w:val="3B3B3D"/>
          <w:spacing w:val="-15"/>
          <w:w w:val="105"/>
        </w:rPr>
        <w:t xml:space="preserve"> </w:t>
      </w:r>
      <w:r w:rsidRPr="009B1B3A">
        <w:rPr>
          <w:rFonts w:eastAsia="Arial" w:cs="Arial"/>
          <w:w w:val="105"/>
        </w:rPr>
        <w:t>In</w:t>
      </w:r>
      <w:r w:rsidRPr="009B1B3A">
        <w:rPr>
          <w:rFonts w:eastAsia="Arial" w:cs="Arial"/>
          <w:spacing w:val="-25"/>
          <w:w w:val="105"/>
        </w:rPr>
        <w:t xml:space="preserve"> </w:t>
      </w:r>
      <w:r w:rsidRPr="009B1B3A">
        <w:rPr>
          <w:rFonts w:eastAsia="Arial" w:cs="Arial"/>
          <w:w w:val="105"/>
        </w:rPr>
        <w:t>accordance</w:t>
      </w:r>
      <w:r w:rsidRPr="009B1B3A">
        <w:rPr>
          <w:rFonts w:eastAsia="Arial" w:cs="Arial"/>
          <w:spacing w:val="-14"/>
          <w:w w:val="105"/>
        </w:rPr>
        <w:t xml:space="preserve"> </w:t>
      </w:r>
      <w:r w:rsidRPr="009B1B3A">
        <w:rPr>
          <w:rFonts w:eastAsia="Arial" w:cs="Arial"/>
          <w:w w:val="105"/>
        </w:rPr>
        <w:t>with</w:t>
      </w:r>
      <w:r w:rsidRPr="009B1B3A">
        <w:rPr>
          <w:rFonts w:eastAsia="Arial" w:cs="Arial"/>
          <w:spacing w:val="-17"/>
          <w:w w:val="105"/>
        </w:rPr>
        <w:t xml:space="preserve"> </w:t>
      </w:r>
      <w:r w:rsidRPr="009B1B3A">
        <w:rPr>
          <w:rFonts w:eastAsia="Arial" w:cs="Arial"/>
          <w:w w:val="105"/>
        </w:rPr>
        <w:t>ASQC</w:t>
      </w:r>
      <w:r w:rsidRPr="009B1B3A">
        <w:rPr>
          <w:rFonts w:eastAsia="Arial" w:cs="Arial"/>
          <w:spacing w:val="11"/>
          <w:w w:val="105"/>
        </w:rPr>
        <w:t xml:space="preserve"> </w:t>
      </w:r>
      <w:r w:rsidRPr="009B1B3A">
        <w:rPr>
          <w:rFonts w:cs="Arial"/>
          <w:w w:val="105"/>
        </w:rPr>
        <w:t>1</w:t>
      </w:r>
      <w:r w:rsidRPr="009B1B3A">
        <w:rPr>
          <w:rFonts w:cs="Arial"/>
          <w:w w:val="89"/>
        </w:rPr>
        <w:t xml:space="preserve"> </w:t>
      </w:r>
      <w:r w:rsidRPr="009B1B3A">
        <w:rPr>
          <w:rFonts w:eastAsia="Arial" w:cs="Arial"/>
          <w:i/>
          <w:w w:val="105"/>
        </w:rPr>
        <w:t>Quality</w:t>
      </w:r>
      <w:r w:rsidRPr="009B1B3A">
        <w:rPr>
          <w:rFonts w:eastAsia="Arial" w:cs="Arial"/>
          <w:i/>
          <w:spacing w:val="-10"/>
          <w:w w:val="105"/>
        </w:rPr>
        <w:t xml:space="preserve"> </w:t>
      </w:r>
      <w:r w:rsidRPr="009B1B3A">
        <w:rPr>
          <w:rFonts w:eastAsia="Arial" w:cs="Arial"/>
          <w:i/>
          <w:w w:val="105"/>
        </w:rPr>
        <w:t>Control</w:t>
      </w:r>
      <w:r w:rsidRPr="009B1B3A">
        <w:rPr>
          <w:rFonts w:eastAsia="Arial" w:cs="Arial"/>
          <w:i/>
          <w:spacing w:val="-16"/>
          <w:w w:val="105"/>
        </w:rPr>
        <w:t xml:space="preserve"> </w:t>
      </w:r>
      <w:r w:rsidRPr="009B1B3A">
        <w:rPr>
          <w:rFonts w:eastAsia="Arial" w:cs="Arial"/>
          <w:i/>
          <w:w w:val="105"/>
        </w:rPr>
        <w:t>for</w:t>
      </w:r>
      <w:r w:rsidRPr="009B1B3A">
        <w:rPr>
          <w:rFonts w:eastAsia="Arial" w:cs="Arial"/>
          <w:i/>
          <w:spacing w:val="-14"/>
          <w:w w:val="105"/>
        </w:rPr>
        <w:t xml:space="preserve"> </w:t>
      </w:r>
      <w:r w:rsidRPr="009B1B3A">
        <w:rPr>
          <w:rFonts w:eastAsia="Arial" w:cs="Arial"/>
          <w:i/>
          <w:w w:val="105"/>
        </w:rPr>
        <w:t>Firms</w:t>
      </w:r>
      <w:r w:rsidRPr="009B1B3A">
        <w:rPr>
          <w:rFonts w:eastAsia="Arial" w:cs="Arial"/>
          <w:i/>
          <w:spacing w:val="-8"/>
          <w:w w:val="105"/>
        </w:rPr>
        <w:t xml:space="preserve"> </w:t>
      </w:r>
      <w:r w:rsidRPr="009B1B3A">
        <w:rPr>
          <w:rFonts w:eastAsia="Arial" w:cs="Arial"/>
          <w:i/>
          <w:w w:val="105"/>
        </w:rPr>
        <w:t>that</w:t>
      </w:r>
      <w:r w:rsidRPr="009B1B3A">
        <w:rPr>
          <w:rFonts w:eastAsia="Arial" w:cs="Arial"/>
          <w:i/>
          <w:spacing w:val="-15"/>
          <w:w w:val="105"/>
        </w:rPr>
        <w:t xml:space="preserve"> </w:t>
      </w:r>
      <w:r w:rsidRPr="009B1B3A">
        <w:rPr>
          <w:rFonts w:eastAsia="Arial" w:cs="Arial"/>
          <w:i/>
          <w:w w:val="105"/>
        </w:rPr>
        <w:t>Perform</w:t>
      </w:r>
      <w:r w:rsidRPr="009B1B3A">
        <w:rPr>
          <w:rFonts w:eastAsia="Arial" w:cs="Arial"/>
          <w:i/>
          <w:spacing w:val="-18"/>
          <w:w w:val="105"/>
        </w:rPr>
        <w:t xml:space="preserve"> </w:t>
      </w:r>
      <w:r w:rsidRPr="009B1B3A">
        <w:rPr>
          <w:rFonts w:eastAsia="Arial" w:cs="Arial"/>
          <w:i/>
          <w:w w:val="105"/>
        </w:rPr>
        <w:t>Audits</w:t>
      </w:r>
      <w:r w:rsidRPr="009B1B3A">
        <w:rPr>
          <w:rFonts w:eastAsia="Arial" w:cs="Arial"/>
          <w:i/>
          <w:spacing w:val="-2"/>
          <w:w w:val="105"/>
        </w:rPr>
        <w:t xml:space="preserve"> </w:t>
      </w:r>
      <w:r w:rsidRPr="009B1B3A">
        <w:rPr>
          <w:rFonts w:eastAsia="Arial" w:cs="Arial"/>
          <w:i/>
          <w:w w:val="105"/>
        </w:rPr>
        <w:t>and</w:t>
      </w:r>
      <w:r w:rsidRPr="009B1B3A">
        <w:rPr>
          <w:rFonts w:eastAsia="Arial" w:cs="Arial"/>
          <w:i/>
          <w:spacing w:val="-14"/>
          <w:w w:val="105"/>
        </w:rPr>
        <w:t xml:space="preserve"> </w:t>
      </w:r>
      <w:r w:rsidRPr="009B1B3A">
        <w:rPr>
          <w:rFonts w:eastAsia="Arial" w:cs="Arial"/>
          <w:i/>
          <w:w w:val="105"/>
        </w:rPr>
        <w:t>Reviews</w:t>
      </w:r>
      <w:r w:rsidRPr="009B1B3A">
        <w:rPr>
          <w:rFonts w:eastAsia="Arial" w:cs="Arial"/>
          <w:i/>
          <w:spacing w:val="-7"/>
          <w:w w:val="105"/>
        </w:rPr>
        <w:t xml:space="preserve"> </w:t>
      </w:r>
      <w:r w:rsidRPr="009B1B3A">
        <w:rPr>
          <w:rFonts w:eastAsia="Arial" w:cs="Arial"/>
          <w:i/>
          <w:w w:val="105"/>
        </w:rPr>
        <w:t>of</w:t>
      </w:r>
      <w:r w:rsidRPr="009B1B3A">
        <w:rPr>
          <w:rFonts w:eastAsia="Arial" w:cs="Arial"/>
          <w:i/>
          <w:spacing w:val="-14"/>
          <w:w w:val="105"/>
        </w:rPr>
        <w:t xml:space="preserve"> </w:t>
      </w:r>
      <w:r w:rsidRPr="009B1B3A">
        <w:rPr>
          <w:rFonts w:eastAsia="Arial" w:cs="Arial"/>
          <w:i/>
          <w:w w:val="105"/>
        </w:rPr>
        <w:t>Financial</w:t>
      </w:r>
      <w:r w:rsidRPr="009B1B3A">
        <w:rPr>
          <w:rFonts w:eastAsia="Arial" w:cs="Arial"/>
          <w:i/>
          <w:spacing w:val="-6"/>
          <w:w w:val="105"/>
        </w:rPr>
        <w:t xml:space="preserve"> </w:t>
      </w:r>
      <w:r w:rsidRPr="009B1B3A">
        <w:rPr>
          <w:rFonts w:eastAsia="Arial" w:cs="Arial"/>
          <w:i/>
          <w:w w:val="105"/>
        </w:rPr>
        <w:t>Reports</w:t>
      </w:r>
      <w:r w:rsidRPr="009B1B3A">
        <w:rPr>
          <w:rFonts w:eastAsia="Arial" w:cs="Arial"/>
          <w:i/>
          <w:spacing w:val="-8"/>
          <w:w w:val="105"/>
        </w:rPr>
        <w:t xml:space="preserve"> </w:t>
      </w:r>
      <w:r w:rsidRPr="009B1B3A">
        <w:rPr>
          <w:rFonts w:eastAsia="Arial" w:cs="Arial"/>
          <w:i/>
          <w:w w:val="105"/>
        </w:rPr>
        <w:t>and</w:t>
      </w:r>
      <w:r w:rsidRPr="009B1B3A">
        <w:rPr>
          <w:rFonts w:eastAsia="Arial" w:cs="Arial"/>
          <w:i/>
          <w:spacing w:val="-7"/>
          <w:w w:val="105"/>
        </w:rPr>
        <w:t xml:space="preserve"> </w:t>
      </w:r>
      <w:r w:rsidRPr="009B1B3A">
        <w:rPr>
          <w:rFonts w:eastAsia="Arial" w:cs="Arial"/>
          <w:i/>
          <w:w w:val="105"/>
        </w:rPr>
        <w:t>Other</w:t>
      </w:r>
      <w:r w:rsidRPr="009B1B3A">
        <w:rPr>
          <w:rFonts w:eastAsia="Arial" w:cs="Arial"/>
          <w:i/>
          <w:spacing w:val="-22"/>
          <w:w w:val="105"/>
        </w:rPr>
        <w:t xml:space="preserve"> </w:t>
      </w:r>
      <w:r w:rsidRPr="009B1B3A">
        <w:rPr>
          <w:rFonts w:eastAsia="Arial" w:cs="Arial"/>
          <w:i/>
          <w:w w:val="105"/>
        </w:rPr>
        <w:t>Financial</w:t>
      </w:r>
      <w:r w:rsidRPr="009B1B3A">
        <w:rPr>
          <w:rFonts w:eastAsia="Arial" w:cs="Arial"/>
          <w:i/>
        </w:rPr>
        <w:t xml:space="preserve"> </w:t>
      </w:r>
      <w:r w:rsidRPr="009B1B3A">
        <w:rPr>
          <w:rFonts w:eastAsia="Arial" w:cs="Arial"/>
          <w:i/>
          <w:w w:val="105"/>
        </w:rPr>
        <w:t>Information,</w:t>
      </w:r>
      <w:r w:rsidRPr="009B1B3A">
        <w:rPr>
          <w:rFonts w:eastAsia="Arial" w:cs="Arial"/>
          <w:i/>
          <w:spacing w:val="-2"/>
          <w:w w:val="105"/>
        </w:rPr>
        <w:t xml:space="preserve"> </w:t>
      </w:r>
      <w:r w:rsidRPr="009B1B3A">
        <w:rPr>
          <w:rFonts w:eastAsia="Arial" w:cs="Arial"/>
          <w:i/>
          <w:w w:val="105"/>
        </w:rPr>
        <w:t>and</w:t>
      </w:r>
      <w:r w:rsidRPr="009B1B3A">
        <w:rPr>
          <w:rFonts w:eastAsia="Arial" w:cs="Arial"/>
          <w:i/>
          <w:spacing w:val="-9"/>
          <w:w w:val="105"/>
        </w:rPr>
        <w:t xml:space="preserve"> </w:t>
      </w:r>
      <w:r w:rsidRPr="009B1B3A">
        <w:rPr>
          <w:rFonts w:eastAsia="Arial" w:cs="Arial"/>
          <w:i/>
          <w:w w:val="105"/>
        </w:rPr>
        <w:t>Other</w:t>
      </w:r>
      <w:r w:rsidRPr="009B1B3A">
        <w:rPr>
          <w:rFonts w:eastAsia="Arial" w:cs="Arial"/>
          <w:i/>
          <w:spacing w:val="-29"/>
          <w:w w:val="105"/>
        </w:rPr>
        <w:t xml:space="preserve"> </w:t>
      </w:r>
      <w:r w:rsidRPr="009B1B3A">
        <w:rPr>
          <w:rFonts w:eastAsia="Arial" w:cs="Arial"/>
          <w:i/>
          <w:w w:val="105"/>
        </w:rPr>
        <w:t>Assurance</w:t>
      </w:r>
      <w:r w:rsidRPr="009B1B3A">
        <w:rPr>
          <w:rFonts w:eastAsia="Arial" w:cs="Arial"/>
          <w:i/>
          <w:spacing w:val="4"/>
          <w:w w:val="105"/>
        </w:rPr>
        <w:t xml:space="preserve"> </w:t>
      </w:r>
      <w:r w:rsidRPr="009B1B3A">
        <w:rPr>
          <w:rFonts w:eastAsia="Arial" w:cs="Arial"/>
          <w:i/>
          <w:w w:val="105"/>
        </w:rPr>
        <w:t>Engagements,</w:t>
      </w:r>
      <w:r w:rsidRPr="009B1B3A">
        <w:rPr>
          <w:rFonts w:eastAsia="Arial" w:cs="Arial"/>
          <w:i/>
          <w:spacing w:val="-10"/>
          <w:w w:val="105"/>
        </w:rPr>
        <w:t xml:space="preserve"> </w:t>
      </w:r>
      <w:r w:rsidRPr="009B1B3A">
        <w:rPr>
          <w:rFonts w:eastAsia="Arial" w:cs="Arial"/>
          <w:w w:val="105"/>
        </w:rPr>
        <w:t>the</w:t>
      </w:r>
      <w:r w:rsidRPr="009B1B3A">
        <w:rPr>
          <w:rFonts w:eastAsia="Arial" w:cs="Arial"/>
          <w:spacing w:val="-15"/>
          <w:w w:val="105"/>
        </w:rPr>
        <w:t xml:space="preserve"> </w:t>
      </w:r>
      <w:r w:rsidRPr="009B1B3A">
        <w:rPr>
          <w:rFonts w:eastAsia="Arial" w:cs="Arial"/>
          <w:w w:val="105"/>
        </w:rPr>
        <w:t>Office</w:t>
      </w:r>
      <w:r w:rsidRPr="009B1B3A">
        <w:rPr>
          <w:rFonts w:eastAsia="Arial" w:cs="Arial"/>
          <w:spacing w:val="-16"/>
          <w:w w:val="105"/>
        </w:rPr>
        <w:t xml:space="preserve"> </w:t>
      </w:r>
      <w:r w:rsidRPr="009B1B3A">
        <w:rPr>
          <w:rFonts w:eastAsia="Arial" w:cs="Arial"/>
          <w:w w:val="105"/>
        </w:rPr>
        <w:t>of</w:t>
      </w:r>
      <w:r w:rsidRPr="009B1B3A">
        <w:rPr>
          <w:rFonts w:eastAsia="Arial" w:cs="Arial"/>
          <w:spacing w:val="-20"/>
          <w:w w:val="105"/>
        </w:rPr>
        <w:t xml:space="preserve"> </w:t>
      </w:r>
      <w:r w:rsidRPr="009B1B3A">
        <w:rPr>
          <w:rFonts w:eastAsia="Arial" w:cs="Arial"/>
          <w:w w:val="105"/>
        </w:rPr>
        <w:t>the</w:t>
      </w:r>
      <w:r w:rsidRPr="009B1B3A">
        <w:rPr>
          <w:rFonts w:eastAsia="Arial" w:cs="Arial"/>
          <w:spacing w:val="-21"/>
          <w:w w:val="105"/>
        </w:rPr>
        <w:t xml:space="preserve"> </w:t>
      </w:r>
      <w:r w:rsidRPr="009B1B3A">
        <w:rPr>
          <w:rFonts w:eastAsia="Arial" w:cs="Arial"/>
          <w:w w:val="105"/>
        </w:rPr>
        <w:t>Auditor</w:t>
      </w:r>
      <w:r w:rsidRPr="009B1B3A">
        <w:rPr>
          <w:rFonts w:eastAsia="Arial" w:cs="Arial"/>
          <w:spacing w:val="-1"/>
          <w:w w:val="105"/>
        </w:rPr>
        <w:t xml:space="preserve"> </w:t>
      </w:r>
      <w:r w:rsidRPr="009B1B3A">
        <w:rPr>
          <w:rFonts w:eastAsia="Arial" w:cs="Arial"/>
          <w:w w:val="105"/>
        </w:rPr>
        <w:t>General</w:t>
      </w:r>
      <w:r w:rsidRPr="009B1B3A">
        <w:rPr>
          <w:rFonts w:eastAsia="Arial" w:cs="Arial"/>
          <w:spacing w:val="-13"/>
          <w:w w:val="105"/>
        </w:rPr>
        <w:t xml:space="preserve"> </w:t>
      </w:r>
      <w:r w:rsidRPr="009B1B3A">
        <w:rPr>
          <w:rFonts w:eastAsia="Arial" w:cs="Arial"/>
          <w:w w:val="105"/>
        </w:rPr>
        <w:t>maintains</w:t>
      </w:r>
      <w:r w:rsidRPr="009B1B3A">
        <w:rPr>
          <w:rFonts w:eastAsia="Arial" w:cs="Arial"/>
          <w:spacing w:val="-6"/>
          <w:w w:val="105"/>
        </w:rPr>
        <w:t xml:space="preserve"> </w:t>
      </w:r>
      <w:r w:rsidRPr="009B1B3A">
        <w:rPr>
          <w:rFonts w:eastAsia="Arial" w:cs="Arial"/>
          <w:w w:val="105"/>
        </w:rPr>
        <w:t>a</w:t>
      </w:r>
      <w:r w:rsidRPr="009B1B3A">
        <w:rPr>
          <w:rFonts w:eastAsia="Arial" w:cs="Arial"/>
          <w:w w:val="98"/>
        </w:rPr>
        <w:t xml:space="preserve"> </w:t>
      </w:r>
      <w:r w:rsidRPr="009B1B3A">
        <w:rPr>
          <w:rFonts w:eastAsia="Arial" w:cs="Arial"/>
          <w:w w:val="105"/>
        </w:rPr>
        <w:t>comprehensive</w:t>
      </w:r>
      <w:r w:rsidRPr="009B1B3A">
        <w:rPr>
          <w:rFonts w:eastAsia="Arial" w:cs="Arial"/>
          <w:spacing w:val="-5"/>
          <w:w w:val="105"/>
        </w:rPr>
        <w:t xml:space="preserve"> </w:t>
      </w:r>
      <w:r w:rsidRPr="009B1B3A">
        <w:rPr>
          <w:rFonts w:eastAsia="Arial" w:cs="Arial"/>
          <w:w w:val="105"/>
        </w:rPr>
        <w:t>system</w:t>
      </w:r>
      <w:r w:rsidRPr="009B1B3A">
        <w:rPr>
          <w:rFonts w:eastAsia="Arial" w:cs="Arial"/>
          <w:spacing w:val="-12"/>
          <w:w w:val="105"/>
        </w:rPr>
        <w:t xml:space="preserve"> </w:t>
      </w:r>
      <w:r w:rsidRPr="009B1B3A">
        <w:rPr>
          <w:rFonts w:eastAsia="Arial" w:cs="Arial"/>
          <w:w w:val="105"/>
        </w:rPr>
        <w:t>of</w:t>
      </w:r>
      <w:r w:rsidRPr="009B1B3A">
        <w:rPr>
          <w:rFonts w:eastAsia="Arial" w:cs="Arial"/>
          <w:spacing w:val="-20"/>
          <w:w w:val="105"/>
        </w:rPr>
        <w:t xml:space="preserve"> </w:t>
      </w:r>
      <w:r w:rsidRPr="009B1B3A">
        <w:rPr>
          <w:rFonts w:eastAsia="Arial" w:cs="Arial"/>
          <w:w w:val="105"/>
        </w:rPr>
        <w:t>quality</w:t>
      </w:r>
      <w:r w:rsidRPr="009B1B3A">
        <w:rPr>
          <w:rFonts w:eastAsia="Arial" w:cs="Arial"/>
          <w:spacing w:val="-7"/>
          <w:w w:val="105"/>
        </w:rPr>
        <w:t xml:space="preserve"> </w:t>
      </w:r>
      <w:r w:rsidRPr="009B1B3A">
        <w:rPr>
          <w:rFonts w:eastAsia="Arial" w:cs="Arial"/>
          <w:w w:val="105"/>
        </w:rPr>
        <w:t>control</w:t>
      </w:r>
      <w:r w:rsidRPr="009B1B3A">
        <w:rPr>
          <w:rFonts w:eastAsia="Arial" w:cs="Arial"/>
          <w:spacing w:val="-8"/>
          <w:w w:val="105"/>
        </w:rPr>
        <w:t xml:space="preserve"> </w:t>
      </w:r>
      <w:r w:rsidRPr="009B1B3A">
        <w:rPr>
          <w:rFonts w:eastAsia="Arial" w:cs="Arial"/>
          <w:w w:val="105"/>
        </w:rPr>
        <w:t>including</w:t>
      </w:r>
      <w:r w:rsidRPr="009B1B3A">
        <w:rPr>
          <w:rFonts w:eastAsia="Arial" w:cs="Arial"/>
          <w:spacing w:val="-13"/>
          <w:w w:val="105"/>
        </w:rPr>
        <w:t xml:space="preserve"> </w:t>
      </w:r>
      <w:r w:rsidRPr="009B1B3A">
        <w:rPr>
          <w:rFonts w:eastAsia="Arial" w:cs="Arial"/>
          <w:w w:val="105"/>
        </w:rPr>
        <w:t>documented</w:t>
      </w:r>
      <w:r w:rsidRPr="009B1B3A">
        <w:rPr>
          <w:rFonts w:eastAsia="Arial" w:cs="Arial"/>
          <w:spacing w:val="-4"/>
          <w:w w:val="105"/>
        </w:rPr>
        <w:t xml:space="preserve"> </w:t>
      </w:r>
      <w:r w:rsidRPr="009B1B3A">
        <w:rPr>
          <w:rFonts w:eastAsia="Arial" w:cs="Arial"/>
          <w:w w:val="105"/>
        </w:rPr>
        <w:t>policies</w:t>
      </w:r>
      <w:r w:rsidRPr="009B1B3A">
        <w:rPr>
          <w:rFonts w:eastAsia="Arial" w:cs="Arial"/>
          <w:spacing w:val="-16"/>
          <w:w w:val="105"/>
        </w:rPr>
        <w:t xml:space="preserve"> </w:t>
      </w:r>
      <w:r w:rsidRPr="009B1B3A">
        <w:rPr>
          <w:rFonts w:eastAsia="Arial" w:cs="Arial"/>
          <w:w w:val="105"/>
        </w:rPr>
        <w:t>and</w:t>
      </w:r>
      <w:r w:rsidRPr="009B1B3A">
        <w:rPr>
          <w:rFonts w:eastAsia="Arial" w:cs="Arial"/>
          <w:spacing w:val="-15"/>
          <w:w w:val="105"/>
        </w:rPr>
        <w:t xml:space="preserve"> </w:t>
      </w:r>
      <w:r w:rsidRPr="009B1B3A">
        <w:rPr>
          <w:rFonts w:eastAsia="Arial" w:cs="Arial"/>
          <w:w w:val="105"/>
        </w:rPr>
        <w:t>procedures</w:t>
      </w:r>
      <w:r w:rsidRPr="009B1B3A">
        <w:rPr>
          <w:rFonts w:eastAsia="Arial" w:cs="Arial"/>
          <w:spacing w:val="-2"/>
          <w:w w:val="105"/>
        </w:rPr>
        <w:t xml:space="preserve"> </w:t>
      </w:r>
      <w:r w:rsidRPr="009B1B3A">
        <w:rPr>
          <w:rFonts w:eastAsia="Arial" w:cs="Arial"/>
          <w:w w:val="105"/>
        </w:rPr>
        <w:t>regarding</w:t>
      </w:r>
      <w:r w:rsidRPr="009B1B3A">
        <w:rPr>
          <w:rFonts w:eastAsia="Arial" w:cs="Arial"/>
          <w:w w:val="101"/>
        </w:rPr>
        <w:t xml:space="preserve"> </w:t>
      </w:r>
      <w:r w:rsidRPr="009B1B3A">
        <w:rPr>
          <w:rFonts w:eastAsia="Arial" w:cs="Arial"/>
          <w:w w:val="105"/>
        </w:rPr>
        <w:t>compliance</w:t>
      </w:r>
      <w:r w:rsidRPr="009B1B3A">
        <w:rPr>
          <w:rFonts w:eastAsia="Arial" w:cs="Arial"/>
          <w:spacing w:val="-15"/>
          <w:w w:val="105"/>
        </w:rPr>
        <w:t xml:space="preserve"> </w:t>
      </w:r>
      <w:r w:rsidRPr="009B1B3A">
        <w:rPr>
          <w:rFonts w:eastAsia="Arial" w:cs="Arial"/>
          <w:w w:val="105"/>
        </w:rPr>
        <w:t>with</w:t>
      </w:r>
      <w:r w:rsidRPr="009B1B3A">
        <w:rPr>
          <w:rFonts w:eastAsia="Arial" w:cs="Arial"/>
          <w:spacing w:val="-16"/>
          <w:w w:val="105"/>
        </w:rPr>
        <w:t xml:space="preserve"> </w:t>
      </w:r>
      <w:r w:rsidRPr="009B1B3A">
        <w:rPr>
          <w:rFonts w:eastAsia="Arial" w:cs="Arial"/>
          <w:w w:val="105"/>
        </w:rPr>
        <w:t>ethical</w:t>
      </w:r>
      <w:r w:rsidRPr="009B1B3A">
        <w:rPr>
          <w:rFonts w:eastAsia="Arial" w:cs="Arial"/>
          <w:spacing w:val="-12"/>
          <w:w w:val="105"/>
        </w:rPr>
        <w:t xml:space="preserve"> </w:t>
      </w:r>
      <w:r w:rsidRPr="009B1B3A">
        <w:rPr>
          <w:rFonts w:eastAsia="Arial" w:cs="Arial"/>
          <w:w w:val="105"/>
        </w:rPr>
        <w:t>requirements,</w:t>
      </w:r>
      <w:r w:rsidRPr="009B1B3A">
        <w:rPr>
          <w:rFonts w:eastAsia="Arial" w:cs="Arial"/>
          <w:spacing w:val="-6"/>
          <w:w w:val="105"/>
        </w:rPr>
        <w:t xml:space="preserve"> </w:t>
      </w:r>
      <w:r w:rsidRPr="009B1B3A">
        <w:rPr>
          <w:rFonts w:eastAsia="Arial" w:cs="Arial"/>
          <w:w w:val="105"/>
        </w:rPr>
        <w:t>professional</w:t>
      </w:r>
      <w:r w:rsidRPr="009B1B3A">
        <w:rPr>
          <w:rFonts w:eastAsia="Arial" w:cs="Arial"/>
          <w:spacing w:val="-9"/>
          <w:w w:val="105"/>
        </w:rPr>
        <w:t xml:space="preserve"> </w:t>
      </w:r>
      <w:r w:rsidRPr="009B1B3A">
        <w:rPr>
          <w:rFonts w:eastAsia="Arial" w:cs="Arial"/>
          <w:w w:val="105"/>
        </w:rPr>
        <w:t>standards</w:t>
      </w:r>
      <w:r w:rsidRPr="009B1B3A">
        <w:rPr>
          <w:rFonts w:eastAsia="Arial" w:cs="Arial"/>
          <w:spacing w:val="-6"/>
          <w:w w:val="105"/>
        </w:rPr>
        <w:t xml:space="preserve"> </w:t>
      </w:r>
      <w:r w:rsidRPr="009B1B3A">
        <w:rPr>
          <w:rFonts w:eastAsia="Arial" w:cs="Arial"/>
          <w:w w:val="105"/>
        </w:rPr>
        <w:t>and</w:t>
      </w:r>
      <w:r w:rsidRPr="009B1B3A">
        <w:rPr>
          <w:rFonts w:eastAsia="Arial" w:cs="Arial"/>
          <w:spacing w:val="-18"/>
          <w:w w:val="105"/>
        </w:rPr>
        <w:t xml:space="preserve"> </w:t>
      </w:r>
      <w:r w:rsidRPr="009B1B3A">
        <w:rPr>
          <w:rFonts w:eastAsia="Arial" w:cs="Arial"/>
          <w:w w:val="105"/>
        </w:rPr>
        <w:t>applicable</w:t>
      </w:r>
      <w:r w:rsidRPr="009B1B3A">
        <w:rPr>
          <w:rFonts w:eastAsia="Arial" w:cs="Arial"/>
          <w:spacing w:val="-9"/>
          <w:w w:val="105"/>
        </w:rPr>
        <w:t xml:space="preserve"> </w:t>
      </w:r>
      <w:r w:rsidRPr="009B1B3A">
        <w:rPr>
          <w:rFonts w:eastAsia="Arial" w:cs="Arial"/>
          <w:w w:val="105"/>
        </w:rPr>
        <w:t>legal</w:t>
      </w:r>
      <w:r w:rsidRPr="009B1B3A">
        <w:rPr>
          <w:rFonts w:eastAsia="Arial" w:cs="Arial"/>
          <w:spacing w:val="-20"/>
          <w:w w:val="105"/>
        </w:rPr>
        <w:t xml:space="preserve"> </w:t>
      </w:r>
      <w:r w:rsidRPr="009B1B3A">
        <w:rPr>
          <w:rFonts w:eastAsia="Arial" w:cs="Arial"/>
          <w:w w:val="105"/>
        </w:rPr>
        <w:t>and</w:t>
      </w:r>
      <w:r w:rsidRPr="009B1B3A">
        <w:rPr>
          <w:rFonts w:eastAsia="Arial" w:cs="Arial"/>
          <w:spacing w:val="-14"/>
          <w:w w:val="105"/>
        </w:rPr>
        <w:t xml:space="preserve"> </w:t>
      </w:r>
      <w:r w:rsidRPr="009B1B3A">
        <w:rPr>
          <w:rFonts w:eastAsia="Arial" w:cs="Arial"/>
          <w:w w:val="105"/>
        </w:rPr>
        <w:t>regulatory</w:t>
      </w:r>
      <w:r w:rsidRPr="009B1B3A">
        <w:rPr>
          <w:rFonts w:eastAsia="Arial" w:cs="Arial"/>
        </w:rPr>
        <w:t xml:space="preserve"> </w:t>
      </w:r>
      <w:r w:rsidRPr="009B1B3A">
        <w:rPr>
          <w:rFonts w:eastAsia="Arial" w:cs="Arial"/>
          <w:w w:val="105"/>
        </w:rPr>
        <w:t>requirements.</w:t>
      </w:r>
    </w:p>
    <w:p w14:paraId="52698A43" w14:textId="1685DDA5" w:rsidR="009B1B3A" w:rsidRDefault="009B1B3A" w:rsidP="009B1B3A">
      <w:pPr>
        <w:rPr>
          <w:b/>
        </w:rPr>
      </w:pPr>
      <w:r w:rsidRPr="009B1B3A">
        <w:rPr>
          <w:b/>
        </w:rPr>
        <w:t>Matters Relating to the Electronic Publication of the Audited Financial Statements and Key Performance Indicators</w:t>
      </w:r>
    </w:p>
    <w:p w14:paraId="2894C0C2" w14:textId="09EB6B85" w:rsidR="009B1B3A" w:rsidRPr="009B1B3A" w:rsidRDefault="009B1B3A" w:rsidP="009B1B3A">
      <w:r>
        <w:t>This auditor's report relates to the financial statements and key performance indicators of the WorkCover Western Australia Authority for the year ended 30 June 2018 included on the Authority's website. The Authority's management is responsible for the integrity of the Authority's website. This audit does not provide assurance on the integrity of the Authority's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14:paraId="64E98B24" w14:textId="69E00A45" w:rsidR="006226C4" w:rsidRDefault="009B1B3A" w:rsidP="009B1B3A">
      <w:pPr>
        <w:rPr>
          <w:rStyle w:val="Strong"/>
          <w:b w:val="0"/>
        </w:rPr>
      </w:pPr>
      <w:r>
        <w:rPr>
          <w:rStyle w:val="Strong"/>
          <w:b w:val="0"/>
        </w:rPr>
        <w:t>SANDRA HAGNE</w:t>
      </w:r>
      <w:r>
        <w:rPr>
          <w:rStyle w:val="Strong"/>
          <w:b w:val="0"/>
        </w:rPr>
        <w:br/>
        <w:t>ACTING DEPUTY AUDITOR GENERAL</w:t>
      </w:r>
      <w:r>
        <w:rPr>
          <w:rStyle w:val="Strong"/>
          <w:b w:val="0"/>
        </w:rPr>
        <w:br/>
        <w:t>Delegate of the Auditor General for Western Australia</w:t>
      </w:r>
      <w:r>
        <w:rPr>
          <w:rStyle w:val="Strong"/>
          <w:b w:val="0"/>
        </w:rPr>
        <w:br/>
        <w:t>Perth, Western Australia</w:t>
      </w:r>
      <w:r>
        <w:rPr>
          <w:rStyle w:val="Strong"/>
          <w:b w:val="0"/>
        </w:rPr>
        <w:br/>
      </w:r>
      <w:r w:rsidR="006226C4">
        <w:rPr>
          <w:rStyle w:val="Strong"/>
          <w:b w:val="0"/>
        </w:rPr>
        <w:t xml:space="preserve">31 August 2018 </w:t>
      </w:r>
    </w:p>
    <w:p w14:paraId="52F6E3EA" w14:textId="77777777" w:rsidR="006226C4" w:rsidRDefault="006226C4">
      <w:pPr>
        <w:keepLines w:val="0"/>
        <w:spacing w:after="0" w:line="240" w:lineRule="auto"/>
        <w:rPr>
          <w:rStyle w:val="Strong"/>
          <w:b w:val="0"/>
        </w:rPr>
      </w:pPr>
      <w:r>
        <w:rPr>
          <w:rStyle w:val="Strong"/>
          <w:b w:val="0"/>
        </w:rPr>
        <w:br w:type="page"/>
      </w:r>
    </w:p>
    <w:p w14:paraId="22A688EF" w14:textId="73945624" w:rsidR="009B1B3A" w:rsidRDefault="006226C4" w:rsidP="006226C4">
      <w:pPr>
        <w:pStyle w:val="Heading2nonumber"/>
        <w:rPr>
          <w:rStyle w:val="Strong"/>
          <w:b/>
        </w:rPr>
      </w:pPr>
      <w:bookmarkStart w:id="749" w:name="_Toc525122146"/>
      <w:r>
        <w:rPr>
          <w:rStyle w:val="Strong"/>
          <w:b/>
        </w:rPr>
        <w:t>Statement of Comprehensive Income</w:t>
      </w:r>
      <w:bookmarkEnd w:id="749"/>
      <w:r>
        <w:rPr>
          <w:rStyle w:val="Strong"/>
          <w:b/>
        </w:rPr>
        <w:t xml:space="preserve"> </w:t>
      </w:r>
    </w:p>
    <w:tbl>
      <w:tblPr>
        <w:tblStyle w:val="TableGrid"/>
        <w:tblW w:w="0" w:type="auto"/>
        <w:tblLook w:val="04A0" w:firstRow="1" w:lastRow="0" w:firstColumn="1" w:lastColumn="0" w:noHBand="0" w:noVBand="1"/>
        <w:tblCaption w:val="Table: Statement of Comprehensive Income"/>
        <w:tblDescription w:val="This table outlines the Agency's comprehensive income for the last financial year. It includes data about revenue, gains, expenses, profit and loss and other comprehensive income. "/>
      </w:tblPr>
      <w:tblGrid>
        <w:gridCol w:w="3256"/>
        <w:gridCol w:w="1252"/>
        <w:gridCol w:w="2254"/>
        <w:gridCol w:w="2254"/>
      </w:tblGrid>
      <w:tr w:rsidR="000B26EE" w14:paraId="435564D4" w14:textId="77777777" w:rsidTr="00F11774">
        <w:trPr>
          <w:tblHeader/>
        </w:trPr>
        <w:tc>
          <w:tcPr>
            <w:tcW w:w="3256" w:type="dxa"/>
            <w:tcBorders>
              <w:top w:val="single" w:sz="4" w:space="0" w:color="9FBCD0"/>
              <w:left w:val="single" w:sz="4" w:space="0" w:color="9FBCD0"/>
              <w:bottom w:val="single" w:sz="4" w:space="0" w:color="9FBCD0"/>
              <w:right w:val="single" w:sz="4" w:space="0" w:color="9FBCD0"/>
            </w:tcBorders>
          </w:tcPr>
          <w:p w14:paraId="65E8B35E" w14:textId="77777777" w:rsidR="000B26EE" w:rsidRDefault="000B26EE" w:rsidP="006226C4">
            <w:pPr>
              <w:rPr>
                <w:rStyle w:val="Strong"/>
                <w:b w:val="0"/>
                <w:bCs w:val="0"/>
              </w:rPr>
            </w:pPr>
          </w:p>
        </w:tc>
        <w:tc>
          <w:tcPr>
            <w:tcW w:w="1252" w:type="dxa"/>
            <w:tcBorders>
              <w:top w:val="single" w:sz="4" w:space="0" w:color="9FBCD0"/>
              <w:left w:val="single" w:sz="4" w:space="0" w:color="9FBCD0"/>
              <w:bottom w:val="single" w:sz="4" w:space="0" w:color="9FBCD0"/>
              <w:right w:val="single" w:sz="4" w:space="0" w:color="9FBCD0"/>
            </w:tcBorders>
            <w:vAlign w:val="center"/>
          </w:tcPr>
          <w:p w14:paraId="2B3619D5" w14:textId="13639EF1" w:rsidR="000B26EE" w:rsidRPr="000B26EE" w:rsidRDefault="000B26EE" w:rsidP="00A21D39">
            <w:pPr>
              <w:jc w:val="center"/>
              <w:rPr>
                <w:rStyle w:val="Strong"/>
                <w:bCs w:val="0"/>
              </w:rPr>
            </w:pPr>
            <w:r>
              <w:rPr>
                <w:rStyle w:val="Strong"/>
                <w:bCs w:val="0"/>
              </w:rPr>
              <w:t>Note</w:t>
            </w:r>
            <w:r w:rsidR="006673BB">
              <w:rPr>
                <w:rStyle w:val="Strong"/>
                <w:bCs w:val="0"/>
              </w:rPr>
              <w:t>s</w:t>
            </w:r>
          </w:p>
        </w:tc>
        <w:tc>
          <w:tcPr>
            <w:tcW w:w="2254"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589BD72" w14:textId="525C216F" w:rsidR="000B26EE" w:rsidRPr="000B26EE" w:rsidRDefault="000B26EE" w:rsidP="00A21D39">
            <w:pPr>
              <w:jc w:val="right"/>
              <w:rPr>
                <w:rStyle w:val="Strong"/>
                <w:bCs w:val="0"/>
              </w:rPr>
            </w:pPr>
            <w:r>
              <w:rPr>
                <w:rStyle w:val="Strong"/>
                <w:bCs w:val="0"/>
              </w:rPr>
              <w:t>2018</w:t>
            </w:r>
            <w:r>
              <w:rPr>
                <w:rStyle w:val="Strong"/>
                <w:bCs w:val="0"/>
              </w:rPr>
              <w:br/>
              <w:t>$000</w:t>
            </w:r>
          </w:p>
        </w:tc>
        <w:tc>
          <w:tcPr>
            <w:tcW w:w="2254"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203599AE" w14:textId="337B751E" w:rsidR="000B26EE" w:rsidRPr="000B26EE" w:rsidRDefault="000B26EE" w:rsidP="00A21D39">
            <w:pPr>
              <w:jc w:val="right"/>
              <w:rPr>
                <w:rStyle w:val="Strong"/>
                <w:bCs w:val="0"/>
              </w:rPr>
            </w:pPr>
            <w:r>
              <w:rPr>
                <w:rStyle w:val="Strong"/>
                <w:bCs w:val="0"/>
              </w:rPr>
              <w:t>2017</w:t>
            </w:r>
            <w:r>
              <w:rPr>
                <w:rStyle w:val="Strong"/>
                <w:bCs w:val="0"/>
              </w:rPr>
              <w:br/>
              <w:t>$000</w:t>
            </w:r>
          </w:p>
        </w:tc>
      </w:tr>
      <w:tr w:rsidR="000B26EE" w14:paraId="6512F987" w14:textId="77777777" w:rsidTr="00320D71">
        <w:tc>
          <w:tcPr>
            <w:tcW w:w="3256" w:type="dxa"/>
            <w:tcBorders>
              <w:top w:val="single" w:sz="4" w:space="0" w:color="9FBCD0"/>
              <w:left w:val="single" w:sz="4" w:space="0" w:color="9FBCD0"/>
              <w:bottom w:val="single" w:sz="4" w:space="0" w:color="9FBCD0"/>
              <w:right w:val="single" w:sz="4" w:space="0" w:color="9FBCD0"/>
            </w:tcBorders>
          </w:tcPr>
          <w:p w14:paraId="3E09F0D5" w14:textId="2248D8EA" w:rsidR="000B26EE" w:rsidRPr="000B26EE" w:rsidRDefault="000B26EE" w:rsidP="006226C4">
            <w:pPr>
              <w:rPr>
                <w:rStyle w:val="Strong"/>
                <w:bCs w:val="0"/>
              </w:rPr>
            </w:pPr>
            <w:r w:rsidRPr="000B26EE">
              <w:rPr>
                <w:rStyle w:val="Strong"/>
                <w:bCs w:val="0"/>
              </w:rPr>
              <w:t>INCOME</w:t>
            </w:r>
            <w:r w:rsidRPr="000B26EE">
              <w:rPr>
                <w:rStyle w:val="Strong"/>
                <w:bCs w:val="0"/>
              </w:rPr>
              <w:br/>
              <w:t>Revenue</w:t>
            </w:r>
          </w:p>
        </w:tc>
        <w:tc>
          <w:tcPr>
            <w:tcW w:w="1252" w:type="dxa"/>
            <w:tcBorders>
              <w:top w:val="single" w:sz="4" w:space="0" w:color="9FBCD0"/>
              <w:left w:val="single" w:sz="4" w:space="0" w:color="9FBCD0"/>
              <w:bottom w:val="single" w:sz="4" w:space="0" w:color="9FBCD0"/>
              <w:right w:val="single" w:sz="4" w:space="0" w:color="9FBCD0"/>
            </w:tcBorders>
          </w:tcPr>
          <w:p w14:paraId="1E68F0B9" w14:textId="77777777" w:rsidR="000B26EE" w:rsidRDefault="000B26EE" w:rsidP="006226C4">
            <w:pPr>
              <w:rPr>
                <w:rStyle w:val="Strong"/>
                <w:b w:val="0"/>
                <w:bCs w:val="0"/>
              </w:rPr>
            </w:pPr>
          </w:p>
        </w:tc>
        <w:tc>
          <w:tcPr>
            <w:tcW w:w="2254" w:type="dxa"/>
            <w:tcBorders>
              <w:top w:val="single" w:sz="4" w:space="0" w:color="9FBCD0"/>
              <w:left w:val="single" w:sz="4" w:space="0" w:color="9FBCD0"/>
              <w:bottom w:val="single" w:sz="4" w:space="0" w:color="9FBCD0"/>
              <w:right w:val="single" w:sz="4" w:space="0" w:color="9FBCD0"/>
            </w:tcBorders>
          </w:tcPr>
          <w:p w14:paraId="3AE7BEC7" w14:textId="77777777" w:rsidR="000B26EE" w:rsidRDefault="000B26EE" w:rsidP="006226C4">
            <w:pPr>
              <w:rPr>
                <w:rStyle w:val="Strong"/>
                <w:b w:val="0"/>
                <w:bCs w:val="0"/>
              </w:rPr>
            </w:pPr>
          </w:p>
        </w:tc>
        <w:tc>
          <w:tcPr>
            <w:tcW w:w="2254" w:type="dxa"/>
            <w:tcBorders>
              <w:top w:val="single" w:sz="4" w:space="0" w:color="9FBCD0"/>
              <w:left w:val="single" w:sz="4" w:space="0" w:color="9FBCD0"/>
              <w:bottom w:val="single" w:sz="4" w:space="0" w:color="9FBCD0"/>
              <w:right w:val="single" w:sz="4" w:space="0" w:color="9FBCD0"/>
            </w:tcBorders>
          </w:tcPr>
          <w:p w14:paraId="678E9C67" w14:textId="77777777" w:rsidR="000B26EE" w:rsidRDefault="000B26EE" w:rsidP="006226C4">
            <w:pPr>
              <w:rPr>
                <w:rStyle w:val="Strong"/>
                <w:b w:val="0"/>
                <w:bCs w:val="0"/>
              </w:rPr>
            </w:pPr>
          </w:p>
        </w:tc>
      </w:tr>
      <w:tr w:rsidR="000B26EE" w14:paraId="6FA660C5"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3FB8F47" w14:textId="7774FC12" w:rsidR="000B26EE" w:rsidRDefault="000B26EE" w:rsidP="000B26EE">
            <w:pPr>
              <w:rPr>
                <w:rStyle w:val="Strong"/>
                <w:b w:val="0"/>
                <w:bCs w:val="0"/>
              </w:rPr>
            </w:pPr>
            <w:r>
              <w:t>Insurer contributions</w:t>
            </w:r>
          </w:p>
        </w:tc>
        <w:tc>
          <w:tcPr>
            <w:tcW w:w="1252" w:type="dxa"/>
            <w:tcBorders>
              <w:top w:val="single" w:sz="4" w:space="0" w:color="9FBCD0"/>
              <w:left w:val="single" w:sz="4" w:space="0" w:color="9FBCD0"/>
              <w:bottom w:val="single" w:sz="4" w:space="0" w:color="9FBCD0"/>
              <w:right w:val="single" w:sz="4" w:space="0" w:color="9FBCD0"/>
            </w:tcBorders>
            <w:vAlign w:val="bottom"/>
          </w:tcPr>
          <w:p w14:paraId="04B46B77" w14:textId="4F0CA587" w:rsidR="000B26EE" w:rsidRPr="000B26EE" w:rsidRDefault="000B26EE" w:rsidP="000B26EE">
            <w:pPr>
              <w:jc w:val="center"/>
              <w:rPr>
                <w:rStyle w:val="Strong"/>
                <w:b w:val="0"/>
                <w:bCs w:val="0"/>
              </w:rPr>
            </w:pPr>
            <w:r w:rsidRPr="000B26EE">
              <w:rPr>
                <w:b/>
              </w:rPr>
              <w:t>3.1</w:t>
            </w:r>
          </w:p>
        </w:tc>
        <w:tc>
          <w:tcPr>
            <w:tcW w:w="2254" w:type="dxa"/>
            <w:tcBorders>
              <w:top w:val="single" w:sz="4" w:space="0" w:color="9FBCD0"/>
              <w:left w:val="single" w:sz="4" w:space="0" w:color="9FBCD0"/>
              <w:bottom w:val="single" w:sz="4" w:space="0" w:color="9FBCD0"/>
              <w:right w:val="single" w:sz="4" w:space="0" w:color="9FBCD0"/>
            </w:tcBorders>
            <w:vAlign w:val="center"/>
          </w:tcPr>
          <w:p w14:paraId="188B7173" w14:textId="27CF9CEE" w:rsidR="000B26EE" w:rsidRDefault="000B26EE" w:rsidP="00320D71">
            <w:pPr>
              <w:jc w:val="right"/>
              <w:rPr>
                <w:rStyle w:val="Strong"/>
                <w:b w:val="0"/>
                <w:bCs w:val="0"/>
              </w:rPr>
            </w:pPr>
            <w:r>
              <w:t xml:space="preserve">                19,883 </w:t>
            </w:r>
          </w:p>
        </w:tc>
        <w:tc>
          <w:tcPr>
            <w:tcW w:w="2254" w:type="dxa"/>
            <w:tcBorders>
              <w:top w:val="single" w:sz="4" w:space="0" w:color="9FBCD0"/>
              <w:left w:val="single" w:sz="4" w:space="0" w:color="9FBCD0"/>
              <w:bottom w:val="single" w:sz="4" w:space="0" w:color="9FBCD0"/>
              <w:right w:val="single" w:sz="4" w:space="0" w:color="9FBCD0"/>
            </w:tcBorders>
            <w:vAlign w:val="center"/>
          </w:tcPr>
          <w:p w14:paraId="388C0B9D" w14:textId="576EC3A0" w:rsidR="000B26EE" w:rsidRDefault="000B26EE" w:rsidP="00320D71">
            <w:pPr>
              <w:jc w:val="right"/>
              <w:rPr>
                <w:rStyle w:val="Strong"/>
                <w:b w:val="0"/>
                <w:bCs w:val="0"/>
              </w:rPr>
            </w:pPr>
            <w:r>
              <w:t xml:space="preserve">                19,945 </w:t>
            </w:r>
          </w:p>
        </w:tc>
      </w:tr>
      <w:tr w:rsidR="000B26EE" w14:paraId="5E6EFAA9"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5CDB647E" w14:textId="5DF74808" w:rsidR="000B26EE" w:rsidRDefault="000B26EE" w:rsidP="000B26EE">
            <w:pPr>
              <w:rPr>
                <w:rStyle w:val="Strong"/>
                <w:b w:val="0"/>
                <w:bCs w:val="0"/>
              </w:rPr>
            </w:pPr>
            <w:r>
              <w:t>Interest revenue</w:t>
            </w:r>
          </w:p>
        </w:tc>
        <w:tc>
          <w:tcPr>
            <w:tcW w:w="1252" w:type="dxa"/>
            <w:tcBorders>
              <w:top w:val="single" w:sz="4" w:space="0" w:color="9FBCD0"/>
              <w:left w:val="single" w:sz="4" w:space="0" w:color="9FBCD0"/>
              <w:bottom w:val="single" w:sz="4" w:space="0" w:color="9FBCD0"/>
              <w:right w:val="single" w:sz="4" w:space="0" w:color="9FBCD0"/>
            </w:tcBorders>
            <w:vAlign w:val="bottom"/>
          </w:tcPr>
          <w:p w14:paraId="67AB2A96" w14:textId="33371B2A" w:rsidR="000B26EE" w:rsidRPr="000B26EE" w:rsidRDefault="000B26EE" w:rsidP="000B26EE">
            <w:pPr>
              <w:jc w:val="center"/>
              <w:rPr>
                <w:rStyle w:val="Strong"/>
                <w:b w:val="0"/>
                <w:bCs w:val="0"/>
              </w:rPr>
            </w:pPr>
            <w:r w:rsidRPr="000B26EE">
              <w:rPr>
                <w:b/>
              </w:rPr>
              <w:t>3.2</w:t>
            </w:r>
          </w:p>
        </w:tc>
        <w:tc>
          <w:tcPr>
            <w:tcW w:w="2254" w:type="dxa"/>
            <w:tcBorders>
              <w:top w:val="single" w:sz="4" w:space="0" w:color="9FBCD0"/>
              <w:left w:val="single" w:sz="4" w:space="0" w:color="9FBCD0"/>
              <w:bottom w:val="single" w:sz="4" w:space="0" w:color="9FBCD0"/>
              <w:right w:val="single" w:sz="4" w:space="0" w:color="9FBCD0"/>
            </w:tcBorders>
            <w:vAlign w:val="center"/>
          </w:tcPr>
          <w:p w14:paraId="2C8D9D27" w14:textId="62C42941" w:rsidR="000B26EE" w:rsidRDefault="000B26EE" w:rsidP="00320D71">
            <w:pPr>
              <w:jc w:val="right"/>
              <w:rPr>
                <w:rStyle w:val="Strong"/>
                <w:b w:val="0"/>
                <w:bCs w:val="0"/>
              </w:rPr>
            </w:pPr>
            <w:r>
              <w:t xml:space="preserve">                  2,298 </w:t>
            </w:r>
          </w:p>
        </w:tc>
        <w:tc>
          <w:tcPr>
            <w:tcW w:w="2254" w:type="dxa"/>
            <w:tcBorders>
              <w:top w:val="single" w:sz="4" w:space="0" w:color="9FBCD0"/>
              <w:left w:val="single" w:sz="4" w:space="0" w:color="9FBCD0"/>
              <w:bottom w:val="single" w:sz="4" w:space="0" w:color="9FBCD0"/>
              <w:right w:val="single" w:sz="4" w:space="0" w:color="9FBCD0"/>
            </w:tcBorders>
            <w:vAlign w:val="center"/>
          </w:tcPr>
          <w:p w14:paraId="4FD2A0C8" w14:textId="4F53A8DE" w:rsidR="000B26EE" w:rsidRDefault="000B26EE" w:rsidP="00320D71">
            <w:pPr>
              <w:jc w:val="right"/>
              <w:rPr>
                <w:rStyle w:val="Strong"/>
                <w:b w:val="0"/>
                <w:bCs w:val="0"/>
              </w:rPr>
            </w:pPr>
            <w:r>
              <w:t xml:space="preserve">                  2,320 </w:t>
            </w:r>
          </w:p>
        </w:tc>
      </w:tr>
      <w:tr w:rsidR="000B26EE" w14:paraId="29043562"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629315B6" w14:textId="729340BB" w:rsidR="000B26EE" w:rsidRDefault="000B26EE" w:rsidP="000B26EE">
            <w:pPr>
              <w:rPr>
                <w:rStyle w:val="Strong"/>
                <w:b w:val="0"/>
                <w:bCs w:val="0"/>
              </w:rPr>
            </w:pPr>
            <w:r>
              <w:t>Other revenue</w:t>
            </w:r>
          </w:p>
        </w:tc>
        <w:tc>
          <w:tcPr>
            <w:tcW w:w="1252" w:type="dxa"/>
            <w:tcBorders>
              <w:top w:val="single" w:sz="4" w:space="0" w:color="9FBCD0"/>
              <w:left w:val="single" w:sz="4" w:space="0" w:color="9FBCD0"/>
              <w:bottom w:val="single" w:sz="4" w:space="0" w:color="9FBCD0"/>
              <w:right w:val="single" w:sz="4" w:space="0" w:color="9FBCD0"/>
            </w:tcBorders>
            <w:vAlign w:val="bottom"/>
          </w:tcPr>
          <w:p w14:paraId="3FB4CBAC" w14:textId="6419DC0B" w:rsidR="000B26EE" w:rsidRPr="000B26EE" w:rsidRDefault="000B26EE" w:rsidP="000B26EE">
            <w:pPr>
              <w:jc w:val="center"/>
              <w:rPr>
                <w:rStyle w:val="Strong"/>
                <w:b w:val="0"/>
                <w:bCs w:val="0"/>
              </w:rPr>
            </w:pPr>
            <w:r w:rsidRPr="000B26EE">
              <w:rPr>
                <w:b/>
              </w:rPr>
              <w:t>3.3</w:t>
            </w:r>
          </w:p>
        </w:tc>
        <w:tc>
          <w:tcPr>
            <w:tcW w:w="2254" w:type="dxa"/>
            <w:tcBorders>
              <w:top w:val="single" w:sz="4" w:space="0" w:color="9FBCD0"/>
              <w:left w:val="single" w:sz="4" w:space="0" w:color="9FBCD0"/>
              <w:bottom w:val="single" w:sz="4" w:space="0" w:color="9FBCD0"/>
              <w:right w:val="single" w:sz="4" w:space="0" w:color="9FBCD0"/>
            </w:tcBorders>
            <w:vAlign w:val="center"/>
          </w:tcPr>
          <w:p w14:paraId="15F6562F" w14:textId="1A6F97CE" w:rsidR="000B26EE" w:rsidRDefault="000B26EE" w:rsidP="00320D71">
            <w:pPr>
              <w:jc w:val="right"/>
              <w:rPr>
                <w:rStyle w:val="Strong"/>
                <w:b w:val="0"/>
                <w:bCs w:val="0"/>
              </w:rPr>
            </w:pPr>
            <w:r>
              <w:t xml:space="preserve">                  1,044 </w:t>
            </w:r>
          </w:p>
        </w:tc>
        <w:tc>
          <w:tcPr>
            <w:tcW w:w="2254" w:type="dxa"/>
            <w:tcBorders>
              <w:top w:val="single" w:sz="4" w:space="0" w:color="9FBCD0"/>
              <w:left w:val="single" w:sz="4" w:space="0" w:color="9FBCD0"/>
              <w:bottom w:val="single" w:sz="4" w:space="0" w:color="9FBCD0"/>
              <w:right w:val="single" w:sz="4" w:space="0" w:color="9FBCD0"/>
            </w:tcBorders>
            <w:vAlign w:val="center"/>
          </w:tcPr>
          <w:p w14:paraId="2655149B" w14:textId="57821B06" w:rsidR="000B26EE" w:rsidRDefault="000B26EE" w:rsidP="00320D71">
            <w:pPr>
              <w:jc w:val="right"/>
              <w:rPr>
                <w:rStyle w:val="Strong"/>
                <w:b w:val="0"/>
                <w:bCs w:val="0"/>
              </w:rPr>
            </w:pPr>
            <w:r>
              <w:t xml:space="preserve">                     862 </w:t>
            </w:r>
          </w:p>
        </w:tc>
      </w:tr>
      <w:tr w:rsidR="000B26EE" w14:paraId="5D9833AB"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180B77C" w14:textId="1627405F" w:rsidR="000B26EE" w:rsidRDefault="000B26EE" w:rsidP="000B26EE">
            <w:pPr>
              <w:rPr>
                <w:rStyle w:val="Strong"/>
                <w:b w:val="0"/>
                <w:bCs w:val="0"/>
              </w:rPr>
            </w:pPr>
            <w:r>
              <w:t>Employers' Indemnity Supplementation Fund</w:t>
            </w:r>
          </w:p>
        </w:tc>
        <w:tc>
          <w:tcPr>
            <w:tcW w:w="1252" w:type="dxa"/>
            <w:tcBorders>
              <w:top w:val="single" w:sz="4" w:space="0" w:color="9FBCD0"/>
              <w:left w:val="single" w:sz="4" w:space="0" w:color="9FBCD0"/>
              <w:bottom w:val="single" w:sz="4" w:space="0" w:color="9FBCD0"/>
              <w:right w:val="single" w:sz="4" w:space="0" w:color="9FBCD0"/>
            </w:tcBorders>
            <w:vAlign w:val="bottom"/>
          </w:tcPr>
          <w:p w14:paraId="620BE371" w14:textId="4F1B7E44" w:rsidR="000B26EE" w:rsidRPr="000B26EE" w:rsidRDefault="000B26EE" w:rsidP="000B26EE">
            <w:pPr>
              <w:jc w:val="center"/>
              <w:rPr>
                <w:rStyle w:val="Strong"/>
                <w:b w:val="0"/>
                <w:bCs w:val="0"/>
              </w:rPr>
            </w:pPr>
            <w:r w:rsidRPr="000B26EE">
              <w:rPr>
                <w:b/>
              </w:rPr>
              <w:t>3.4</w:t>
            </w:r>
          </w:p>
        </w:tc>
        <w:tc>
          <w:tcPr>
            <w:tcW w:w="2254" w:type="dxa"/>
            <w:tcBorders>
              <w:top w:val="single" w:sz="4" w:space="0" w:color="9FBCD0"/>
              <w:left w:val="single" w:sz="4" w:space="0" w:color="9FBCD0"/>
              <w:bottom w:val="single" w:sz="12" w:space="0" w:color="auto"/>
              <w:right w:val="single" w:sz="4" w:space="0" w:color="9FBCD0"/>
            </w:tcBorders>
            <w:vAlign w:val="center"/>
          </w:tcPr>
          <w:p w14:paraId="7D214641" w14:textId="461F709C" w:rsidR="000B26EE" w:rsidRDefault="000B26EE" w:rsidP="00320D71">
            <w:pPr>
              <w:jc w:val="right"/>
              <w:rPr>
                <w:rStyle w:val="Strong"/>
                <w:b w:val="0"/>
                <w:bCs w:val="0"/>
              </w:rPr>
            </w:pPr>
            <w:r>
              <w:t xml:space="preserve">                       -   </w:t>
            </w:r>
          </w:p>
        </w:tc>
        <w:tc>
          <w:tcPr>
            <w:tcW w:w="2254" w:type="dxa"/>
            <w:tcBorders>
              <w:top w:val="single" w:sz="4" w:space="0" w:color="9FBCD0"/>
              <w:left w:val="single" w:sz="4" w:space="0" w:color="9FBCD0"/>
              <w:bottom w:val="single" w:sz="12" w:space="0" w:color="auto"/>
              <w:right w:val="single" w:sz="4" w:space="0" w:color="9FBCD0"/>
            </w:tcBorders>
            <w:vAlign w:val="center"/>
          </w:tcPr>
          <w:p w14:paraId="00913483" w14:textId="35538EDF" w:rsidR="000B26EE" w:rsidRDefault="000B26EE" w:rsidP="00320D71">
            <w:pPr>
              <w:jc w:val="right"/>
              <w:rPr>
                <w:rStyle w:val="Strong"/>
                <w:b w:val="0"/>
                <w:bCs w:val="0"/>
              </w:rPr>
            </w:pPr>
            <w:r>
              <w:t xml:space="preserve">                     120 </w:t>
            </w:r>
          </w:p>
        </w:tc>
      </w:tr>
      <w:tr w:rsidR="000B26EE" w14:paraId="03986382" w14:textId="77777777" w:rsidTr="00320D71">
        <w:tc>
          <w:tcPr>
            <w:tcW w:w="3256" w:type="dxa"/>
            <w:tcBorders>
              <w:top w:val="single" w:sz="4" w:space="0" w:color="9FBCD0"/>
              <w:left w:val="single" w:sz="4" w:space="0" w:color="9FBCD0"/>
              <w:bottom w:val="single" w:sz="4" w:space="0" w:color="9FBCD0"/>
              <w:right w:val="single" w:sz="4" w:space="0" w:color="9FBCD0"/>
            </w:tcBorders>
          </w:tcPr>
          <w:p w14:paraId="33031C29" w14:textId="104D46BE" w:rsidR="000B26EE" w:rsidRPr="000B26EE" w:rsidRDefault="000B26EE" w:rsidP="000B26EE">
            <w:pPr>
              <w:rPr>
                <w:rStyle w:val="Strong"/>
                <w:rFonts w:cs="Arial"/>
                <w:b w:val="0"/>
                <w:sz w:val="20"/>
                <w:szCs w:val="20"/>
                <w:lang w:eastAsia="en-AU"/>
              </w:rPr>
            </w:pPr>
            <w:r w:rsidRPr="000B26EE">
              <w:rPr>
                <w:b/>
              </w:rPr>
              <w:t>Total Revenue</w:t>
            </w:r>
          </w:p>
        </w:tc>
        <w:tc>
          <w:tcPr>
            <w:tcW w:w="1252" w:type="dxa"/>
            <w:tcBorders>
              <w:top w:val="single" w:sz="4" w:space="0" w:color="9FBCD0"/>
              <w:left w:val="single" w:sz="4" w:space="0" w:color="9FBCD0"/>
              <w:bottom w:val="single" w:sz="4" w:space="0" w:color="9FBCD0"/>
              <w:right w:val="single" w:sz="4" w:space="0" w:color="9FBCD0"/>
            </w:tcBorders>
          </w:tcPr>
          <w:p w14:paraId="195C2B8F" w14:textId="77777777" w:rsidR="000B26EE" w:rsidRDefault="000B26EE" w:rsidP="000B26EE">
            <w:pPr>
              <w:rPr>
                <w:rStyle w:val="Strong"/>
                <w:b w:val="0"/>
                <w:bCs w:val="0"/>
              </w:rPr>
            </w:pPr>
          </w:p>
        </w:tc>
        <w:tc>
          <w:tcPr>
            <w:tcW w:w="2254" w:type="dxa"/>
            <w:tcBorders>
              <w:top w:val="single" w:sz="12" w:space="0" w:color="auto"/>
              <w:left w:val="single" w:sz="4" w:space="0" w:color="9FBCD0"/>
              <w:bottom w:val="single" w:sz="12" w:space="0" w:color="auto"/>
              <w:right w:val="single" w:sz="4" w:space="0" w:color="9FBCD0"/>
            </w:tcBorders>
            <w:vAlign w:val="center"/>
          </w:tcPr>
          <w:p w14:paraId="7FFFDE8B" w14:textId="06FFDF82" w:rsidR="000B26EE" w:rsidRPr="000643BE" w:rsidRDefault="000B26EE" w:rsidP="00320D71">
            <w:pPr>
              <w:jc w:val="right"/>
              <w:rPr>
                <w:rStyle w:val="Strong"/>
                <w:b w:val="0"/>
                <w:bCs w:val="0"/>
                <w:sz w:val="22"/>
              </w:rPr>
            </w:pPr>
            <w:r w:rsidRPr="000643BE">
              <w:rPr>
                <w:b/>
              </w:rPr>
              <w:t xml:space="preserve">                23,225 </w:t>
            </w:r>
          </w:p>
        </w:tc>
        <w:tc>
          <w:tcPr>
            <w:tcW w:w="2254" w:type="dxa"/>
            <w:tcBorders>
              <w:top w:val="single" w:sz="12" w:space="0" w:color="auto"/>
              <w:left w:val="single" w:sz="4" w:space="0" w:color="9FBCD0"/>
              <w:bottom w:val="single" w:sz="12" w:space="0" w:color="auto"/>
              <w:right w:val="single" w:sz="4" w:space="0" w:color="9FBCD0"/>
            </w:tcBorders>
            <w:vAlign w:val="center"/>
          </w:tcPr>
          <w:p w14:paraId="16097349" w14:textId="212E2916" w:rsidR="000B26EE" w:rsidRPr="000643BE" w:rsidRDefault="000B26EE" w:rsidP="00320D71">
            <w:pPr>
              <w:jc w:val="right"/>
              <w:rPr>
                <w:rStyle w:val="Strong"/>
                <w:b w:val="0"/>
                <w:bCs w:val="0"/>
                <w:sz w:val="22"/>
              </w:rPr>
            </w:pPr>
            <w:r w:rsidRPr="000643BE">
              <w:rPr>
                <w:b/>
              </w:rPr>
              <w:t xml:space="preserve">                23,247 </w:t>
            </w:r>
          </w:p>
        </w:tc>
      </w:tr>
      <w:tr w:rsidR="000B26EE" w14:paraId="506A246F" w14:textId="77777777" w:rsidTr="00320D71">
        <w:tc>
          <w:tcPr>
            <w:tcW w:w="3256" w:type="dxa"/>
            <w:tcBorders>
              <w:top w:val="single" w:sz="4" w:space="0" w:color="9FBCD0"/>
              <w:left w:val="single" w:sz="4" w:space="0" w:color="9FBCD0"/>
              <w:bottom w:val="single" w:sz="4" w:space="0" w:color="9FBCD0"/>
              <w:right w:val="single" w:sz="4" w:space="0" w:color="9FBCD0"/>
            </w:tcBorders>
          </w:tcPr>
          <w:p w14:paraId="082E173F" w14:textId="24333FC9" w:rsidR="000B26EE" w:rsidRPr="000643BE" w:rsidRDefault="000643BE" w:rsidP="006226C4">
            <w:pPr>
              <w:rPr>
                <w:rStyle w:val="Strong"/>
                <w:bCs w:val="0"/>
              </w:rPr>
            </w:pPr>
            <w:r w:rsidRPr="000643BE">
              <w:rPr>
                <w:rStyle w:val="Strong"/>
                <w:bCs w:val="0"/>
              </w:rPr>
              <w:t>Gains</w:t>
            </w:r>
          </w:p>
        </w:tc>
        <w:tc>
          <w:tcPr>
            <w:tcW w:w="1252" w:type="dxa"/>
            <w:tcBorders>
              <w:top w:val="single" w:sz="4" w:space="0" w:color="9FBCD0"/>
              <w:left w:val="single" w:sz="4" w:space="0" w:color="9FBCD0"/>
              <w:bottom w:val="single" w:sz="4" w:space="0" w:color="9FBCD0"/>
              <w:right w:val="single" w:sz="4" w:space="0" w:color="9FBCD0"/>
            </w:tcBorders>
          </w:tcPr>
          <w:p w14:paraId="6B3E7505" w14:textId="77777777" w:rsidR="000B26EE" w:rsidRDefault="000B26EE" w:rsidP="006226C4">
            <w:pPr>
              <w:rPr>
                <w:rStyle w:val="Strong"/>
                <w:b w:val="0"/>
                <w:bCs w:val="0"/>
              </w:rPr>
            </w:pPr>
          </w:p>
        </w:tc>
        <w:tc>
          <w:tcPr>
            <w:tcW w:w="2254" w:type="dxa"/>
            <w:tcBorders>
              <w:top w:val="single" w:sz="12" w:space="0" w:color="auto"/>
              <w:left w:val="single" w:sz="4" w:space="0" w:color="9FBCD0"/>
              <w:bottom w:val="single" w:sz="4" w:space="0" w:color="9FBCD0"/>
              <w:right w:val="single" w:sz="4" w:space="0" w:color="9FBCD0"/>
            </w:tcBorders>
            <w:vAlign w:val="center"/>
          </w:tcPr>
          <w:p w14:paraId="561C364E" w14:textId="77777777" w:rsidR="000B26EE" w:rsidRDefault="000B26EE" w:rsidP="00320D71">
            <w:pPr>
              <w:jc w:val="right"/>
              <w:rPr>
                <w:rStyle w:val="Strong"/>
                <w:b w:val="0"/>
                <w:bCs w:val="0"/>
              </w:rPr>
            </w:pPr>
          </w:p>
        </w:tc>
        <w:tc>
          <w:tcPr>
            <w:tcW w:w="2254" w:type="dxa"/>
            <w:tcBorders>
              <w:top w:val="single" w:sz="12" w:space="0" w:color="auto"/>
              <w:left w:val="single" w:sz="4" w:space="0" w:color="9FBCD0"/>
              <w:bottom w:val="single" w:sz="4" w:space="0" w:color="9FBCD0"/>
              <w:right w:val="single" w:sz="4" w:space="0" w:color="9FBCD0"/>
            </w:tcBorders>
            <w:vAlign w:val="center"/>
          </w:tcPr>
          <w:p w14:paraId="135C20FC" w14:textId="77777777" w:rsidR="000B26EE" w:rsidRDefault="000B26EE" w:rsidP="00320D71">
            <w:pPr>
              <w:jc w:val="right"/>
              <w:rPr>
                <w:rStyle w:val="Strong"/>
                <w:b w:val="0"/>
                <w:bCs w:val="0"/>
              </w:rPr>
            </w:pPr>
          </w:p>
        </w:tc>
      </w:tr>
      <w:tr w:rsidR="000643BE" w14:paraId="041075D1"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13049BB5" w14:textId="2ED288AC" w:rsidR="000643BE" w:rsidRDefault="000643BE" w:rsidP="000643BE">
            <w:pPr>
              <w:rPr>
                <w:rStyle w:val="Strong"/>
                <w:b w:val="0"/>
                <w:bCs w:val="0"/>
              </w:rPr>
            </w:pPr>
            <w:r>
              <w:t>Decrease in claims liability</w:t>
            </w:r>
          </w:p>
        </w:tc>
        <w:tc>
          <w:tcPr>
            <w:tcW w:w="1252" w:type="dxa"/>
            <w:tcBorders>
              <w:top w:val="single" w:sz="4" w:space="0" w:color="9FBCD0"/>
              <w:left w:val="single" w:sz="4" w:space="0" w:color="9FBCD0"/>
              <w:bottom w:val="single" w:sz="4" w:space="0" w:color="9FBCD0"/>
              <w:right w:val="single" w:sz="4" w:space="0" w:color="9FBCD0"/>
            </w:tcBorders>
            <w:vAlign w:val="bottom"/>
          </w:tcPr>
          <w:p w14:paraId="32D61904" w14:textId="77777777" w:rsidR="000643BE" w:rsidRDefault="000643BE" w:rsidP="000643BE">
            <w:pPr>
              <w:rPr>
                <w:rStyle w:val="Strong"/>
                <w:b w:val="0"/>
                <w:bCs w:val="0"/>
              </w:rPr>
            </w:pPr>
          </w:p>
        </w:tc>
        <w:tc>
          <w:tcPr>
            <w:tcW w:w="2254" w:type="dxa"/>
            <w:tcBorders>
              <w:top w:val="single" w:sz="4" w:space="0" w:color="9FBCD0"/>
              <w:left w:val="single" w:sz="4" w:space="0" w:color="9FBCD0"/>
              <w:bottom w:val="single" w:sz="12" w:space="0" w:color="auto"/>
              <w:right w:val="single" w:sz="4" w:space="0" w:color="9FBCD0"/>
            </w:tcBorders>
            <w:vAlign w:val="center"/>
          </w:tcPr>
          <w:p w14:paraId="5A8A7303" w14:textId="5DD2058D" w:rsidR="000643BE" w:rsidRDefault="000643BE" w:rsidP="00320D71">
            <w:pPr>
              <w:jc w:val="right"/>
              <w:rPr>
                <w:rStyle w:val="Strong"/>
                <w:b w:val="0"/>
                <w:bCs w:val="0"/>
              </w:rPr>
            </w:pPr>
            <w:r>
              <w:t xml:space="preserve">                       -   </w:t>
            </w:r>
          </w:p>
        </w:tc>
        <w:tc>
          <w:tcPr>
            <w:tcW w:w="2254" w:type="dxa"/>
            <w:tcBorders>
              <w:top w:val="single" w:sz="4" w:space="0" w:color="9FBCD0"/>
              <w:left w:val="single" w:sz="4" w:space="0" w:color="9FBCD0"/>
              <w:bottom w:val="single" w:sz="12" w:space="0" w:color="auto"/>
              <w:right w:val="single" w:sz="4" w:space="0" w:color="9FBCD0"/>
            </w:tcBorders>
            <w:vAlign w:val="center"/>
          </w:tcPr>
          <w:p w14:paraId="0C6B1BA6" w14:textId="5D2BCE9C" w:rsidR="000643BE" w:rsidRDefault="000643BE" w:rsidP="00320D71">
            <w:pPr>
              <w:jc w:val="right"/>
              <w:rPr>
                <w:rStyle w:val="Strong"/>
                <w:b w:val="0"/>
                <w:bCs w:val="0"/>
              </w:rPr>
            </w:pPr>
            <w:r>
              <w:t xml:space="preserve">                  3,531 </w:t>
            </w:r>
          </w:p>
        </w:tc>
      </w:tr>
      <w:tr w:rsidR="000643BE" w14:paraId="6A78AA65"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684837C" w14:textId="0ACEC31D" w:rsidR="000643BE" w:rsidRPr="000643BE" w:rsidRDefault="000643BE" w:rsidP="000643BE">
            <w:pPr>
              <w:rPr>
                <w:rStyle w:val="Strong"/>
                <w:bCs w:val="0"/>
              </w:rPr>
            </w:pPr>
            <w:r w:rsidRPr="000643BE">
              <w:rPr>
                <w:b/>
              </w:rPr>
              <w:t>Total Gains</w:t>
            </w:r>
          </w:p>
        </w:tc>
        <w:tc>
          <w:tcPr>
            <w:tcW w:w="1252" w:type="dxa"/>
            <w:tcBorders>
              <w:top w:val="single" w:sz="4" w:space="0" w:color="9FBCD0"/>
              <w:left w:val="single" w:sz="4" w:space="0" w:color="9FBCD0"/>
              <w:bottom w:val="single" w:sz="4" w:space="0" w:color="9FBCD0"/>
              <w:right w:val="single" w:sz="4" w:space="0" w:color="9FBCD0"/>
            </w:tcBorders>
            <w:vAlign w:val="bottom"/>
          </w:tcPr>
          <w:p w14:paraId="24B4D423" w14:textId="77777777" w:rsidR="000643BE" w:rsidRPr="000643BE" w:rsidRDefault="000643BE" w:rsidP="000643BE">
            <w:pPr>
              <w:rPr>
                <w:rStyle w:val="Strong"/>
                <w:bCs w:val="0"/>
              </w:rPr>
            </w:pPr>
          </w:p>
        </w:tc>
        <w:tc>
          <w:tcPr>
            <w:tcW w:w="2254" w:type="dxa"/>
            <w:tcBorders>
              <w:top w:val="single" w:sz="12" w:space="0" w:color="auto"/>
              <w:left w:val="single" w:sz="4" w:space="0" w:color="9FBCD0"/>
              <w:bottom w:val="single" w:sz="12" w:space="0" w:color="auto"/>
              <w:right w:val="single" w:sz="4" w:space="0" w:color="9FBCD0"/>
            </w:tcBorders>
            <w:vAlign w:val="center"/>
          </w:tcPr>
          <w:p w14:paraId="483AFD02" w14:textId="391FF1B3" w:rsidR="000643BE" w:rsidRPr="000643BE" w:rsidRDefault="000643BE" w:rsidP="00320D71">
            <w:pPr>
              <w:jc w:val="right"/>
              <w:rPr>
                <w:rStyle w:val="Strong"/>
                <w:bCs w:val="0"/>
              </w:rPr>
            </w:pPr>
            <w:r w:rsidRPr="000643BE">
              <w:rPr>
                <w:b/>
              </w:rPr>
              <w:t xml:space="preserve">                       -   </w:t>
            </w:r>
          </w:p>
        </w:tc>
        <w:tc>
          <w:tcPr>
            <w:tcW w:w="2254" w:type="dxa"/>
            <w:tcBorders>
              <w:top w:val="single" w:sz="12" w:space="0" w:color="auto"/>
              <w:left w:val="single" w:sz="4" w:space="0" w:color="9FBCD0"/>
              <w:bottom w:val="single" w:sz="12" w:space="0" w:color="auto"/>
              <w:right w:val="single" w:sz="4" w:space="0" w:color="9FBCD0"/>
            </w:tcBorders>
            <w:vAlign w:val="center"/>
          </w:tcPr>
          <w:p w14:paraId="1A091BB5" w14:textId="1988226B" w:rsidR="000643BE" w:rsidRPr="000643BE" w:rsidRDefault="000643BE" w:rsidP="00320D71">
            <w:pPr>
              <w:jc w:val="right"/>
              <w:rPr>
                <w:rStyle w:val="Strong"/>
                <w:bCs w:val="0"/>
              </w:rPr>
            </w:pPr>
            <w:r w:rsidRPr="000643BE">
              <w:rPr>
                <w:b/>
              </w:rPr>
              <w:t xml:space="preserve">                  3,531 </w:t>
            </w:r>
          </w:p>
        </w:tc>
      </w:tr>
      <w:tr w:rsidR="000643BE" w14:paraId="18D1F66E"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322DD503" w14:textId="6A0DE5A2" w:rsidR="000643BE" w:rsidRPr="000643BE" w:rsidRDefault="000643BE" w:rsidP="000643BE">
            <w:pPr>
              <w:rPr>
                <w:rStyle w:val="Strong"/>
                <w:bCs w:val="0"/>
              </w:rPr>
            </w:pPr>
            <w:r w:rsidRPr="000643BE">
              <w:rPr>
                <w:b/>
              </w:rPr>
              <w:t>Total Income</w:t>
            </w:r>
          </w:p>
        </w:tc>
        <w:tc>
          <w:tcPr>
            <w:tcW w:w="1252" w:type="dxa"/>
            <w:tcBorders>
              <w:top w:val="single" w:sz="4" w:space="0" w:color="9FBCD0"/>
              <w:left w:val="single" w:sz="4" w:space="0" w:color="9FBCD0"/>
              <w:bottom w:val="single" w:sz="4" w:space="0" w:color="9FBCD0"/>
              <w:right w:val="single" w:sz="4" w:space="0" w:color="9FBCD0"/>
            </w:tcBorders>
            <w:vAlign w:val="bottom"/>
          </w:tcPr>
          <w:p w14:paraId="23519248" w14:textId="77777777" w:rsidR="000643BE" w:rsidRPr="000643BE" w:rsidRDefault="000643BE" w:rsidP="000643BE">
            <w:pPr>
              <w:rPr>
                <w:rStyle w:val="Strong"/>
                <w:bCs w:val="0"/>
              </w:rPr>
            </w:pPr>
          </w:p>
        </w:tc>
        <w:tc>
          <w:tcPr>
            <w:tcW w:w="2254" w:type="dxa"/>
            <w:tcBorders>
              <w:top w:val="single" w:sz="12" w:space="0" w:color="auto"/>
              <w:left w:val="single" w:sz="4" w:space="0" w:color="9FBCD0"/>
              <w:bottom w:val="single" w:sz="12" w:space="0" w:color="auto"/>
              <w:right w:val="single" w:sz="4" w:space="0" w:color="9FBCD0"/>
            </w:tcBorders>
            <w:vAlign w:val="center"/>
          </w:tcPr>
          <w:p w14:paraId="0B65A4DC" w14:textId="322F786E" w:rsidR="000643BE" w:rsidRPr="000643BE" w:rsidRDefault="000643BE" w:rsidP="00320D71">
            <w:pPr>
              <w:jc w:val="right"/>
              <w:rPr>
                <w:rStyle w:val="Strong"/>
                <w:bCs w:val="0"/>
              </w:rPr>
            </w:pPr>
            <w:r w:rsidRPr="000643BE">
              <w:rPr>
                <w:b/>
              </w:rPr>
              <w:t xml:space="preserve">                23,225 </w:t>
            </w:r>
          </w:p>
        </w:tc>
        <w:tc>
          <w:tcPr>
            <w:tcW w:w="2254" w:type="dxa"/>
            <w:tcBorders>
              <w:top w:val="single" w:sz="12" w:space="0" w:color="auto"/>
              <w:left w:val="single" w:sz="4" w:space="0" w:color="9FBCD0"/>
              <w:bottom w:val="single" w:sz="12" w:space="0" w:color="auto"/>
              <w:right w:val="single" w:sz="4" w:space="0" w:color="9FBCD0"/>
            </w:tcBorders>
            <w:vAlign w:val="center"/>
          </w:tcPr>
          <w:p w14:paraId="55723116" w14:textId="622BE21C" w:rsidR="000643BE" w:rsidRPr="000643BE" w:rsidRDefault="000643BE" w:rsidP="00320D71">
            <w:pPr>
              <w:jc w:val="right"/>
              <w:rPr>
                <w:rStyle w:val="Strong"/>
                <w:bCs w:val="0"/>
              </w:rPr>
            </w:pPr>
            <w:r w:rsidRPr="000643BE">
              <w:rPr>
                <w:b/>
              </w:rPr>
              <w:t xml:space="preserve">                26,778 </w:t>
            </w:r>
          </w:p>
        </w:tc>
      </w:tr>
      <w:tr w:rsidR="000B26EE" w14:paraId="3B00BBB5" w14:textId="77777777" w:rsidTr="00320D71">
        <w:tc>
          <w:tcPr>
            <w:tcW w:w="3256" w:type="dxa"/>
            <w:tcBorders>
              <w:top w:val="single" w:sz="4" w:space="0" w:color="9FBCD0"/>
              <w:left w:val="single" w:sz="4" w:space="0" w:color="9FBCD0"/>
              <w:bottom w:val="single" w:sz="4" w:space="0" w:color="9FBCD0"/>
              <w:right w:val="single" w:sz="4" w:space="0" w:color="9FBCD0"/>
            </w:tcBorders>
          </w:tcPr>
          <w:p w14:paraId="49E7A0D8" w14:textId="130ED538" w:rsidR="000B26EE" w:rsidRPr="000643BE" w:rsidRDefault="000643BE" w:rsidP="000643BE">
            <w:pPr>
              <w:rPr>
                <w:rStyle w:val="Strong"/>
                <w:bCs w:val="0"/>
              </w:rPr>
            </w:pPr>
            <w:r>
              <w:rPr>
                <w:rStyle w:val="Strong"/>
                <w:bCs w:val="0"/>
              </w:rPr>
              <w:t>EXPENSES</w:t>
            </w:r>
            <w:r>
              <w:rPr>
                <w:rStyle w:val="Strong"/>
                <w:bCs w:val="0"/>
              </w:rPr>
              <w:br/>
            </w:r>
            <w:r w:rsidRPr="000643BE">
              <w:rPr>
                <w:rStyle w:val="Strong"/>
                <w:bCs w:val="0"/>
              </w:rPr>
              <w:t>Expenses</w:t>
            </w:r>
          </w:p>
        </w:tc>
        <w:tc>
          <w:tcPr>
            <w:tcW w:w="1252" w:type="dxa"/>
            <w:tcBorders>
              <w:top w:val="single" w:sz="4" w:space="0" w:color="9FBCD0"/>
              <w:left w:val="single" w:sz="4" w:space="0" w:color="9FBCD0"/>
              <w:bottom w:val="single" w:sz="4" w:space="0" w:color="9FBCD0"/>
              <w:right w:val="single" w:sz="4" w:space="0" w:color="9FBCD0"/>
            </w:tcBorders>
          </w:tcPr>
          <w:p w14:paraId="561251DD" w14:textId="77777777" w:rsidR="000B26EE" w:rsidRDefault="000B26EE" w:rsidP="000643BE">
            <w:pPr>
              <w:rPr>
                <w:rStyle w:val="Strong"/>
                <w:b w:val="0"/>
                <w:bCs w:val="0"/>
              </w:rPr>
            </w:pPr>
          </w:p>
        </w:tc>
        <w:tc>
          <w:tcPr>
            <w:tcW w:w="2254" w:type="dxa"/>
            <w:tcBorders>
              <w:top w:val="single" w:sz="12" w:space="0" w:color="auto"/>
              <w:left w:val="single" w:sz="4" w:space="0" w:color="9FBCD0"/>
              <w:bottom w:val="single" w:sz="4" w:space="0" w:color="9FBCD0"/>
              <w:right w:val="single" w:sz="4" w:space="0" w:color="9FBCD0"/>
            </w:tcBorders>
            <w:vAlign w:val="center"/>
          </w:tcPr>
          <w:p w14:paraId="17DB6B7F" w14:textId="77777777" w:rsidR="000B26EE" w:rsidRDefault="000B26EE" w:rsidP="00320D71">
            <w:pPr>
              <w:jc w:val="right"/>
              <w:rPr>
                <w:rStyle w:val="Strong"/>
                <w:b w:val="0"/>
                <w:bCs w:val="0"/>
              </w:rPr>
            </w:pPr>
          </w:p>
        </w:tc>
        <w:tc>
          <w:tcPr>
            <w:tcW w:w="2254" w:type="dxa"/>
            <w:tcBorders>
              <w:top w:val="single" w:sz="12" w:space="0" w:color="auto"/>
              <w:left w:val="single" w:sz="4" w:space="0" w:color="9FBCD0"/>
              <w:bottom w:val="single" w:sz="4" w:space="0" w:color="9FBCD0"/>
              <w:right w:val="single" w:sz="4" w:space="0" w:color="9FBCD0"/>
            </w:tcBorders>
            <w:vAlign w:val="center"/>
          </w:tcPr>
          <w:p w14:paraId="57B7A34E" w14:textId="77777777" w:rsidR="000B26EE" w:rsidRDefault="000B26EE" w:rsidP="00320D71">
            <w:pPr>
              <w:jc w:val="right"/>
              <w:rPr>
                <w:rStyle w:val="Strong"/>
                <w:b w:val="0"/>
                <w:bCs w:val="0"/>
              </w:rPr>
            </w:pPr>
          </w:p>
        </w:tc>
      </w:tr>
      <w:tr w:rsidR="00320D71" w14:paraId="1F58C3A6"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62DD676" w14:textId="4C1FEF5E" w:rsidR="00320D71" w:rsidRDefault="00320D71" w:rsidP="00320D71">
            <w:pPr>
              <w:rPr>
                <w:rStyle w:val="Strong"/>
                <w:b w:val="0"/>
                <w:bCs w:val="0"/>
              </w:rPr>
            </w:pPr>
            <w:r>
              <w:t>Employee benefits expense</w:t>
            </w:r>
          </w:p>
        </w:tc>
        <w:tc>
          <w:tcPr>
            <w:tcW w:w="1252" w:type="dxa"/>
            <w:tcBorders>
              <w:top w:val="single" w:sz="4" w:space="0" w:color="9FBCD0"/>
              <w:left w:val="single" w:sz="4" w:space="0" w:color="9FBCD0"/>
              <w:bottom w:val="single" w:sz="4" w:space="0" w:color="9FBCD0"/>
              <w:right w:val="single" w:sz="4" w:space="0" w:color="9FBCD0"/>
            </w:tcBorders>
            <w:vAlign w:val="bottom"/>
          </w:tcPr>
          <w:p w14:paraId="47894030" w14:textId="399CC54C" w:rsidR="00320D71" w:rsidRPr="00320D71" w:rsidRDefault="00320D71" w:rsidP="00320D71">
            <w:pPr>
              <w:jc w:val="center"/>
              <w:rPr>
                <w:rStyle w:val="Strong"/>
                <w:b w:val="0"/>
                <w:bCs w:val="0"/>
              </w:rPr>
            </w:pPr>
            <w:r w:rsidRPr="00320D71">
              <w:rPr>
                <w:b/>
              </w:rPr>
              <w:t>4.1</w:t>
            </w:r>
          </w:p>
        </w:tc>
        <w:tc>
          <w:tcPr>
            <w:tcW w:w="2254" w:type="dxa"/>
            <w:tcBorders>
              <w:top w:val="single" w:sz="4" w:space="0" w:color="9FBCD0"/>
              <w:left w:val="single" w:sz="4" w:space="0" w:color="9FBCD0"/>
              <w:bottom w:val="single" w:sz="4" w:space="0" w:color="9FBCD0"/>
              <w:right w:val="single" w:sz="4" w:space="0" w:color="9FBCD0"/>
            </w:tcBorders>
            <w:vAlign w:val="center"/>
          </w:tcPr>
          <w:p w14:paraId="77704AAD" w14:textId="24AF6539" w:rsidR="00320D71" w:rsidRDefault="00320D71" w:rsidP="00320D71">
            <w:pPr>
              <w:jc w:val="right"/>
              <w:rPr>
                <w:rStyle w:val="Strong"/>
                <w:b w:val="0"/>
                <w:bCs w:val="0"/>
              </w:rPr>
            </w:pPr>
            <w:r>
              <w:t xml:space="preserve">                14,853 </w:t>
            </w:r>
          </w:p>
        </w:tc>
        <w:tc>
          <w:tcPr>
            <w:tcW w:w="2254" w:type="dxa"/>
            <w:tcBorders>
              <w:top w:val="single" w:sz="4" w:space="0" w:color="9FBCD0"/>
              <w:left w:val="single" w:sz="4" w:space="0" w:color="9FBCD0"/>
              <w:bottom w:val="single" w:sz="4" w:space="0" w:color="9FBCD0"/>
              <w:right w:val="single" w:sz="4" w:space="0" w:color="9FBCD0"/>
            </w:tcBorders>
            <w:vAlign w:val="center"/>
          </w:tcPr>
          <w:p w14:paraId="29EDB580" w14:textId="77CAEF68" w:rsidR="00320D71" w:rsidRDefault="00320D71" w:rsidP="00320D71">
            <w:pPr>
              <w:jc w:val="right"/>
              <w:rPr>
                <w:rStyle w:val="Strong"/>
                <w:b w:val="0"/>
                <w:bCs w:val="0"/>
              </w:rPr>
            </w:pPr>
            <w:r>
              <w:t xml:space="preserve">                14,494 </w:t>
            </w:r>
          </w:p>
        </w:tc>
      </w:tr>
      <w:tr w:rsidR="00320D71" w14:paraId="083061A9"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B566A1C" w14:textId="002EC889" w:rsidR="00320D71" w:rsidRDefault="00320D71" w:rsidP="00320D71">
            <w:pPr>
              <w:rPr>
                <w:rStyle w:val="Strong"/>
                <w:b w:val="0"/>
                <w:bCs w:val="0"/>
              </w:rPr>
            </w:pPr>
            <w:r>
              <w:t>Supplies and services</w:t>
            </w:r>
          </w:p>
        </w:tc>
        <w:tc>
          <w:tcPr>
            <w:tcW w:w="1252" w:type="dxa"/>
            <w:tcBorders>
              <w:top w:val="single" w:sz="4" w:space="0" w:color="9FBCD0"/>
              <w:left w:val="single" w:sz="4" w:space="0" w:color="9FBCD0"/>
              <w:bottom w:val="single" w:sz="4" w:space="0" w:color="9FBCD0"/>
              <w:right w:val="single" w:sz="4" w:space="0" w:color="9FBCD0"/>
            </w:tcBorders>
            <w:vAlign w:val="bottom"/>
          </w:tcPr>
          <w:p w14:paraId="2D316D7E" w14:textId="4E49D378" w:rsidR="00320D71" w:rsidRPr="00320D71" w:rsidRDefault="00320D71" w:rsidP="00320D71">
            <w:pPr>
              <w:jc w:val="center"/>
              <w:rPr>
                <w:rStyle w:val="Strong"/>
                <w:b w:val="0"/>
                <w:bCs w:val="0"/>
              </w:rPr>
            </w:pPr>
            <w:r w:rsidRPr="00320D71">
              <w:rPr>
                <w:b/>
              </w:rPr>
              <w:t>4.5</w:t>
            </w:r>
          </w:p>
        </w:tc>
        <w:tc>
          <w:tcPr>
            <w:tcW w:w="2254" w:type="dxa"/>
            <w:tcBorders>
              <w:top w:val="single" w:sz="4" w:space="0" w:color="9FBCD0"/>
              <w:left w:val="single" w:sz="4" w:space="0" w:color="9FBCD0"/>
              <w:bottom w:val="single" w:sz="4" w:space="0" w:color="9FBCD0"/>
              <w:right w:val="single" w:sz="4" w:space="0" w:color="9FBCD0"/>
            </w:tcBorders>
            <w:vAlign w:val="center"/>
          </w:tcPr>
          <w:p w14:paraId="5C4252E3" w14:textId="3F4F4F5C" w:rsidR="00320D71" w:rsidRDefault="00320D71" w:rsidP="00320D71">
            <w:pPr>
              <w:jc w:val="right"/>
              <w:rPr>
                <w:rStyle w:val="Strong"/>
                <w:b w:val="0"/>
                <w:bCs w:val="0"/>
              </w:rPr>
            </w:pPr>
            <w:r>
              <w:t xml:space="preserve">                  2,729 </w:t>
            </w:r>
          </w:p>
        </w:tc>
        <w:tc>
          <w:tcPr>
            <w:tcW w:w="2254" w:type="dxa"/>
            <w:tcBorders>
              <w:top w:val="single" w:sz="4" w:space="0" w:color="9FBCD0"/>
              <w:left w:val="single" w:sz="4" w:space="0" w:color="9FBCD0"/>
              <w:bottom w:val="single" w:sz="4" w:space="0" w:color="9FBCD0"/>
              <w:right w:val="single" w:sz="4" w:space="0" w:color="9FBCD0"/>
            </w:tcBorders>
            <w:vAlign w:val="center"/>
          </w:tcPr>
          <w:p w14:paraId="7772BFAE" w14:textId="60A44985" w:rsidR="00320D71" w:rsidRDefault="00320D71" w:rsidP="00320D71">
            <w:pPr>
              <w:jc w:val="right"/>
              <w:rPr>
                <w:rStyle w:val="Strong"/>
                <w:b w:val="0"/>
                <w:bCs w:val="0"/>
              </w:rPr>
            </w:pPr>
            <w:r>
              <w:t xml:space="preserve">                  2,722 </w:t>
            </w:r>
          </w:p>
        </w:tc>
      </w:tr>
      <w:tr w:rsidR="00320D71" w14:paraId="25D6B6CB"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431F5627" w14:textId="1DCFEC04" w:rsidR="00320D71" w:rsidRDefault="00320D71" w:rsidP="00320D71">
            <w:pPr>
              <w:rPr>
                <w:rStyle w:val="Strong"/>
                <w:b w:val="0"/>
                <w:bCs w:val="0"/>
              </w:rPr>
            </w:pPr>
            <w:r>
              <w:t>Depreciation and amortisation expense</w:t>
            </w:r>
          </w:p>
        </w:tc>
        <w:tc>
          <w:tcPr>
            <w:tcW w:w="1252" w:type="dxa"/>
            <w:tcBorders>
              <w:top w:val="single" w:sz="4" w:space="0" w:color="9FBCD0"/>
              <w:left w:val="single" w:sz="4" w:space="0" w:color="9FBCD0"/>
              <w:bottom w:val="single" w:sz="4" w:space="0" w:color="9FBCD0"/>
              <w:right w:val="single" w:sz="4" w:space="0" w:color="9FBCD0"/>
            </w:tcBorders>
            <w:vAlign w:val="bottom"/>
          </w:tcPr>
          <w:p w14:paraId="2438F421" w14:textId="01427ACA" w:rsidR="00320D71" w:rsidRPr="00320D71" w:rsidRDefault="00320D71" w:rsidP="00320D71">
            <w:pPr>
              <w:jc w:val="center"/>
              <w:rPr>
                <w:rStyle w:val="Strong"/>
                <w:b w:val="0"/>
                <w:bCs w:val="0"/>
              </w:rPr>
            </w:pPr>
            <w:r w:rsidRPr="00320D71">
              <w:rPr>
                <w:b/>
              </w:rPr>
              <w:t>5.1,5.2</w:t>
            </w:r>
          </w:p>
        </w:tc>
        <w:tc>
          <w:tcPr>
            <w:tcW w:w="2254" w:type="dxa"/>
            <w:tcBorders>
              <w:top w:val="single" w:sz="4" w:space="0" w:color="9FBCD0"/>
              <w:left w:val="single" w:sz="4" w:space="0" w:color="9FBCD0"/>
              <w:bottom w:val="single" w:sz="4" w:space="0" w:color="9FBCD0"/>
              <w:right w:val="single" w:sz="4" w:space="0" w:color="9FBCD0"/>
            </w:tcBorders>
            <w:vAlign w:val="center"/>
          </w:tcPr>
          <w:p w14:paraId="37FA6749" w14:textId="19A57000" w:rsidR="00320D71" w:rsidRDefault="00320D71" w:rsidP="00320D71">
            <w:pPr>
              <w:jc w:val="right"/>
              <w:rPr>
                <w:rStyle w:val="Strong"/>
                <w:b w:val="0"/>
                <w:bCs w:val="0"/>
              </w:rPr>
            </w:pPr>
            <w:r>
              <w:t xml:space="preserve">                    955 </w:t>
            </w:r>
          </w:p>
        </w:tc>
        <w:tc>
          <w:tcPr>
            <w:tcW w:w="2254" w:type="dxa"/>
            <w:tcBorders>
              <w:top w:val="single" w:sz="4" w:space="0" w:color="9FBCD0"/>
              <w:left w:val="single" w:sz="4" w:space="0" w:color="9FBCD0"/>
              <w:bottom w:val="single" w:sz="4" w:space="0" w:color="9FBCD0"/>
              <w:right w:val="single" w:sz="4" w:space="0" w:color="9FBCD0"/>
            </w:tcBorders>
            <w:vAlign w:val="center"/>
          </w:tcPr>
          <w:p w14:paraId="1C59386F" w14:textId="7AC66D10" w:rsidR="00320D71" w:rsidRDefault="00320D71" w:rsidP="00320D71">
            <w:pPr>
              <w:jc w:val="right"/>
              <w:rPr>
                <w:rStyle w:val="Strong"/>
                <w:b w:val="0"/>
                <w:bCs w:val="0"/>
              </w:rPr>
            </w:pPr>
            <w:r>
              <w:t xml:space="preserve">                     971 </w:t>
            </w:r>
          </w:p>
        </w:tc>
      </w:tr>
      <w:tr w:rsidR="00320D71" w14:paraId="2B02C490"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392F53A0" w14:textId="4C9E0A6E" w:rsidR="00320D71" w:rsidRDefault="00320D71" w:rsidP="00320D71">
            <w:pPr>
              <w:rPr>
                <w:rStyle w:val="Strong"/>
                <w:b w:val="0"/>
                <w:bCs w:val="0"/>
              </w:rPr>
            </w:pPr>
            <w:r>
              <w:t>Accommodation expenses</w:t>
            </w:r>
          </w:p>
        </w:tc>
        <w:tc>
          <w:tcPr>
            <w:tcW w:w="1252" w:type="dxa"/>
            <w:tcBorders>
              <w:top w:val="single" w:sz="4" w:space="0" w:color="9FBCD0"/>
              <w:left w:val="single" w:sz="4" w:space="0" w:color="9FBCD0"/>
              <w:bottom w:val="single" w:sz="4" w:space="0" w:color="9FBCD0"/>
              <w:right w:val="single" w:sz="4" w:space="0" w:color="9FBCD0"/>
            </w:tcBorders>
            <w:vAlign w:val="bottom"/>
          </w:tcPr>
          <w:p w14:paraId="67A7FEB5" w14:textId="6E6D42D7" w:rsidR="00320D71" w:rsidRPr="00320D71" w:rsidRDefault="00320D71" w:rsidP="00320D71">
            <w:pPr>
              <w:jc w:val="center"/>
              <w:rPr>
                <w:rStyle w:val="Strong"/>
                <w:b w:val="0"/>
                <w:bCs w:val="0"/>
              </w:rPr>
            </w:pPr>
            <w:r w:rsidRPr="00320D71">
              <w:rPr>
                <w:b/>
              </w:rPr>
              <w:t>4.5</w:t>
            </w:r>
          </w:p>
        </w:tc>
        <w:tc>
          <w:tcPr>
            <w:tcW w:w="2254" w:type="dxa"/>
            <w:tcBorders>
              <w:top w:val="single" w:sz="4" w:space="0" w:color="9FBCD0"/>
              <w:left w:val="single" w:sz="4" w:space="0" w:color="9FBCD0"/>
              <w:bottom w:val="single" w:sz="4" w:space="0" w:color="9FBCD0"/>
              <w:right w:val="single" w:sz="4" w:space="0" w:color="9FBCD0"/>
            </w:tcBorders>
            <w:vAlign w:val="center"/>
          </w:tcPr>
          <w:p w14:paraId="32E360F0" w14:textId="29530071" w:rsidR="00320D71" w:rsidRDefault="00320D71" w:rsidP="00320D71">
            <w:pPr>
              <w:jc w:val="right"/>
              <w:rPr>
                <w:rStyle w:val="Strong"/>
                <w:b w:val="0"/>
                <w:bCs w:val="0"/>
              </w:rPr>
            </w:pPr>
            <w:r>
              <w:t xml:space="preserve">                    686 </w:t>
            </w:r>
          </w:p>
        </w:tc>
        <w:tc>
          <w:tcPr>
            <w:tcW w:w="2254" w:type="dxa"/>
            <w:tcBorders>
              <w:top w:val="single" w:sz="4" w:space="0" w:color="9FBCD0"/>
              <w:left w:val="single" w:sz="4" w:space="0" w:color="9FBCD0"/>
              <w:bottom w:val="single" w:sz="4" w:space="0" w:color="9FBCD0"/>
              <w:right w:val="single" w:sz="4" w:space="0" w:color="9FBCD0"/>
            </w:tcBorders>
            <w:vAlign w:val="center"/>
          </w:tcPr>
          <w:p w14:paraId="580AA257" w14:textId="7044ABD1" w:rsidR="00320D71" w:rsidRDefault="00320D71" w:rsidP="00320D71">
            <w:pPr>
              <w:jc w:val="right"/>
              <w:rPr>
                <w:rStyle w:val="Strong"/>
                <w:b w:val="0"/>
                <w:bCs w:val="0"/>
              </w:rPr>
            </w:pPr>
            <w:r>
              <w:t xml:space="preserve">                     647 </w:t>
            </w:r>
          </w:p>
        </w:tc>
      </w:tr>
      <w:tr w:rsidR="00320D71" w14:paraId="4573E3A8"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43BA3CD" w14:textId="6602EFEE" w:rsidR="00320D71" w:rsidRDefault="00320D71" w:rsidP="00320D71">
            <w:pPr>
              <w:rPr>
                <w:rStyle w:val="Strong"/>
                <w:b w:val="0"/>
                <w:bCs w:val="0"/>
              </w:rPr>
            </w:pPr>
            <w:r>
              <w:t>Grants and subsidies</w:t>
            </w:r>
          </w:p>
        </w:tc>
        <w:tc>
          <w:tcPr>
            <w:tcW w:w="1252" w:type="dxa"/>
            <w:tcBorders>
              <w:top w:val="single" w:sz="4" w:space="0" w:color="9FBCD0"/>
              <w:left w:val="single" w:sz="4" w:space="0" w:color="9FBCD0"/>
              <w:bottom w:val="single" w:sz="4" w:space="0" w:color="9FBCD0"/>
              <w:right w:val="single" w:sz="4" w:space="0" w:color="9FBCD0"/>
            </w:tcBorders>
            <w:vAlign w:val="bottom"/>
          </w:tcPr>
          <w:p w14:paraId="1F07C0FF" w14:textId="70AA196E" w:rsidR="00320D71" w:rsidRPr="00320D71" w:rsidRDefault="00320D71" w:rsidP="00320D71">
            <w:pPr>
              <w:jc w:val="center"/>
              <w:rPr>
                <w:rStyle w:val="Strong"/>
                <w:b w:val="0"/>
                <w:bCs w:val="0"/>
              </w:rPr>
            </w:pPr>
            <w:r w:rsidRPr="00320D71">
              <w:rPr>
                <w:b/>
              </w:rPr>
              <w:t>4.2</w:t>
            </w:r>
          </w:p>
        </w:tc>
        <w:tc>
          <w:tcPr>
            <w:tcW w:w="2254" w:type="dxa"/>
            <w:tcBorders>
              <w:top w:val="single" w:sz="4" w:space="0" w:color="9FBCD0"/>
              <w:left w:val="single" w:sz="4" w:space="0" w:color="9FBCD0"/>
              <w:bottom w:val="single" w:sz="4" w:space="0" w:color="9FBCD0"/>
              <w:right w:val="single" w:sz="4" w:space="0" w:color="9FBCD0"/>
            </w:tcBorders>
            <w:vAlign w:val="center"/>
          </w:tcPr>
          <w:p w14:paraId="0783C218" w14:textId="158056AE" w:rsidR="00320D71" w:rsidRDefault="00320D71" w:rsidP="00320D71">
            <w:pPr>
              <w:jc w:val="right"/>
              <w:rPr>
                <w:rStyle w:val="Strong"/>
                <w:b w:val="0"/>
                <w:bCs w:val="0"/>
              </w:rPr>
            </w:pPr>
            <w:r>
              <w:t xml:space="preserve">                      50 </w:t>
            </w:r>
          </w:p>
        </w:tc>
        <w:tc>
          <w:tcPr>
            <w:tcW w:w="2254" w:type="dxa"/>
            <w:tcBorders>
              <w:top w:val="single" w:sz="4" w:space="0" w:color="9FBCD0"/>
              <w:left w:val="single" w:sz="4" w:space="0" w:color="9FBCD0"/>
              <w:bottom w:val="single" w:sz="4" w:space="0" w:color="9FBCD0"/>
              <w:right w:val="single" w:sz="4" w:space="0" w:color="9FBCD0"/>
            </w:tcBorders>
            <w:vAlign w:val="center"/>
          </w:tcPr>
          <w:p w14:paraId="64B9C2D2" w14:textId="778A1E75" w:rsidR="00320D71" w:rsidRDefault="00320D71" w:rsidP="00320D71">
            <w:pPr>
              <w:jc w:val="right"/>
              <w:rPr>
                <w:rStyle w:val="Strong"/>
                <w:b w:val="0"/>
                <w:bCs w:val="0"/>
              </w:rPr>
            </w:pPr>
            <w:r>
              <w:t xml:space="preserve">                       50 </w:t>
            </w:r>
          </w:p>
        </w:tc>
      </w:tr>
      <w:tr w:rsidR="00320D71" w14:paraId="20543C41"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9F1770E" w14:textId="19BB72BA" w:rsidR="00320D71" w:rsidRDefault="00320D71" w:rsidP="00320D71">
            <w:pPr>
              <w:rPr>
                <w:rStyle w:val="Strong"/>
                <w:b w:val="0"/>
                <w:bCs w:val="0"/>
              </w:rPr>
            </w:pPr>
            <w:r>
              <w:t>Claims expense</w:t>
            </w:r>
          </w:p>
        </w:tc>
        <w:tc>
          <w:tcPr>
            <w:tcW w:w="1252" w:type="dxa"/>
            <w:tcBorders>
              <w:top w:val="single" w:sz="4" w:space="0" w:color="9FBCD0"/>
              <w:left w:val="single" w:sz="4" w:space="0" w:color="9FBCD0"/>
              <w:bottom w:val="single" w:sz="4" w:space="0" w:color="9FBCD0"/>
              <w:right w:val="single" w:sz="4" w:space="0" w:color="9FBCD0"/>
            </w:tcBorders>
            <w:vAlign w:val="bottom"/>
          </w:tcPr>
          <w:p w14:paraId="0F711175" w14:textId="489E88EC" w:rsidR="00320D71" w:rsidRPr="00320D71" w:rsidRDefault="00320D71" w:rsidP="00320D71">
            <w:pPr>
              <w:jc w:val="center"/>
              <w:rPr>
                <w:rStyle w:val="Strong"/>
                <w:b w:val="0"/>
                <w:bCs w:val="0"/>
              </w:rPr>
            </w:pPr>
            <w:r w:rsidRPr="00320D71">
              <w:rPr>
                <w:b/>
              </w:rPr>
              <w:t>4.3</w:t>
            </w:r>
          </w:p>
        </w:tc>
        <w:tc>
          <w:tcPr>
            <w:tcW w:w="2254" w:type="dxa"/>
            <w:tcBorders>
              <w:top w:val="single" w:sz="4" w:space="0" w:color="9FBCD0"/>
              <w:left w:val="single" w:sz="4" w:space="0" w:color="9FBCD0"/>
              <w:bottom w:val="single" w:sz="4" w:space="0" w:color="9FBCD0"/>
              <w:right w:val="single" w:sz="4" w:space="0" w:color="9FBCD0"/>
            </w:tcBorders>
            <w:vAlign w:val="center"/>
          </w:tcPr>
          <w:p w14:paraId="7FB75FE9" w14:textId="08BF7920" w:rsidR="00320D71" w:rsidRDefault="00320D71" w:rsidP="00320D71">
            <w:pPr>
              <w:jc w:val="right"/>
              <w:rPr>
                <w:rStyle w:val="Strong"/>
                <w:b w:val="0"/>
                <w:bCs w:val="0"/>
              </w:rPr>
            </w:pPr>
            <w:r>
              <w:t xml:space="preserve">                  3,065 </w:t>
            </w:r>
          </w:p>
        </w:tc>
        <w:tc>
          <w:tcPr>
            <w:tcW w:w="2254" w:type="dxa"/>
            <w:tcBorders>
              <w:top w:val="single" w:sz="4" w:space="0" w:color="9FBCD0"/>
              <w:left w:val="single" w:sz="4" w:space="0" w:color="9FBCD0"/>
              <w:bottom w:val="single" w:sz="4" w:space="0" w:color="9FBCD0"/>
              <w:right w:val="single" w:sz="4" w:space="0" w:color="9FBCD0"/>
            </w:tcBorders>
            <w:vAlign w:val="center"/>
          </w:tcPr>
          <w:p w14:paraId="38E76681" w14:textId="3496759A" w:rsidR="00320D71" w:rsidRDefault="00320D71" w:rsidP="00320D71">
            <w:pPr>
              <w:jc w:val="right"/>
              <w:rPr>
                <w:rStyle w:val="Strong"/>
                <w:b w:val="0"/>
                <w:bCs w:val="0"/>
              </w:rPr>
            </w:pPr>
            <w:r>
              <w:t xml:space="preserve">                  2,020 </w:t>
            </w:r>
          </w:p>
        </w:tc>
      </w:tr>
      <w:tr w:rsidR="00320D71" w14:paraId="6BDEC634"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5A9857D6" w14:textId="472D0750" w:rsidR="00320D71" w:rsidRDefault="00320D71" w:rsidP="00320D71">
            <w:pPr>
              <w:rPr>
                <w:rStyle w:val="Strong"/>
                <w:b w:val="0"/>
                <w:bCs w:val="0"/>
              </w:rPr>
            </w:pPr>
            <w:r>
              <w:t>Loss on disposal of non-current assets</w:t>
            </w:r>
          </w:p>
        </w:tc>
        <w:tc>
          <w:tcPr>
            <w:tcW w:w="1252" w:type="dxa"/>
            <w:tcBorders>
              <w:top w:val="single" w:sz="4" w:space="0" w:color="9FBCD0"/>
              <w:left w:val="single" w:sz="4" w:space="0" w:color="9FBCD0"/>
              <w:bottom w:val="single" w:sz="4" w:space="0" w:color="9FBCD0"/>
              <w:right w:val="single" w:sz="4" w:space="0" w:color="9FBCD0"/>
            </w:tcBorders>
            <w:vAlign w:val="bottom"/>
          </w:tcPr>
          <w:p w14:paraId="216E9EDC" w14:textId="04F7983C" w:rsidR="00320D71" w:rsidRPr="00320D71" w:rsidRDefault="00320D71" w:rsidP="00320D71">
            <w:pPr>
              <w:jc w:val="center"/>
              <w:rPr>
                <w:rStyle w:val="Strong"/>
                <w:b w:val="0"/>
                <w:bCs w:val="0"/>
              </w:rPr>
            </w:pPr>
            <w:r w:rsidRPr="00320D71">
              <w:rPr>
                <w:b/>
              </w:rPr>
              <w:t>4.4</w:t>
            </w:r>
          </w:p>
        </w:tc>
        <w:tc>
          <w:tcPr>
            <w:tcW w:w="2254" w:type="dxa"/>
            <w:tcBorders>
              <w:top w:val="single" w:sz="4" w:space="0" w:color="9FBCD0"/>
              <w:left w:val="single" w:sz="4" w:space="0" w:color="9FBCD0"/>
              <w:bottom w:val="single" w:sz="4" w:space="0" w:color="9FBCD0"/>
              <w:right w:val="single" w:sz="4" w:space="0" w:color="9FBCD0"/>
            </w:tcBorders>
            <w:vAlign w:val="center"/>
          </w:tcPr>
          <w:p w14:paraId="2BD129E7" w14:textId="0B2A5889" w:rsidR="00320D71" w:rsidRDefault="00320D71" w:rsidP="00320D71">
            <w:pPr>
              <w:jc w:val="right"/>
              <w:rPr>
                <w:rStyle w:val="Strong"/>
                <w:b w:val="0"/>
                <w:bCs w:val="0"/>
              </w:rPr>
            </w:pPr>
            <w:r>
              <w:t xml:space="preserve">                        3 </w:t>
            </w:r>
          </w:p>
        </w:tc>
        <w:tc>
          <w:tcPr>
            <w:tcW w:w="2254" w:type="dxa"/>
            <w:tcBorders>
              <w:top w:val="single" w:sz="4" w:space="0" w:color="9FBCD0"/>
              <w:left w:val="single" w:sz="4" w:space="0" w:color="9FBCD0"/>
              <w:bottom w:val="single" w:sz="4" w:space="0" w:color="9FBCD0"/>
              <w:right w:val="single" w:sz="4" w:space="0" w:color="9FBCD0"/>
            </w:tcBorders>
            <w:vAlign w:val="center"/>
          </w:tcPr>
          <w:p w14:paraId="12413D71" w14:textId="72932D19" w:rsidR="00320D71" w:rsidRDefault="00320D71" w:rsidP="00320D71">
            <w:pPr>
              <w:jc w:val="right"/>
              <w:rPr>
                <w:rStyle w:val="Strong"/>
                <w:b w:val="0"/>
                <w:bCs w:val="0"/>
              </w:rPr>
            </w:pPr>
            <w:r>
              <w:t xml:space="preserve">                        5 </w:t>
            </w:r>
          </w:p>
        </w:tc>
      </w:tr>
      <w:tr w:rsidR="00320D71" w14:paraId="63CD0692"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5C66B4E5" w14:textId="257E5551" w:rsidR="00320D71" w:rsidRDefault="00320D71" w:rsidP="00320D71">
            <w:pPr>
              <w:rPr>
                <w:rStyle w:val="Strong"/>
                <w:b w:val="0"/>
                <w:bCs w:val="0"/>
              </w:rPr>
            </w:pPr>
            <w:r>
              <w:t xml:space="preserve">Other expenses </w:t>
            </w:r>
          </w:p>
        </w:tc>
        <w:tc>
          <w:tcPr>
            <w:tcW w:w="1252" w:type="dxa"/>
            <w:tcBorders>
              <w:top w:val="single" w:sz="4" w:space="0" w:color="9FBCD0"/>
              <w:left w:val="single" w:sz="4" w:space="0" w:color="9FBCD0"/>
              <w:bottom w:val="single" w:sz="4" w:space="0" w:color="9FBCD0"/>
              <w:right w:val="single" w:sz="4" w:space="0" w:color="9FBCD0"/>
            </w:tcBorders>
            <w:vAlign w:val="bottom"/>
          </w:tcPr>
          <w:p w14:paraId="6B36A6B5" w14:textId="2997E8C0" w:rsidR="00320D71" w:rsidRPr="00320D71" w:rsidRDefault="00320D71" w:rsidP="00320D71">
            <w:pPr>
              <w:jc w:val="center"/>
              <w:rPr>
                <w:rStyle w:val="Strong"/>
                <w:b w:val="0"/>
                <w:bCs w:val="0"/>
              </w:rPr>
            </w:pPr>
            <w:r w:rsidRPr="00320D71">
              <w:rPr>
                <w:b/>
              </w:rPr>
              <w:t>4.5</w:t>
            </w:r>
          </w:p>
        </w:tc>
        <w:tc>
          <w:tcPr>
            <w:tcW w:w="2254" w:type="dxa"/>
            <w:tcBorders>
              <w:top w:val="single" w:sz="4" w:space="0" w:color="9FBCD0"/>
              <w:left w:val="single" w:sz="4" w:space="0" w:color="9FBCD0"/>
              <w:bottom w:val="single" w:sz="12" w:space="0" w:color="auto"/>
              <w:right w:val="single" w:sz="4" w:space="0" w:color="9FBCD0"/>
            </w:tcBorders>
            <w:vAlign w:val="bottom"/>
          </w:tcPr>
          <w:p w14:paraId="2AA64EB6" w14:textId="1336142B" w:rsidR="00320D71" w:rsidRDefault="00320D71" w:rsidP="00320D71">
            <w:pPr>
              <w:jc w:val="right"/>
              <w:rPr>
                <w:rStyle w:val="Strong"/>
                <w:b w:val="0"/>
                <w:bCs w:val="0"/>
              </w:rPr>
            </w:pPr>
            <w:r>
              <w:t xml:space="preserve">                  1,323 </w:t>
            </w:r>
          </w:p>
        </w:tc>
        <w:tc>
          <w:tcPr>
            <w:tcW w:w="2254" w:type="dxa"/>
            <w:tcBorders>
              <w:top w:val="single" w:sz="4" w:space="0" w:color="9FBCD0"/>
              <w:left w:val="single" w:sz="4" w:space="0" w:color="9FBCD0"/>
              <w:bottom w:val="single" w:sz="12" w:space="0" w:color="auto"/>
              <w:right w:val="single" w:sz="4" w:space="0" w:color="9FBCD0"/>
            </w:tcBorders>
            <w:vAlign w:val="bottom"/>
          </w:tcPr>
          <w:p w14:paraId="492677C1" w14:textId="1CB0614F" w:rsidR="00320D71" w:rsidRDefault="00320D71" w:rsidP="00320D71">
            <w:pPr>
              <w:jc w:val="right"/>
              <w:rPr>
                <w:rStyle w:val="Strong"/>
                <w:b w:val="0"/>
                <w:bCs w:val="0"/>
              </w:rPr>
            </w:pPr>
            <w:r>
              <w:t xml:space="preserve">                  1,382 </w:t>
            </w:r>
          </w:p>
        </w:tc>
      </w:tr>
      <w:tr w:rsidR="00320D71" w14:paraId="0CB216E8"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06EBD79" w14:textId="20FEBB4C" w:rsidR="00320D71" w:rsidRPr="00320D71" w:rsidRDefault="00320D71" w:rsidP="00320D71">
            <w:pPr>
              <w:rPr>
                <w:b/>
              </w:rPr>
            </w:pPr>
            <w:r w:rsidRPr="00320D71">
              <w:rPr>
                <w:b/>
              </w:rPr>
              <w:t xml:space="preserve">Total Expenses </w:t>
            </w:r>
          </w:p>
        </w:tc>
        <w:tc>
          <w:tcPr>
            <w:tcW w:w="1252" w:type="dxa"/>
            <w:tcBorders>
              <w:top w:val="single" w:sz="4" w:space="0" w:color="9FBCD0"/>
              <w:left w:val="single" w:sz="4" w:space="0" w:color="9FBCD0"/>
              <w:bottom w:val="single" w:sz="4" w:space="0" w:color="9FBCD0"/>
              <w:right w:val="single" w:sz="4" w:space="0" w:color="9FBCD0"/>
            </w:tcBorders>
            <w:vAlign w:val="bottom"/>
          </w:tcPr>
          <w:p w14:paraId="33677E0F" w14:textId="77777777" w:rsidR="00320D71" w:rsidRPr="00320D71" w:rsidRDefault="00320D71" w:rsidP="00320D71">
            <w:pPr>
              <w:rPr>
                <w:rStyle w:val="Strong"/>
                <w:bCs w:val="0"/>
              </w:rPr>
            </w:pPr>
          </w:p>
        </w:tc>
        <w:tc>
          <w:tcPr>
            <w:tcW w:w="2254" w:type="dxa"/>
            <w:tcBorders>
              <w:top w:val="single" w:sz="12" w:space="0" w:color="auto"/>
              <w:left w:val="single" w:sz="4" w:space="0" w:color="9FBCD0"/>
              <w:bottom w:val="single" w:sz="12" w:space="0" w:color="auto"/>
              <w:right w:val="single" w:sz="4" w:space="0" w:color="9FBCD0"/>
            </w:tcBorders>
            <w:vAlign w:val="bottom"/>
          </w:tcPr>
          <w:p w14:paraId="245BDAA5" w14:textId="67642421" w:rsidR="00320D71" w:rsidRPr="00320D71" w:rsidRDefault="00320D71" w:rsidP="00320D71">
            <w:pPr>
              <w:jc w:val="right"/>
              <w:rPr>
                <w:rStyle w:val="Strong"/>
                <w:bCs w:val="0"/>
              </w:rPr>
            </w:pPr>
            <w:r w:rsidRPr="00320D71">
              <w:rPr>
                <w:b/>
              </w:rPr>
              <w:t xml:space="preserve">                23,664 </w:t>
            </w:r>
          </w:p>
        </w:tc>
        <w:tc>
          <w:tcPr>
            <w:tcW w:w="2254" w:type="dxa"/>
            <w:tcBorders>
              <w:top w:val="single" w:sz="12" w:space="0" w:color="auto"/>
              <w:left w:val="single" w:sz="4" w:space="0" w:color="9FBCD0"/>
              <w:bottom w:val="single" w:sz="12" w:space="0" w:color="auto"/>
              <w:right w:val="single" w:sz="4" w:space="0" w:color="9FBCD0"/>
            </w:tcBorders>
            <w:vAlign w:val="bottom"/>
          </w:tcPr>
          <w:p w14:paraId="72DFBF12" w14:textId="07CAF7CF" w:rsidR="00320D71" w:rsidRPr="00320D71" w:rsidRDefault="00320D71" w:rsidP="00320D71">
            <w:pPr>
              <w:jc w:val="right"/>
              <w:rPr>
                <w:rStyle w:val="Strong"/>
                <w:bCs w:val="0"/>
              </w:rPr>
            </w:pPr>
            <w:r w:rsidRPr="00320D71">
              <w:rPr>
                <w:b/>
              </w:rPr>
              <w:t xml:space="preserve">                22,291 </w:t>
            </w:r>
          </w:p>
        </w:tc>
      </w:tr>
      <w:tr w:rsidR="00320D71" w14:paraId="39FFFC84"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5777EE01" w14:textId="143FF459" w:rsidR="00320D71" w:rsidRDefault="00320D71" w:rsidP="00320D71">
            <w:r>
              <w:t>Profit/(Loss) before grants and subsidies from State Government</w:t>
            </w:r>
          </w:p>
        </w:tc>
        <w:tc>
          <w:tcPr>
            <w:tcW w:w="1252" w:type="dxa"/>
            <w:tcBorders>
              <w:top w:val="single" w:sz="4" w:space="0" w:color="9FBCD0"/>
              <w:left w:val="single" w:sz="4" w:space="0" w:color="9FBCD0"/>
              <w:bottom w:val="single" w:sz="4" w:space="0" w:color="9FBCD0"/>
              <w:right w:val="single" w:sz="4" w:space="0" w:color="9FBCD0"/>
            </w:tcBorders>
            <w:vAlign w:val="bottom"/>
          </w:tcPr>
          <w:p w14:paraId="2EF28E8E" w14:textId="77777777" w:rsidR="00320D71" w:rsidRDefault="00320D71" w:rsidP="00320D71">
            <w:pPr>
              <w:rPr>
                <w:rStyle w:val="Strong"/>
                <w:b w:val="0"/>
                <w:bCs w:val="0"/>
              </w:rPr>
            </w:pPr>
          </w:p>
        </w:tc>
        <w:tc>
          <w:tcPr>
            <w:tcW w:w="2254" w:type="dxa"/>
            <w:tcBorders>
              <w:top w:val="single" w:sz="12" w:space="0" w:color="auto"/>
              <w:left w:val="single" w:sz="4" w:space="0" w:color="9FBCD0"/>
              <w:bottom w:val="single" w:sz="4" w:space="0" w:color="9FBCD0"/>
              <w:right w:val="single" w:sz="4" w:space="0" w:color="9FBCD0"/>
            </w:tcBorders>
            <w:vAlign w:val="center"/>
          </w:tcPr>
          <w:p w14:paraId="2A53B089" w14:textId="748DB440" w:rsidR="00320D71" w:rsidRDefault="00320D71" w:rsidP="00320D71">
            <w:pPr>
              <w:jc w:val="right"/>
              <w:rPr>
                <w:rStyle w:val="Strong"/>
                <w:b w:val="0"/>
                <w:bCs w:val="0"/>
              </w:rPr>
            </w:pPr>
            <w:r>
              <w:t xml:space="preserve">                   (439)</w:t>
            </w:r>
          </w:p>
        </w:tc>
        <w:tc>
          <w:tcPr>
            <w:tcW w:w="2254" w:type="dxa"/>
            <w:tcBorders>
              <w:top w:val="single" w:sz="12" w:space="0" w:color="auto"/>
              <w:left w:val="single" w:sz="4" w:space="0" w:color="9FBCD0"/>
              <w:bottom w:val="single" w:sz="4" w:space="0" w:color="9FBCD0"/>
              <w:right w:val="single" w:sz="4" w:space="0" w:color="9FBCD0"/>
            </w:tcBorders>
            <w:vAlign w:val="center"/>
          </w:tcPr>
          <w:p w14:paraId="67A82E2A" w14:textId="7B48FBC0" w:rsidR="00320D71" w:rsidRDefault="00320D71" w:rsidP="00320D71">
            <w:pPr>
              <w:jc w:val="right"/>
              <w:rPr>
                <w:rStyle w:val="Strong"/>
                <w:b w:val="0"/>
                <w:bCs w:val="0"/>
              </w:rPr>
            </w:pPr>
            <w:r>
              <w:t xml:space="preserve">                  4,487 </w:t>
            </w:r>
          </w:p>
        </w:tc>
      </w:tr>
      <w:tr w:rsidR="00320D71" w14:paraId="30E463EB"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5A46B76C" w14:textId="39EEE25F" w:rsidR="00320D71" w:rsidRDefault="00320D71" w:rsidP="00320D71">
            <w:r>
              <w:t>Services received free of charge</w:t>
            </w:r>
          </w:p>
        </w:tc>
        <w:tc>
          <w:tcPr>
            <w:tcW w:w="1252" w:type="dxa"/>
            <w:tcBorders>
              <w:top w:val="single" w:sz="4" w:space="0" w:color="9FBCD0"/>
              <w:left w:val="single" w:sz="4" w:space="0" w:color="9FBCD0"/>
              <w:bottom w:val="single" w:sz="4" w:space="0" w:color="9FBCD0"/>
              <w:right w:val="single" w:sz="4" w:space="0" w:color="9FBCD0"/>
            </w:tcBorders>
            <w:vAlign w:val="bottom"/>
          </w:tcPr>
          <w:p w14:paraId="65F78293" w14:textId="1C6F2676" w:rsidR="00320D71" w:rsidRDefault="00320D71" w:rsidP="00320D71">
            <w:pPr>
              <w:jc w:val="center"/>
              <w:rPr>
                <w:rStyle w:val="Strong"/>
                <w:b w:val="0"/>
                <w:bCs w:val="0"/>
              </w:rPr>
            </w:pPr>
            <w:r>
              <w:rPr>
                <w:b/>
                <w:bCs/>
              </w:rPr>
              <w:t>3.5</w:t>
            </w:r>
          </w:p>
        </w:tc>
        <w:tc>
          <w:tcPr>
            <w:tcW w:w="2254" w:type="dxa"/>
            <w:tcBorders>
              <w:top w:val="single" w:sz="4" w:space="0" w:color="9FBCD0"/>
              <w:left w:val="single" w:sz="4" w:space="0" w:color="9FBCD0"/>
              <w:bottom w:val="single" w:sz="4" w:space="0" w:color="9FBCD0"/>
              <w:right w:val="single" w:sz="4" w:space="0" w:color="9FBCD0"/>
            </w:tcBorders>
            <w:vAlign w:val="center"/>
          </w:tcPr>
          <w:p w14:paraId="63592129" w14:textId="6F234F70" w:rsidR="00320D71" w:rsidRDefault="00320D71" w:rsidP="00320D71">
            <w:pPr>
              <w:jc w:val="right"/>
              <w:rPr>
                <w:rStyle w:val="Strong"/>
                <w:b w:val="0"/>
                <w:bCs w:val="0"/>
              </w:rPr>
            </w:pPr>
            <w:r>
              <w:t xml:space="preserve">                      84 </w:t>
            </w:r>
          </w:p>
        </w:tc>
        <w:tc>
          <w:tcPr>
            <w:tcW w:w="2254" w:type="dxa"/>
            <w:tcBorders>
              <w:top w:val="single" w:sz="4" w:space="0" w:color="9FBCD0"/>
              <w:left w:val="single" w:sz="4" w:space="0" w:color="9FBCD0"/>
              <w:bottom w:val="single" w:sz="4" w:space="0" w:color="9FBCD0"/>
              <w:right w:val="single" w:sz="4" w:space="0" w:color="9FBCD0"/>
            </w:tcBorders>
            <w:vAlign w:val="center"/>
          </w:tcPr>
          <w:p w14:paraId="6D5A00FA" w14:textId="38AB5BF9" w:rsidR="00320D71" w:rsidRDefault="00320D71" w:rsidP="00320D71">
            <w:pPr>
              <w:jc w:val="right"/>
              <w:rPr>
                <w:rStyle w:val="Strong"/>
                <w:b w:val="0"/>
                <w:bCs w:val="0"/>
              </w:rPr>
            </w:pPr>
            <w:r>
              <w:t xml:space="preserve">                     114 </w:t>
            </w:r>
          </w:p>
        </w:tc>
      </w:tr>
      <w:tr w:rsidR="00320D71" w14:paraId="7C8F9847"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3680C84A" w14:textId="103E36D0" w:rsidR="00320D71" w:rsidRPr="00320D71" w:rsidRDefault="00320D71" w:rsidP="00320D71">
            <w:pPr>
              <w:rPr>
                <w:b/>
              </w:rPr>
            </w:pPr>
            <w:r w:rsidRPr="00320D71">
              <w:rPr>
                <w:b/>
              </w:rPr>
              <w:t>Profit/(Loss) for the period</w:t>
            </w:r>
          </w:p>
        </w:tc>
        <w:tc>
          <w:tcPr>
            <w:tcW w:w="1252" w:type="dxa"/>
            <w:tcBorders>
              <w:top w:val="single" w:sz="4" w:space="0" w:color="9FBCD0"/>
              <w:left w:val="single" w:sz="4" w:space="0" w:color="9FBCD0"/>
              <w:bottom w:val="single" w:sz="4" w:space="0" w:color="9FBCD0"/>
              <w:right w:val="single" w:sz="4" w:space="0" w:color="9FBCD0"/>
            </w:tcBorders>
            <w:vAlign w:val="bottom"/>
          </w:tcPr>
          <w:p w14:paraId="05908A57" w14:textId="77777777" w:rsidR="00320D71" w:rsidRDefault="00320D71" w:rsidP="00320D71">
            <w:pPr>
              <w:rPr>
                <w:rStyle w:val="Strong"/>
                <w:b w:val="0"/>
                <w:bCs w:val="0"/>
              </w:rPr>
            </w:pPr>
          </w:p>
        </w:tc>
        <w:tc>
          <w:tcPr>
            <w:tcW w:w="2254" w:type="dxa"/>
            <w:tcBorders>
              <w:top w:val="single" w:sz="4" w:space="0" w:color="9FBCD0"/>
              <w:left w:val="single" w:sz="4" w:space="0" w:color="9FBCD0"/>
              <w:bottom w:val="double" w:sz="4" w:space="0" w:color="3D5C57" w:themeColor="accent1"/>
              <w:right w:val="single" w:sz="4" w:space="0" w:color="9FBCD0"/>
            </w:tcBorders>
            <w:vAlign w:val="center"/>
          </w:tcPr>
          <w:p w14:paraId="1517DBB6" w14:textId="3DC98BE0" w:rsidR="00320D71" w:rsidRPr="00320D71" w:rsidRDefault="00320D71" w:rsidP="00320D71">
            <w:pPr>
              <w:jc w:val="right"/>
              <w:rPr>
                <w:rStyle w:val="Strong"/>
                <w:b w:val="0"/>
                <w:bCs w:val="0"/>
              </w:rPr>
            </w:pPr>
            <w:r w:rsidRPr="00320D71">
              <w:rPr>
                <w:b/>
              </w:rPr>
              <w:t xml:space="preserve">                   (355)</w:t>
            </w:r>
          </w:p>
        </w:tc>
        <w:tc>
          <w:tcPr>
            <w:tcW w:w="2254" w:type="dxa"/>
            <w:tcBorders>
              <w:top w:val="single" w:sz="4" w:space="0" w:color="9FBCD0"/>
              <w:left w:val="single" w:sz="4" w:space="0" w:color="9FBCD0"/>
              <w:bottom w:val="double" w:sz="4" w:space="0" w:color="3D5C57" w:themeColor="accent1"/>
              <w:right w:val="single" w:sz="4" w:space="0" w:color="9FBCD0"/>
            </w:tcBorders>
            <w:vAlign w:val="center"/>
          </w:tcPr>
          <w:p w14:paraId="4F54A01F" w14:textId="7807E0B2" w:rsidR="00320D71" w:rsidRPr="00320D71" w:rsidRDefault="00320D71" w:rsidP="00320D71">
            <w:pPr>
              <w:jc w:val="right"/>
              <w:rPr>
                <w:rStyle w:val="Strong"/>
                <w:b w:val="0"/>
                <w:bCs w:val="0"/>
              </w:rPr>
            </w:pPr>
            <w:r w:rsidRPr="00320D71">
              <w:rPr>
                <w:b/>
              </w:rPr>
              <w:t xml:space="preserve">                  4,601 </w:t>
            </w:r>
          </w:p>
        </w:tc>
      </w:tr>
      <w:tr w:rsidR="00320D71" w14:paraId="5455C787"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60DAE0C7" w14:textId="4E61CCA4" w:rsidR="00320D71" w:rsidRPr="00320D71" w:rsidRDefault="00320D71" w:rsidP="00320D71">
            <w:pPr>
              <w:rPr>
                <w:b/>
              </w:rPr>
            </w:pPr>
            <w:r w:rsidRPr="00320D71">
              <w:rPr>
                <w:b/>
              </w:rPr>
              <w:t>OTHER COMPREHENSIVE INCOME</w:t>
            </w:r>
          </w:p>
        </w:tc>
        <w:tc>
          <w:tcPr>
            <w:tcW w:w="1252" w:type="dxa"/>
            <w:tcBorders>
              <w:top w:val="single" w:sz="4" w:space="0" w:color="9FBCD0"/>
              <w:left w:val="single" w:sz="4" w:space="0" w:color="9FBCD0"/>
              <w:bottom w:val="single" w:sz="4" w:space="0" w:color="9FBCD0"/>
              <w:right w:val="single" w:sz="4" w:space="0" w:color="9FBCD0"/>
            </w:tcBorders>
            <w:vAlign w:val="bottom"/>
          </w:tcPr>
          <w:p w14:paraId="47EE2382" w14:textId="77777777" w:rsidR="00320D71" w:rsidRDefault="00320D71" w:rsidP="00320D71">
            <w:pPr>
              <w:rPr>
                <w:rStyle w:val="Strong"/>
                <w:b w:val="0"/>
                <w:bCs w:val="0"/>
              </w:rPr>
            </w:pPr>
          </w:p>
        </w:tc>
        <w:tc>
          <w:tcPr>
            <w:tcW w:w="2254" w:type="dxa"/>
            <w:tcBorders>
              <w:top w:val="double" w:sz="4" w:space="0" w:color="3D5C57" w:themeColor="accent1"/>
              <w:left w:val="single" w:sz="4" w:space="0" w:color="9FBCD0"/>
              <w:bottom w:val="single" w:sz="4" w:space="0" w:color="9FBCD0"/>
              <w:right w:val="single" w:sz="4" w:space="0" w:color="9FBCD0"/>
            </w:tcBorders>
            <w:vAlign w:val="center"/>
          </w:tcPr>
          <w:p w14:paraId="15D51DAD" w14:textId="77777777" w:rsidR="00320D71" w:rsidRPr="00320D71" w:rsidRDefault="00320D71" w:rsidP="00320D71">
            <w:pPr>
              <w:jc w:val="right"/>
              <w:rPr>
                <w:b/>
              </w:rPr>
            </w:pPr>
          </w:p>
        </w:tc>
        <w:tc>
          <w:tcPr>
            <w:tcW w:w="2254" w:type="dxa"/>
            <w:tcBorders>
              <w:top w:val="double" w:sz="4" w:space="0" w:color="3D5C57" w:themeColor="accent1"/>
              <w:left w:val="single" w:sz="4" w:space="0" w:color="9FBCD0"/>
              <w:bottom w:val="single" w:sz="4" w:space="0" w:color="9FBCD0"/>
              <w:right w:val="single" w:sz="4" w:space="0" w:color="9FBCD0"/>
            </w:tcBorders>
            <w:vAlign w:val="center"/>
          </w:tcPr>
          <w:p w14:paraId="2BE03B75" w14:textId="77777777" w:rsidR="00320D71" w:rsidRPr="00320D71" w:rsidRDefault="00320D71" w:rsidP="00320D71">
            <w:pPr>
              <w:jc w:val="right"/>
              <w:rPr>
                <w:b/>
              </w:rPr>
            </w:pPr>
          </w:p>
        </w:tc>
      </w:tr>
      <w:tr w:rsidR="00320D71" w14:paraId="1787C442"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FFE5D04" w14:textId="576E7DF4" w:rsidR="00320D71" w:rsidRPr="00320D71" w:rsidRDefault="00320D71" w:rsidP="00320D71">
            <w:pPr>
              <w:rPr>
                <w:b/>
              </w:rPr>
            </w:pPr>
            <w:r w:rsidRPr="00320D71">
              <w:rPr>
                <w:b/>
              </w:rPr>
              <w:t>Items not reclassified subsequently to profit or loss</w:t>
            </w:r>
          </w:p>
        </w:tc>
        <w:tc>
          <w:tcPr>
            <w:tcW w:w="1252" w:type="dxa"/>
            <w:tcBorders>
              <w:top w:val="single" w:sz="4" w:space="0" w:color="9FBCD0"/>
              <w:left w:val="single" w:sz="4" w:space="0" w:color="9FBCD0"/>
              <w:bottom w:val="single" w:sz="4" w:space="0" w:color="9FBCD0"/>
              <w:right w:val="single" w:sz="4" w:space="0" w:color="9FBCD0"/>
            </w:tcBorders>
            <w:vAlign w:val="bottom"/>
          </w:tcPr>
          <w:p w14:paraId="2C432BBC" w14:textId="77777777" w:rsidR="00320D71" w:rsidRDefault="00320D71" w:rsidP="00320D71">
            <w:pPr>
              <w:rPr>
                <w:rStyle w:val="Strong"/>
                <w:b w:val="0"/>
                <w:bCs w:val="0"/>
              </w:rPr>
            </w:pPr>
          </w:p>
        </w:tc>
        <w:tc>
          <w:tcPr>
            <w:tcW w:w="2254" w:type="dxa"/>
            <w:tcBorders>
              <w:top w:val="single" w:sz="4" w:space="0" w:color="9FBCD0"/>
              <w:left w:val="single" w:sz="4" w:space="0" w:color="9FBCD0"/>
              <w:bottom w:val="single" w:sz="4" w:space="0" w:color="9FBCD0"/>
              <w:right w:val="single" w:sz="4" w:space="0" w:color="9FBCD0"/>
            </w:tcBorders>
            <w:vAlign w:val="center"/>
          </w:tcPr>
          <w:p w14:paraId="27F19780" w14:textId="77777777" w:rsidR="00320D71" w:rsidRPr="00320D71" w:rsidRDefault="00320D71" w:rsidP="00320D71">
            <w:pPr>
              <w:jc w:val="right"/>
              <w:rPr>
                <w:b/>
              </w:rPr>
            </w:pPr>
          </w:p>
        </w:tc>
        <w:tc>
          <w:tcPr>
            <w:tcW w:w="2254" w:type="dxa"/>
            <w:tcBorders>
              <w:top w:val="single" w:sz="4" w:space="0" w:color="9FBCD0"/>
              <w:left w:val="single" w:sz="4" w:space="0" w:color="9FBCD0"/>
              <w:bottom w:val="single" w:sz="4" w:space="0" w:color="9FBCD0"/>
              <w:right w:val="single" w:sz="4" w:space="0" w:color="9FBCD0"/>
            </w:tcBorders>
            <w:vAlign w:val="center"/>
          </w:tcPr>
          <w:p w14:paraId="7A4DD8EC" w14:textId="77777777" w:rsidR="00320D71" w:rsidRPr="00320D71" w:rsidRDefault="00320D71" w:rsidP="00320D71">
            <w:pPr>
              <w:jc w:val="right"/>
              <w:rPr>
                <w:b/>
              </w:rPr>
            </w:pPr>
          </w:p>
        </w:tc>
      </w:tr>
      <w:tr w:rsidR="00320D71" w14:paraId="7184B076"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8B46DA5" w14:textId="0609843D" w:rsidR="00320D71" w:rsidRPr="00320D71" w:rsidRDefault="00320D71" w:rsidP="00320D71">
            <w:pPr>
              <w:rPr>
                <w:b/>
              </w:rPr>
            </w:pPr>
            <w:r>
              <w:t>Remeasurements of defined benefit liability</w:t>
            </w:r>
          </w:p>
        </w:tc>
        <w:tc>
          <w:tcPr>
            <w:tcW w:w="1252" w:type="dxa"/>
            <w:tcBorders>
              <w:top w:val="single" w:sz="4" w:space="0" w:color="9FBCD0"/>
              <w:left w:val="single" w:sz="4" w:space="0" w:color="9FBCD0"/>
              <w:bottom w:val="single" w:sz="4" w:space="0" w:color="9FBCD0"/>
              <w:right w:val="single" w:sz="4" w:space="0" w:color="9FBCD0"/>
            </w:tcBorders>
            <w:vAlign w:val="bottom"/>
          </w:tcPr>
          <w:p w14:paraId="0CDF0B24" w14:textId="3622C977" w:rsidR="00320D71" w:rsidRDefault="00320D71" w:rsidP="00320D71">
            <w:pPr>
              <w:jc w:val="center"/>
              <w:rPr>
                <w:rStyle w:val="Strong"/>
                <w:b w:val="0"/>
                <w:bCs w:val="0"/>
              </w:rPr>
            </w:pPr>
            <w:r>
              <w:rPr>
                <w:b/>
                <w:bCs/>
              </w:rPr>
              <w:t>4.1</w:t>
            </w:r>
          </w:p>
        </w:tc>
        <w:tc>
          <w:tcPr>
            <w:tcW w:w="2254" w:type="dxa"/>
            <w:tcBorders>
              <w:top w:val="single" w:sz="4" w:space="0" w:color="9FBCD0"/>
              <w:left w:val="single" w:sz="4" w:space="0" w:color="9FBCD0"/>
              <w:bottom w:val="single" w:sz="4" w:space="0" w:color="9FBCD0"/>
              <w:right w:val="single" w:sz="4" w:space="0" w:color="9FBCD0"/>
            </w:tcBorders>
            <w:vAlign w:val="center"/>
          </w:tcPr>
          <w:p w14:paraId="63BB2065" w14:textId="6F97B8A1" w:rsidR="00320D71" w:rsidRPr="00320D71" w:rsidRDefault="00320D71" w:rsidP="00320D71">
            <w:pPr>
              <w:jc w:val="right"/>
              <w:rPr>
                <w:b/>
              </w:rPr>
            </w:pPr>
            <w:r>
              <w:t xml:space="preserve">                   (213)</w:t>
            </w:r>
          </w:p>
        </w:tc>
        <w:tc>
          <w:tcPr>
            <w:tcW w:w="2254" w:type="dxa"/>
            <w:tcBorders>
              <w:top w:val="single" w:sz="4" w:space="0" w:color="9FBCD0"/>
              <w:left w:val="single" w:sz="4" w:space="0" w:color="9FBCD0"/>
              <w:bottom w:val="single" w:sz="4" w:space="0" w:color="9FBCD0"/>
              <w:right w:val="single" w:sz="4" w:space="0" w:color="9FBCD0"/>
            </w:tcBorders>
            <w:vAlign w:val="center"/>
          </w:tcPr>
          <w:p w14:paraId="1CD6A500" w14:textId="2A92E450" w:rsidR="00320D71" w:rsidRPr="00320D71" w:rsidRDefault="00320D71" w:rsidP="00320D71">
            <w:pPr>
              <w:jc w:val="right"/>
              <w:rPr>
                <w:b/>
              </w:rPr>
            </w:pPr>
            <w:r>
              <w:t xml:space="preserve">                     749 </w:t>
            </w:r>
          </w:p>
        </w:tc>
      </w:tr>
      <w:tr w:rsidR="00320D71" w14:paraId="73C83A28"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69604362" w14:textId="604D9339" w:rsidR="00320D71" w:rsidRPr="00320D71" w:rsidRDefault="00320D71" w:rsidP="00320D71">
            <w:pPr>
              <w:rPr>
                <w:b/>
              </w:rPr>
            </w:pPr>
            <w:r>
              <w:t>Changes in asset revaluation surplus</w:t>
            </w:r>
          </w:p>
        </w:tc>
        <w:tc>
          <w:tcPr>
            <w:tcW w:w="1252" w:type="dxa"/>
            <w:tcBorders>
              <w:top w:val="single" w:sz="4" w:space="0" w:color="9FBCD0"/>
              <w:left w:val="single" w:sz="4" w:space="0" w:color="9FBCD0"/>
              <w:bottom w:val="single" w:sz="4" w:space="0" w:color="9FBCD0"/>
              <w:right w:val="single" w:sz="4" w:space="0" w:color="9FBCD0"/>
            </w:tcBorders>
            <w:vAlign w:val="bottom"/>
          </w:tcPr>
          <w:p w14:paraId="2D05FF9D" w14:textId="1B15DA76" w:rsidR="00320D71" w:rsidRDefault="00320D71" w:rsidP="00320D71">
            <w:pPr>
              <w:jc w:val="center"/>
              <w:rPr>
                <w:rStyle w:val="Strong"/>
                <w:b w:val="0"/>
                <w:bCs w:val="0"/>
              </w:rPr>
            </w:pPr>
            <w:r>
              <w:rPr>
                <w:b/>
                <w:bCs/>
              </w:rPr>
              <w:t>9.10</w:t>
            </w:r>
          </w:p>
        </w:tc>
        <w:tc>
          <w:tcPr>
            <w:tcW w:w="2254" w:type="dxa"/>
            <w:tcBorders>
              <w:top w:val="single" w:sz="4" w:space="0" w:color="9FBCD0"/>
              <w:left w:val="single" w:sz="4" w:space="0" w:color="9FBCD0"/>
              <w:bottom w:val="single" w:sz="12" w:space="0" w:color="auto"/>
              <w:right w:val="single" w:sz="4" w:space="0" w:color="9FBCD0"/>
            </w:tcBorders>
            <w:vAlign w:val="center"/>
          </w:tcPr>
          <w:p w14:paraId="5A2BEAEC" w14:textId="306A91CC" w:rsidR="00320D71" w:rsidRPr="00320D71" w:rsidRDefault="00320D71" w:rsidP="00320D71">
            <w:pPr>
              <w:jc w:val="right"/>
              <w:rPr>
                <w:b/>
              </w:rPr>
            </w:pPr>
            <w:r>
              <w:t xml:space="preserve">                    104 </w:t>
            </w:r>
          </w:p>
        </w:tc>
        <w:tc>
          <w:tcPr>
            <w:tcW w:w="2254" w:type="dxa"/>
            <w:tcBorders>
              <w:top w:val="single" w:sz="4" w:space="0" w:color="9FBCD0"/>
              <w:left w:val="single" w:sz="4" w:space="0" w:color="9FBCD0"/>
              <w:bottom w:val="single" w:sz="12" w:space="0" w:color="auto"/>
              <w:right w:val="single" w:sz="4" w:space="0" w:color="9FBCD0"/>
            </w:tcBorders>
            <w:vAlign w:val="center"/>
          </w:tcPr>
          <w:p w14:paraId="61E0451C" w14:textId="03680A0B" w:rsidR="00320D71" w:rsidRPr="00320D71" w:rsidRDefault="00320D71" w:rsidP="00320D71">
            <w:pPr>
              <w:jc w:val="right"/>
              <w:rPr>
                <w:b/>
              </w:rPr>
            </w:pPr>
            <w:r>
              <w:t xml:space="preserve">                 (1,827)</w:t>
            </w:r>
          </w:p>
        </w:tc>
      </w:tr>
      <w:tr w:rsidR="00320D71" w14:paraId="54E5BBE6"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04A6FF98" w14:textId="50F47FDC" w:rsidR="00320D71" w:rsidRPr="00320D71" w:rsidRDefault="00320D71" w:rsidP="00320D71">
            <w:pPr>
              <w:rPr>
                <w:b/>
              </w:rPr>
            </w:pPr>
            <w:r w:rsidRPr="00320D71">
              <w:rPr>
                <w:b/>
              </w:rPr>
              <w:t>Total other comprehensive income</w:t>
            </w:r>
          </w:p>
        </w:tc>
        <w:tc>
          <w:tcPr>
            <w:tcW w:w="1252" w:type="dxa"/>
            <w:tcBorders>
              <w:top w:val="single" w:sz="4" w:space="0" w:color="9FBCD0"/>
              <w:left w:val="single" w:sz="4" w:space="0" w:color="9FBCD0"/>
              <w:bottom w:val="single" w:sz="4" w:space="0" w:color="9FBCD0"/>
              <w:right w:val="single" w:sz="4" w:space="0" w:color="9FBCD0"/>
            </w:tcBorders>
            <w:vAlign w:val="bottom"/>
          </w:tcPr>
          <w:p w14:paraId="15A82F5D" w14:textId="77777777" w:rsidR="00320D71" w:rsidRPr="00320D71" w:rsidRDefault="00320D71" w:rsidP="00320D71">
            <w:pPr>
              <w:rPr>
                <w:rStyle w:val="Strong"/>
                <w:bCs w:val="0"/>
              </w:rPr>
            </w:pPr>
          </w:p>
        </w:tc>
        <w:tc>
          <w:tcPr>
            <w:tcW w:w="2254" w:type="dxa"/>
            <w:tcBorders>
              <w:top w:val="single" w:sz="12" w:space="0" w:color="auto"/>
              <w:left w:val="single" w:sz="4" w:space="0" w:color="9FBCD0"/>
              <w:bottom w:val="single" w:sz="12" w:space="0" w:color="auto"/>
              <w:right w:val="single" w:sz="4" w:space="0" w:color="9FBCD0"/>
            </w:tcBorders>
            <w:vAlign w:val="center"/>
          </w:tcPr>
          <w:p w14:paraId="702DB0D8" w14:textId="4ED9F1C3" w:rsidR="00320D71" w:rsidRPr="00320D71" w:rsidRDefault="00320D71" w:rsidP="00320D71">
            <w:pPr>
              <w:jc w:val="right"/>
              <w:rPr>
                <w:b/>
              </w:rPr>
            </w:pPr>
            <w:r w:rsidRPr="00320D71">
              <w:rPr>
                <w:b/>
              </w:rPr>
              <w:t xml:space="preserve">                   (109)</w:t>
            </w:r>
          </w:p>
        </w:tc>
        <w:tc>
          <w:tcPr>
            <w:tcW w:w="2254" w:type="dxa"/>
            <w:tcBorders>
              <w:top w:val="single" w:sz="12" w:space="0" w:color="auto"/>
              <w:left w:val="single" w:sz="4" w:space="0" w:color="9FBCD0"/>
              <w:bottom w:val="single" w:sz="12" w:space="0" w:color="auto"/>
              <w:right w:val="single" w:sz="4" w:space="0" w:color="9FBCD0"/>
            </w:tcBorders>
            <w:vAlign w:val="center"/>
          </w:tcPr>
          <w:p w14:paraId="23E64B5C" w14:textId="1A1CB3B0" w:rsidR="00320D71" w:rsidRPr="00320D71" w:rsidRDefault="00320D71" w:rsidP="00320D71">
            <w:pPr>
              <w:jc w:val="right"/>
              <w:rPr>
                <w:b/>
              </w:rPr>
            </w:pPr>
            <w:r w:rsidRPr="00320D71">
              <w:rPr>
                <w:b/>
              </w:rPr>
              <w:t xml:space="preserve">                 (1,078)</w:t>
            </w:r>
          </w:p>
        </w:tc>
      </w:tr>
      <w:tr w:rsidR="00320D71" w14:paraId="23DB7C4F" w14:textId="77777777" w:rsidTr="00320D71">
        <w:tc>
          <w:tcPr>
            <w:tcW w:w="3256" w:type="dxa"/>
            <w:tcBorders>
              <w:top w:val="single" w:sz="4" w:space="0" w:color="9FBCD0"/>
              <w:left w:val="single" w:sz="4" w:space="0" w:color="9FBCD0"/>
              <w:bottom w:val="single" w:sz="4" w:space="0" w:color="9FBCD0"/>
              <w:right w:val="single" w:sz="4" w:space="0" w:color="9FBCD0"/>
            </w:tcBorders>
            <w:vAlign w:val="bottom"/>
          </w:tcPr>
          <w:p w14:paraId="2B56C35A" w14:textId="5A26255A" w:rsidR="00320D71" w:rsidRPr="00320D71" w:rsidRDefault="00320D71" w:rsidP="00320D71">
            <w:pPr>
              <w:rPr>
                <w:b/>
              </w:rPr>
            </w:pPr>
            <w:r w:rsidRPr="00320D71">
              <w:rPr>
                <w:b/>
              </w:rPr>
              <w:t>TOTAL COMPREHENSIVE INCOME FOR THE PERIOD</w:t>
            </w:r>
          </w:p>
        </w:tc>
        <w:tc>
          <w:tcPr>
            <w:tcW w:w="1252" w:type="dxa"/>
            <w:tcBorders>
              <w:top w:val="single" w:sz="4" w:space="0" w:color="9FBCD0"/>
              <w:left w:val="single" w:sz="4" w:space="0" w:color="9FBCD0"/>
              <w:bottom w:val="single" w:sz="4" w:space="0" w:color="9FBCD0"/>
              <w:right w:val="single" w:sz="4" w:space="0" w:color="9FBCD0"/>
            </w:tcBorders>
            <w:vAlign w:val="bottom"/>
          </w:tcPr>
          <w:p w14:paraId="3A912392" w14:textId="77777777" w:rsidR="00320D71" w:rsidRPr="00320D71" w:rsidRDefault="00320D71" w:rsidP="00320D71">
            <w:pPr>
              <w:rPr>
                <w:rStyle w:val="Strong"/>
                <w:bCs w:val="0"/>
              </w:rPr>
            </w:pPr>
          </w:p>
        </w:tc>
        <w:tc>
          <w:tcPr>
            <w:tcW w:w="2254" w:type="dxa"/>
            <w:tcBorders>
              <w:top w:val="single" w:sz="12" w:space="0" w:color="auto"/>
              <w:left w:val="single" w:sz="4" w:space="0" w:color="9FBCD0"/>
              <w:bottom w:val="double" w:sz="4" w:space="0" w:color="3D5C57" w:themeColor="accent1"/>
              <w:right w:val="single" w:sz="4" w:space="0" w:color="9FBCD0"/>
            </w:tcBorders>
            <w:vAlign w:val="center"/>
          </w:tcPr>
          <w:p w14:paraId="6D0E63A4" w14:textId="0473D34D" w:rsidR="00320D71" w:rsidRPr="00320D71" w:rsidRDefault="00320D71" w:rsidP="00320D71">
            <w:pPr>
              <w:jc w:val="right"/>
              <w:rPr>
                <w:b/>
              </w:rPr>
            </w:pPr>
            <w:r w:rsidRPr="00320D71">
              <w:rPr>
                <w:b/>
              </w:rPr>
              <w:t xml:space="preserve">                   (464)</w:t>
            </w:r>
          </w:p>
        </w:tc>
        <w:tc>
          <w:tcPr>
            <w:tcW w:w="2254" w:type="dxa"/>
            <w:tcBorders>
              <w:top w:val="single" w:sz="12" w:space="0" w:color="auto"/>
              <w:left w:val="single" w:sz="4" w:space="0" w:color="9FBCD0"/>
              <w:bottom w:val="double" w:sz="4" w:space="0" w:color="3D5C57" w:themeColor="accent1"/>
              <w:right w:val="single" w:sz="4" w:space="0" w:color="9FBCD0"/>
            </w:tcBorders>
            <w:vAlign w:val="center"/>
          </w:tcPr>
          <w:p w14:paraId="5C116EFB" w14:textId="6A7DF023" w:rsidR="00320D71" w:rsidRPr="00320D71" w:rsidRDefault="00320D71" w:rsidP="00320D71">
            <w:pPr>
              <w:jc w:val="right"/>
              <w:rPr>
                <w:b/>
              </w:rPr>
            </w:pPr>
            <w:r w:rsidRPr="00320D71">
              <w:rPr>
                <w:b/>
              </w:rPr>
              <w:t xml:space="preserve">                  3,523 </w:t>
            </w:r>
          </w:p>
        </w:tc>
      </w:tr>
    </w:tbl>
    <w:p w14:paraId="2F61B762" w14:textId="77777777" w:rsidR="006673BB" w:rsidRDefault="006673BB" w:rsidP="006673BB">
      <w:pPr>
        <w:rPr>
          <w:rStyle w:val="Strong"/>
          <w:b w:val="0"/>
          <w:bCs w:val="0"/>
        </w:rPr>
      </w:pPr>
    </w:p>
    <w:p w14:paraId="346F2984" w14:textId="0AAD2499" w:rsidR="006673BB" w:rsidRPr="006673BB" w:rsidRDefault="006673BB" w:rsidP="006673BB">
      <w:pPr>
        <w:rPr>
          <w:lang w:eastAsia="en-AU"/>
        </w:rPr>
      </w:pPr>
      <w:r w:rsidRPr="006673BB">
        <w:rPr>
          <w:lang w:eastAsia="en-AU"/>
        </w:rPr>
        <w:t>See also note 2.2 'Schedule of Income and Expenses by Service'.</w:t>
      </w:r>
    </w:p>
    <w:p w14:paraId="3BC83732" w14:textId="1BCDEB51" w:rsidR="006673BB" w:rsidRDefault="006673BB">
      <w:pPr>
        <w:keepLines w:val="0"/>
        <w:spacing w:after="0" w:line="240" w:lineRule="auto"/>
        <w:rPr>
          <w:rFonts w:cs="Arial"/>
        </w:rPr>
      </w:pPr>
      <w:r>
        <w:rPr>
          <w:rFonts w:cs="Arial"/>
        </w:rPr>
        <w:br w:type="page"/>
      </w:r>
    </w:p>
    <w:p w14:paraId="45C94CE8" w14:textId="1B20EF5D" w:rsidR="009B1B3A" w:rsidRDefault="006673BB" w:rsidP="006673BB">
      <w:pPr>
        <w:pStyle w:val="Heading2nonumber"/>
      </w:pPr>
      <w:bookmarkStart w:id="750" w:name="_Toc525122147"/>
      <w:r>
        <w:t>Statement of Financial Position</w:t>
      </w:r>
      <w:bookmarkEnd w:id="750"/>
      <w:r>
        <w:t xml:space="preserve"> </w:t>
      </w:r>
    </w:p>
    <w:p w14:paraId="598B8791" w14:textId="6722046B" w:rsidR="006673BB" w:rsidRDefault="006673BB" w:rsidP="006673BB">
      <w:pPr>
        <w:rPr>
          <w:b/>
        </w:rPr>
      </w:pPr>
      <w:r>
        <w:rPr>
          <w:b/>
        </w:rPr>
        <w:t>For the year ended 30 June 2018</w:t>
      </w:r>
    </w:p>
    <w:tbl>
      <w:tblPr>
        <w:tblStyle w:val="TableGrid"/>
        <w:tblW w:w="9477" w:type="dxa"/>
        <w:tblLook w:val="04A0" w:firstRow="1" w:lastRow="0" w:firstColumn="1" w:lastColumn="0" w:noHBand="0" w:noVBand="1"/>
        <w:tblCaption w:val="Table: Statement of Financial Position"/>
        <w:tblDescription w:val="This table outlines WorkCover WA's financial position for the year 2017/18, and includes assets, liabilities, net assets and equity. "/>
      </w:tblPr>
      <w:tblGrid>
        <w:gridCol w:w="4957"/>
        <w:gridCol w:w="1559"/>
        <w:gridCol w:w="1559"/>
        <w:gridCol w:w="1402"/>
      </w:tblGrid>
      <w:tr w:rsidR="00BE5237" w14:paraId="4A8641E4" w14:textId="77777777" w:rsidTr="00F11774">
        <w:trPr>
          <w:trHeight w:val="860"/>
          <w:tblHeader/>
        </w:trPr>
        <w:tc>
          <w:tcPr>
            <w:tcW w:w="4957" w:type="dxa"/>
            <w:tcBorders>
              <w:top w:val="single" w:sz="4" w:space="0" w:color="9FBCD0"/>
              <w:left w:val="single" w:sz="4" w:space="0" w:color="9FBCD0"/>
              <w:bottom w:val="single" w:sz="4" w:space="0" w:color="9FBCD0"/>
              <w:right w:val="single" w:sz="4" w:space="0" w:color="9FBCD0"/>
            </w:tcBorders>
          </w:tcPr>
          <w:p w14:paraId="059D6758" w14:textId="77777777" w:rsidR="00BE5237" w:rsidRDefault="00BE5237" w:rsidP="006673BB"/>
        </w:tc>
        <w:tc>
          <w:tcPr>
            <w:tcW w:w="1559" w:type="dxa"/>
            <w:tcBorders>
              <w:top w:val="single" w:sz="4" w:space="0" w:color="9FBCD0"/>
              <w:left w:val="single" w:sz="4" w:space="0" w:color="9FBCD0"/>
              <w:bottom w:val="single" w:sz="4" w:space="0" w:color="9FBCD0"/>
              <w:right w:val="single" w:sz="4" w:space="0" w:color="9FBCD0"/>
            </w:tcBorders>
            <w:vAlign w:val="center"/>
          </w:tcPr>
          <w:p w14:paraId="029245AF" w14:textId="4354CF8D" w:rsidR="00BE5237" w:rsidRDefault="00BE5237" w:rsidP="00A21D39">
            <w:pPr>
              <w:jc w:val="center"/>
            </w:pPr>
            <w:r>
              <w:rPr>
                <w:rStyle w:val="Strong"/>
                <w:bCs w:val="0"/>
              </w:rPr>
              <w:t>Notes</w:t>
            </w:r>
          </w:p>
        </w:tc>
        <w:tc>
          <w:tcPr>
            <w:tcW w:w="1559"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087EC38" w14:textId="27AB31A9" w:rsidR="00BE5237" w:rsidRDefault="00BE5237" w:rsidP="00A21D39">
            <w:pPr>
              <w:jc w:val="right"/>
            </w:pPr>
            <w:r>
              <w:rPr>
                <w:rStyle w:val="Strong"/>
                <w:bCs w:val="0"/>
              </w:rPr>
              <w:t>2018</w:t>
            </w:r>
            <w:r>
              <w:rPr>
                <w:rStyle w:val="Strong"/>
                <w:bCs w:val="0"/>
              </w:rPr>
              <w:br/>
              <w:t>$000</w:t>
            </w:r>
          </w:p>
        </w:tc>
        <w:tc>
          <w:tcPr>
            <w:tcW w:w="1402"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97DE92D" w14:textId="6D9CE746" w:rsidR="00BE5237" w:rsidRDefault="00BE5237" w:rsidP="00A21D39">
            <w:pPr>
              <w:jc w:val="right"/>
            </w:pPr>
            <w:r>
              <w:rPr>
                <w:rStyle w:val="Strong"/>
                <w:bCs w:val="0"/>
              </w:rPr>
              <w:t>2017</w:t>
            </w:r>
            <w:r>
              <w:rPr>
                <w:rStyle w:val="Strong"/>
                <w:bCs w:val="0"/>
              </w:rPr>
              <w:br/>
              <w:t>$000</w:t>
            </w:r>
          </w:p>
        </w:tc>
      </w:tr>
      <w:tr w:rsidR="00BE5237" w14:paraId="76205F44"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tcPr>
          <w:p w14:paraId="1B9AB4ED" w14:textId="0B37FF95" w:rsidR="00BE5237" w:rsidRPr="006673BB" w:rsidRDefault="00BE5237" w:rsidP="006673BB">
            <w:pPr>
              <w:rPr>
                <w:b/>
              </w:rPr>
            </w:pPr>
            <w:r>
              <w:rPr>
                <w:b/>
              </w:rPr>
              <w:t>ASSETS</w:t>
            </w:r>
            <w:r>
              <w:rPr>
                <w:b/>
              </w:rPr>
              <w:br/>
              <w:t>Current Assets</w:t>
            </w:r>
          </w:p>
        </w:tc>
        <w:tc>
          <w:tcPr>
            <w:tcW w:w="1559" w:type="dxa"/>
            <w:tcBorders>
              <w:top w:val="single" w:sz="4" w:space="0" w:color="9FBCD0"/>
              <w:left w:val="single" w:sz="4" w:space="0" w:color="9FBCD0"/>
              <w:bottom w:val="single" w:sz="4" w:space="0" w:color="9FBCD0"/>
              <w:right w:val="single" w:sz="4" w:space="0" w:color="9FBCD0"/>
            </w:tcBorders>
          </w:tcPr>
          <w:p w14:paraId="191BAD8F" w14:textId="77777777" w:rsidR="00BE5237" w:rsidRDefault="00BE5237" w:rsidP="006673BB"/>
        </w:tc>
        <w:tc>
          <w:tcPr>
            <w:tcW w:w="1559" w:type="dxa"/>
            <w:tcBorders>
              <w:top w:val="single" w:sz="4" w:space="0" w:color="9FBCD0"/>
              <w:left w:val="single" w:sz="4" w:space="0" w:color="9FBCD0"/>
              <w:bottom w:val="single" w:sz="4" w:space="0" w:color="9FBCD0"/>
              <w:right w:val="single" w:sz="4" w:space="0" w:color="9FBCD0"/>
            </w:tcBorders>
          </w:tcPr>
          <w:p w14:paraId="55DE0909" w14:textId="77777777" w:rsidR="00BE5237" w:rsidRDefault="00BE5237" w:rsidP="006673BB"/>
        </w:tc>
        <w:tc>
          <w:tcPr>
            <w:tcW w:w="1402" w:type="dxa"/>
            <w:tcBorders>
              <w:top w:val="single" w:sz="4" w:space="0" w:color="9FBCD0"/>
              <w:left w:val="single" w:sz="4" w:space="0" w:color="9FBCD0"/>
              <w:bottom w:val="single" w:sz="4" w:space="0" w:color="9FBCD0"/>
              <w:right w:val="single" w:sz="4" w:space="0" w:color="9FBCD0"/>
            </w:tcBorders>
          </w:tcPr>
          <w:p w14:paraId="420D800D" w14:textId="77777777" w:rsidR="00BE5237" w:rsidRDefault="00BE5237" w:rsidP="006673BB"/>
        </w:tc>
      </w:tr>
      <w:tr w:rsidR="00BE5237" w14:paraId="1F4FC358"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52F3A9A4" w14:textId="3E635E40" w:rsidR="00BE5237" w:rsidRDefault="00BE5237" w:rsidP="006673BB">
            <w:r>
              <w:t>Cash and cash equivalents</w:t>
            </w:r>
          </w:p>
        </w:tc>
        <w:tc>
          <w:tcPr>
            <w:tcW w:w="1559" w:type="dxa"/>
            <w:tcBorders>
              <w:top w:val="single" w:sz="4" w:space="0" w:color="9FBCD0"/>
              <w:left w:val="single" w:sz="4" w:space="0" w:color="9FBCD0"/>
              <w:bottom w:val="single" w:sz="4" w:space="0" w:color="9FBCD0"/>
              <w:right w:val="single" w:sz="4" w:space="0" w:color="9FBCD0"/>
            </w:tcBorders>
            <w:vAlign w:val="bottom"/>
          </w:tcPr>
          <w:p w14:paraId="68BFCED2" w14:textId="05729B6C" w:rsidR="00BE5237" w:rsidRPr="006673BB" w:rsidRDefault="00BE5237" w:rsidP="006673BB">
            <w:pPr>
              <w:jc w:val="center"/>
              <w:rPr>
                <w:b/>
              </w:rPr>
            </w:pPr>
            <w:r w:rsidRPr="006673BB">
              <w:rPr>
                <w:b/>
              </w:rPr>
              <w:t>7.1</w:t>
            </w:r>
          </w:p>
        </w:tc>
        <w:tc>
          <w:tcPr>
            <w:tcW w:w="1559" w:type="dxa"/>
            <w:tcBorders>
              <w:top w:val="single" w:sz="4" w:space="0" w:color="9FBCD0"/>
              <w:left w:val="single" w:sz="4" w:space="0" w:color="9FBCD0"/>
              <w:bottom w:val="single" w:sz="4" w:space="0" w:color="9FBCD0"/>
              <w:right w:val="single" w:sz="4" w:space="0" w:color="9FBCD0"/>
            </w:tcBorders>
            <w:vAlign w:val="center"/>
          </w:tcPr>
          <w:p w14:paraId="216E2AC1" w14:textId="02381D20" w:rsidR="00BE5237" w:rsidRDefault="00BE5237" w:rsidP="006673BB">
            <w:pPr>
              <w:jc w:val="right"/>
            </w:pPr>
            <w:r>
              <w:t xml:space="preserve">                    8,157 </w:t>
            </w:r>
          </w:p>
        </w:tc>
        <w:tc>
          <w:tcPr>
            <w:tcW w:w="1402" w:type="dxa"/>
            <w:tcBorders>
              <w:top w:val="single" w:sz="4" w:space="0" w:color="9FBCD0"/>
              <w:left w:val="single" w:sz="4" w:space="0" w:color="9FBCD0"/>
              <w:bottom w:val="single" w:sz="4" w:space="0" w:color="9FBCD0"/>
              <w:right w:val="single" w:sz="4" w:space="0" w:color="9FBCD0"/>
            </w:tcBorders>
            <w:vAlign w:val="center"/>
          </w:tcPr>
          <w:p w14:paraId="1A6AE723" w14:textId="3DC208B3" w:rsidR="00BE5237" w:rsidRDefault="00BE5237" w:rsidP="006673BB">
            <w:pPr>
              <w:jc w:val="right"/>
            </w:pPr>
            <w:r>
              <w:t xml:space="preserve">                  10,580 </w:t>
            </w:r>
          </w:p>
        </w:tc>
      </w:tr>
      <w:tr w:rsidR="00BE5237" w14:paraId="7AF3796D"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5205CA8E" w14:textId="0523997E" w:rsidR="00BE5237" w:rsidRDefault="00BE5237" w:rsidP="006673BB">
            <w:r>
              <w:t>Restricted cash and cash equivalents</w:t>
            </w:r>
          </w:p>
        </w:tc>
        <w:tc>
          <w:tcPr>
            <w:tcW w:w="1559" w:type="dxa"/>
            <w:tcBorders>
              <w:top w:val="single" w:sz="4" w:space="0" w:color="9FBCD0"/>
              <w:left w:val="single" w:sz="4" w:space="0" w:color="9FBCD0"/>
              <w:bottom w:val="single" w:sz="4" w:space="0" w:color="9FBCD0"/>
              <w:right w:val="single" w:sz="4" w:space="0" w:color="9FBCD0"/>
            </w:tcBorders>
            <w:vAlign w:val="bottom"/>
          </w:tcPr>
          <w:p w14:paraId="43387D48" w14:textId="18C14139" w:rsidR="00BE5237" w:rsidRPr="006673BB" w:rsidRDefault="00BE5237" w:rsidP="006673BB">
            <w:pPr>
              <w:jc w:val="center"/>
              <w:rPr>
                <w:b/>
              </w:rPr>
            </w:pPr>
            <w:r w:rsidRPr="006673BB">
              <w:rPr>
                <w:b/>
              </w:rPr>
              <w:t>7.1</w:t>
            </w:r>
          </w:p>
        </w:tc>
        <w:tc>
          <w:tcPr>
            <w:tcW w:w="1559" w:type="dxa"/>
            <w:tcBorders>
              <w:top w:val="single" w:sz="4" w:space="0" w:color="9FBCD0"/>
              <w:left w:val="single" w:sz="4" w:space="0" w:color="9FBCD0"/>
              <w:bottom w:val="single" w:sz="4" w:space="0" w:color="9FBCD0"/>
              <w:right w:val="single" w:sz="4" w:space="0" w:color="9FBCD0"/>
            </w:tcBorders>
            <w:vAlign w:val="center"/>
          </w:tcPr>
          <w:p w14:paraId="692B08DF" w14:textId="12C1816B" w:rsidR="00BE5237" w:rsidRDefault="00BE5237" w:rsidP="006673BB">
            <w:pPr>
              <w:jc w:val="right"/>
            </w:pPr>
            <w:r>
              <w:t xml:space="preserve">                  86,625 </w:t>
            </w:r>
          </w:p>
        </w:tc>
        <w:tc>
          <w:tcPr>
            <w:tcW w:w="1402" w:type="dxa"/>
            <w:tcBorders>
              <w:top w:val="single" w:sz="4" w:space="0" w:color="9FBCD0"/>
              <w:left w:val="single" w:sz="4" w:space="0" w:color="9FBCD0"/>
              <w:bottom w:val="single" w:sz="4" w:space="0" w:color="9FBCD0"/>
              <w:right w:val="single" w:sz="4" w:space="0" w:color="9FBCD0"/>
            </w:tcBorders>
            <w:vAlign w:val="center"/>
          </w:tcPr>
          <w:p w14:paraId="33004B6C" w14:textId="248EAE07" w:rsidR="00BE5237" w:rsidRDefault="00BE5237" w:rsidP="006673BB">
            <w:pPr>
              <w:jc w:val="right"/>
            </w:pPr>
            <w:r>
              <w:t xml:space="preserve">                  85,742 </w:t>
            </w:r>
          </w:p>
        </w:tc>
      </w:tr>
      <w:tr w:rsidR="00BE5237" w14:paraId="30DA5A8D"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2AFE52B7" w14:textId="41C41AE4" w:rsidR="00BE5237" w:rsidRDefault="00BE5237" w:rsidP="006673BB">
            <w:r>
              <w:t>Receivables</w:t>
            </w:r>
          </w:p>
        </w:tc>
        <w:tc>
          <w:tcPr>
            <w:tcW w:w="1559" w:type="dxa"/>
            <w:tcBorders>
              <w:top w:val="single" w:sz="4" w:space="0" w:color="9FBCD0"/>
              <w:left w:val="single" w:sz="4" w:space="0" w:color="9FBCD0"/>
              <w:bottom w:val="single" w:sz="4" w:space="0" w:color="9FBCD0"/>
              <w:right w:val="single" w:sz="4" w:space="0" w:color="9FBCD0"/>
            </w:tcBorders>
            <w:vAlign w:val="bottom"/>
          </w:tcPr>
          <w:p w14:paraId="79B80B72" w14:textId="48EFEA05" w:rsidR="00BE5237" w:rsidRPr="006673BB" w:rsidRDefault="00BE5237" w:rsidP="006673BB">
            <w:pPr>
              <w:jc w:val="center"/>
              <w:rPr>
                <w:b/>
              </w:rPr>
            </w:pPr>
            <w:r w:rsidRPr="006673BB">
              <w:rPr>
                <w:b/>
              </w:rPr>
              <w:t>6.1</w:t>
            </w:r>
          </w:p>
        </w:tc>
        <w:tc>
          <w:tcPr>
            <w:tcW w:w="1559" w:type="dxa"/>
            <w:tcBorders>
              <w:top w:val="single" w:sz="4" w:space="0" w:color="9FBCD0"/>
              <w:left w:val="single" w:sz="4" w:space="0" w:color="9FBCD0"/>
              <w:bottom w:val="single" w:sz="4" w:space="0" w:color="9FBCD0"/>
              <w:right w:val="single" w:sz="4" w:space="0" w:color="9FBCD0"/>
            </w:tcBorders>
            <w:vAlign w:val="center"/>
          </w:tcPr>
          <w:p w14:paraId="249C13DE" w14:textId="5B52D293" w:rsidR="00BE5237" w:rsidRDefault="00BE5237" w:rsidP="006673BB">
            <w:pPr>
              <w:jc w:val="right"/>
            </w:pPr>
            <w:r>
              <w:t xml:space="preserve">                    1,278 </w:t>
            </w:r>
          </w:p>
        </w:tc>
        <w:tc>
          <w:tcPr>
            <w:tcW w:w="1402" w:type="dxa"/>
            <w:tcBorders>
              <w:top w:val="single" w:sz="4" w:space="0" w:color="9FBCD0"/>
              <w:left w:val="single" w:sz="4" w:space="0" w:color="9FBCD0"/>
              <w:bottom w:val="single" w:sz="4" w:space="0" w:color="9FBCD0"/>
              <w:right w:val="single" w:sz="4" w:space="0" w:color="9FBCD0"/>
            </w:tcBorders>
            <w:vAlign w:val="center"/>
          </w:tcPr>
          <w:p w14:paraId="12B30471" w14:textId="13653A4E" w:rsidR="00BE5237" w:rsidRDefault="00BE5237" w:rsidP="006673BB">
            <w:pPr>
              <w:jc w:val="right"/>
            </w:pPr>
            <w:r>
              <w:t xml:space="preserve">                    1,069 </w:t>
            </w:r>
          </w:p>
        </w:tc>
      </w:tr>
      <w:tr w:rsidR="00BE5237" w14:paraId="2612952D"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3C0961C6" w14:textId="1B486570" w:rsidR="00BE5237" w:rsidRDefault="00BE5237" w:rsidP="006673BB">
            <w:r>
              <w:t>Other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4EF8CC36" w14:textId="36F19224" w:rsidR="00BE5237" w:rsidRPr="006673BB" w:rsidRDefault="00BE5237" w:rsidP="006673BB">
            <w:pPr>
              <w:jc w:val="center"/>
              <w:rPr>
                <w:b/>
              </w:rPr>
            </w:pPr>
            <w:r w:rsidRPr="006673BB">
              <w:rPr>
                <w:b/>
              </w:rPr>
              <w:t>6.2</w:t>
            </w:r>
          </w:p>
        </w:tc>
        <w:tc>
          <w:tcPr>
            <w:tcW w:w="1559" w:type="dxa"/>
            <w:tcBorders>
              <w:top w:val="single" w:sz="4" w:space="0" w:color="9FBCD0"/>
              <w:left w:val="single" w:sz="4" w:space="0" w:color="9FBCD0"/>
              <w:bottom w:val="single" w:sz="4" w:space="0" w:color="9FBCD0"/>
              <w:right w:val="single" w:sz="4" w:space="0" w:color="9FBCD0"/>
            </w:tcBorders>
            <w:vAlign w:val="center"/>
          </w:tcPr>
          <w:p w14:paraId="39BF00F2" w14:textId="2D7A8134" w:rsidR="00BE5237" w:rsidRDefault="00BE5237" w:rsidP="006673BB">
            <w:pPr>
              <w:jc w:val="right"/>
            </w:pPr>
            <w:r>
              <w:t xml:space="preserve">                          83 </w:t>
            </w:r>
          </w:p>
        </w:tc>
        <w:tc>
          <w:tcPr>
            <w:tcW w:w="1402" w:type="dxa"/>
            <w:tcBorders>
              <w:top w:val="single" w:sz="4" w:space="0" w:color="9FBCD0"/>
              <w:left w:val="single" w:sz="4" w:space="0" w:color="9FBCD0"/>
              <w:bottom w:val="single" w:sz="4" w:space="0" w:color="9FBCD0"/>
              <w:right w:val="single" w:sz="4" w:space="0" w:color="9FBCD0"/>
            </w:tcBorders>
            <w:vAlign w:val="center"/>
          </w:tcPr>
          <w:p w14:paraId="6F9408C5" w14:textId="4FBB6A94" w:rsidR="00BE5237" w:rsidRDefault="00BE5237" w:rsidP="006673BB">
            <w:pPr>
              <w:jc w:val="right"/>
            </w:pPr>
            <w:r>
              <w:t xml:space="preserve">                          75 </w:t>
            </w:r>
          </w:p>
        </w:tc>
      </w:tr>
      <w:tr w:rsidR="00BE5237" w14:paraId="781EAF8E"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1AF38A17" w14:textId="43682D8A" w:rsidR="00BE5237" w:rsidRDefault="00BE5237" w:rsidP="00BE5237">
            <w:r>
              <w:t>Other financial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0C0557DF" w14:textId="6C803E20" w:rsidR="00BE5237" w:rsidRPr="006673BB" w:rsidRDefault="00BE5237" w:rsidP="006673BB">
            <w:pPr>
              <w:jc w:val="center"/>
              <w:rPr>
                <w:b/>
              </w:rPr>
            </w:pPr>
            <w:r w:rsidRPr="006673BB">
              <w:rPr>
                <w:b/>
              </w:rPr>
              <w:t>7.2</w:t>
            </w:r>
          </w:p>
        </w:tc>
        <w:tc>
          <w:tcPr>
            <w:tcW w:w="1559" w:type="dxa"/>
            <w:tcBorders>
              <w:top w:val="single" w:sz="4" w:space="0" w:color="9FBCD0"/>
              <w:left w:val="single" w:sz="4" w:space="0" w:color="9FBCD0"/>
              <w:bottom w:val="single" w:sz="12" w:space="0" w:color="auto"/>
              <w:right w:val="single" w:sz="4" w:space="0" w:color="9FBCD0"/>
            </w:tcBorders>
            <w:vAlign w:val="center"/>
          </w:tcPr>
          <w:p w14:paraId="4408AC60" w14:textId="63F47C91" w:rsidR="00BE5237" w:rsidRDefault="00BE5237" w:rsidP="006673BB">
            <w:pPr>
              <w:jc w:val="right"/>
            </w:pPr>
            <w:r>
              <w:t xml:space="preserve">                  18,024 </w:t>
            </w:r>
          </w:p>
        </w:tc>
        <w:tc>
          <w:tcPr>
            <w:tcW w:w="1402" w:type="dxa"/>
            <w:tcBorders>
              <w:top w:val="single" w:sz="4" w:space="0" w:color="9FBCD0"/>
              <w:left w:val="single" w:sz="4" w:space="0" w:color="9FBCD0"/>
              <w:bottom w:val="single" w:sz="12" w:space="0" w:color="auto"/>
              <w:right w:val="single" w:sz="4" w:space="0" w:color="9FBCD0"/>
            </w:tcBorders>
            <w:vAlign w:val="center"/>
          </w:tcPr>
          <w:p w14:paraId="1BC9B8B7" w14:textId="355BA77C" w:rsidR="00BE5237" w:rsidRDefault="00BE5237" w:rsidP="006673BB">
            <w:pPr>
              <w:jc w:val="right"/>
            </w:pPr>
            <w:r>
              <w:t xml:space="preserve">                  14,529 </w:t>
            </w:r>
          </w:p>
        </w:tc>
      </w:tr>
      <w:tr w:rsidR="00BE5237" w14:paraId="116D11D5"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2BAEE63C" w14:textId="1DB429FD" w:rsidR="00BE5237" w:rsidRPr="006673BB" w:rsidRDefault="00BE5237" w:rsidP="00BE5237">
            <w:pPr>
              <w:rPr>
                <w:b/>
              </w:rPr>
            </w:pPr>
            <w:r w:rsidRPr="006673BB">
              <w:rPr>
                <w:b/>
              </w:rPr>
              <w:t>Total Current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6FC35260" w14:textId="77777777" w:rsidR="00BE5237" w:rsidRPr="006673BB" w:rsidRDefault="00BE5237" w:rsidP="006673BB">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333C3120" w14:textId="23BBA348" w:rsidR="00BE5237" w:rsidRPr="006673BB" w:rsidRDefault="00BE5237" w:rsidP="006673BB">
            <w:pPr>
              <w:jc w:val="right"/>
              <w:rPr>
                <w:b/>
              </w:rPr>
            </w:pPr>
            <w:r w:rsidRPr="006673BB">
              <w:rPr>
                <w:b/>
              </w:rPr>
              <w:t xml:space="preserve">               114,167 </w:t>
            </w:r>
          </w:p>
        </w:tc>
        <w:tc>
          <w:tcPr>
            <w:tcW w:w="1402" w:type="dxa"/>
            <w:tcBorders>
              <w:top w:val="single" w:sz="12" w:space="0" w:color="auto"/>
              <w:left w:val="single" w:sz="4" w:space="0" w:color="9FBCD0"/>
              <w:bottom w:val="single" w:sz="12" w:space="0" w:color="auto"/>
              <w:right w:val="single" w:sz="4" w:space="0" w:color="9FBCD0"/>
            </w:tcBorders>
            <w:vAlign w:val="bottom"/>
          </w:tcPr>
          <w:p w14:paraId="27356308" w14:textId="7073C8DC" w:rsidR="00BE5237" w:rsidRPr="006673BB" w:rsidRDefault="00BE5237" w:rsidP="006673BB">
            <w:pPr>
              <w:jc w:val="right"/>
              <w:rPr>
                <w:b/>
              </w:rPr>
            </w:pPr>
            <w:r w:rsidRPr="006673BB">
              <w:rPr>
                <w:b/>
              </w:rPr>
              <w:t xml:space="preserve">               111,995 </w:t>
            </w:r>
          </w:p>
        </w:tc>
      </w:tr>
      <w:tr w:rsidR="00BE5237" w14:paraId="1A76E37A" w14:textId="77777777" w:rsidTr="00BE5237">
        <w:trPr>
          <w:trHeight w:val="548"/>
        </w:trPr>
        <w:tc>
          <w:tcPr>
            <w:tcW w:w="4957" w:type="dxa"/>
            <w:tcBorders>
              <w:top w:val="single" w:sz="4" w:space="0" w:color="9FBCD0"/>
              <w:left w:val="single" w:sz="4" w:space="0" w:color="9FBCD0"/>
              <w:bottom w:val="single" w:sz="4" w:space="0" w:color="9FBCD0"/>
              <w:right w:val="single" w:sz="4" w:space="0" w:color="9FBCD0"/>
            </w:tcBorders>
            <w:vAlign w:val="center"/>
          </w:tcPr>
          <w:p w14:paraId="6A256023" w14:textId="5F2D9441" w:rsidR="00BE5237" w:rsidRPr="006673BB" w:rsidRDefault="00BE5237" w:rsidP="00BE5237">
            <w:pPr>
              <w:rPr>
                <w:b/>
                <w:lang w:eastAsia="en-AU"/>
              </w:rPr>
            </w:pPr>
            <w:r w:rsidRPr="006673BB">
              <w:rPr>
                <w:b/>
              </w:rPr>
              <w:t>Non-Current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36E606F1" w14:textId="77777777" w:rsidR="00BE5237" w:rsidRPr="006673BB" w:rsidRDefault="00BE5237" w:rsidP="006673BB">
            <w:pPr>
              <w:rPr>
                <w:b/>
              </w:rPr>
            </w:pPr>
          </w:p>
        </w:tc>
        <w:tc>
          <w:tcPr>
            <w:tcW w:w="1559" w:type="dxa"/>
            <w:tcBorders>
              <w:top w:val="single" w:sz="12" w:space="0" w:color="auto"/>
              <w:left w:val="single" w:sz="4" w:space="0" w:color="9FBCD0"/>
              <w:bottom w:val="single" w:sz="4" w:space="0" w:color="9FBCD0"/>
              <w:right w:val="single" w:sz="4" w:space="0" w:color="9FBCD0"/>
            </w:tcBorders>
            <w:vAlign w:val="bottom"/>
          </w:tcPr>
          <w:p w14:paraId="31A5186E" w14:textId="77777777" w:rsidR="00BE5237" w:rsidRPr="006673BB" w:rsidRDefault="00BE5237" w:rsidP="006673BB">
            <w:pPr>
              <w:jc w:val="right"/>
              <w:rPr>
                <w:b/>
              </w:rPr>
            </w:pPr>
          </w:p>
        </w:tc>
        <w:tc>
          <w:tcPr>
            <w:tcW w:w="1402" w:type="dxa"/>
            <w:tcBorders>
              <w:top w:val="single" w:sz="12" w:space="0" w:color="auto"/>
              <w:left w:val="single" w:sz="4" w:space="0" w:color="9FBCD0"/>
              <w:bottom w:val="single" w:sz="4" w:space="0" w:color="9FBCD0"/>
              <w:right w:val="single" w:sz="4" w:space="0" w:color="9FBCD0"/>
            </w:tcBorders>
            <w:vAlign w:val="bottom"/>
          </w:tcPr>
          <w:p w14:paraId="25A6F560" w14:textId="77777777" w:rsidR="00BE5237" w:rsidRPr="006673BB" w:rsidRDefault="00BE5237" w:rsidP="006673BB">
            <w:pPr>
              <w:jc w:val="right"/>
              <w:rPr>
                <w:b/>
              </w:rPr>
            </w:pPr>
          </w:p>
        </w:tc>
      </w:tr>
      <w:tr w:rsidR="00BE5237" w14:paraId="6A9D6D7E"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20DA48A7" w14:textId="45AAD32C" w:rsidR="00BE5237" w:rsidRPr="006673BB" w:rsidRDefault="00BE5237" w:rsidP="00BE5237">
            <w:pPr>
              <w:rPr>
                <w:b/>
              </w:rPr>
            </w:pPr>
            <w:r>
              <w:t>Property, plant, equipment &amp; vehicles</w:t>
            </w:r>
          </w:p>
        </w:tc>
        <w:tc>
          <w:tcPr>
            <w:tcW w:w="1559" w:type="dxa"/>
            <w:tcBorders>
              <w:top w:val="single" w:sz="4" w:space="0" w:color="9FBCD0"/>
              <w:left w:val="single" w:sz="4" w:space="0" w:color="9FBCD0"/>
              <w:bottom w:val="single" w:sz="4" w:space="0" w:color="9FBCD0"/>
              <w:right w:val="single" w:sz="4" w:space="0" w:color="9FBCD0"/>
            </w:tcBorders>
            <w:vAlign w:val="bottom"/>
          </w:tcPr>
          <w:p w14:paraId="7121ECA2" w14:textId="45740BDC" w:rsidR="00BE5237" w:rsidRPr="006673BB" w:rsidRDefault="00BE5237" w:rsidP="006673BB">
            <w:pPr>
              <w:jc w:val="center"/>
              <w:rPr>
                <w:b/>
              </w:rPr>
            </w:pPr>
            <w:r>
              <w:rPr>
                <w:b/>
                <w:bCs/>
              </w:rPr>
              <w:t>5.1</w:t>
            </w:r>
          </w:p>
        </w:tc>
        <w:tc>
          <w:tcPr>
            <w:tcW w:w="1559" w:type="dxa"/>
            <w:tcBorders>
              <w:top w:val="single" w:sz="4" w:space="0" w:color="9FBCD0"/>
              <w:left w:val="single" w:sz="4" w:space="0" w:color="9FBCD0"/>
              <w:bottom w:val="single" w:sz="4" w:space="0" w:color="9FBCD0"/>
              <w:right w:val="single" w:sz="4" w:space="0" w:color="9FBCD0"/>
            </w:tcBorders>
            <w:vAlign w:val="center"/>
          </w:tcPr>
          <w:p w14:paraId="3D7FE502" w14:textId="0FF7DEB3" w:rsidR="00BE5237" w:rsidRPr="006673BB" w:rsidRDefault="00BE5237" w:rsidP="006673BB">
            <w:pPr>
              <w:jc w:val="right"/>
              <w:rPr>
                <w:b/>
              </w:rPr>
            </w:pPr>
            <w:r>
              <w:t xml:space="preserve">                  18,010 </w:t>
            </w:r>
          </w:p>
        </w:tc>
        <w:tc>
          <w:tcPr>
            <w:tcW w:w="1402" w:type="dxa"/>
            <w:tcBorders>
              <w:top w:val="single" w:sz="4" w:space="0" w:color="9FBCD0"/>
              <w:left w:val="single" w:sz="4" w:space="0" w:color="9FBCD0"/>
              <w:bottom w:val="single" w:sz="4" w:space="0" w:color="9FBCD0"/>
              <w:right w:val="single" w:sz="4" w:space="0" w:color="9FBCD0"/>
            </w:tcBorders>
            <w:vAlign w:val="center"/>
          </w:tcPr>
          <w:p w14:paraId="6E8155C4" w14:textId="33274275" w:rsidR="00BE5237" w:rsidRPr="006673BB" w:rsidRDefault="00BE5237" w:rsidP="006673BB">
            <w:pPr>
              <w:jc w:val="right"/>
              <w:rPr>
                <w:b/>
              </w:rPr>
            </w:pPr>
            <w:r>
              <w:t xml:space="preserve">                  17,782 </w:t>
            </w:r>
          </w:p>
        </w:tc>
      </w:tr>
      <w:tr w:rsidR="00BE5237" w14:paraId="04B3D556"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7080D032" w14:textId="042D5CA6" w:rsidR="00BE5237" w:rsidRPr="006673BB" w:rsidRDefault="00BE5237" w:rsidP="00BE5237">
            <w:pPr>
              <w:rPr>
                <w:b/>
              </w:rPr>
            </w:pPr>
            <w:r>
              <w:t>Intangible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18C01018" w14:textId="5B47ED1F" w:rsidR="00BE5237" w:rsidRPr="006673BB" w:rsidRDefault="00BE5237" w:rsidP="006673BB">
            <w:pPr>
              <w:jc w:val="center"/>
              <w:rPr>
                <w:b/>
              </w:rPr>
            </w:pPr>
            <w:r>
              <w:rPr>
                <w:b/>
                <w:bCs/>
              </w:rPr>
              <w:t>5.2</w:t>
            </w:r>
          </w:p>
        </w:tc>
        <w:tc>
          <w:tcPr>
            <w:tcW w:w="1559" w:type="dxa"/>
            <w:tcBorders>
              <w:top w:val="single" w:sz="4" w:space="0" w:color="9FBCD0"/>
              <w:left w:val="single" w:sz="4" w:space="0" w:color="9FBCD0"/>
              <w:bottom w:val="single" w:sz="12" w:space="0" w:color="auto"/>
              <w:right w:val="single" w:sz="4" w:space="0" w:color="9FBCD0"/>
            </w:tcBorders>
            <w:vAlign w:val="center"/>
          </w:tcPr>
          <w:p w14:paraId="1B361B00" w14:textId="7160AD87" w:rsidR="00BE5237" w:rsidRPr="006673BB" w:rsidRDefault="00BE5237" w:rsidP="006673BB">
            <w:pPr>
              <w:jc w:val="right"/>
              <w:rPr>
                <w:b/>
              </w:rPr>
            </w:pPr>
            <w:r>
              <w:t xml:space="preserve">                    2,037 </w:t>
            </w:r>
          </w:p>
        </w:tc>
        <w:tc>
          <w:tcPr>
            <w:tcW w:w="1402" w:type="dxa"/>
            <w:tcBorders>
              <w:top w:val="single" w:sz="4" w:space="0" w:color="9FBCD0"/>
              <w:left w:val="single" w:sz="4" w:space="0" w:color="9FBCD0"/>
              <w:bottom w:val="single" w:sz="12" w:space="0" w:color="auto"/>
              <w:right w:val="single" w:sz="4" w:space="0" w:color="9FBCD0"/>
            </w:tcBorders>
            <w:vAlign w:val="center"/>
          </w:tcPr>
          <w:p w14:paraId="05B67DE9" w14:textId="24EE0A22" w:rsidR="00BE5237" w:rsidRPr="006673BB" w:rsidRDefault="00BE5237" w:rsidP="006673BB">
            <w:pPr>
              <w:jc w:val="right"/>
              <w:rPr>
                <w:b/>
              </w:rPr>
            </w:pPr>
            <w:r>
              <w:t xml:space="preserve">                    2,485 </w:t>
            </w:r>
          </w:p>
        </w:tc>
      </w:tr>
      <w:tr w:rsidR="00BE5237" w14:paraId="78750A78" w14:textId="77777777" w:rsidTr="00BE5237">
        <w:trPr>
          <w:trHeight w:val="875"/>
        </w:trPr>
        <w:tc>
          <w:tcPr>
            <w:tcW w:w="4957" w:type="dxa"/>
            <w:tcBorders>
              <w:top w:val="single" w:sz="4" w:space="0" w:color="9FBCD0"/>
              <w:left w:val="single" w:sz="4" w:space="0" w:color="9FBCD0"/>
              <w:bottom w:val="single" w:sz="4" w:space="0" w:color="9FBCD0"/>
              <w:right w:val="single" w:sz="4" w:space="0" w:color="9FBCD0"/>
            </w:tcBorders>
            <w:vAlign w:val="center"/>
          </w:tcPr>
          <w:p w14:paraId="6873D5FE" w14:textId="3AECD4FF" w:rsidR="00BE5237" w:rsidRPr="006673BB" w:rsidRDefault="00BE5237" w:rsidP="00BE5237">
            <w:pPr>
              <w:rPr>
                <w:b/>
              </w:rPr>
            </w:pPr>
            <w:r w:rsidRPr="006673BB">
              <w:rPr>
                <w:b/>
              </w:rPr>
              <w:t>Total Non-Current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3EE55E25" w14:textId="77777777" w:rsidR="00BE5237" w:rsidRPr="006673BB" w:rsidRDefault="00BE5237" w:rsidP="006673BB">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0059885D" w14:textId="2AB3FC80" w:rsidR="00BE5237" w:rsidRPr="006673BB" w:rsidRDefault="00BE5237" w:rsidP="006673BB">
            <w:pPr>
              <w:jc w:val="right"/>
              <w:rPr>
                <w:b/>
              </w:rPr>
            </w:pPr>
            <w:r w:rsidRPr="006673BB">
              <w:rPr>
                <w:b/>
              </w:rPr>
              <w:t xml:space="preserve">                  20,047 </w:t>
            </w:r>
          </w:p>
        </w:tc>
        <w:tc>
          <w:tcPr>
            <w:tcW w:w="1402" w:type="dxa"/>
            <w:tcBorders>
              <w:top w:val="single" w:sz="12" w:space="0" w:color="auto"/>
              <w:left w:val="single" w:sz="4" w:space="0" w:color="9FBCD0"/>
              <w:bottom w:val="single" w:sz="12" w:space="0" w:color="auto"/>
              <w:right w:val="single" w:sz="4" w:space="0" w:color="9FBCD0"/>
            </w:tcBorders>
            <w:vAlign w:val="bottom"/>
          </w:tcPr>
          <w:p w14:paraId="05D0FFE0" w14:textId="55EA8760" w:rsidR="00BE5237" w:rsidRPr="006673BB" w:rsidRDefault="00BE5237" w:rsidP="006673BB">
            <w:pPr>
              <w:jc w:val="right"/>
              <w:rPr>
                <w:b/>
              </w:rPr>
            </w:pPr>
            <w:r w:rsidRPr="006673BB">
              <w:rPr>
                <w:b/>
              </w:rPr>
              <w:t xml:space="preserve">                  20,267 </w:t>
            </w:r>
          </w:p>
        </w:tc>
      </w:tr>
      <w:tr w:rsidR="00BE5237" w14:paraId="678FAC5A"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54C05DFC" w14:textId="4AF49CE0" w:rsidR="00BE5237" w:rsidRPr="000754A9" w:rsidRDefault="00BE5237" w:rsidP="00BE5237">
            <w:pPr>
              <w:rPr>
                <w:b/>
              </w:rPr>
            </w:pPr>
            <w:r w:rsidRPr="000754A9">
              <w:rPr>
                <w:b/>
              </w:rPr>
              <w:t>Total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72E280FC" w14:textId="77777777" w:rsidR="00BE5237" w:rsidRPr="000754A9" w:rsidRDefault="00BE5237" w:rsidP="000754A9">
            <w:pPr>
              <w:rPr>
                <w:b/>
              </w:rPr>
            </w:pPr>
          </w:p>
        </w:tc>
        <w:tc>
          <w:tcPr>
            <w:tcW w:w="1559" w:type="dxa"/>
            <w:tcBorders>
              <w:top w:val="single" w:sz="12" w:space="0" w:color="auto"/>
              <w:left w:val="single" w:sz="4" w:space="0" w:color="9FBCD0"/>
              <w:bottom w:val="double" w:sz="4" w:space="0" w:color="3D5C57" w:themeColor="accent1"/>
              <w:right w:val="single" w:sz="4" w:space="0" w:color="9FBCD0"/>
            </w:tcBorders>
            <w:vAlign w:val="bottom"/>
          </w:tcPr>
          <w:p w14:paraId="767B27B9" w14:textId="25332407" w:rsidR="00BE5237" w:rsidRPr="000754A9" w:rsidRDefault="00BE5237" w:rsidP="000754A9">
            <w:pPr>
              <w:jc w:val="right"/>
              <w:rPr>
                <w:b/>
              </w:rPr>
            </w:pPr>
            <w:r w:rsidRPr="000754A9">
              <w:rPr>
                <w:b/>
              </w:rPr>
              <w:t xml:space="preserve">               134,214 </w:t>
            </w:r>
          </w:p>
        </w:tc>
        <w:tc>
          <w:tcPr>
            <w:tcW w:w="1402" w:type="dxa"/>
            <w:tcBorders>
              <w:top w:val="single" w:sz="12" w:space="0" w:color="auto"/>
              <w:left w:val="single" w:sz="4" w:space="0" w:color="9FBCD0"/>
              <w:bottom w:val="double" w:sz="4" w:space="0" w:color="3D5C57" w:themeColor="accent1"/>
              <w:right w:val="single" w:sz="4" w:space="0" w:color="9FBCD0"/>
            </w:tcBorders>
            <w:vAlign w:val="bottom"/>
          </w:tcPr>
          <w:p w14:paraId="6DAFDEDD" w14:textId="35F9F48A" w:rsidR="00BE5237" w:rsidRPr="000754A9" w:rsidRDefault="00BE5237" w:rsidP="000754A9">
            <w:pPr>
              <w:jc w:val="right"/>
              <w:rPr>
                <w:b/>
              </w:rPr>
            </w:pPr>
            <w:r w:rsidRPr="000754A9">
              <w:rPr>
                <w:b/>
              </w:rPr>
              <w:t xml:space="preserve">               132,262 </w:t>
            </w:r>
          </w:p>
        </w:tc>
      </w:tr>
      <w:tr w:rsidR="00BE5237" w14:paraId="2E67FD18"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center"/>
          </w:tcPr>
          <w:p w14:paraId="61445EF9" w14:textId="71E22B8E" w:rsidR="00BE5237" w:rsidRPr="000754A9" w:rsidRDefault="00BE5237" w:rsidP="00BE5237">
            <w:pPr>
              <w:rPr>
                <w:b/>
                <w:lang w:eastAsia="en-AU"/>
              </w:rPr>
            </w:pPr>
            <w:r w:rsidRPr="000754A9">
              <w:rPr>
                <w:b/>
              </w:rPr>
              <w:t>LIABILITIES</w:t>
            </w:r>
            <w:r>
              <w:rPr>
                <w:b/>
                <w:lang w:eastAsia="en-AU"/>
              </w:rPr>
              <w:br/>
            </w:r>
            <w:r>
              <w:rPr>
                <w:b/>
              </w:rPr>
              <w:t>Current Liabilities</w:t>
            </w:r>
          </w:p>
        </w:tc>
        <w:tc>
          <w:tcPr>
            <w:tcW w:w="1559" w:type="dxa"/>
            <w:tcBorders>
              <w:top w:val="single" w:sz="4" w:space="0" w:color="9FBCD0"/>
              <w:left w:val="single" w:sz="4" w:space="0" w:color="9FBCD0"/>
              <w:bottom w:val="single" w:sz="4" w:space="0" w:color="9FBCD0"/>
              <w:right w:val="single" w:sz="4" w:space="0" w:color="9FBCD0"/>
            </w:tcBorders>
            <w:vAlign w:val="bottom"/>
          </w:tcPr>
          <w:p w14:paraId="16FC72EA" w14:textId="77777777" w:rsidR="00BE5237" w:rsidRPr="000754A9" w:rsidRDefault="00BE5237" w:rsidP="000754A9">
            <w:pPr>
              <w:rPr>
                <w:b/>
              </w:rPr>
            </w:pPr>
          </w:p>
        </w:tc>
        <w:tc>
          <w:tcPr>
            <w:tcW w:w="1559" w:type="dxa"/>
            <w:tcBorders>
              <w:top w:val="double" w:sz="4" w:space="0" w:color="3D5C57" w:themeColor="accent1"/>
              <w:left w:val="single" w:sz="4" w:space="0" w:color="9FBCD0"/>
              <w:bottom w:val="single" w:sz="4" w:space="0" w:color="9FBCD0"/>
              <w:right w:val="single" w:sz="4" w:space="0" w:color="9FBCD0"/>
            </w:tcBorders>
            <w:vAlign w:val="bottom"/>
          </w:tcPr>
          <w:p w14:paraId="6DD14988" w14:textId="77777777" w:rsidR="00BE5237" w:rsidRPr="000754A9" w:rsidRDefault="00BE5237" w:rsidP="000754A9">
            <w:pPr>
              <w:jc w:val="right"/>
              <w:rPr>
                <w:b/>
              </w:rPr>
            </w:pPr>
          </w:p>
        </w:tc>
        <w:tc>
          <w:tcPr>
            <w:tcW w:w="1402" w:type="dxa"/>
            <w:tcBorders>
              <w:top w:val="double" w:sz="4" w:space="0" w:color="3D5C57" w:themeColor="accent1"/>
              <w:left w:val="single" w:sz="4" w:space="0" w:color="9FBCD0"/>
              <w:bottom w:val="single" w:sz="4" w:space="0" w:color="9FBCD0"/>
              <w:right w:val="single" w:sz="4" w:space="0" w:color="9FBCD0"/>
            </w:tcBorders>
            <w:vAlign w:val="bottom"/>
          </w:tcPr>
          <w:p w14:paraId="10FECE09" w14:textId="77777777" w:rsidR="00BE5237" w:rsidRPr="000754A9" w:rsidRDefault="00BE5237" w:rsidP="000754A9">
            <w:pPr>
              <w:jc w:val="right"/>
              <w:rPr>
                <w:b/>
              </w:rPr>
            </w:pPr>
          </w:p>
        </w:tc>
      </w:tr>
      <w:tr w:rsidR="00BE5237" w14:paraId="0BA75896"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5532ABC5" w14:textId="5D348AEE" w:rsidR="00BE5237" w:rsidRPr="000754A9" w:rsidRDefault="00BE5237" w:rsidP="000754A9">
            <w:pPr>
              <w:rPr>
                <w:b/>
              </w:rPr>
            </w:pPr>
            <w:r>
              <w:t xml:space="preserve">Payables </w:t>
            </w:r>
          </w:p>
        </w:tc>
        <w:tc>
          <w:tcPr>
            <w:tcW w:w="1559" w:type="dxa"/>
            <w:tcBorders>
              <w:top w:val="single" w:sz="4" w:space="0" w:color="9FBCD0"/>
              <w:left w:val="single" w:sz="4" w:space="0" w:color="9FBCD0"/>
              <w:bottom w:val="single" w:sz="4" w:space="0" w:color="9FBCD0"/>
              <w:right w:val="single" w:sz="4" w:space="0" w:color="9FBCD0"/>
            </w:tcBorders>
            <w:vAlign w:val="bottom"/>
          </w:tcPr>
          <w:p w14:paraId="13F478B7" w14:textId="43C2BB0E" w:rsidR="00BE5237" w:rsidRPr="000754A9" w:rsidRDefault="00BE5237" w:rsidP="000754A9">
            <w:pPr>
              <w:jc w:val="center"/>
              <w:rPr>
                <w:b/>
              </w:rPr>
            </w:pPr>
            <w:r>
              <w:rPr>
                <w:b/>
                <w:bCs/>
              </w:rPr>
              <w:t>6.3</w:t>
            </w:r>
          </w:p>
        </w:tc>
        <w:tc>
          <w:tcPr>
            <w:tcW w:w="1559" w:type="dxa"/>
            <w:tcBorders>
              <w:top w:val="single" w:sz="4" w:space="0" w:color="9FBCD0"/>
              <w:left w:val="single" w:sz="4" w:space="0" w:color="9FBCD0"/>
              <w:bottom w:val="single" w:sz="4" w:space="0" w:color="9FBCD0"/>
              <w:right w:val="single" w:sz="4" w:space="0" w:color="9FBCD0"/>
            </w:tcBorders>
            <w:vAlign w:val="bottom"/>
          </w:tcPr>
          <w:p w14:paraId="24C7C2BF" w14:textId="208EE5D3" w:rsidR="00BE5237" w:rsidRPr="000754A9" w:rsidRDefault="00BE5237" w:rsidP="000754A9">
            <w:pPr>
              <w:jc w:val="right"/>
              <w:rPr>
                <w:b/>
              </w:rPr>
            </w:pPr>
            <w:r>
              <w:t xml:space="preserve">                    1,340 </w:t>
            </w:r>
          </w:p>
        </w:tc>
        <w:tc>
          <w:tcPr>
            <w:tcW w:w="1402" w:type="dxa"/>
            <w:tcBorders>
              <w:top w:val="single" w:sz="4" w:space="0" w:color="9FBCD0"/>
              <w:left w:val="single" w:sz="4" w:space="0" w:color="9FBCD0"/>
              <w:bottom w:val="single" w:sz="4" w:space="0" w:color="9FBCD0"/>
              <w:right w:val="single" w:sz="4" w:space="0" w:color="9FBCD0"/>
            </w:tcBorders>
            <w:vAlign w:val="bottom"/>
          </w:tcPr>
          <w:p w14:paraId="1E86F10E" w14:textId="25138C0C" w:rsidR="00BE5237" w:rsidRPr="000754A9" w:rsidRDefault="00BE5237" w:rsidP="000754A9">
            <w:pPr>
              <w:jc w:val="right"/>
              <w:rPr>
                <w:b/>
              </w:rPr>
            </w:pPr>
            <w:r>
              <w:t xml:space="preserve">                       804 </w:t>
            </w:r>
          </w:p>
        </w:tc>
      </w:tr>
      <w:tr w:rsidR="00BE5237" w14:paraId="5246B318"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0F868D0D" w14:textId="175017C7" w:rsidR="00BE5237" w:rsidRPr="000754A9" w:rsidRDefault="00BE5237" w:rsidP="000754A9">
            <w:pPr>
              <w:rPr>
                <w:b/>
              </w:rPr>
            </w:pPr>
            <w:r>
              <w:t>Provisions</w:t>
            </w:r>
          </w:p>
        </w:tc>
        <w:tc>
          <w:tcPr>
            <w:tcW w:w="1559" w:type="dxa"/>
            <w:tcBorders>
              <w:top w:val="single" w:sz="4" w:space="0" w:color="9FBCD0"/>
              <w:left w:val="single" w:sz="4" w:space="0" w:color="9FBCD0"/>
              <w:bottom w:val="single" w:sz="4" w:space="0" w:color="9FBCD0"/>
              <w:right w:val="single" w:sz="4" w:space="0" w:color="9FBCD0"/>
            </w:tcBorders>
            <w:vAlign w:val="bottom"/>
          </w:tcPr>
          <w:p w14:paraId="37DDE232" w14:textId="76ACDB5F" w:rsidR="00BE5237" w:rsidRPr="000754A9" w:rsidRDefault="00BE5237" w:rsidP="000754A9">
            <w:pPr>
              <w:jc w:val="center"/>
              <w:rPr>
                <w:b/>
              </w:rPr>
            </w:pPr>
            <w:r>
              <w:rPr>
                <w:b/>
                <w:bCs/>
              </w:rPr>
              <w:t>4.1,4.3</w:t>
            </w:r>
          </w:p>
        </w:tc>
        <w:tc>
          <w:tcPr>
            <w:tcW w:w="1559" w:type="dxa"/>
            <w:tcBorders>
              <w:top w:val="single" w:sz="4" w:space="0" w:color="9FBCD0"/>
              <w:left w:val="single" w:sz="4" w:space="0" w:color="9FBCD0"/>
              <w:bottom w:val="single" w:sz="12" w:space="0" w:color="auto"/>
              <w:right w:val="single" w:sz="4" w:space="0" w:color="9FBCD0"/>
            </w:tcBorders>
            <w:vAlign w:val="bottom"/>
          </w:tcPr>
          <w:p w14:paraId="563B7406" w14:textId="6068C08C" w:rsidR="00BE5237" w:rsidRPr="000754A9" w:rsidRDefault="00BE5237" w:rsidP="000754A9">
            <w:pPr>
              <w:jc w:val="right"/>
              <w:rPr>
                <w:b/>
              </w:rPr>
            </w:pPr>
            <w:r>
              <w:t xml:space="preserve">                    7,901 </w:t>
            </w:r>
          </w:p>
        </w:tc>
        <w:tc>
          <w:tcPr>
            <w:tcW w:w="1402" w:type="dxa"/>
            <w:tcBorders>
              <w:top w:val="single" w:sz="4" w:space="0" w:color="9FBCD0"/>
              <w:left w:val="single" w:sz="4" w:space="0" w:color="9FBCD0"/>
              <w:bottom w:val="single" w:sz="12" w:space="0" w:color="auto"/>
              <w:right w:val="single" w:sz="4" w:space="0" w:color="9FBCD0"/>
            </w:tcBorders>
            <w:vAlign w:val="bottom"/>
          </w:tcPr>
          <w:p w14:paraId="41DEFE8B" w14:textId="2DAFB093" w:rsidR="00BE5237" w:rsidRPr="000754A9" w:rsidRDefault="00BE5237" w:rsidP="000754A9">
            <w:pPr>
              <w:jc w:val="right"/>
              <w:rPr>
                <w:b/>
              </w:rPr>
            </w:pPr>
            <w:r>
              <w:t xml:space="preserve">                    5,756 </w:t>
            </w:r>
          </w:p>
        </w:tc>
      </w:tr>
      <w:tr w:rsidR="00BE5237" w14:paraId="655DABC7"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001B7835" w14:textId="5A4789B0" w:rsidR="00BE5237" w:rsidRPr="000754A9" w:rsidRDefault="00BE5237" w:rsidP="000754A9">
            <w:pPr>
              <w:rPr>
                <w:b/>
              </w:rPr>
            </w:pPr>
            <w:r w:rsidRPr="000754A9">
              <w:rPr>
                <w:b/>
              </w:rPr>
              <w:t>Total Current Liabilities</w:t>
            </w:r>
          </w:p>
        </w:tc>
        <w:tc>
          <w:tcPr>
            <w:tcW w:w="1559" w:type="dxa"/>
            <w:tcBorders>
              <w:top w:val="single" w:sz="4" w:space="0" w:color="9FBCD0"/>
              <w:left w:val="single" w:sz="4" w:space="0" w:color="9FBCD0"/>
              <w:bottom w:val="single" w:sz="4" w:space="0" w:color="9FBCD0"/>
              <w:right w:val="single" w:sz="4" w:space="0" w:color="9FBCD0"/>
            </w:tcBorders>
            <w:vAlign w:val="bottom"/>
          </w:tcPr>
          <w:p w14:paraId="38DF3AC8" w14:textId="77777777" w:rsidR="00BE5237" w:rsidRPr="000754A9" w:rsidRDefault="00BE5237" w:rsidP="000754A9">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66DEE6F8" w14:textId="057A0334" w:rsidR="00BE5237" w:rsidRPr="000754A9" w:rsidRDefault="00BE5237" w:rsidP="000754A9">
            <w:pPr>
              <w:jc w:val="right"/>
              <w:rPr>
                <w:b/>
              </w:rPr>
            </w:pPr>
            <w:r w:rsidRPr="000754A9">
              <w:rPr>
                <w:b/>
              </w:rPr>
              <w:t xml:space="preserve">                    9,241 </w:t>
            </w:r>
          </w:p>
        </w:tc>
        <w:tc>
          <w:tcPr>
            <w:tcW w:w="1402" w:type="dxa"/>
            <w:tcBorders>
              <w:top w:val="single" w:sz="12" w:space="0" w:color="auto"/>
              <w:left w:val="single" w:sz="4" w:space="0" w:color="9FBCD0"/>
              <w:bottom w:val="single" w:sz="12" w:space="0" w:color="auto"/>
              <w:right w:val="single" w:sz="4" w:space="0" w:color="9FBCD0"/>
            </w:tcBorders>
            <w:vAlign w:val="bottom"/>
          </w:tcPr>
          <w:p w14:paraId="104F97EE" w14:textId="34D98256" w:rsidR="00BE5237" w:rsidRPr="000754A9" w:rsidRDefault="00BE5237" w:rsidP="000754A9">
            <w:pPr>
              <w:jc w:val="right"/>
              <w:rPr>
                <w:b/>
              </w:rPr>
            </w:pPr>
            <w:r w:rsidRPr="000754A9">
              <w:rPr>
                <w:b/>
              </w:rPr>
              <w:t xml:space="preserve">                    6,560 </w:t>
            </w:r>
          </w:p>
        </w:tc>
      </w:tr>
      <w:tr w:rsidR="00BE5237" w14:paraId="3507E7A8" w14:textId="77777777" w:rsidTr="00BE5237">
        <w:trPr>
          <w:trHeight w:val="875"/>
        </w:trPr>
        <w:tc>
          <w:tcPr>
            <w:tcW w:w="4957" w:type="dxa"/>
            <w:tcBorders>
              <w:top w:val="single" w:sz="4" w:space="0" w:color="9FBCD0"/>
              <w:left w:val="single" w:sz="4" w:space="0" w:color="9FBCD0"/>
              <w:bottom w:val="single" w:sz="4" w:space="0" w:color="9FBCD0"/>
              <w:right w:val="single" w:sz="4" w:space="0" w:color="9FBCD0"/>
            </w:tcBorders>
            <w:vAlign w:val="bottom"/>
          </w:tcPr>
          <w:p w14:paraId="1D560390" w14:textId="40AED1B6" w:rsidR="00BE5237" w:rsidRPr="000754A9" w:rsidRDefault="00BE5237" w:rsidP="000754A9">
            <w:pPr>
              <w:rPr>
                <w:b/>
                <w:lang w:eastAsia="en-AU"/>
              </w:rPr>
            </w:pPr>
            <w:r w:rsidRPr="000754A9">
              <w:rPr>
                <w:b/>
              </w:rPr>
              <w:t>Non-Current Liabilities</w:t>
            </w:r>
          </w:p>
        </w:tc>
        <w:tc>
          <w:tcPr>
            <w:tcW w:w="1559" w:type="dxa"/>
            <w:tcBorders>
              <w:top w:val="single" w:sz="4" w:space="0" w:color="9FBCD0"/>
              <w:left w:val="single" w:sz="4" w:space="0" w:color="9FBCD0"/>
              <w:bottom w:val="single" w:sz="4" w:space="0" w:color="9FBCD0"/>
              <w:right w:val="single" w:sz="4" w:space="0" w:color="9FBCD0"/>
            </w:tcBorders>
            <w:vAlign w:val="bottom"/>
          </w:tcPr>
          <w:p w14:paraId="07D3647D" w14:textId="77777777" w:rsidR="00BE5237" w:rsidRPr="000754A9" w:rsidRDefault="00BE5237" w:rsidP="000754A9">
            <w:pPr>
              <w:rPr>
                <w:b/>
              </w:rPr>
            </w:pPr>
          </w:p>
        </w:tc>
        <w:tc>
          <w:tcPr>
            <w:tcW w:w="1559" w:type="dxa"/>
            <w:tcBorders>
              <w:top w:val="single" w:sz="12" w:space="0" w:color="auto"/>
              <w:left w:val="single" w:sz="4" w:space="0" w:color="9FBCD0"/>
              <w:bottom w:val="single" w:sz="4" w:space="0" w:color="9FBCD0"/>
              <w:right w:val="single" w:sz="4" w:space="0" w:color="9FBCD0"/>
            </w:tcBorders>
            <w:vAlign w:val="bottom"/>
          </w:tcPr>
          <w:p w14:paraId="53C2B33A" w14:textId="77777777" w:rsidR="00BE5237" w:rsidRPr="000754A9" w:rsidRDefault="00BE5237" w:rsidP="000754A9">
            <w:pPr>
              <w:jc w:val="right"/>
              <w:rPr>
                <w:b/>
              </w:rPr>
            </w:pPr>
          </w:p>
        </w:tc>
        <w:tc>
          <w:tcPr>
            <w:tcW w:w="1402" w:type="dxa"/>
            <w:tcBorders>
              <w:top w:val="single" w:sz="12" w:space="0" w:color="auto"/>
              <w:left w:val="single" w:sz="4" w:space="0" w:color="9FBCD0"/>
              <w:bottom w:val="single" w:sz="4" w:space="0" w:color="9FBCD0"/>
              <w:right w:val="single" w:sz="4" w:space="0" w:color="9FBCD0"/>
            </w:tcBorders>
            <w:vAlign w:val="bottom"/>
          </w:tcPr>
          <w:p w14:paraId="6F628B2A" w14:textId="77777777" w:rsidR="00BE5237" w:rsidRPr="000754A9" w:rsidRDefault="00BE5237" w:rsidP="000754A9">
            <w:pPr>
              <w:jc w:val="right"/>
              <w:rPr>
                <w:b/>
              </w:rPr>
            </w:pPr>
          </w:p>
        </w:tc>
      </w:tr>
      <w:tr w:rsidR="00BE5237" w14:paraId="375BD6BB"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067D5629" w14:textId="6FBD3FE4" w:rsidR="00BE5237" w:rsidRPr="000754A9" w:rsidRDefault="00BE5237" w:rsidP="000754A9">
            <w:pPr>
              <w:rPr>
                <w:b/>
              </w:rPr>
            </w:pPr>
            <w:r>
              <w:t>Provisions</w:t>
            </w:r>
          </w:p>
        </w:tc>
        <w:tc>
          <w:tcPr>
            <w:tcW w:w="1559" w:type="dxa"/>
            <w:tcBorders>
              <w:top w:val="single" w:sz="4" w:space="0" w:color="9FBCD0"/>
              <w:left w:val="single" w:sz="4" w:space="0" w:color="9FBCD0"/>
              <w:bottom w:val="single" w:sz="4" w:space="0" w:color="9FBCD0"/>
              <w:right w:val="single" w:sz="4" w:space="0" w:color="9FBCD0"/>
            </w:tcBorders>
            <w:vAlign w:val="bottom"/>
          </w:tcPr>
          <w:p w14:paraId="115F08A9" w14:textId="4A490005" w:rsidR="00BE5237" w:rsidRPr="000754A9" w:rsidRDefault="00BE5237" w:rsidP="000754A9">
            <w:pPr>
              <w:jc w:val="center"/>
              <w:rPr>
                <w:b/>
              </w:rPr>
            </w:pPr>
            <w:r>
              <w:rPr>
                <w:b/>
                <w:bCs/>
              </w:rPr>
              <w:t>4.1,4.3</w:t>
            </w:r>
          </w:p>
        </w:tc>
        <w:tc>
          <w:tcPr>
            <w:tcW w:w="1559" w:type="dxa"/>
            <w:tcBorders>
              <w:top w:val="single" w:sz="4" w:space="0" w:color="9FBCD0"/>
              <w:left w:val="single" w:sz="4" w:space="0" w:color="9FBCD0"/>
              <w:bottom w:val="single" w:sz="12" w:space="0" w:color="auto"/>
              <w:right w:val="single" w:sz="4" w:space="0" w:color="9FBCD0"/>
            </w:tcBorders>
            <w:vAlign w:val="bottom"/>
          </w:tcPr>
          <w:p w14:paraId="05DC03DB" w14:textId="6D9292C2" w:rsidR="00BE5237" w:rsidRPr="000754A9" w:rsidRDefault="00BE5237" w:rsidP="000754A9">
            <w:pPr>
              <w:jc w:val="right"/>
              <w:rPr>
                <w:b/>
              </w:rPr>
            </w:pPr>
            <w:r>
              <w:t xml:space="preserve">                  22,777 </w:t>
            </w:r>
          </w:p>
        </w:tc>
        <w:tc>
          <w:tcPr>
            <w:tcW w:w="1402" w:type="dxa"/>
            <w:tcBorders>
              <w:top w:val="single" w:sz="4" w:space="0" w:color="9FBCD0"/>
              <w:left w:val="single" w:sz="4" w:space="0" w:color="9FBCD0"/>
              <w:bottom w:val="single" w:sz="12" w:space="0" w:color="auto"/>
              <w:right w:val="single" w:sz="4" w:space="0" w:color="9FBCD0"/>
            </w:tcBorders>
            <w:vAlign w:val="bottom"/>
          </w:tcPr>
          <w:p w14:paraId="648C8E78" w14:textId="2B151F9A" w:rsidR="00BE5237" w:rsidRPr="000754A9" w:rsidRDefault="00BE5237" w:rsidP="000754A9">
            <w:pPr>
              <w:jc w:val="right"/>
              <w:rPr>
                <w:b/>
              </w:rPr>
            </w:pPr>
            <w:r>
              <w:t xml:space="preserve">                  23,042 </w:t>
            </w:r>
          </w:p>
        </w:tc>
      </w:tr>
      <w:tr w:rsidR="00BE5237" w14:paraId="5BFF1BC0"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58D96E91" w14:textId="582668F8" w:rsidR="00BE5237" w:rsidRPr="000754A9" w:rsidRDefault="00BE5237" w:rsidP="000754A9">
            <w:pPr>
              <w:rPr>
                <w:b/>
              </w:rPr>
            </w:pPr>
            <w:r>
              <w:rPr>
                <w:b/>
                <w:bCs/>
              </w:rPr>
              <w:t>Total Non-Current Liabilities</w:t>
            </w:r>
          </w:p>
        </w:tc>
        <w:tc>
          <w:tcPr>
            <w:tcW w:w="1559" w:type="dxa"/>
            <w:tcBorders>
              <w:top w:val="single" w:sz="4" w:space="0" w:color="9FBCD0"/>
              <w:left w:val="single" w:sz="4" w:space="0" w:color="9FBCD0"/>
              <w:bottom w:val="single" w:sz="4" w:space="0" w:color="9FBCD0"/>
              <w:right w:val="single" w:sz="4" w:space="0" w:color="9FBCD0"/>
            </w:tcBorders>
            <w:vAlign w:val="bottom"/>
          </w:tcPr>
          <w:p w14:paraId="28739B3A" w14:textId="77777777" w:rsidR="00BE5237" w:rsidRPr="000754A9" w:rsidRDefault="00BE5237" w:rsidP="000754A9">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7616BEC8" w14:textId="5495C6B0" w:rsidR="00BE5237" w:rsidRPr="000754A9" w:rsidRDefault="00BE5237" w:rsidP="000754A9">
            <w:pPr>
              <w:jc w:val="right"/>
              <w:rPr>
                <w:b/>
              </w:rPr>
            </w:pPr>
            <w:r>
              <w:rPr>
                <w:b/>
                <w:bCs/>
              </w:rPr>
              <w:t xml:space="preserve">                  22,777 </w:t>
            </w:r>
          </w:p>
        </w:tc>
        <w:tc>
          <w:tcPr>
            <w:tcW w:w="1402" w:type="dxa"/>
            <w:tcBorders>
              <w:top w:val="single" w:sz="12" w:space="0" w:color="auto"/>
              <w:left w:val="single" w:sz="4" w:space="0" w:color="9FBCD0"/>
              <w:bottom w:val="single" w:sz="12" w:space="0" w:color="auto"/>
              <w:right w:val="single" w:sz="4" w:space="0" w:color="9FBCD0"/>
            </w:tcBorders>
            <w:vAlign w:val="bottom"/>
          </w:tcPr>
          <w:p w14:paraId="61A20021" w14:textId="10F42A8D" w:rsidR="00BE5237" w:rsidRPr="000754A9" w:rsidRDefault="00BE5237" w:rsidP="000754A9">
            <w:pPr>
              <w:jc w:val="right"/>
              <w:rPr>
                <w:b/>
              </w:rPr>
            </w:pPr>
            <w:r>
              <w:rPr>
                <w:b/>
                <w:bCs/>
              </w:rPr>
              <w:t xml:space="preserve">                  23,042 </w:t>
            </w:r>
          </w:p>
        </w:tc>
      </w:tr>
      <w:tr w:rsidR="00BE5237" w14:paraId="698C791F"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609CEF58" w14:textId="6DA2963E" w:rsidR="00BE5237" w:rsidRPr="000754A9" w:rsidRDefault="00BE5237" w:rsidP="000754A9">
            <w:pPr>
              <w:rPr>
                <w:b/>
              </w:rPr>
            </w:pPr>
            <w:r w:rsidRPr="000754A9">
              <w:rPr>
                <w:b/>
              </w:rPr>
              <w:t>Total Liabilities</w:t>
            </w:r>
          </w:p>
        </w:tc>
        <w:tc>
          <w:tcPr>
            <w:tcW w:w="1559" w:type="dxa"/>
            <w:tcBorders>
              <w:top w:val="single" w:sz="4" w:space="0" w:color="9FBCD0"/>
              <w:left w:val="single" w:sz="4" w:space="0" w:color="9FBCD0"/>
              <w:bottom w:val="single" w:sz="4" w:space="0" w:color="9FBCD0"/>
              <w:right w:val="single" w:sz="4" w:space="0" w:color="9FBCD0"/>
            </w:tcBorders>
            <w:vAlign w:val="bottom"/>
          </w:tcPr>
          <w:p w14:paraId="7F96FA2D" w14:textId="77777777" w:rsidR="00BE5237" w:rsidRPr="000754A9" w:rsidRDefault="00BE5237" w:rsidP="000754A9">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5E08902C" w14:textId="116ABC84" w:rsidR="00BE5237" w:rsidRPr="000754A9" w:rsidRDefault="00BE5237" w:rsidP="000754A9">
            <w:pPr>
              <w:jc w:val="right"/>
              <w:rPr>
                <w:b/>
              </w:rPr>
            </w:pPr>
            <w:r w:rsidRPr="000754A9">
              <w:rPr>
                <w:b/>
              </w:rPr>
              <w:t xml:space="preserve">                  32,018 </w:t>
            </w:r>
          </w:p>
        </w:tc>
        <w:tc>
          <w:tcPr>
            <w:tcW w:w="1402" w:type="dxa"/>
            <w:tcBorders>
              <w:top w:val="single" w:sz="12" w:space="0" w:color="auto"/>
              <w:left w:val="single" w:sz="4" w:space="0" w:color="9FBCD0"/>
              <w:bottom w:val="single" w:sz="12" w:space="0" w:color="auto"/>
              <w:right w:val="single" w:sz="4" w:space="0" w:color="9FBCD0"/>
            </w:tcBorders>
            <w:vAlign w:val="bottom"/>
          </w:tcPr>
          <w:p w14:paraId="098FE3B2" w14:textId="46CECE52" w:rsidR="00BE5237" w:rsidRPr="000754A9" w:rsidRDefault="00BE5237" w:rsidP="000754A9">
            <w:pPr>
              <w:jc w:val="right"/>
              <w:rPr>
                <w:b/>
              </w:rPr>
            </w:pPr>
            <w:r w:rsidRPr="000754A9">
              <w:rPr>
                <w:b/>
              </w:rPr>
              <w:t xml:space="preserve">                  29,602 </w:t>
            </w:r>
          </w:p>
        </w:tc>
      </w:tr>
      <w:tr w:rsidR="00BE5237" w14:paraId="1485A544" w14:textId="77777777" w:rsidTr="00BE5237">
        <w:trPr>
          <w:trHeight w:val="875"/>
        </w:trPr>
        <w:tc>
          <w:tcPr>
            <w:tcW w:w="4957" w:type="dxa"/>
            <w:tcBorders>
              <w:top w:val="single" w:sz="4" w:space="0" w:color="9FBCD0"/>
              <w:left w:val="single" w:sz="4" w:space="0" w:color="9FBCD0"/>
              <w:bottom w:val="single" w:sz="4" w:space="0" w:color="9FBCD0"/>
              <w:right w:val="single" w:sz="4" w:space="0" w:color="9FBCD0"/>
            </w:tcBorders>
            <w:vAlign w:val="bottom"/>
          </w:tcPr>
          <w:p w14:paraId="488E5019" w14:textId="0A912D8E" w:rsidR="00BE5237" w:rsidRPr="000754A9" w:rsidRDefault="00BE5237" w:rsidP="000754A9">
            <w:pPr>
              <w:rPr>
                <w:b/>
                <w:lang w:eastAsia="en-AU"/>
              </w:rPr>
            </w:pPr>
            <w:r w:rsidRPr="000754A9">
              <w:rPr>
                <w:b/>
              </w:rPr>
              <w:t>NET ASSETS</w:t>
            </w:r>
          </w:p>
        </w:tc>
        <w:tc>
          <w:tcPr>
            <w:tcW w:w="1559" w:type="dxa"/>
            <w:tcBorders>
              <w:top w:val="single" w:sz="4" w:space="0" w:color="9FBCD0"/>
              <w:left w:val="single" w:sz="4" w:space="0" w:color="9FBCD0"/>
              <w:bottom w:val="single" w:sz="4" w:space="0" w:color="9FBCD0"/>
              <w:right w:val="single" w:sz="4" w:space="0" w:color="9FBCD0"/>
            </w:tcBorders>
            <w:vAlign w:val="bottom"/>
          </w:tcPr>
          <w:p w14:paraId="16A3A8B3" w14:textId="77777777" w:rsidR="00BE5237" w:rsidRPr="000754A9" w:rsidRDefault="00BE5237" w:rsidP="000754A9">
            <w:pPr>
              <w:rPr>
                <w:b/>
              </w:rPr>
            </w:pPr>
          </w:p>
        </w:tc>
        <w:tc>
          <w:tcPr>
            <w:tcW w:w="1559" w:type="dxa"/>
            <w:tcBorders>
              <w:top w:val="single" w:sz="12" w:space="0" w:color="auto"/>
              <w:left w:val="single" w:sz="4" w:space="0" w:color="9FBCD0"/>
              <w:bottom w:val="double" w:sz="4" w:space="0" w:color="3D5C57" w:themeColor="accent1"/>
              <w:right w:val="single" w:sz="4" w:space="0" w:color="9FBCD0"/>
            </w:tcBorders>
            <w:vAlign w:val="bottom"/>
          </w:tcPr>
          <w:p w14:paraId="1F8B97CC" w14:textId="2211B9DF" w:rsidR="00BE5237" w:rsidRPr="000754A9" w:rsidRDefault="00BE5237" w:rsidP="000754A9">
            <w:pPr>
              <w:jc w:val="right"/>
              <w:rPr>
                <w:b/>
              </w:rPr>
            </w:pPr>
            <w:r w:rsidRPr="000754A9">
              <w:rPr>
                <w:b/>
              </w:rPr>
              <w:t xml:space="preserve">               102,196 </w:t>
            </w:r>
          </w:p>
        </w:tc>
        <w:tc>
          <w:tcPr>
            <w:tcW w:w="1402" w:type="dxa"/>
            <w:tcBorders>
              <w:top w:val="single" w:sz="12" w:space="0" w:color="auto"/>
              <w:left w:val="single" w:sz="4" w:space="0" w:color="9FBCD0"/>
              <w:bottom w:val="double" w:sz="4" w:space="0" w:color="3D5C57" w:themeColor="accent1"/>
              <w:right w:val="single" w:sz="4" w:space="0" w:color="9FBCD0"/>
            </w:tcBorders>
            <w:vAlign w:val="bottom"/>
          </w:tcPr>
          <w:p w14:paraId="494B2C80" w14:textId="1D145CC8" w:rsidR="00BE5237" w:rsidRPr="000754A9" w:rsidRDefault="00BE5237" w:rsidP="000754A9">
            <w:pPr>
              <w:jc w:val="right"/>
              <w:rPr>
                <w:b/>
              </w:rPr>
            </w:pPr>
            <w:r w:rsidRPr="000754A9">
              <w:rPr>
                <w:b/>
              </w:rPr>
              <w:t xml:space="preserve">               102,660 </w:t>
            </w:r>
          </w:p>
        </w:tc>
      </w:tr>
      <w:tr w:rsidR="00BE5237" w14:paraId="7A1C943A" w14:textId="77777777" w:rsidTr="00BE5237">
        <w:trPr>
          <w:trHeight w:val="534"/>
        </w:trPr>
        <w:tc>
          <w:tcPr>
            <w:tcW w:w="4957" w:type="dxa"/>
            <w:tcBorders>
              <w:top w:val="single" w:sz="4" w:space="0" w:color="9FBCD0"/>
              <w:left w:val="single" w:sz="4" w:space="0" w:color="9FBCD0"/>
              <w:bottom w:val="single" w:sz="4" w:space="0" w:color="9FBCD0"/>
              <w:right w:val="single" w:sz="4" w:space="0" w:color="9FBCD0"/>
            </w:tcBorders>
            <w:vAlign w:val="bottom"/>
          </w:tcPr>
          <w:p w14:paraId="09A18C9E" w14:textId="5EB75C7D" w:rsidR="00BE5237" w:rsidRPr="000754A9" w:rsidRDefault="00BE5237" w:rsidP="000754A9">
            <w:pPr>
              <w:rPr>
                <w:b/>
                <w:lang w:eastAsia="en-AU"/>
              </w:rPr>
            </w:pPr>
            <w:r w:rsidRPr="000754A9">
              <w:rPr>
                <w:b/>
              </w:rPr>
              <w:t>EQUITY</w:t>
            </w:r>
          </w:p>
        </w:tc>
        <w:tc>
          <w:tcPr>
            <w:tcW w:w="1559" w:type="dxa"/>
            <w:tcBorders>
              <w:top w:val="single" w:sz="4" w:space="0" w:color="9FBCD0"/>
              <w:left w:val="single" w:sz="4" w:space="0" w:color="9FBCD0"/>
              <w:bottom w:val="single" w:sz="4" w:space="0" w:color="9FBCD0"/>
              <w:right w:val="single" w:sz="4" w:space="0" w:color="9FBCD0"/>
            </w:tcBorders>
            <w:vAlign w:val="bottom"/>
          </w:tcPr>
          <w:p w14:paraId="159C4DA9" w14:textId="77777777" w:rsidR="00BE5237" w:rsidRPr="000754A9" w:rsidRDefault="00BE5237" w:rsidP="000754A9">
            <w:pPr>
              <w:rPr>
                <w:b/>
              </w:rPr>
            </w:pPr>
          </w:p>
        </w:tc>
        <w:tc>
          <w:tcPr>
            <w:tcW w:w="1559" w:type="dxa"/>
            <w:tcBorders>
              <w:top w:val="double" w:sz="4" w:space="0" w:color="3D5C57" w:themeColor="accent1"/>
              <w:left w:val="single" w:sz="4" w:space="0" w:color="9FBCD0"/>
              <w:bottom w:val="single" w:sz="4" w:space="0" w:color="9FBCD0"/>
              <w:right w:val="single" w:sz="4" w:space="0" w:color="9FBCD0"/>
            </w:tcBorders>
            <w:vAlign w:val="bottom"/>
          </w:tcPr>
          <w:p w14:paraId="285C1214" w14:textId="77777777" w:rsidR="00BE5237" w:rsidRPr="000754A9" w:rsidRDefault="00BE5237" w:rsidP="000754A9">
            <w:pPr>
              <w:jc w:val="right"/>
              <w:rPr>
                <w:b/>
              </w:rPr>
            </w:pPr>
          </w:p>
        </w:tc>
        <w:tc>
          <w:tcPr>
            <w:tcW w:w="1402" w:type="dxa"/>
            <w:tcBorders>
              <w:top w:val="double" w:sz="4" w:space="0" w:color="3D5C57" w:themeColor="accent1"/>
              <w:left w:val="single" w:sz="4" w:space="0" w:color="9FBCD0"/>
              <w:bottom w:val="single" w:sz="4" w:space="0" w:color="9FBCD0"/>
              <w:right w:val="single" w:sz="4" w:space="0" w:color="9FBCD0"/>
            </w:tcBorders>
            <w:vAlign w:val="bottom"/>
          </w:tcPr>
          <w:p w14:paraId="6F2E6041" w14:textId="77777777" w:rsidR="00BE5237" w:rsidRPr="000754A9" w:rsidRDefault="00BE5237" w:rsidP="000754A9">
            <w:pPr>
              <w:jc w:val="right"/>
              <w:rPr>
                <w:b/>
              </w:rPr>
            </w:pPr>
          </w:p>
        </w:tc>
      </w:tr>
      <w:tr w:rsidR="00BE5237" w14:paraId="32C07C61"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26B072D4" w14:textId="04880D12" w:rsidR="00BE5237" w:rsidRPr="000754A9" w:rsidRDefault="00BE5237" w:rsidP="000754A9">
            <w:pPr>
              <w:rPr>
                <w:b/>
              </w:rPr>
            </w:pPr>
            <w:r>
              <w:t>Reserves</w:t>
            </w:r>
          </w:p>
        </w:tc>
        <w:tc>
          <w:tcPr>
            <w:tcW w:w="1559" w:type="dxa"/>
            <w:tcBorders>
              <w:top w:val="single" w:sz="4" w:space="0" w:color="9FBCD0"/>
              <w:left w:val="single" w:sz="4" w:space="0" w:color="9FBCD0"/>
              <w:bottom w:val="single" w:sz="4" w:space="0" w:color="9FBCD0"/>
              <w:right w:val="single" w:sz="4" w:space="0" w:color="9FBCD0"/>
            </w:tcBorders>
            <w:vAlign w:val="bottom"/>
          </w:tcPr>
          <w:p w14:paraId="5A31EC9B" w14:textId="726A2801" w:rsidR="00BE5237" w:rsidRPr="000754A9" w:rsidRDefault="00BE5237" w:rsidP="000754A9">
            <w:pPr>
              <w:jc w:val="center"/>
              <w:rPr>
                <w:b/>
              </w:rPr>
            </w:pPr>
            <w:r>
              <w:rPr>
                <w:b/>
                <w:bCs/>
              </w:rPr>
              <w:t>9.10</w:t>
            </w:r>
          </w:p>
        </w:tc>
        <w:tc>
          <w:tcPr>
            <w:tcW w:w="1559" w:type="dxa"/>
            <w:tcBorders>
              <w:top w:val="single" w:sz="4" w:space="0" w:color="9FBCD0"/>
              <w:left w:val="single" w:sz="4" w:space="0" w:color="9FBCD0"/>
              <w:bottom w:val="single" w:sz="4" w:space="0" w:color="9FBCD0"/>
              <w:right w:val="single" w:sz="4" w:space="0" w:color="9FBCD0"/>
            </w:tcBorders>
            <w:vAlign w:val="bottom"/>
          </w:tcPr>
          <w:p w14:paraId="484EDBFC" w14:textId="6D8D9E9A" w:rsidR="00BE5237" w:rsidRPr="000754A9" w:rsidRDefault="00BE5237" w:rsidP="000754A9">
            <w:pPr>
              <w:jc w:val="right"/>
              <w:rPr>
                <w:b/>
              </w:rPr>
            </w:pPr>
            <w:r>
              <w:t xml:space="preserve">                  14,467 </w:t>
            </w:r>
          </w:p>
        </w:tc>
        <w:tc>
          <w:tcPr>
            <w:tcW w:w="1402" w:type="dxa"/>
            <w:tcBorders>
              <w:top w:val="single" w:sz="4" w:space="0" w:color="9FBCD0"/>
              <w:left w:val="single" w:sz="4" w:space="0" w:color="9FBCD0"/>
              <w:bottom w:val="single" w:sz="4" w:space="0" w:color="9FBCD0"/>
              <w:right w:val="single" w:sz="4" w:space="0" w:color="9FBCD0"/>
            </w:tcBorders>
            <w:vAlign w:val="bottom"/>
          </w:tcPr>
          <w:p w14:paraId="145A3F0C" w14:textId="6D0A7E0B" w:rsidR="00BE5237" w:rsidRPr="000754A9" w:rsidRDefault="00BE5237" w:rsidP="000754A9">
            <w:pPr>
              <w:jc w:val="right"/>
              <w:rPr>
                <w:b/>
              </w:rPr>
            </w:pPr>
            <w:r>
              <w:t xml:space="preserve">                  14,363 </w:t>
            </w:r>
          </w:p>
        </w:tc>
      </w:tr>
      <w:tr w:rsidR="00BE5237" w14:paraId="4F5D755E" w14:textId="77777777" w:rsidTr="00BE5237">
        <w:trPr>
          <w:trHeight w:val="860"/>
        </w:trPr>
        <w:tc>
          <w:tcPr>
            <w:tcW w:w="4957" w:type="dxa"/>
            <w:tcBorders>
              <w:top w:val="single" w:sz="4" w:space="0" w:color="9FBCD0"/>
              <w:left w:val="single" w:sz="4" w:space="0" w:color="9FBCD0"/>
              <w:bottom w:val="single" w:sz="4" w:space="0" w:color="9FBCD0"/>
              <w:right w:val="single" w:sz="4" w:space="0" w:color="9FBCD0"/>
            </w:tcBorders>
            <w:vAlign w:val="bottom"/>
          </w:tcPr>
          <w:p w14:paraId="5C41243C" w14:textId="46924ED4" w:rsidR="00BE5237" w:rsidRPr="000754A9" w:rsidRDefault="00BE5237" w:rsidP="000754A9">
            <w:pPr>
              <w:rPr>
                <w:b/>
              </w:rPr>
            </w:pPr>
            <w:r>
              <w:t>Retained earnings</w:t>
            </w:r>
          </w:p>
        </w:tc>
        <w:tc>
          <w:tcPr>
            <w:tcW w:w="1559" w:type="dxa"/>
            <w:tcBorders>
              <w:top w:val="single" w:sz="4" w:space="0" w:color="9FBCD0"/>
              <w:left w:val="single" w:sz="4" w:space="0" w:color="9FBCD0"/>
              <w:bottom w:val="single" w:sz="4" w:space="0" w:color="9FBCD0"/>
              <w:right w:val="single" w:sz="4" w:space="0" w:color="9FBCD0"/>
            </w:tcBorders>
            <w:vAlign w:val="bottom"/>
          </w:tcPr>
          <w:p w14:paraId="4A17FB98" w14:textId="77777777" w:rsidR="00BE5237" w:rsidRPr="000754A9" w:rsidRDefault="00BE5237" w:rsidP="000754A9">
            <w:pPr>
              <w:rPr>
                <w:b/>
              </w:rPr>
            </w:pPr>
          </w:p>
        </w:tc>
        <w:tc>
          <w:tcPr>
            <w:tcW w:w="1559" w:type="dxa"/>
            <w:tcBorders>
              <w:top w:val="single" w:sz="4" w:space="0" w:color="9FBCD0"/>
              <w:left w:val="single" w:sz="4" w:space="0" w:color="9FBCD0"/>
              <w:bottom w:val="single" w:sz="12" w:space="0" w:color="auto"/>
              <w:right w:val="single" w:sz="4" w:space="0" w:color="9FBCD0"/>
            </w:tcBorders>
            <w:vAlign w:val="bottom"/>
          </w:tcPr>
          <w:p w14:paraId="151BE258" w14:textId="75E6E4F8" w:rsidR="00BE5237" w:rsidRPr="000754A9" w:rsidRDefault="00BE5237" w:rsidP="000754A9">
            <w:pPr>
              <w:jc w:val="right"/>
              <w:rPr>
                <w:b/>
              </w:rPr>
            </w:pPr>
            <w:r>
              <w:t xml:space="preserve">                  87,729 </w:t>
            </w:r>
          </w:p>
        </w:tc>
        <w:tc>
          <w:tcPr>
            <w:tcW w:w="1402" w:type="dxa"/>
            <w:tcBorders>
              <w:top w:val="single" w:sz="4" w:space="0" w:color="9FBCD0"/>
              <w:left w:val="single" w:sz="4" w:space="0" w:color="9FBCD0"/>
              <w:bottom w:val="single" w:sz="12" w:space="0" w:color="auto"/>
              <w:right w:val="single" w:sz="4" w:space="0" w:color="9FBCD0"/>
            </w:tcBorders>
            <w:vAlign w:val="bottom"/>
          </w:tcPr>
          <w:p w14:paraId="69C70190" w14:textId="35EAE2A6" w:rsidR="00BE5237" w:rsidRPr="000754A9" w:rsidRDefault="00BE5237" w:rsidP="000754A9">
            <w:pPr>
              <w:jc w:val="right"/>
              <w:rPr>
                <w:b/>
              </w:rPr>
            </w:pPr>
            <w:r>
              <w:t xml:space="preserve">                  88,297 </w:t>
            </w:r>
          </w:p>
        </w:tc>
      </w:tr>
      <w:tr w:rsidR="00BE5237" w14:paraId="4FE00086" w14:textId="77777777" w:rsidTr="00BE5237">
        <w:trPr>
          <w:trHeight w:val="845"/>
        </w:trPr>
        <w:tc>
          <w:tcPr>
            <w:tcW w:w="4957" w:type="dxa"/>
            <w:tcBorders>
              <w:top w:val="single" w:sz="4" w:space="0" w:color="9FBCD0"/>
              <w:left w:val="single" w:sz="4" w:space="0" w:color="9FBCD0"/>
              <w:bottom w:val="single" w:sz="4" w:space="0" w:color="9FBCD0"/>
              <w:right w:val="single" w:sz="4" w:space="0" w:color="9FBCD0"/>
            </w:tcBorders>
            <w:vAlign w:val="bottom"/>
          </w:tcPr>
          <w:p w14:paraId="009FB801" w14:textId="37CCFA3B" w:rsidR="00BE5237" w:rsidRPr="000754A9" w:rsidRDefault="00BE5237" w:rsidP="000754A9">
            <w:r>
              <w:t>Total Equity</w:t>
            </w:r>
          </w:p>
        </w:tc>
        <w:tc>
          <w:tcPr>
            <w:tcW w:w="1559" w:type="dxa"/>
            <w:tcBorders>
              <w:top w:val="single" w:sz="4" w:space="0" w:color="9FBCD0"/>
              <w:left w:val="single" w:sz="4" w:space="0" w:color="9FBCD0"/>
              <w:bottom w:val="single" w:sz="4" w:space="0" w:color="9FBCD0"/>
              <w:right w:val="single" w:sz="4" w:space="0" w:color="9FBCD0"/>
            </w:tcBorders>
            <w:vAlign w:val="bottom"/>
          </w:tcPr>
          <w:p w14:paraId="0A62B37E" w14:textId="77777777" w:rsidR="00BE5237" w:rsidRPr="000754A9" w:rsidRDefault="00BE5237" w:rsidP="000754A9"/>
        </w:tc>
        <w:tc>
          <w:tcPr>
            <w:tcW w:w="1559" w:type="dxa"/>
            <w:tcBorders>
              <w:top w:val="single" w:sz="12" w:space="0" w:color="auto"/>
              <w:left w:val="single" w:sz="4" w:space="0" w:color="9FBCD0"/>
              <w:bottom w:val="double" w:sz="4" w:space="0" w:color="3D5C57" w:themeColor="accent1"/>
              <w:right w:val="single" w:sz="4" w:space="0" w:color="9FBCD0"/>
            </w:tcBorders>
            <w:vAlign w:val="bottom"/>
          </w:tcPr>
          <w:p w14:paraId="078C93F0" w14:textId="4DA86CB8" w:rsidR="00BE5237" w:rsidRPr="000754A9" w:rsidRDefault="00BE5237" w:rsidP="000754A9">
            <w:pPr>
              <w:jc w:val="right"/>
              <w:rPr>
                <w:b/>
              </w:rPr>
            </w:pPr>
            <w:r w:rsidRPr="000754A9">
              <w:rPr>
                <w:b/>
              </w:rPr>
              <w:t xml:space="preserve">               102,196 </w:t>
            </w:r>
          </w:p>
        </w:tc>
        <w:tc>
          <w:tcPr>
            <w:tcW w:w="1402" w:type="dxa"/>
            <w:tcBorders>
              <w:top w:val="single" w:sz="12" w:space="0" w:color="auto"/>
              <w:left w:val="single" w:sz="4" w:space="0" w:color="9FBCD0"/>
              <w:bottom w:val="double" w:sz="4" w:space="0" w:color="3D5C57" w:themeColor="accent1"/>
              <w:right w:val="single" w:sz="4" w:space="0" w:color="9FBCD0"/>
            </w:tcBorders>
            <w:vAlign w:val="bottom"/>
          </w:tcPr>
          <w:p w14:paraId="37140EC8" w14:textId="515FAD07" w:rsidR="00BE5237" w:rsidRPr="000754A9" w:rsidRDefault="00BE5237" w:rsidP="000754A9">
            <w:pPr>
              <w:jc w:val="right"/>
              <w:rPr>
                <w:b/>
              </w:rPr>
            </w:pPr>
            <w:r w:rsidRPr="000754A9">
              <w:rPr>
                <w:b/>
              </w:rPr>
              <w:t xml:space="preserve">               102,660 </w:t>
            </w:r>
          </w:p>
        </w:tc>
      </w:tr>
    </w:tbl>
    <w:p w14:paraId="08DF632F" w14:textId="7CECC1D6" w:rsidR="005668DC" w:rsidRPr="005668DC" w:rsidRDefault="005668DC" w:rsidP="005668DC">
      <w:pPr>
        <w:rPr>
          <w:lang w:val="en-GB" w:eastAsia="en-AU"/>
        </w:rPr>
      </w:pPr>
      <w:r>
        <w:br/>
      </w:r>
      <w:r w:rsidRPr="005668DC">
        <w:rPr>
          <w:lang w:val="en-GB" w:eastAsia="en-AU"/>
        </w:rPr>
        <w:t>The Statement of Financial Position should be read in conjunction with the accompanying notes.</w:t>
      </w:r>
    </w:p>
    <w:p w14:paraId="5C5D370D" w14:textId="7EC68110" w:rsidR="005668DC" w:rsidRDefault="005668DC">
      <w:pPr>
        <w:keepLines w:val="0"/>
        <w:spacing w:after="0" w:line="240" w:lineRule="auto"/>
      </w:pPr>
      <w:r>
        <w:br w:type="page"/>
      </w:r>
    </w:p>
    <w:p w14:paraId="20523EE5" w14:textId="42CF931A" w:rsidR="009B1B3A" w:rsidRDefault="00A21D39" w:rsidP="00A21D39">
      <w:pPr>
        <w:pStyle w:val="Heading2nonumber"/>
      </w:pPr>
      <w:bookmarkStart w:id="751" w:name="_Toc525122148"/>
      <w:r>
        <w:t>Statement of Changes in Equity</w:t>
      </w:r>
      <w:bookmarkEnd w:id="751"/>
    </w:p>
    <w:p w14:paraId="43D0F83A" w14:textId="4AEF33E3" w:rsidR="00A21D39" w:rsidRDefault="00A21D39" w:rsidP="00A21D39">
      <w:pPr>
        <w:rPr>
          <w:b/>
        </w:rPr>
      </w:pPr>
      <w:r w:rsidRPr="00A21D39">
        <w:rPr>
          <w:b/>
        </w:rPr>
        <w:t xml:space="preserve">For the year ended 30 June 2018 </w:t>
      </w:r>
    </w:p>
    <w:tbl>
      <w:tblPr>
        <w:tblStyle w:val="TableGrid"/>
        <w:tblW w:w="0" w:type="auto"/>
        <w:tblLook w:val="04A0" w:firstRow="1" w:lastRow="0" w:firstColumn="1" w:lastColumn="0" w:noHBand="0" w:noVBand="1"/>
        <w:tblCaption w:val="Table: Statement of Changes in Equity"/>
        <w:tblDescription w:val="This table is a statement of changes in equity, and provides the balance on 1 July 2016, 30 June 2017, 1 July 2017 and 30 June 2018. "/>
      </w:tblPr>
      <w:tblGrid>
        <w:gridCol w:w="3256"/>
        <w:gridCol w:w="1417"/>
        <w:gridCol w:w="1559"/>
        <w:gridCol w:w="1560"/>
        <w:gridCol w:w="1224"/>
      </w:tblGrid>
      <w:tr w:rsidR="00A21D39" w14:paraId="5D6B55B0" w14:textId="77777777" w:rsidTr="00F11774">
        <w:trPr>
          <w:tblHeader/>
        </w:trPr>
        <w:tc>
          <w:tcPr>
            <w:tcW w:w="3256" w:type="dxa"/>
            <w:tcBorders>
              <w:top w:val="single" w:sz="4" w:space="0" w:color="9FBCD0"/>
              <w:left w:val="single" w:sz="4" w:space="0" w:color="9FBCD0"/>
              <w:bottom w:val="single" w:sz="4" w:space="0" w:color="9FBCD0"/>
              <w:right w:val="single" w:sz="4" w:space="0" w:color="9FBCD0"/>
            </w:tcBorders>
          </w:tcPr>
          <w:p w14:paraId="0FE0068E" w14:textId="77777777" w:rsidR="00A21D39" w:rsidRDefault="00A21D39" w:rsidP="00A21D39">
            <w:pPr>
              <w:rPr>
                <w:b/>
              </w:rPr>
            </w:pPr>
          </w:p>
        </w:tc>
        <w:tc>
          <w:tcPr>
            <w:tcW w:w="1417" w:type="dxa"/>
            <w:tcBorders>
              <w:top w:val="single" w:sz="4" w:space="0" w:color="9FBCD0"/>
              <w:left w:val="single" w:sz="4" w:space="0" w:color="9FBCD0"/>
              <w:bottom w:val="single" w:sz="4" w:space="0" w:color="9FBCD0"/>
              <w:right w:val="single" w:sz="4" w:space="0" w:color="9FBCD0"/>
            </w:tcBorders>
            <w:vAlign w:val="center"/>
          </w:tcPr>
          <w:p w14:paraId="20683996" w14:textId="1BD4B549" w:rsidR="00A21D39" w:rsidRDefault="00A21D39" w:rsidP="00A21D39">
            <w:pPr>
              <w:jc w:val="center"/>
              <w:rPr>
                <w:b/>
              </w:rPr>
            </w:pPr>
            <w:r>
              <w:rPr>
                <w:b/>
              </w:rPr>
              <w:t xml:space="preserve">Notes </w:t>
            </w:r>
          </w:p>
        </w:tc>
        <w:tc>
          <w:tcPr>
            <w:tcW w:w="1559" w:type="dxa"/>
            <w:tcBorders>
              <w:top w:val="single" w:sz="4" w:space="0" w:color="9FBCD0"/>
              <w:left w:val="single" w:sz="4" w:space="0" w:color="9FBCD0"/>
              <w:bottom w:val="single" w:sz="4" w:space="0" w:color="9FBCD0"/>
              <w:right w:val="single" w:sz="4" w:space="0" w:color="9FBCD0"/>
            </w:tcBorders>
            <w:shd w:val="clear" w:color="auto" w:fill="CEDCE8"/>
          </w:tcPr>
          <w:p w14:paraId="5975EFF7" w14:textId="0508AF5F" w:rsidR="00A21D39" w:rsidRDefault="00A21D39" w:rsidP="00A21D39">
            <w:pPr>
              <w:jc w:val="right"/>
              <w:rPr>
                <w:b/>
              </w:rPr>
            </w:pPr>
            <w:r>
              <w:rPr>
                <w:b/>
              </w:rPr>
              <w:t>Reserves</w:t>
            </w:r>
            <w:r>
              <w:rPr>
                <w:b/>
              </w:rPr>
              <w:br/>
            </w:r>
            <w:r>
              <w:rPr>
                <w:b/>
              </w:rPr>
              <w:br/>
              <w:t>$000</w:t>
            </w:r>
          </w:p>
        </w:tc>
        <w:tc>
          <w:tcPr>
            <w:tcW w:w="1560" w:type="dxa"/>
            <w:tcBorders>
              <w:top w:val="single" w:sz="4" w:space="0" w:color="9FBCD0"/>
              <w:left w:val="single" w:sz="4" w:space="0" w:color="9FBCD0"/>
              <w:bottom w:val="single" w:sz="4" w:space="0" w:color="9FBCD0"/>
              <w:right w:val="single" w:sz="4" w:space="0" w:color="9FBCD0"/>
            </w:tcBorders>
            <w:shd w:val="clear" w:color="auto" w:fill="CEDCE8"/>
          </w:tcPr>
          <w:p w14:paraId="1C83CF54" w14:textId="6331C1CB" w:rsidR="00A21D39" w:rsidRDefault="00A21D39" w:rsidP="00A21D39">
            <w:pPr>
              <w:jc w:val="right"/>
              <w:rPr>
                <w:b/>
              </w:rPr>
            </w:pPr>
            <w:r>
              <w:rPr>
                <w:b/>
              </w:rPr>
              <w:t>Retained earnings</w:t>
            </w:r>
            <w:r>
              <w:rPr>
                <w:b/>
              </w:rPr>
              <w:br/>
              <w:t>$000</w:t>
            </w:r>
          </w:p>
        </w:tc>
        <w:tc>
          <w:tcPr>
            <w:tcW w:w="1224" w:type="dxa"/>
            <w:tcBorders>
              <w:top w:val="single" w:sz="4" w:space="0" w:color="9FBCD0"/>
              <w:left w:val="single" w:sz="4" w:space="0" w:color="9FBCD0"/>
              <w:bottom w:val="single" w:sz="4" w:space="0" w:color="9FBCD0"/>
              <w:right w:val="single" w:sz="4" w:space="0" w:color="9FBCD0"/>
            </w:tcBorders>
            <w:shd w:val="clear" w:color="auto" w:fill="CEDCE8"/>
          </w:tcPr>
          <w:p w14:paraId="07B59D97" w14:textId="3FAFC1B5" w:rsidR="00A21D39" w:rsidRDefault="00A21D39" w:rsidP="00A21D39">
            <w:pPr>
              <w:jc w:val="right"/>
              <w:rPr>
                <w:b/>
              </w:rPr>
            </w:pPr>
            <w:r>
              <w:rPr>
                <w:b/>
              </w:rPr>
              <w:t xml:space="preserve">Total </w:t>
            </w:r>
            <w:r>
              <w:rPr>
                <w:b/>
              </w:rPr>
              <w:br/>
              <w:t>equity</w:t>
            </w:r>
            <w:r>
              <w:rPr>
                <w:b/>
              </w:rPr>
              <w:br/>
              <w:t>$000</w:t>
            </w:r>
          </w:p>
        </w:tc>
      </w:tr>
      <w:tr w:rsidR="00A21D39" w14:paraId="3954F5FF" w14:textId="77777777" w:rsidTr="00A21D39">
        <w:tc>
          <w:tcPr>
            <w:tcW w:w="3256" w:type="dxa"/>
            <w:tcBorders>
              <w:top w:val="single" w:sz="4" w:space="0" w:color="9FBCD0"/>
              <w:left w:val="single" w:sz="4" w:space="0" w:color="9FBCD0"/>
              <w:bottom w:val="single" w:sz="4" w:space="0" w:color="9FBCD0"/>
              <w:right w:val="single" w:sz="4" w:space="0" w:color="9FBCD0"/>
            </w:tcBorders>
            <w:vAlign w:val="bottom"/>
          </w:tcPr>
          <w:p w14:paraId="79C324BD" w14:textId="586726F5" w:rsidR="00A21D39" w:rsidRPr="00A21D39" w:rsidRDefault="00A21D39" w:rsidP="00A21D39">
            <w:pPr>
              <w:rPr>
                <w:b/>
              </w:rPr>
            </w:pPr>
            <w:r w:rsidRPr="00A21D39">
              <w:rPr>
                <w:b/>
              </w:rPr>
              <w:t>Balance at 1 July 2016</w:t>
            </w:r>
          </w:p>
        </w:tc>
        <w:tc>
          <w:tcPr>
            <w:tcW w:w="1417" w:type="dxa"/>
            <w:tcBorders>
              <w:top w:val="single" w:sz="4" w:space="0" w:color="9FBCD0"/>
              <w:left w:val="single" w:sz="4" w:space="0" w:color="9FBCD0"/>
              <w:bottom w:val="single" w:sz="4" w:space="0" w:color="9FBCD0"/>
              <w:right w:val="single" w:sz="4" w:space="0" w:color="9FBCD0"/>
            </w:tcBorders>
            <w:vAlign w:val="bottom"/>
          </w:tcPr>
          <w:p w14:paraId="4E6564C4" w14:textId="77777777" w:rsidR="00A21D39" w:rsidRPr="00A21D39" w:rsidRDefault="00A21D39" w:rsidP="00A21D39">
            <w:pPr>
              <w:rPr>
                <w:b/>
              </w:rPr>
            </w:pPr>
          </w:p>
        </w:tc>
        <w:tc>
          <w:tcPr>
            <w:tcW w:w="1559" w:type="dxa"/>
            <w:tcBorders>
              <w:top w:val="single" w:sz="4" w:space="0" w:color="9FBCD0"/>
              <w:left w:val="single" w:sz="4" w:space="0" w:color="9FBCD0"/>
              <w:bottom w:val="single" w:sz="4" w:space="0" w:color="9FBCD0"/>
              <w:right w:val="single" w:sz="4" w:space="0" w:color="9FBCD0"/>
            </w:tcBorders>
            <w:vAlign w:val="bottom"/>
          </w:tcPr>
          <w:p w14:paraId="22D781A8" w14:textId="084E6870" w:rsidR="00A21D39" w:rsidRPr="00A21D39" w:rsidRDefault="00A21D39" w:rsidP="00A21D39">
            <w:pPr>
              <w:jc w:val="right"/>
              <w:rPr>
                <w:b/>
              </w:rPr>
            </w:pPr>
            <w:r w:rsidRPr="00A21D39">
              <w:rPr>
                <w:b/>
              </w:rPr>
              <w:t>16,190</w:t>
            </w:r>
          </w:p>
        </w:tc>
        <w:tc>
          <w:tcPr>
            <w:tcW w:w="1560" w:type="dxa"/>
            <w:tcBorders>
              <w:top w:val="single" w:sz="4" w:space="0" w:color="9FBCD0"/>
              <w:left w:val="single" w:sz="4" w:space="0" w:color="9FBCD0"/>
              <w:bottom w:val="single" w:sz="4" w:space="0" w:color="9FBCD0"/>
              <w:right w:val="single" w:sz="4" w:space="0" w:color="9FBCD0"/>
            </w:tcBorders>
            <w:vAlign w:val="bottom"/>
          </w:tcPr>
          <w:p w14:paraId="4095C453" w14:textId="43094596" w:rsidR="00A21D39" w:rsidRPr="00A21D39" w:rsidRDefault="00A21D39" w:rsidP="00A21D39">
            <w:pPr>
              <w:jc w:val="right"/>
              <w:rPr>
                <w:b/>
              </w:rPr>
            </w:pPr>
            <w:r w:rsidRPr="00A21D39">
              <w:rPr>
                <w:b/>
              </w:rPr>
              <w:t>82,947</w:t>
            </w:r>
          </w:p>
        </w:tc>
        <w:tc>
          <w:tcPr>
            <w:tcW w:w="1224" w:type="dxa"/>
            <w:tcBorders>
              <w:top w:val="single" w:sz="4" w:space="0" w:color="9FBCD0"/>
              <w:left w:val="single" w:sz="4" w:space="0" w:color="9FBCD0"/>
              <w:bottom w:val="single" w:sz="4" w:space="0" w:color="9FBCD0"/>
              <w:right w:val="single" w:sz="4" w:space="0" w:color="9FBCD0"/>
            </w:tcBorders>
            <w:vAlign w:val="bottom"/>
          </w:tcPr>
          <w:p w14:paraId="4C998A21" w14:textId="55BF6E79" w:rsidR="00A21D39" w:rsidRPr="00A21D39" w:rsidRDefault="00A21D39" w:rsidP="00A21D39">
            <w:pPr>
              <w:jc w:val="right"/>
              <w:rPr>
                <w:b/>
              </w:rPr>
            </w:pPr>
            <w:r w:rsidRPr="00A21D39">
              <w:rPr>
                <w:b/>
              </w:rPr>
              <w:t>99,137</w:t>
            </w:r>
          </w:p>
        </w:tc>
      </w:tr>
      <w:tr w:rsidR="00A21D39" w14:paraId="2D5452DC" w14:textId="77777777" w:rsidTr="00187E63">
        <w:tc>
          <w:tcPr>
            <w:tcW w:w="3256" w:type="dxa"/>
            <w:tcBorders>
              <w:top w:val="single" w:sz="4" w:space="0" w:color="9FBCD0"/>
              <w:left w:val="single" w:sz="4" w:space="0" w:color="9FBCD0"/>
              <w:bottom w:val="single" w:sz="4" w:space="0" w:color="9FBCD0"/>
              <w:right w:val="single" w:sz="4" w:space="0" w:color="9FBCD0"/>
            </w:tcBorders>
            <w:vAlign w:val="bottom"/>
          </w:tcPr>
          <w:p w14:paraId="0B6E0198" w14:textId="1CF4A7B6" w:rsidR="00A21D39" w:rsidRDefault="00A21D39" w:rsidP="00A21D39">
            <w:pPr>
              <w:rPr>
                <w:b/>
              </w:rPr>
            </w:pPr>
            <w:r>
              <w:t>Profit/(Loss)</w:t>
            </w:r>
          </w:p>
        </w:tc>
        <w:tc>
          <w:tcPr>
            <w:tcW w:w="1417" w:type="dxa"/>
            <w:tcBorders>
              <w:top w:val="single" w:sz="4" w:space="0" w:color="9FBCD0"/>
              <w:left w:val="single" w:sz="4" w:space="0" w:color="9FBCD0"/>
              <w:bottom w:val="single" w:sz="4" w:space="0" w:color="9FBCD0"/>
              <w:right w:val="single" w:sz="4" w:space="0" w:color="9FBCD0"/>
            </w:tcBorders>
            <w:vAlign w:val="bottom"/>
          </w:tcPr>
          <w:p w14:paraId="163FE26A" w14:textId="77777777" w:rsidR="00A21D39" w:rsidRDefault="00A21D39" w:rsidP="00A21D39">
            <w:pPr>
              <w:rPr>
                <w:b/>
              </w:rPr>
            </w:pPr>
          </w:p>
        </w:tc>
        <w:tc>
          <w:tcPr>
            <w:tcW w:w="1559" w:type="dxa"/>
            <w:tcBorders>
              <w:top w:val="single" w:sz="4" w:space="0" w:color="9FBCD0"/>
              <w:left w:val="single" w:sz="4" w:space="0" w:color="9FBCD0"/>
              <w:bottom w:val="single" w:sz="4" w:space="0" w:color="9FBCD0"/>
              <w:right w:val="single" w:sz="4" w:space="0" w:color="9FBCD0"/>
            </w:tcBorders>
            <w:vAlign w:val="bottom"/>
          </w:tcPr>
          <w:p w14:paraId="2BDDA6D8" w14:textId="1958D25E" w:rsidR="00A21D39" w:rsidRDefault="00A21D39" w:rsidP="00A21D39">
            <w:pPr>
              <w:jc w:val="right"/>
              <w:rPr>
                <w:b/>
              </w:rPr>
            </w:pPr>
            <w:r>
              <w:t xml:space="preserve">                     -   </w:t>
            </w:r>
          </w:p>
        </w:tc>
        <w:tc>
          <w:tcPr>
            <w:tcW w:w="1560" w:type="dxa"/>
            <w:tcBorders>
              <w:top w:val="single" w:sz="4" w:space="0" w:color="9FBCD0"/>
              <w:left w:val="single" w:sz="4" w:space="0" w:color="9FBCD0"/>
              <w:bottom w:val="single" w:sz="4" w:space="0" w:color="9FBCD0"/>
              <w:right w:val="single" w:sz="4" w:space="0" w:color="9FBCD0"/>
            </w:tcBorders>
            <w:vAlign w:val="bottom"/>
          </w:tcPr>
          <w:p w14:paraId="715677FE" w14:textId="7F8B326B" w:rsidR="00A21D39" w:rsidRDefault="00A21D39" w:rsidP="00A21D39">
            <w:pPr>
              <w:jc w:val="right"/>
              <w:rPr>
                <w:b/>
              </w:rPr>
            </w:pPr>
            <w:r>
              <w:t>4,601</w:t>
            </w:r>
          </w:p>
        </w:tc>
        <w:tc>
          <w:tcPr>
            <w:tcW w:w="1224" w:type="dxa"/>
            <w:tcBorders>
              <w:top w:val="single" w:sz="4" w:space="0" w:color="9FBCD0"/>
              <w:left w:val="single" w:sz="4" w:space="0" w:color="9FBCD0"/>
              <w:bottom w:val="single" w:sz="4" w:space="0" w:color="9FBCD0"/>
              <w:right w:val="single" w:sz="4" w:space="0" w:color="9FBCD0"/>
            </w:tcBorders>
            <w:vAlign w:val="bottom"/>
          </w:tcPr>
          <w:p w14:paraId="1D464F13" w14:textId="1A1A1DA6" w:rsidR="00A21D39" w:rsidRDefault="00A21D39" w:rsidP="00A21D39">
            <w:pPr>
              <w:jc w:val="right"/>
              <w:rPr>
                <w:b/>
              </w:rPr>
            </w:pPr>
            <w:r>
              <w:t>4,601</w:t>
            </w:r>
          </w:p>
        </w:tc>
      </w:tr>
      <w:tr w:rsidR="00A21D39" w14:paraId="47043107"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16FB9C4A" w14:textId="70D2C256" w:rsidR="00A21D39" w:rsidRDefault="00A21D39" w:rsidP="00A21D39">
            <w:pPr>
              <w:rPr>
                <w:b/>
              </w:rPr>
            </w:pPr>
            <w:r>
              <w:t xml:space="preserve">Other comprehensive income </w:t>
            </w:r>
          </w:p>
        </w:tc>
        <w:tc>
          <w:tcPr>
            <w:tcW w:w="1417" w:type="dxa"/>
            <w:tcBorders>
              <w:top w:val="single" w:sz="4" w:space="0" w:color="9FBCD0"/>
              <w:left w:val="single" w:sz="4" w:space="0" w:color="9FBCD0"/>
              <w:bottom w:val="single" w:sz="4" w:space="0" w:color="9FBCD0"/>
              <w:right w:val="single" w:sz="4" w:space="0" w:color="9FBCD0"/>
            </w:tcBorders>
            <w:vAlign w:val="bottom"/>
          </w:tcPr>
          <w:p w14:paraId="4DA7789B" w14:textId="76F016A2" w:rsidR="00A21D39" w:rsidRPr="00A21D39" w:rsidRDefault="00A21D39" w:rsidP="00A21D39">
            <w:pPr>
              <w:jc w:val="center"/>
              <w:rPr>
                <w:b/>
              </w:rPr>
            </w:pPr>
            <w:r w:rsidRPr="00A21D39">
              <w:rPr>
                <w:b/>
              </w:rPr>
              <w:t>9.10</w:t>
            </w:r>
          </w:p>
        </w:tc>
        <w:tc>
          <w:tcPr>
            <w:tcW w:w="1559" w:type="dxa"/>
            <w:tcBorders>
              <w:top w:val="single" w:sz="4" w:space="0" w:color="9FBCD0"/>
              <w:left w:val="single" w:sz="4" w:space="0" w:color="9FBCD0"/>
              <w:bottom w:val="single" w:sz="12" w:space="0" w:color="auto"/>
              <w:right w:val="single" w:sz="4" w:space="0" w:color="9FBCD0"/>
            </w:tcBorders>
            <w:vAlign w:val="bottom"/>
          </w:tcPr>
          <w:p w14:paraId="2CCAB537" w14:textId="73A140EE" w:rsidR="00A21D39" w:rsidRDefault="00A21D39" w:rsidP="00A21D39">
            <w:pPr>
              <w:jc w:val="right"/>
              <w:rPr>
                <w:b/>
              </w:rPr>
            </w:pPr>
            <w:r>
              <w:t xml:space="preserve">             (1,827)</w:t>
            </w:r>
          </w:p>
        </w:tc>
        <w:tc>
          <w:tcPr>
            <w:tcW w:w="1560" w:type="dxa"/>
            <w:tcBorders>
              <w:top w:val="single" w:sz="4" w:space="0" w:color="9FBCD0"/>
              <w:left w:val="single" w:sz="4" w:space="0" w:color="9FBCD0"/>
              <w:bottom w:val="single" w:sz="12" w:space="0" w:color="auto"/>
              <w:right w:val="single" w:sz="4" w:space="0" w:color="9FBCD0"/>
            </w:tcBorders>
            <w:vAlign w:val="bottom"/>
          </w:tcPr>
          <w:p w14:paraId="7796CFD3" w14:textId="0C44E2E0" w:rsidR="00A21D39" w:rsidRDefault="00A21D39" w:rsidP="00A21D39">
            <w:pPr>
              <w:jc w:val="right"/>
              <w:rPr>
                <w:b/>
              </w:rPr>
            </w:pPr>
            <w:r>
              <w:t xml:space="preserve">                   749 </w:t>
            </w:r>
          </w:p>
        </w:tc>
        <w:tc>
          <w:tcPr>
            <w:tcW w:w="1224" w:type="dxa"/>
            <w:tcBorders>
              <w:top w:val="single" w:sz="4" w:space="0" w:color="9FBCD0"/>
              <w:left w:val="single" w:sz="4" w:space="0" w:color="9FBCD0"/>
              <w:bottom w:val="single" w:sz="12" w:space="0" w:color="auto"/>
              <w:right w:val="single" w:sz="4" w:space="0" w:color="9FBCD0"/>
            </w:tcBorders>
            <w:vAlign w:val="bottom"/>
          </w:tcPr>
          <w:p w14:paraId="6FAFD17A" w14:textId="49C05AF4" w:rsidR="00A21D39" w:rsidRDefault="00A21D39" w:rsidP="00A21D39">
            <w:pPr>
              <w:jc w:val="right"/>
              <w:rPr>
                <w:b/>
              </w:rPr>
            </w:pPr>
            <w:r>
              <w:t xml:space="preserve">             (1,078)</w:t>
            </w:r>
          </w:p>
        </w:tc>
      </w:tr>
      <w:tr w:rsidR="00A21D39" w14:paraId="0CE05BF9"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06D9AF31" w14:textId="6076598C" w:rsidR="00A21D39" w:rsidRDefault="00A21D39" w:rsidP="00A21D39">
            <w:pPr>
              <w:rPr>
                <w:b/>
              </w:rPr>
            </w:pPr>
            <w:r>
              <w:t>Total comprehensive income for the period</w:t>
            </w:r>
          </w:p>
        </w:tc>
        <w:tc>
          <w:tcPr>
            <w:tcW w:w="1417" w:type="dxa"/>
            <w:tcBorders>
              <w:top w:val="single" w:sz="4" w:space="0" w:color="9FBCD0"/>
              <w:left w:val="single" w:sz="4" w:space="0" w:color="9FBCD0"/>
              <w:bottom w:val="single" w:sz="4" w:space="0" w:color="9FBCD0"/>
              <w:right w:val="single" w:sz="4" w:space="0" w:color="9FBCD0"/>
            </w:tcBorders>
            <w:vAlign w:val="bottom"/>
          </w:tcPr>
          <w:p w14:paraId="68228F83" w14:textId="77777777" w:rsidR="00A21D39" w:rsidRDefault="00A21D39" w:rsidP="00A21D39">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10E894F2" w14:textId="736E2997" w:rsidR="00A21D39" w:rsidRDefault="00A21D39" w:rsidP="00A21D39">
            <w:pPr>
              <w:jc w:val="right"/>
              <w:rPr>
                <w:b/>
              </w:rPr>
            </w:pPr>
            <w:r>
              <w:t xml:space="preserve">             (1,827)</w:t>
            </w:r>
          </w:p>
        </w:tc>
        <w:tc>
          <w:tcPr>
            <w:tcW w:w="1560" w:type="dxa"/>
            <w:tcBorders>
              <w:top w:val="single" w:sz="12" w:space="0" w:color="auto"/>
              <w:left w:val="single" w:sz="4" w:space="0" w:color="9FBCD0"/>
              <w:bottom w:val="single" w:sz="12" w:space="0" w:color="auto"/>
              <w:right w:val="single" w:sz="4" w:space="0" w:color="9FBCD0"/>
            </w:tcBorders>
            <w:vAlign w:val="bottom"/>
          </w:tcPr>
          <w:p w14:paraId="45A6C129" w14:textId="643E75B9" w:rsidR="00A21D39" w:rsidRDefault="00A21D39" w:rsidP="00A21D39">
            <w:pPr>
              <w:jc w:val="right"/>
              <w:rPr>
                <w:b/>
              </w:rPr>
            </w:pPr>
            <w:r>
              <w:t xml:space="preserve">                5,350 </w:t>
            </w:r>
          </w:p>
        </w:tc>
        <w:tc>
          <w:tcPr>
            <w:tcW w:w="1224" w:type="dxa"/>
            <w:tcBorders>
              <w:top w:val="single" w:sz="12" w:space="0" w:color="auto"/>
              <w:left w:val="single" w:sz="4" w:space="0" w:color="9FBCD0"/>
              <w:bottom w:val="single" w:sz="12" w:space="0" w:color="auto"/>
              <w:right w:val="single" w:sz="4" w:space="0" w:color="9FBCD0"/>
            </w:tcBorders>
            <w:vAlign w:val="bottom"/>
          </w:tcPr>
          <w:p w14:paraId="294D130B" w14:textId="4B371B63" w:rsidR="00A21D39" w:rsidRDefault="00A21D39" w:rsidP="00A21D39">
            <w:pPr>
              <w:jc w:val="right"/>
              <w:rPr>
                <w:b/>
              </w:rPr>
            </w:pPr>
            <w:r>
              <w:t xml:space="preserve">              3,523 </w:t>
            </w:r>
          </w:p>
        </w:tc>
      </w:tr>
      <w:tr w:rsidR="002C60DA" w14:paraId="7FB81CBF" w14:textId="77777777" w:rsidTr="00187E63">
        <w:tc>
          <w:tcPr>
            <w:tcW w:w="3256" w:type="dxa"/>
            <w:tcBorders>
              <w:top w:val="single" w:sz="4" w:space="0" w:color="9FBCD0"/>
              <w:left w:val="single" w:sz="4" w:space="0" w:color="9FBCD0"/>
              <w:bottom w:val="single" w:sz="4" w:space="0" w:color="9FBCD0"/>
              <w:right w:val="single" w:sz="4" w:space="0" w:color="9FBCD0"/>
            </w:tcBorders>
          </w:tcPr>
          <w:p w14:paraId="1635242B" w14:textId="684909EF" w:rsidR="002C60DA" w:rsidRPr="002C60DA" w:rsidRDefault="002C60DA" w:rsidP="002C60DA">
            <w:pPr>
              <w:rPr>
                <w:b/>
                <w:lang w:eastAsia="en-AU"/>
              </w:rPr>
            </w:pPr>
            <w:r w:rsidRPr="002C60DA">
              <w:rPr>
                <w:b/>
              </w:rPr>
              <w:t>Balance at 30 June 2017</w:t>
            </w:r>
          </w:p>
        </w:tc>
        <w:tc>
          <w:tcPr>
            <w:tcW w:w="1417" w:type="dxa"/>
            <w:tcBorders>
              <w:top w:val="single" w:sz="4" w:space="0" w:color="9FBCD0"/>
              <w:left w:val="single" w:sz="4" w:space="0" w:color="9FBCD0"/>
              <w:bottom w:val="single" w:sz="4" w:space="0" w:color="9FBCD0"/>
              <w:right w:val="single" w:sz="4" w:space="0" w:color="9FBCD0"/>
            </w:tcBorders>
          </w:tcPr>
          <w:p w14:paraId="0FB94EC1" w14:textId="77777777" w:rsidR="002C60DA" w:rsidRDefault="002C60DA" w:rsidP="002C60DA">
            <w:pPr>
              <w:rPr>
                <w:b/>
              </w:rPr>
            </w:pPr>
          </w:p>
        </w:tc>
        <w:tc>
          <w:tcPr>
            <w:tcW w:w="1559" w:type="dxa"/>
            <w:tcBorders>
              <w:top w:val="single" w:sz="12" w:space="0" w:color="auto"/>
              <w:left w:val="single" w:sz="4" w:space="0" w:color="9FBCD0"/>
              <w:bottom w:val="double" w:sz="4" w:space="0" w:color="3D5C57" w:themeColor="accent1"/>
              <w:right w:val="single" w:sz="4" w:space="0" w:color="9FBCD0"/>
            </w:tcBorders>
            <w:vAlign w:val="bottom"/>
          </w:tcPr>
          <w:p w14:paraId="530F0061" w14:textId="1BD2D328" w:rsidR="002C60DA" w:rsidRPr="002C60DA" w:rsidRDefault="002C60DA" w:rsidP="002C60DA">
            <w:pPr>
              <w:jc w:val="right"/>
              <w:rPr>
                <w:b/>
              </w:rPr>
            </w:pPr>
            <w:r w:rsidRPr="002C60DA">
              <w:rPr>
                <w:b/>
              </w:rPr>
              <w:t>14,363</w:t>
            </w:r>
          </w:p>
        </w:tc>
        <w:tc>
          <w:tcPr>
            <w:tcW w:w="1560" w:type="dxa"/>
            <w:tcBorders>
              <w:top w:val="single" w:sz="12" w:space="0" w:color="auto"/>
              <w:left w:val="single" w:sz="4" w:space="0" w:color="9FBCD0"/>
              <w:bottom w:val="double" w:sz="4" w:space="0" w:color="3D5C57" w:themeColor="accent1"/>
              <w:right w:val="single" w:sz="4" w:space="0" w:color="9FBCD0"/>
            </w:tcBorders>
            <w:vAlign w:val="bottom"/>
          </w:tcPr>
          <w:p w14:paraId="018E60E9" w14:textId="01FB5976" w:rsidR="002C60DA" w:rsidRPr="002C60DA" w:rsidRDefault="002C60DA" w:rsidP="002C60DA">
            <w:pPr>
              <w:jc w:val="right"/>
              <w:rPr>
                <w:b/>
              </w:rPr>
            </w:pPr>
            <w:r w:rsidRPr="002C60DA">
              <w:rPr>
                <w:b/>
              </w:rPr>
              <w:t>88,297</w:t>
            </w:r>
          </w:p>
        </w:tc>
        <w:tc>
          <w:tcPr>
            <w:tcW w:w="1224" w:type="dxa"/>
            <w:tcBorders>
              <w:top w:val="single" w:sz="12" w:space="0" w:color="auto"/>
              <w:left w:val="single" w:sz="4" w:space="0" w:color="9FBCD0"/>
              <w:bottom w:val="double" w:sz="4" w:space="0" w:color="3D5C57" w:themeColor="accent1"/>
              <w:right w:val="single" w:sz="4" w:space="0" w:color="9FBCD0"/>
            </w:tcBorders>
            <w:vAlign w:val="bottom"/>
          </w:tcPr>
          <w:p w14:paraId="4E286BB0" w14:textId="22A3BE20" w:rsidR="002C60DA" w:rsidRPr="002C60DA" w:rsidRDefault="002C60DA" w:rsidP="002C60DA">
            <w:pPr>
              <w:jc w:val="right"/>
              <w:rPr>
                <w:b/>
              </w:rPr>
            </w:pPr>
            <w:r w:rsidRPr="002C60DA">
              <w:rPr>
                <w:b/>
              </w:rPr>
              <w:t>102,660</w:t>
            </w:r>
          </w:p>
        </w:tc>
      </w:tr>
      <w:tr w:rsidR="002C60DA" w14:paraId="6CBEC87E"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5533C093" w14:textId="5C1BB0B1" w:rsidR="002C60DA" w:rsidRPr="002C60DA" w:rsidRDefault="002C60DA" w:rsidP="002C60DA">
            <w:pPr>
              <w:jc w:val="both"/>
              <w:rPr>
                <w:b/>
              </w:rPr>
            </w:pPr>
          </w:p>
        </w:tc>
        <w:tc>
          <w:tcPr>
            <w:tcW w:w="1417" w:type="dxa"/>
            <w:tcBorders>
              <w:top w:val="single" w:sz="4" w:space="0" w:color="9FBCD0"/>
              <w:left w:val="single" w:sz="4" w:space="0" w:color="9FBCD0"/>
              <w:bottom w:val="single" w:sz="4" w:space="0" w:color="9FBCD0"/>
              <w:right w:val="single" w:sz="4" w:space="0" w:color="9FBCD0"/>
            </w:tcBorders>
            <w:vAlign w:val="bottom"/>
          </w:tcPr>
          <w:p w14:paraId="3D6FA48A" w14:textId="77777777" w:rsidR="002C60DA" w:rsidRPr="002C60DA" w:rsidRDefault="002C60DA" w:rsidP="002C60DA">
            <w:pPr>
              <w:jc w:val="both"/>
              <w:rPr>
                <w:b/>
              </w:rPr>
            </w:pPr>
          </w:p>
        </w:tc>
        <w:tc>
          <w:tcPr>
            <w:tcW w:w="1559" w:type="dxa"/>
            <w:tcBorders>
              <w:top w:val="double" w:sz="4" w:space="0" w:color="3D5C57" w:themeColor="accent1"/>
              <w:left w:val="single" w:sz="4" w:space="0" w:color="9FBCD0"/>
              <w:bottom w:val="single" w:sz="12" w:space="0" w:color="auto"/>
              <w:right w:val="single" w:sz="4" w:space="0" w:color="9FBCD0"/>
            </w:tcBorders>
            <w:vAlign w:val="bottom"/>
          </w:tcPr>
          <w:p w14:paraId="7F081380" w14:textId="175CBF18" w:rsidR="002C60DA" w:rsidRPr="002C60DA" w:rsidRDefault="002C60DA" w:rsidP="002C60DA">
            <w:pPr>
              <w:jc w:val="right"/>
              <w:rPr>
                <w:b/>
              </w:rPr>
            </w:pPr>
          </w:p>
        </w:tc>
        <w:tc>
          <w:tcPr>
            <w:tcW w:w="1560" w:type="dxa"/>
            <w:tcBorders>
              <w:top w:val="double" w:sz="4" w:space="0" w:color="3D5C57" w:themeColor="accent1"/>
              <w:left w:val="single" w:sz="4" w:space="0" w:color="9FBCD0"/>
              <w:bottom w:val="single" w:sz="12" w:space="0" w:color="auto"/>
              <w:right w:val="single" w:sz="4" w:space="0" w:color="9FBCD0"/>
            </w:tcBorders>
            <w:vAlign w:val="bottom"/>
          </w:tcPr>
          <w:p w14:paraId="73E11FBD" w14:textId="66C10EAC" w:rsidR="002C60DA" w:rsidRPr="002C60DA" w:rsidRDefault="002C60DA" w:rsidP="002C60DA">
            <w:pPr>
              <w:jc w:val="right"/>
              <w:rPr>
                <w:b/>
              </w:rPr>
            </w:pPr>
          </w:p>
        </w:tc>
        <w:tc>
          <w:tcPr>
            <w:tcW w:w="1224" w:type="dxa"/>
            <w:tcBorders>
              <w:top w:val="double" w:sz="4" w:space="0" w:color="3D5C57" w:themeColor="accent1"/>
              <w:left w:val="single" w:sz="4" w:space="0" w:color="9FBCD0"/>
              <w:bottom w:val="single" w:sz="12" w:space="0" w:color="auto"/>
              <w:right w:val="single" w:sz="4" w:space="0" w:color="9FBCD0"/>
            </w:tcBorders>
            <w:vAlign w:val="bottom"/>
          </w:tcPr>
          <w:p w14:paraId="1E8B9ACF" w14:textId="0E4E23D3" w:rsidR="002C60DA" w:rsidRPr="002C60DA" w:rsidRDefault="002C60DA" w:rsidP="002C60DA">
            <w:pPr>
              <w:jc w:val="right"/>
              <w:rPr>
                <w:b/>
              </w:rPr>
            </w:pPr>
          </w:p>
        </w:tc>
      </w:tr>
      <w:tr w:rsidR="002C60DA" w14:paraId="1A8E50D2"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6E1E8D0C" w14:textId="659F186C" w:rsidR="002C60DA" w:rsidRDefault="002C60DA" w:rsidP="002C60DA">
            <w:pPr>
              <w:rPr>
                <w:b/>
              </w:rPr>
            </w:pPr>
            <w:r w:rsidRPr="002C60DA">
              <w:rPr>
                <w:b/>
              </w:rPr>
              <w:t>Balance at 1 July 2017</w:t>
            </w:r>
          </w:p>
        </w:tc>
        <w:tc>
          <w:tcPr>
            <w:tcW w:w="1417" w:type="dxa"/>
            <w:tcBorders>
              <w:top w:val="single" w:sz="4" w:space="0" w:color="9FBCD0"/>
              <w:left w:val="single" w:sz="4" w:space="0" w:color="9FBCD0"/>
              <w:bottom w:val="single" w:sz="4" w:space="0" w:color="9FBCD0"/>
              <w:right w:val="single" w:sz="4" w:space="0" w:color="9FBCD0"/>
            </w:tcBorders>
            <w:vAlign w:val="bottom"/>
          </w:tcPr>
          <w:p w14:paraId="2515E831" w14:textId="77777777" w:rsidR="002C60DA" w:rsidRDefault="002C60DA" w:rsidP="002C60DA">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547969C1" w14:textId="2378C738" w:rsidR="002C60DA" w:rsidRDefault="002C60DA" w:rsidP="002C60DA">
            <w:pPr>
              <w:rPr>
                <w:b/>
              </w:rPr>
            </w:pPr>
            <w:r w:rsidRPr="002C60DA">
              <w:rPr>
                <w:b/>
              </w:rPr>
              <w:t>14,363</w:t>
            </w:r>
          </w:p>
        </w:tc>
        <w:tc>
          <w:tcPr>
            <w:tcW w:w="1560" w:type="dxa"/>
            <w:tcBorders>
              <w:top w:val="single" w:sz="12" w:space="0" w:color="auto"/>
              <w:left w:val="single" w:sz="4" w:space="0" w:color="9FBCD0"/>
              <w:bottom w:val="single" w:sz="12" w:space="0" w:color="auto"/>
              <w:right w:val="single" w:sz="4" w:space="0" w:color="9FBCD0"/>
            </w:tcBorders>
            <w:vAlign w:val="bottom"/>
          </w:tcPr>
          <w:p w14:paraId="50DAF5AB" w14:textId="6B7F7CF8" w:rsidR="002C60DA" w:rsidRDefault="002C60DA" w:rsidP="002C60DA">
            <w:pPr>
              <w:rPr>
                <w:b/>
              </w:rPr>
            </w:pPr>
            <w:r w:rsidRPr="002C60DA">
              <w:rPr>
                <w:b/>
              </w:rPr>
              <w:t>88,297</w:t>
            </w:r>
          </w:p>
        </w:tc>
        <w:tc>
          <w:tcPr>
            <w:tcW w:w="1224" w:type="dxa"/>
            <w:tcBorders>
              <w:top w:val="single" w:sz="12" w:space="0" w:color="auto"/>
              <w:left w:val="single" w:sz="4" w:space="0" w:color="9FBCD0"/>
              <w:bottom w:val="single" w:sz="12" w:space="0" w:color="auto"/>
              <w:right w:val="single" w:sz="4" w:space="0" w:color="9FBCD0"/>
            </w:tcBorders>
            <w:vAlign w:val="bottom"/>
          </w:tcPr>
          <w:p w14:paraId="7B0F71D1" w14:textId="14EA16D4" w:rsidR="002C60DA" w:rsidRDefault="002C60DA" w:rsidP="002C60DA">
            <w:pPr>
              <w:rPr>
                <w:b/>
              </w:rPr>
            </w:pPr>
            <w:r w:rsidRPr="002C60DA">
              <w:rPr>
                <w:b/>
              </w:rPr>
              <w:t>102,660</w:t>
            </w:r>
          </w:p>
        </w:tc>
      </w:tr>
      <w:tr w:rsidR="002C60DA" w14:paraId="54AEC4F7" w14:textId="77777777" w:rsidTr="00187E63">
        <w:tc>
          <w:tcPr>
            <w:tcW w:w="3256" w:type="dxa"/>
            <w:tcBorders>
              <w:top w:val="single" w:sz="4" w:space="0" w:color="9FBCD0"/>
              <w:left w:val="single" w:sz="4" w:space="0" w:color="9FBCD0"/>
              <w:bottom w:val="single" w:sz="4" w:space="0" w:color="9FBCD0"/>
              <w:right w:val="single" w:sz="4" w:space="0" w:color="9FBCD0"/>
            </w:tcBorders>
            <w:vAlign w:val="bottom"/>
          </w:tcPr>
          <w:p w14:paraId="60BF3F5C" w14:textId="08BD5702" w:rsidR="002C60DA" w:rsidRDefault="002C60DA" w:rsidP="002C60DA">
            <w:pPr>
              <w:rPr>
                <w:b/>
              </w:rPr>
            </w:pPr>
            <w:r>
              <w:t>Profit/(Loss)</w:t>
            </w:r>
          </w:p>
        </w:tc>
        <w:tc>
          <w:tcPr>
            <w:tcW w:w="1417" w:type="dxa"/>
            <w:tcBorders>
              <w:top w:val="single" w:sz="4" w:space="0" w:color="9FBCD0"/>
              <w:left w:val="single" w:sz="4" w:space="0" w:color="9FBCD0"/>
              <w:bottom w:val="single" w:sz="4" w:space="0" w:color="9FBCD0"/>
              <w:right w:val="single" w:sz="4" w:space="0" w:color="9FBCD0"/>
            </w:tcBorders>
            <w:vAlign w:val="bottom"/>
          </w:tcPr>
          <w:p w14:paraId="23EE99AB" w14:textId="77777777" w:rsidR="002C60DA" w:rsidRDefault="002C60DA" w:rsidP="002C60DA">
            <w:pPr>
              <w:rPr>
                <w:b/>
              </w:rPr>
            </w:pPr>
          </w:p>
        </w:tc>
        <w:tc>
          <w:tcPr>
            <w:tcW w:w="1559" w:type="dxa"/>
            <w:tcBorders>
              <w:top w:val="single" w:sz="12" w:space="0" w:color="auto"/>
              <w:left w:val="single" w:sz="4" w:space="0" w:color="9FBCD0"/>
              <w:bottom w:val="single" w:sz="4" w:space="0" w:color="9FBCD0"/>
              <w:right w:val="single" w:sz="4" w:space="0" w:color="9FBCD0"/>
            </w:tcBorders>
            <w:vAlign w:val="bottom"/>
          </w:tcPr>
          <w:p w14:paraId="138A0885" w14:textId="0D116AB9" w:rsidR="002C60DA" w:rsidRDefault="002C60DA" w:rsidP="002C60DA">
            <w:pPr>
              <w:jc w:val="right"/>
              <w:rPr>
                <w:b/>
              </w:rPr>
            </w:pPr>
            <w:r>
              <w:t xml:space="preserve">                     -   </w:t>
            </w:r>
          </w:p>
        </w:tc>
        <w:tc>
          <w:tcPr>
            <w:tcW w:w="1560" w:type="dxa"/>
            <w:tcBorders>
              <w:top w:val="single" w:sz="12" w:space="0" w:color="auto"/>
              <w:left w:val="single" w:sz="4" w:space="0" w:color="9FBCD0"/>
              <w:bottom w:val="single" w:sz="4" w:space="0" w:color="9FBCD0"/>
              <w:right w:val="single" w:sz="4" w:space="0" w:color="9FBCD0"/>
            </w:tcBorders>
            <w:vAlign w:val="bottom"/>
          </w:tcPr>
          <w:p w14:paraId="3175902A" w14:textId="7037E77D" w:rsidR="002C60DA" w:rsidRDefault="002C60DA" w:rsidP="002C60DA">
            <w:pPr>
              <w:jc w:val="right"/>
              <w:rPr>
                <w:b/>
              </w:rPr>
            </w:pPr>
            <w:r>
              <w:t xml:space="preserve">                  (355)</w:t>
            </w:r>
          </w:p>
        </w:tc>
        <w:tc>
          <w:tcPr>
            <w:tcW w:w="1224" w:type="dxa"/>
            <w:tcBorders>
              <w:top w:val="single" w:sz="12" w:space="0" w:color="auto"/>
              <w:left w:val="single" w:sz="4" w:space="0" w:color="9FBCD0"/>
              <w:bottom w:val="single" w:sz="4" w:space="0" w:color="9FBCD0"/>
              <w:right w:val="single" w:sz="4" w:space="0" w:color="9FBCD0"/>
            </w:tcBorders>
            <w:vAlign w:val="bottom"/>
          </w:tcPr>
          <w:p w14:paraId="0628576E" w14:textId="2BB88DAA" w:rsidR="002C60DA" w:rsidRDefault="002C60DA" w:rsidP="002C60DA">
            <w:pPr>
              <w:jc w:val="right"/>
              <w:rPr>
                <w:b/>
              </w:rPr>
            </w:pPr>
            <w:r>
              <w:t xml:space="preserve">                (355)</w:t>
            </w:r>
          </w:p>
        </w:tc>
      </w:tr>
      <w:tr w:rsidR="002C60DA" w14:paraId="48A501E8"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4FC725CD" w14:textId="62BFA0BF" w:rsidR="002C60DA" w:rsidRDefault="002C60DA" w:rsidP="002C60DA">
            <w:pPr>
              <w:rPr>
                <w:b/>
              </w:rPr>
            </w:pPr>
            <w:r>
              <w:t xml:space="preserve">Other comprehensive income </w:t>
            </w:r>
          </w:p>
        </w:tc>
        <w:tc>
          <w:tcPr>
            <w:tcW w:w="1417" w:type="dxa"/>
            <w:tcBorders>
              <w:top w:val="single" w:sz="4" w:space="0" w:color="9FBCD0"/>
              <w:left w:val="single" w:sz="4" w:space="0" w:color="9FBCD0"/>
              <w:bottom w:val="single" w:sz="4" w:space="0" w:color="9FBCD0"/>
              <w:right w:val="single" w:sz="4" w:space="0" w:color="9FBCD0"/>
            </w:tcBorders>
            <w:vAlign w:val="bottom"/>
          </w:tcPr>
          <w:p w14:paraId="2601FCCB" w14:textId="6C86A1FD" w:rsidR="002C60DA" w:rsidRDefault="002C60DA" w:rsidP="002C60DA">
            <w:pPr>
              <w:jc w:val="center"/>
              <w:rPr>
                <w:b/>
              </w:rPr>
            </w:pPr>
            <w:r>
              <w:rPr>
                <w:b/>
                <w:bCs/>
              </w:rPr>
              <w:t>9.10</w:t>
            </w:r>
          </w:p>
        </w:tc>
        <w:tc>
          <w:tcPr>
            <w:tcW w:w="1559" w:type="dxa"/>
            <w:tcBorders>
              <w:top w:val="single" w:sz="4" w:space="0" w:color="9FBCD0"/>
              <w:left w:val="single" w:sz="4" w:space="0" w:color="9FBCD0"/>
              <w:bottom w:val="single" w:sz="12" w:space="0" w:color="auto"/>
              <w:right w:val="single" w:sz="4" w:space="0" w:color="9FBCD0"/>
            </w:tcBorders>
            <w:vAlign w:val="bottom"/>
          </w:tcPr>
          <w:p w14:paraId="354BD0FD" w14:textId="621F71EC" w:rsidR="002C60DA" w:rsidRDefault="002C60DA" w:rsidP="002C60DA">
            <w:pPr>
              <w:jc w:val="right"/>
              <w:rPr>
                <w:b/>
              </w:rPr>
            </w:pPr>
            <w:r>
              <w:t xml:space="preserve">                  104 </w:t>
            </w:r>
          </w:p>
        </w:tc>
        <w:tc>
          <w:tcPr>
            <w:tcW w:w="1560" w:type="dxa"/>
            <w:tcBorders>
              <w:top w:val="single" w:sz="4" w:space="0" w:color="9FBCD0"/>
              <w:left w:val="single" w:sz="4" w:space="0" w:color="9FBCD0"/>
              <w:bottom w:val="single" w:sz="12" w:space="0" w:color="auto"/>
              <w:right w:val="single" w:sz="4" w:space="0" w:color="9FBCD0"/>
            </w:tcBorders>
            <w:vAlign w:val="bottom"/>
          </w:tcPr>
          <w:p w14:paraId="389D3A33" w14:textId="6B62494B" w:rsidR="002C60DA" w:rsidRDefault="002C60DA" w:rsidP="002C60DA">
            <w:pPr>
              <w:jc w:val="right"/>
              <w:rPr>
                <w:b/>
              </w:rPr>
            </w:pPr>
            <w:r>
              <w:t xml:space="preserve">                  (213)</w:t>
            </w:r>
          </w:p>
        </w:tc>
        <w:tc>
          <w:tcPr>
            <w:tcW w:w="1224" w:type="dxa"/>
            <w:tcBorders>
              <w:top w:val="single" w:sz="4" w:space="0" w:color="9FBCD0"/>
              <w:left w:val="single" w:sz="4" w:space="0" w:color="9FBCD0"/>
              <w:bottom w:val="single" w:sz="12" w:space="0" w:color="auto"/>
              <w:right w:val="single" w:sz="4" w:space="0" w:color="9FBCD0"/>
            </w:tcBorders>
            <w:vAlign w:val="bottom"/>
          </w:tcPr>
          <w:p w14:paraId="02CE8A87" w14:textId="34A2A4ED" w:rsidR="002C60DA" w:rsidRDefault="002C60DA" w:rsidP="002C60DA">
            <w:pPr>
              <w:jc w:val="right"/>
              <w:rPr>
                <w:b/>
              </w:rPr>
            </w:pPr>
            <w:r>
              <w:t xml:space="preserve">                (109)</w:t>
            </w:r>
          </w:p>
        </w:tc>
      </w:tr>
      <w:tr w:rsidR="002C60DA" w14:paraId="27D6ED9A" w14:textId="77777777" w:rsidTr="002C60DA">
        <w:tc>
          <w:tcPr>
            <w:tcW w:w="3256" w:type="dxa"/>
            <w:tcBorders>
              <w:top w:val="single" w:sz="4" w:space="0" w:color="9FBCD0"/>
              <w:left w:val="single" w:sz="4" w:space="0" w:color="9FBCD0"/>
              <w:bottom w:val="single" w:sz="4" w:space="0" w:color="9FBCD0"/>
              <w:right w:val="single" w:sz="4" w:space="0" w:color="9FBCD0"/>
            </w:tcBorders>
            <w:vAlign w:val="bottom"/>
          </w:tcPr>
          <w:p w14:paraId="7D470935" w14:textId="0401689D" w:rsidR="002C60DA" w:rsidRDefault="002C60DA" w:rsidP="002C60DA">
            <w:pPr>
              <w:rPr>
                <w:b/>
              </w:rPr>
            </w:pPr>
            <w:r>
              <w:t>Total comprehensive income for the period</w:t>
            </w:r>
          </w:p>
        </w:tc>
        <w:tc>
          <w:tcPr>
            <w:tcW w:w="1417" w:type="dxa"/>
            <w:tcBorders>
              <w:top w:val="single" w:sz="4" w:space="0" w:color="9FBCD0"/>
              <w:left w:val="single" w:sz="4" w:space="0" w:color="9FBCD0"/>
              <w:bottom w:val="single" w:sz="4" w:space="0" w:color="9FBCD0"/>
              <w:right w:val="single" w:sz="4" w:space="0" w:color="9FBCD0"/>
            </w:tcBorders>
            <w:vAlign w:val="bottom"/>
          </w:tcPr>
          <w:p w14:paraId="293924A0" w14:textId="77777777" w:rsidR="002C60DA" w:rsidRDefault="002C60DA" w:rsidP="002C60DA">
            <w:pPr>
              <w:rPr>
                <w:b/>
              </w:rPr>
            </w:pPr>
          </w:p>
        </w:tc>
        <w:tc>
          <w:tcPr>
            <w:tcW w:w="1559" w:type="dxa"/>
            <w:tcBorders>
              <w:top w:val="single" w:sz="12" w:space="0" w:color="auto"/>
              <w:left w:val="single" w:sz="4" w:space="0" w:color="9FBCD0"/>
              <w:bottom w:val="single" w:sz="12" w:space="0" w:color="auto"/>
              <w:right w:val="single" w:sz="4" w:space="0" w:color="9FBCD0"/>
            </w:tcBorders>
            <w:vAlign w:val="bottom"/>
          </w:tcPr>
          <w:p w14:paraId="103ED709" w14:textId="5E9DFA7A" w:rsidR="002C60DA" w:rsidRDefault="002C60DA" w:rsidP="002C60DA">
            <w:pPr>
              <w:jc w:val="right"/>
              <w:rPr>
                <w:b/>
              </w:rPr>
            </w:pPr>
            <w:r>
              <w:t xml:space="preserve">                  104 </w:t>
            </w:r>
          </w:p>
        </w:tc>
        <w:tc>
          <w:tcPr>
            <w:tcW w:w="1560" w:type="dxa"/>
            <w:tcBorders>
              <w:top w:val="single" w:sz="12" w:space="0" w:color="auto"/>
              <w:left w:val="single" w:sz="4" w:space="0" w:color="9FBCD0"/>
              <w:bottom w:val="single" w:sz="12" w:space="0" w:color="auto"/>
              <w:right w:val="single" w:sz="4" w:space="0" w:color="9FBCD0"/>
            </w:tcBorders>
            <w:vAlign w:val="bottom"/>
          </w:tcPr>
          <w:p w14:paraId="55CC1DA1" w14:textId="6D9F071D" w:rsidR="002C60DA" w:rsidRDefault="002C60DA" w:rsidP="002C60DA">
            <w:pPr>
              <w:jc w:val="right"/>
              <w:rPr>
                <w:b/>
              </w:rPr>
            </w:pPr>
            <w:r>
              <w:t xml:space="preserve">                  (568)</w:t>
            </w:r>
          </w:p>
        </w:tc>
        <w:tc>
          <w:tcPr>
            <w:tcW w:w="1224" w:type="dxa"/>
            <w:tcBorders>
              <w:top w:val="single" w:sz="12" w:space="0" w:color="auto"/>
              <w:left w:val="single" w:sz="4" w:space="0" w:color="9FBCD0"/>
              <w:bottom w:val="single" w:sz="12" w:space="0" w:color="auto"/>
              <w:right w:val="single" w:sz="4" w:space="0" w:color="9FBCD0"/>
            </w:tcBorders>
            <w:vAlign w:val="bottom"/>
          </w:tcPr>
          <w:p w14:paraId="12998D85" w14:textId="08E0D9DA" w:rsidR="002C60DA" w:rsidRDefault="002C60DA" w:rsidP="002C60DA">
            <w:pPr>
              <w:jc w:val="right"/>
              <w:rPr>
                <w:b/>
              </w:rPr>
            </w:pPr>
            <w:r>
              <w:t xml:space="preserve">                (464)</w:t>
            </w:r>
          </w:p>
        </w:tc>
      </w:tr>
      <w:tr w:rsidR="00465F20" w14:paraId="3E62BCD7" w14:textId="77777777" w:rsidTr="00894F6C">
        <w:tc>
          <w:tcPr>
            <w:tcW w:w="3256" w:type="dxa"/>
            <w:tcBorders>
              <w:top w:val="single" w:sz="4" w:space="0" w:color="9FBCD0"/>
              <w:left w:val="single" w:sz="4" w:space="0" w:color="9FBCD0"/>
              <w:bottom w:val="single" w:sz="4" w:space="0" w:color="9FBCD0"/>
              <w:right w:val="single" w:sz="4" w:space="0" w:color="9FBCD0"/>
            </w:tcBorders>
            <w:vAlign w:val="bottom"/>
          </w:tcPr>
          <w:p w14:paraId="7B65EEF4" w14:textId="3523A1AF" w:rsidR="00465F20" w:rsidRDefault="00465F20" w:rsidP="00465F20">
            <w:r>
              <w:t>Balance at 30 June 2018</w:t>
            </w:r>
          </w:p>
        </w:tc>
        <w:tc>
          <w:tcPr>
            <w:tcW w:w="1417" w:type="dxa"/>
            <w:tcBorders>
              <w:top w:val="single" w:sz="4" w:space="0" w:color="9FBCD0"/>
              <w:left w:val="single" w:sz="4" w:space="0" w:color="9FBCD0"/>
              <w:bottom w:val="single" w:sz="4" w:space="0" w:color="9FBCD0"/>
              <w:right w:val="single" w:sz="4" w:space="0" w:color="9FBCD0"/>
            </w:tcBorders>
            <w:vAlign w:val="bottom"/>
          </w:tcPr>
          <w:p w14:paraId="108D07D2" w14:textId="77777777" w:rsidR="00465F20" w:rsidRDefault="00465F20" w:rsidP="00465F20"/>
        </w:tc>
        <w:tc>
          <w:tcPr>
            <w:tcW w:w="1559" w:type="dxa"/>
            <w:tcBorders>
              <w:top w:val="single" w:sz="12" w:space="0" w:color="auto"/>
              <w:left w:val="single" w:sz="4" w:space="0" w:color="9FBCD0"/>
              <w:bottom w:val="double" w:sz="4" w:space="0" w:color="3D5C57" w:themeColor="accent1"/>
              <w:right w:val="single" w:sz="4" w:space="0" w:color="9FBCD0"/>
            </w:tcBorders>
            <w:vAlign w:val="bottom"/>
          </w:tcPr>
          <w:p w14:paraId="0D71BC76" w14:textId="646EA792" w:rsidR="00465F20" w:rsidRPr="002C60DA" w:rsidRDefault="00465F20" w:rsidP="00465F20">
            <w:pPr>
              <w:jc w:val="right"/>
              <w:rPr>
                <w:b/>
              </w:rPr>
            </w:pPr>
            <w:r>
              <w:rPr>
                <w:b/>
              </w:rPr>
              <w:t>14,467</w:t>
            </w:r>
          </w:p>
        </w:tc>
        <w:tc>
          <w:tcPr>
            <w:tcW w:w="1560" w:type="dxa"/>
            <w:tcBorders>
              <w:top w:val="single" w:sz="12" w:space="0" w:color="auto"/>
              <w:left w:val="single" w:sz="4" w:space="0" w:color="9FBCD0"/>
              <w:bottom w:val="double" w:sz="4" w:space="0" w:color="3D5C57" w:themeColor="accent1"/>
              <w:right w:val="single" w:sz="4" w:space="0" w:color="9FBCD0"/>
            </w:tcBorders>
            <w:vAlign w:val="bottom"/>
          </w:tcPr>
          <w:p w14:paraId="5F57C50B" w14:textId="041F70AC" w:rsidR="00465F20" w:rsidRPr="002C60DA" w:rsidRDefault="00465F20" w:rsidP="00465F20">
            <w:pPr>
              <w:jc w:val="right"/>
              <w:rPr>
                <w:b/>
              </w:rPr>
            </w:pPr>
            <w:r>
              <w:rPr>
                <w:b/>
              </w:rPr>
              <w:t>87,729</w:t>
            </w:r>
          </w:p>
        </w:tc>
        <w:tc>
          <w:tcPr>
            <w:tcW w:w="1224" w:type="dxa"/>
            <w:tcBorders>
              <w:top w:val="single" w:sz="12" w:space="0" w:color="auto"/>
              <w:left w:val="single" w:sz="4" w:space="0" w:color="9FBCD0"/>
              <w:bottom w:val="double" w:sz="4" w:space="0" w:color="3D5C57" w:themeColor="accent1"/>
              <w:right w:val="single" w:sz="4" w:space="0" w:color="9FBCD0"/>
            </w:tcBorders>
            <w:vAlign w:val="bottom"/>
          </w:tcPr>
          <w:p w14:paraId="452F3074" w14:textId="453227CA" w:rsidR="00465F20" w:rsidRPr="002C60DA" w:rsidRDefault="00465F20" w:rsidP="00465F20">
            <w:pPr>
              <w:jc w:val="right"/>
              <w:rPr>
                <w:b/>
              </w:rPr>
            </w:pPr>
            <w:r>
              <w:rPr>
                <w:b/>
              </w:rPr>
              <w:t>102,196</w:t>
            </w:r>
          </w:p>
        </w:tc>
      </w:tr>
      <w:tr w:rsidR="002C60DA" w14:paraId="702426F2" w14:textId="77777777" w:rsidTr="00894F6C">
        <w:tc>
          <w:tcPr>
            <w:tcW w:w="3256" w:type="dxa"/>
            <w:tcBorders>
              <w:top w:val="single" w:sz="4" w:space="0" w:color="9FBCD0"/>
              <w:left w:val="nil"/>
              <w:bottom w:val="nil"/>
              <w:right w:val="nil"/>
            </w:tcBorders>
            <w:vAlign w:val="bottom"/>
          </w:tcPr>
          <w:p w14:paraId="1452F8AF" w14:textId="77777777" w:rsidR="002C60DA" w:rsidRDefault="002C60DA" w:rsidP="002C60DA"/>
        </w:tc>
        <w:tc>
          <w:tcPr>
            <w:tcW w:w="1417" w:type="dxa"/>
            <w:tcBorders>
              <w:top w:val="single" w:sz="4" w:space="0" w:color="9FBCD0"/>
              <w:left w:val="nil"/>
              <w:bottom w:val="nil"/>
              <w:right w:val="nil"/>
            </w:tcBorders>
            <w:vAlign w:val="bottom"/>
          </w:tcPr>
          <w:p w14:paraId="4E1AFEAE" w14:textId="77777777" w:rsidR="002C60DA" w:rsidRDefault="002C60DA" w:rsidP="002C60DA"/>
        </w:tc>
        <w:tc>
          <w:tcPr>
            <w:tcW w:w="1559" w:type="dxa"/>
            <w:tcBorders>
              <w:top w:val="double" w:sz="4" w:space="0" w:color="3D5C57" w:themeColor="accent1"/>
              <w:left w:val="nil"/>
              <w:bottom w:val="nil"/>
              <w:right w:val="nil"/>
            </w:tcBorders>
            <w:vAlign w:val="bottom"/>
          </w:tcPr>
          <w:p w14:paraId="7CA94062" w14:textId="77777777" w:rsidR="002C60DA" w:rsidRPr="002C60DA" w:rsidRDefault="002C60DA" w:rsidP="002C60DA">
            <w:pPr>
              <w:jc w:val="right"/>
              <w:rPr>
                <w:b/>
              </w:rPr>
            </w:pPr>
          </w:p>
        </w:tc>
        <w:tc>
          <w:tcPr>
            <w:tcW w:w="1560" w:type="dxa"/>
            <w:tcBorders>
              <w:top w:val="double" w:sz="4" w:space="0" w:color="3D5C57" w:themeColor="accent1"/>
              <w:left w:val="nil"/>
              <w:bottom w:val="nil"/>
              <w:right w:val="nil"/>
            </w:tcBorders>
            <w:vAlign w:val="bottom"/>
          </w:tcPr>
          <w:p w14:paraId="0417F461" w14:textId="77777777" w:rsidR="002C60DA" w:rsidRPr="002C60DA" w:rsidRDefault="002C60DA" w:rsidP="002C60DA">
            <w:pPr>
              <w:jc w:val="right"/>
              <w:rPr>
                <w:b/>
              </w:rPr>
            </w:pPr>
          </w:p>
        </w:tc>
        <w:tc>
          <w:tcPr>
            <w:tcW w:w="1224" w:type="dxa"/>
            <w:tcBorders>
              <w:top w:val="double" w:sz="4" w:space="0" w:color="3D5C57" w:themeColor="accent1"/>
              <w:left w:val="nil"/>
              <w:bottom w:val="nil"/>
              <w:right w:val="nil"/>
            </w:tcBorders>
            <w:vAlign w:val="bottom"/>
          </w:tcPr>
          <w:p w14:paraId="2606DB9F" w14:textId="77777777" w:rsidR="002C60DA" w:rsidRPr="002C60DA" w:rsidRDefault="002C60DA" w:rsidP="002C60DA">
            <w:pPr>
              <w:jc w:val="right"/>
              <w:rPr>
                <w:b/>
              </w:rPr>
            </w:pPr>
          </w:p>
        </w:tc>
      </w:tr>
    </w:tbl>
    <w:p w14:paraId="2EA5C9A4" w14:textId="77777777" w:rsidR="002C60DA" w:rsidRPr="002C60DA" w:rsidRDefault="002C60DA" w:rsidP="002C60DA">
      <w:pPr>
        <w:rPr>
          <w:lang w:val="en-GB" w:eastAsia="en-AU"/>
        </w:rPr>
      </w:pPr>
      <w:r w:rsidRPr="002C60DA">
        <w:rPr>
          <w:lang w:val="en-GB" w:eastAsia="en-AU"/>
        </w:rPr>
        <w:t>The Statement of Changes in Equity should be read in conjunction with the accompanying notes.</w:t>
      </w:r>
    </w:p>
    <w:p w14:paraId="304B119B" w14:textId="50394355" w:rsidR="002C60DA" w:rsidRDefault="002C60DA">
      <w:pPr>
        <w:keepLines w:val="0"/>
        <w:spacing w:after="0" w:line="240" w:lineRule="auto"/>
        <w:rPr>
          <w:lang w:val="en-US" w:eastAsia="en-AU"/>
        </w:rPr>
      </w:pPr>
      <w:r>
        <w:rPr>
          <w:lang w:val="en-US" w:eastAsia="en-AU"/>
        </w:rPr>
        <w:br w:type="page"/>
      </w:r>
    </w:p>
    <w:p w14:paraId="3FD8F97B" w14:textId="03EA940D" w:rsidR="00A21D39" w:rsidRDefault="002C60DA" w:rsidP="002C60DA">
      <w:pPr>
        <w:pStyle w:val="Heading2nonumber"/>
        <w:rPr>
          <w:lang w:val="en-US" w:eastAsia="en-AU"/>
        </w:rPr>
      </w:pPr>
      <w:bookmarkStart w:id="752" w:name="_Toc525122149"/>
      <w:r>
        <w:rPr>
          <w:lang w:val="en-US" w:eastAsia="en-AU"/>
        </w:rPr>
        <w:t>Statement of Cash Flows</w:t>
      </w:r>
      <w:bookmarkEnd w:id="752"/>
    </w:p>
    <w:p w14:paraId="7CFCA8F4" w14:textId="4FCA8160" w:rsidR="002C60DA" w:rsidRDefault="00DE047A" w:rsidP="002C60DA">
      <w:pPr>
        <w:rPr>
          <w:b/>
          <w:lang w:val="en-US" w:eastAsia="en-AU"/>
        </w:rPr>
      </w:pPr>
      <w:r>
        <w:rPr>
          <w:b/>
          <w:lang w:val="en-US" w:eastAsia="en-AU"/>
        </w:rPr>
        <w:t>For the year ended 30 June 2018</w:t>
      </w:r>
    </w:p>
    <w:tbl>
      <w:tblPr>
        <w:tblStyle w:val="TableGrid"/>
        <w:tblW w:w="0" w:type="auto"/>
        <w:tblLook w:val="04A0" w:firstRow="1" w:lastRow="0" w:firstColumn="1" w:lastColumn="0" w:noHBand="0" w:noVBand="1"/>
        <w:tblCaption w:val="Table: Statement of Cash Flows"/>
        <w:tblDescription w:val="This table outlines the cash flows for 2017/18 from operating activities and investing activities. "/>
      </w:tblPr>
      <w:tblGrid>
        <w:gridCol w:w="4106"/>
        <w:gridCol w:w="1418"/>
        <w:gridCol w:w="1701"/>
        <w:gridCol w:w="1791"/>
      </w:tblGrid>
      <w:tr w:rsidR="00DE047A" w14:paraId="77263F4C" w14:textId="77777777" w:rsidTr="00F11774">
        <w:trPr>
          <w:tblHeader/>
        </w:trPr>
        <w:tc>
          <w:tcPr>
            <w:tcW w:w="4106" w:type="dxa"/>
            <w:tcBorders>
              <w:top w:val="single" w:sz="4" w:space="0" w:color="9FBCD0"/>
              <w:left w:val="single" w:sz="4" w:space="0" w:color="9FBCD0"/>
              <w:bottom w:val="single" w:sz="4" w:space="0" w:color="9FBCD0"/>
              <w:right w:val="single" w:sz="4" w:space="0" w:color="9FBCD0"/>
            </w:tcBorders>
          </w:tcPr>
          <w:p w14:paraId="7C23BCFE" w14:textId="77777777" w:rsidR="00DE047A" w:rsidRDefault="00DE047A" w:rsidP="002C60DA">
            <w:pPr>
              <w:rPr>
                <w:lang w:val="en-US" w:eastAsia="en-AU"/>
              </w:rPr>
            </w:pPr>
          </w:p>
        </w:tc>
        <w:tc>
          <w:tcPr>
            <w:tcW w:w="1418" w:type="dxa"/>
            <w:tcBorders>
              <w:top w:val="single" w:sz="4" w:space="0" w:color="9FBCD0"/>
              <w:left w:val="single" w:sz="4" w:space="0" w:color="9FBCD0"/>
              <w:bottom w:val="single" w:sz="4" w:space="0" w:color="9FBCD0"/>
              <w:right w:val="single" w:sz="4" w:space="0" w:color="9FBCD0"/>
            </w:tcBorders>
            <w:vAlign w:val="center"/>
          </w:tcPr>
          <w:p w14:paraId="0216524A" w14:textId="298913C7" w:rsidR="00DE047A" w:rsidRPr="00DE047A" w:rsidRDefault="00DE047A" w:rsidP="00DE047A">
            <w:pPr>
              <w:jc w:val="center"/>
              <w:rPr>
                <w:b/>
                <w:lang w:val="en-US" w:eastAsia="en-AU"/>
              </w:rPr>
            </w:pPr>
            <w:r>
              <w:rPr>
                <w:b/>
                <w:lang w:val="en-US" w:eastAsia="en-AU"/>
              </w:rPr>
              <w:t>Notes</w:t>
            </w:r>
          </w:p>
        </w:tc>
        <w:tc>
          <w:tcPr>
            <w:tcW w:w="1701" w:type="dxa"/>
            <w:tcBorders>
              <w:top w:val="single" w:sz="4" w:space="0" w:color="9FBCD0"/>
              <w:left w:val="single" w:sz="4" w:space="0" w:color="9FBCD0"/>
              <w:bottom w:val="single" w:sz="4" w:space="0" w:color="9FBCD0"/>
              <w:right w:val="single" w:sz="4" w:space="0" w:color="9FBCD0"/>
            </w:tcBorders>
            <w:vAlign w:val="center"/>
          </w:tcPr>
          <w:p w14:paraId="2D5F97A8" w14:textId="0AC88C18" w:rsidR="00DE047A" w:rsidRPr="00DE047A" w:rsidRDefault="00DE047A" w:rsidP="00DE047A">
            <w:pPr>
              <w:jc w:val="right"/>
              <w:rPr>
                <w:b/>
                <w:lang w:val="en-US" w:eastAsia="en-AU"/>
              </w:rPr>
            </w:pPr>
            <w:r>
              <w:rPr>
                <w:b/>
                <w:lang w:val="en-US" w:eastAsia="en-AU"/>
              </w:rPr>
              <w:t>2018</w:t>
            </w:r>
            <w:r>
              <w:rPr>
                <w:b/>
                <w:lang w:val="en-US" w:eastAsia="en-AU"/>
              </w:rPr>
              <w:br/>
              <w:t>$000</w:t>
            </w:r>
          </w:p>
        </w:tc>
        <w:tc>
          <w:tcPr>
            <w:tcW w:w="1791" w:type="dxa"/>
            <w:tcBorders>
              <w:top w:val="single" w:sz="4" w:space="0" w:color="9FBCD0"/>
              <w:left w:val="single" w:sz="4" w:space="0" w:color="9FBCD0"/>
              <w:bottom w:val="single" w:sz="4" w:space="0" w:color="9FBCD0"/>
              <w:right w:val="single" w:sz="4" w:space="0" w:color="9FBCD0"/>
            </w:tcBorders>
            <w:vAlign w:val="center"/>
          </w:tcPr>
          <w:p w14:paraId="4749D968" w14:textId="4AB31D2E" w:rsidR="00DE047A" w:rsidRPr="00DE047A" w:rsidRDefault="00DE047A" w:rsidP="00DE047A">
            <w:pPr>
              <w:jc w:val="right"/>
              <w:rPr>
                <w:b/>
                <w:lang w:val="en-US" w:eastAsia="en-AU"/>
              </w:rPr>
            </w:pPr>
            <w:r w:rsidRPr="00DE047A">
              <w:rPr>
                <w:b/>
                <w:lang w:val="en-US" w:eastAsia="en-AU"/>
              </w:rPr>
              <w:t>2017</w:t>
            </w:r>
            <w:r w:rsidRPr="00DE047A">
              <w:rPr>
                <w:b/>
                <w:lang w:val="en-US" w:eastAsia="en-AU"/>
              </w:rPr>
              <w:br/>
              <w:t>$000</w:t>
            </w:r>
          </w:p>
        </w:tc>
      </w:tr>
      <w:tr w:rsidR="00DE047A" w14:paraId="3830020D" w14:textId="77777777" w:rsidTr="00DE047A">
        <w:tc>
          <w:tcPr>
            <w:tcW w:w="4106" w:type="dxa"/>
            <w:tcBorders>
              <w:top w:val="single" w:sz="4" w:space="0" w:color="9FBCD0"/>
              <w:left w:val="single" w:sz="4" w:space="0" w:color="9FBCD0"/>
              <w:bottom w:val="single" w:sz="4" w:space="0" w:color="9FBCD0"/>
              <w:right w:val="single" w:sz="4" w:space="0" w:color="9FBCD0"/>
            </w:tcBorders>
          </w:tcPr>
          <w:p w14:paraId="1157429E" w14:textId="78F60190" w:rsidR="00DE047A" w:rsidRPr="00DE047A" w:rsidRDefault="00DE047A" w:rsidP="002C60DA">
            <w:pPr>
              <w:rPr>
                <w:b/>
                <w:lang w:eastAsia="en-AU"/>
              </w:rPr>
            </w:pPr>
            <w:r w:rsidRPr="00DE047A">
              <w:rPr>
                <w:b/>
              </w:rPr>
              <w:t>CASH FLOWS FROM OPERATING ACTIVITIES</w:t>
            </w:r>
            <w:r>
              <w:rPr>
                <w:b/>
              </w:rPr>
              <w:br/>
              <w:t>Receipts</w:t>
            </w:r>
          </w:p>
        </w:tc>
        <w:tc>
          <w:tcPr>
            <w:tcW w:w="1418" w:type="dxa"/>
            <w:tcBorders>
              <w:top w:val="single" w:sz="4" w:space="0" w:color="9FBCD0"/>
              <w:left w:val="single" w:sz="4" w:space="0" w:color="9FBCD0"/>
              <w:bottom w:val="single" w:sz="4" w:space="0" w:color="9FBCD0"/>
              <w:right w:val="single" w:sz="4" w:space="0" w:color="9FBCD0"/>
            </w:tcBorders>
          </w:tcPr>
          <w:p w14:paraId="5BA3728D" w14:textId="77777777" w:rsidR="00DE047A" w:rsidRDefault="00DE047A" w:rsidP="002C60D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tcPr>
          <w:p w14:paraId="286E6C2E" w14:textId="77777777" w:rsidR="00DE047A" w:rsidRDefault="00DE047A" w:rsidP="002C60DA">
            <w:pPr>
              <w:rPr>
                <w:lang w:val="en-US" w:eastAsia="en-AU"/>
              </w:rPr>
            </w:pPr>
          </w:p>
        </w:tc>
        <w:tc>
          <w:tcPr>
            <w:tcW w:w="1791" w:type="dxa"/>
            <w:tcBorders>
              <w:top w:val="single" w:sz="4" w:space="0" w:color="9FBCD0"/>
              <w:left w:val="single" w:sz="4" w:space="0" w:color="9FBCD0"/>
              <w:bottom w:val="single" w:sz="4" w:space="0" w:color="9FBCD0"/>
              <w:right w:val="single" w:sz="4" w:space="0" w:color="9FBCD0"/>
            </w:tcBorders>
          </w:tcPr>
          <w:p w14:paraId="2F38FC33" w14:textId="77777777" w:rsidR="00DE047A" w:rsidRDefault="00DE047A" w:rsidP="002C60DA">
            <w:pPr>
              <w:rPr>
                <w:lang w:val="en-US" w:eastAsia="en-AU"/>
              </w:rPr>
            </w:pPr>
          </w:p>
        </w:tc>
      </w:tr>
      <w:tr w:rsidR="00DE047A" w14:paraId="2EFF936A"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24CB782D" w14:textId="3B909581" w:rsidR="00DE047A" w:rsidRDefault="00DE047A" w:rsidP="00DE047A">
            <w:pPr>
              <w:rPr>
                <w:lang w:val="en-US" w:eastAsia="en-AU"/>
              </w:rPr>
            </w:pPr>
            <w:r>
              <w:t>Supplementation Fund receipts</w:t>
            </w:r>
          </w:p>
        </w:tc>
        <w:tc>
          <w:tcPr>
            <w:tcW w:w="1418" w:type="dxa"/>
            <w:tcBorders>
              <w:top w:val="single" w:sz="4" w:space="0" w:color="9FBCD0"/>
              <w:left w:val="single" w:sz="4" w:space="0" w:color="9FBCD0"/>
              <w:bottom w:val="single" w:sz="4" w:space="0" w:color="9FBCD0"/>
              <w:right w:val="single" w:sz="4" w:space="0" w:color="9FBCD0"/>
            </w:tcBorders>
            <w:vAlign w:val="bottom"/>
          </w:tcPr>
          <w:p w14:paraId="2CCE2CD1"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7C9A18ED" w14:textId="34C44909" w:rsidR="00DE047A" w:rsidRDefault="00DE047A" w:rsidP="00DE047A">
            <w:pPr>
              <w:jc w:val="right"/>
              <w:rPr>
                <w:lang w:val="en-US" w:eastAsia="en-AU"/>
              </w:rPr>
            </w:pPr>
            <w:r>
              <w:t xml:space="preserve">                    1 </w:t>
            </w:r>
          </w:p>
        </w:tc>
        <w:tc>
          <w:tcPr>
            <w:tcW w:w="1791" w:type="dxa"/>
            <w:tcBorders>
              <w:top w:val="single" w:sz="4" w:space="0" w:color="9FBCD0"/>
              <w:left w:val="single" w:sz="4" w:space="0" w:color="9FBCD0"/>
              <w:bottom w:val="single" w:sz="4" w:space="0" w:color="9FBCD0"/>
              <w:right w:val="single" w:sz="4" w:space="0" w:color="9FBCD0"/>
            </w:tcBorders>
            <w:vAlign w:val="center"/>
          </w:tcPr>
          <w:p w14:paraId="3EBB357B" w14:textId="6932A992" w:rsidR="00DE047A" w:rsidRDefault="00DE047A" w:rsidP="00DE047A">
            <w:pPr>
              <w:jc w:val="right"/>
              <w:rPr>
                <w:lang w:val="en-US" w:eastAsia="en-AU"/>
              </w:rPr>
            </w:pPr>
            <w:r>
              <w:t xml:space="preserve">                120 </w:t>
            </w:r>
          </w:p>
        </w:tc>
      </w:tr>
      <w:tr w:rsidR="00DE047A" w14:paraId="5CBB2DB5"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1DC71A48" w14:textId="57A034EF" w:rsidR="00DE047A" w:rsidRDefault="00DE047A" w:rsidP="00DE047A">
            <w:pPr>
              <w:rPr>
                <w:lang w:val="en-US" w:eastAsia="en-AU"/>
              </w:rPr>
            </w:pPr>
            <w:r>
              <w:t>Insurer contributions</w:t>
            </w:r>
          </w:p>
        </w:tc>
        <w:tc>
          <w:tcPr>
            <w:tcW w:w="1418" w:type="dxa"/>
            <w:tcBorders>
              <w:top w:val="single" w:sz="4" w:space="0" w:color="9FBCD0"/>
              <w:left w:val="single" w:sz="4" w:space="0" w:color="9FBCD0"/>
              <w:bottom w:val="single" w:sz="4" w:space="0" w:color="9FBCD0"/>
              <w:right w:val="single" w:sz="4" w:space="0" w:color="9FBCD0"/>
            </w:tcBorders>
            <w:vAlign w:val="bottom"/>
          </w:tcPr>
          <w:p w14:paraId="7A480EA6"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3966F5FC" w14:textId="65DB3419" w:rsidR="00DE047A" w:rsidRDefault="00DE047A" w:rsidP="00DE047A">
            <w:pPr>
              <w:jc w:val="right"/>
              <w:rPr>
                <w:lang w:val="en-US" w:eastAsia="en-AU"/>
              </w:rPr>
            </w:pPr>
            <w:r>
              <w:t xml:space="preserve">           19,883 </w:t>
            </w:r>
          </w:p>
        </w:tc>
        <w:tc>
          <w:tcPr>
            <w:tcW w:w="1791" w:type="dxa"/>
            <w:tcBorders>
              <w:top w:val="single" w:sz="4" w:space="0" w:color="9FBCD0"/>
              <w:left w:val="single" w:sz="4" w:space="0" w:color="9FBCD0"/>
              <w:bottom w:val="single" w:sz="4" w:space="0" w:color="9FBCD0"/>
              <w:right w:val="single" w:sz="4" w:space="0" w:color="9FBCD0"/>
            </w:tcBorders>
            <w:vAlign w:val="center"/>
          </w:tcPr>
          <w:p w14:paraId="3DF78BCE" w14:textId="133FECD0" w:rsidR="00DE047A" w:rsidRDefault="00DE047A" w:rsidP="00DE047A">
            <w:pPr>
              <w:jc w:val="right"/>
              <w:rPr>
                <w:lang w:val="en-US" w:eastAsia="en-AU"/>
              </w:rPr>
            </w:pPr>
            <w:r>
              <w:t xml:space="preserve">            19,945 </w:t>
            </w:r>
          </w:p>
        </w:tc>
      </w:tr>
      <w:tr w:rsidR="00DE047A" w14:paraId="5B09A97A"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13D56AB9" w14:textId="166CABFA" w:rsidR="00DE047A" w:rsidRDefault="00DE047A" w:rsidP="00DE047A">
            <w:pPr>
              <w:rPr>
                <w:lang w:val="en-US" w:eastAsia="en-AU"/>
              </w:rPr>
            </w:pPr>
            <w:r>
              <w:t>Provision of services</w:t>
            </w:r>
          </w:p>
        </w:tc>
        <w:tc>
          <w:tcPr>
            <w:tcW w:w="1418" w:type="dxa"/>
            <w:tcBorders>
              <w:top w:val="single" w:sz="4" w:space="0" w:color="9FBCD0"/>
              <w:left w:val="single" w:sz="4" w:space="0" w:color="9FBCD0"/>
              <w:bottom w:val="single" w:sz="4" w:space="0" w:color="9FBCD0"/>
              <w:right w:val="single" w:sz="4" w:space="0" w:color="9FBCD0"/>
            </w:tcBorders>
            <w:vAlign w:val="bottom"/>
          </w:tcPr>
          <w:p w14:paraId="7D6BF93F"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3245CF03" w14:textId="620E4313" w:rsidR="00DE047A" w:rsidRDefault="00DE047A" w:rsidP="00DE047A">
            <w:pPr>
              <w:jc w:val="right"/>
              <w:rPr>
                <w:lang w:val="en-US" w:eastAsia="en-AU"/>
              </w:rPr>
            </w:pPr>
            <w:r>
              <w:t xml:space="preserve">                    8 </w:t>
            </w:r>
          </w:p>
        </w:tc>
        <w:tc>
          <w:tcPr>
            <w:tcW w:w="1791" w:type="dxa"/>
            <w:tcBorders>
              <w:top w:val="single" w:sz="4" w:space="0" w:color="9FBCD0"/>
              <w:left w:val="single" w:sz="4" w:space="0" w:color="9FBCD0"/>
              <w:bottom w:val="single" w:sz="4" w:space="0" w:color="9FBCD0"/>
              <w:right w:val="single" w:sz="4" w:space="0" w:color="9FBCD0"/>
            </w:tcBorders>
            <w:vAlign w:val="center"/>
          </w:tcPr>
          <w:p w14:paraId="3B2379EF" w14:textId="58302504" w:rsidR="00DE047A" w:rsidRDefault="00DE047A" w:rsidP="00DE047A">
            <w:pPr>
              <w:jc w:val="right"/>
              <w:rPr>
                <w:lang w:val="en-US" w:eastAsia="en-AU"/>
              </w:rPr>
            </w:pPr>
            <w:r>
              <w:t xml:space="preserve">                    9 </w:t>
            </w:r>
          </w:p>
        </w:tc>
      </w:tr>
      <w:tr w:rsidR="00DE047A" w14:paraId="7265DA21"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1CB79D7E" w14:textId="4A08E09F" w:rsidR="00DE047A" w:rsidRDefault="00DE047A" w:rsidP="00DE047A">
            <w:pPr>
              <w:rPr>
                <w:lang w:val="en-US" w:eastAsia="en-AU"/>
              </w:rPr>
            </w:pPr>
            <w:r>
              <w:t>Interest received</w:t>
            </w:r>
          </w:p>
        </w:tc>
        <w:tc>
          <w:tcPr>
            <w:tcW w:w="1418" w:type="dxa"/>
            <w:tcBorders>
              <w:top w:val="single" w:sz="4" w:space="0" w:color="9FBCD0"/>
              <w:left w:val="single" w:sz="4" w:space="0" w:color="9FBCD0"/>
              <w:bottom w:val="single" w:sz="4" w:space="0" w:color="9FBCD0"/>
              <w:right w:val="single" w:sz="4" w:space="0" w:color="9FBCD0"/>
            </w:tcBorders>
            <w:vAlign w:val="bottom"/>
          </w:tcPr>
          <w:p w14:paraId="4B219B07"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6345347B" w14:textId="519E0941" w:rsidR="00DE047A" w:rsidRDefault="00DE047A" w:rsidP="00DE047A">
            <w:pPr>
              <w:jc w:val="right"/>
              <w:rPr>
                <w:lang w:val="en-US" w:eastAsia="en-AU"/>
              </w:rPr>
            </w:pPr>
            <w:r>
              <w:t xml:space="preserve">             2,202 </w:t>
            </w:r>
          </w:p>
        </w:tc>
        <w:tc>
          <w:tcPr>
            <w:tcW w:w="1791" w:type="dxa"/>
            <w:tcBorders>
              <w:top w:val="single" w:sz="4" w:space="0" w:color="9FBCD0"/>
              <w:left w:val="single" w:sz="4" w:space="0" w:color="9FBCD0"/>
              <w:bottom w:val="single" w:sz="4" w:space="0" w:color="9FBCD0"/>
              <w:right w:val="single" w:sz="4" w:space="0" w:color="9FBCD0"/>
            </w:tcBorders>
            <w:vAlign w:val="center"/>
          </w:tcPr>
          <w:p w14:paraId="70FB43D3" w14:textId="36D5E61E" w:rsidR="00DE047A" w:rsidRDefault="00DE047A" w:rsidP="00DE047A">
            <w:pPr>
              <w:jc w:val="right"/>
              <w:rPr>
                <w:lang w:val="en-US" w:eastAsia="en-AU"/>
              </w:rPr>
            </w:pPr>
            <w:r>
              <w:t xml:space="preserve">             2,446 </w:t>
            </w:r>
          </w:p>
        </w:tc>
      </w:tr>
      <w:tr w:rsidR="00DE047A" w14:paraId="4247D8F1"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486E1428" w14:textId="46E9EF21" w:rsidR="00DE047A" w:rsidRDefault="00DE047A" w:rsidP="00DE047A">
            <w:pPr>
              <w:rPr>
                <w:lang w:val="en-US" w:eastAsia="en-AU"/>
              </w:rPr>
            </w:pPr>
            <w:r>
              <w:t>GST receipts on sales</w:t>
            </w:r>
          </w:p>
        </w:tc>
        <w:tc>
          <w:tcPr>
            <w:tcW w:w="1418" w:type="dxa"/>
            <w:tcBorders>
              <w:top w:val="single" w:sz="4" w:space="0" w:color="9FBCD0"/>
              <w:left w:val="single" w:sz="4" w:space="0" w:color="9FBCD0"/>
              <w:bottom w:val="single" w:sz="4" w:space="0" w:color="9FBCD0"/>
              <w:right w:val="single" w:sz="4" w:space="0" w:color="9FBCD0"/>
            </w:tcBorders>
            <w:vAlign w:val="bottom"/>
          </w:tcPr>
          <w:p w14:paraId="42081939"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4BBC7F9D" w14:textId="1787A3DA" w:rsidR="00DE047A" w:rsidRDefault="00DE047A" w:rsidP="00DE047A">
            <w:pPr>
              <w:jc w:val="right"/>
              <w:rPr>
                <w:lang w:val="en-US" w:eastAsia="en-AU"/>
              </w:rPr>
            </w:pPr>
            <w:r>
              <w:t xml:space="preserve">                  74 </w:t>
            </w:r>
          </w:p>
        </w:tc>
        <w:tc>
          <w:tcPr>
            <w:tcW w:w="1791" w:type="dxa"/>
            <w:tcBorders>
              <w:top w:val="single" w:sz="4" w:space="0" w:color="9FBCD0"/>
              <w:left w:val="single" w:sz="4" w:space="0" w:color="9FBCD0"/>
              <w:bottom w:val="single" w:sz="4" w:space="0" w:color="9FBCD0"/>
              <w:right w:val="single" w:sz="4" w:space="0" w:color="9FBCD0"/>
            </w:tcBorders>
            <w:vAlign w:val="center"/>
          </w:tcPr>
          <w:p w14:paraId="1978970F" w14:textId="49A59406" w:rsidR="00DE047A" w:rsidRDefault="00DE047A" w:rsidP="00DE047A">
            <w:pPr>
              <w:jc w:val="right"/>
              <w:rPr>
                <w:lang w:val="en-US" w:eastAsia="en-AU"/>
              </w:rPr>
            </w:pPr>
            <w:r>
              <w:t xml:space="preserve">                  27 </w:t>
            </w:r>
          </w:p>
        </w:tc>
      </w:tr>
      <w:tr w:rsidR="00DE047A" w14:paraId="2BE0F09C"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595A5BC2" w14:textId="702C7C00" w:rsidR="00DE047A" w:rsidRDefault="00DE047A" w:rsidP="00DE047A">
            <w:pPr>
              <w:rPr>
                <w:lang w:val="en-US" w:eastAsia="en-AU"/>
              </w:rPr>
            </w:pPr>
            <w:r>
              <w:t>GST receipts from taxation authority</w:t>
            </w:r>
          </w:p>
        </w:tc>
        <w:tc>
          <w:tcPr>
            <w:tcW w:w="1418" w:type="dxa"/>
            <w:tcBorders>
              <w:top w:val="single" w:sz="4" w:space="0" w:color="9FBCD0"/>
              <w:left w:val="single" w:sz="4" w:space="0" w:color="9FBCD0"/>
              <w:bottom w:val="single" w:sz="4" w:space="0" w:color="9FBCD0"/>
              <w:right w:val="single" w:sz="4" w:space="0" w:color="9FBCD0"/>
            </w:tcBorders>
            <w:vAlign w:val="bottom"/>
          </w:tcPr>
          <w:p w14:paraId="7A7F02E1"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759E7708" w14:textId="759DF353" w:rsidR="00DE047A" w:rsidRDefault="00DE047A" w:rsidP="00DE047A">
            <w:pPr>
              <w:jc w:val="right"/>
              <w:rPr>
                <w:lang w:val="en-US" w:eastAsia="en-AU"/>
              </w:rPr>
            </w:pPr>
            <w:r>
              <w:t xml:space="preserve">                327 </w:t>
            </w:r>
          </w:p>
        </w:tc>
        <w:tc>
          <w:tcPr>
            <w:tcW w:w="1791" w:type="dxa"/>
            <w:tcBorders>
              <w:top w:val="single" w:sz="4" w:space="0" w:color="9FBCD0"/>
              <w:left w:val="single" w:sz="4" w:space="0" w:color="9FBCD0"/>
              <w:bottom w:val="single" w:sz="4" w:space="0" w:color="9FBCD0"/>
              <w:right w:val="single" w:sz="4" w:space="0" w:color="9FBCD0"/>
            </w:tcBorders>
            <w:vAlign w:val="center"/>
          </w:tcPr>
          <w:p w14:paraId="5B497381" w14:textId="478CA393" w:rsidR="00DE047A" w:rsidRDefault="00DE047A" w:rsidP="00DE047A">
            <w:pPr>
              <w:jc w:val="right"/>
              <w:rPr>
                <w:lang w:val="en-US" w:eastAsia="en-AU"/>
              </w:rPr>
            </w:pPr>
            <w:r>
              <w:t xml:space="preserve">                380 </w:t>
            </w:r>
          </w:p>
        </w:tc>
      </w:tr>
      <w:tr w:rsidR="00DE047A" w14:paraId="188440E7"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6F7B54DB" w14:textId="796C11F2" w:rsidR="00DE047A" w:rsidRDefault="00DE047A" w:rsidP="00DE047A">
            <w:pPr>
              <w:rPr>
                <w:lang w:val="en-US" w:eastAsia="en-AU"/>
              </w:rPr>
            </w:pPr>
            <w:r>
              <w:t>Other receipts</w:t>
            </w:r>
          </w:p>
        </w:tc>
        <w:tc>
          <w:tcPr>
            <w:tcW w:w="1418" w:type="dxa"/>
            <w:tcBorders>
              <w:top w:val="single" w:sz="4" w:space="0" w:color="9FBCD0"/>
              <w:left w:val="single" w:sz="4" w:space="0" w:color="9FBCD0"/>
              <w:bottom w:val="single" w:sz="4" w:space="0" w:color="9FBCD0"/>
              <w:right w:val="single" w:sz="4" w:space="0" w:color="9FBCD0"/>
            </w:tcBorders>
            <w:vAlign w:val="bottom"/>
          </w:tcPr>
          <w:p w14:paraId="69733AA2"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049D5A68" w14:textId="41F95F0F" w:rsidR="00DE047A" w:rsidRDefault="00DE047A" w:rsidP="00DE047A">
            <w:pPr>
              <w:jc w:val="right"/>
              <w:rPr>
                <w:lang w:val="en-US" w:eastAsia="en-AU"/>
              </w:rPr>
            </w:pPr>
            <w:r>
              <w:t xml:space="preserve">             1,003 </w:t>
            </w:r>
          </w:p>
        </w:tc>
        <w:tc>
          <w:tcPr>
            <w:tcW w:w="1791" w:type="dxa"/>
            <w:tcBorders>
              <w:top w:val="single" w:sz="4" w:space="0" w:color="9FBCD0"/>
              <w:left w:val="single" w:sz="4" w:space="0" w:color="9FBCD0"/>
              <w:bottom w:val="single" w:sz="4" w:space="0" w:color="9FBCD0"/>
              <w:right w:val="single" w:sz="4" w:space="0" w:color="9FBCD0"/>
            </w:tcBorders>
            <w:vAlign w:val="center"/>
          </w:tcPr>
          <w:p w14:paraId="23A1FD6F" w14:textId="16C09CE4" w:rsidR="00DE047A" w:rsidRDefault="00DE047A" w:rsidP="00DE047A">
            <w:pPr>
              <w:jc w:val="right"/>
              <w:rPr>
                <w:lang w:val="en-US" w:eastAsia="en-AU"/>
              </w:rPr>
            </w:pPr>
            <w:r>
              <w:t xml:space="preserve">                813 </w:t>
            </w:r>
          </w:p>
        </w:tc>
      </w:tr>
      <w:tr w:rsidR="00DE047A" w14:paraId="556DF62B" w14:textId="77777777" w:rsidTr="00DE047A">
        <w:tc>
          <w:tcPr>
            <w:tcW w:w="4106" w:type="dxa"/>
            <w:tcBorders>
              <w:top w:val="single" w:sz="4" w:space="0" w:color="9FBCD0"/>
              <w:left w:val="single" w:sz="4" w:space="0" w:color="9FBCD0"/>
              <w:bottom w:val="single" w:sz="4" w:space="0" w:color="9FBCD0"/>
              <w:right w:val="single" w:sz="4" w:space="0" w:color="9FBCD0"/>
            </w:tcBorders>
          </w:tcPr>
          <w:p w14:paraId="24BA8C86" w14:textId="256A9ABF" w:rsidR="00DE047A" w:rsidRPr="00DE047A" w:rsidRDefault="00DE047A" w:rsidP="002C60DA">
            <w:pPr>
              <w:rPr>
                <w:b/>
                <w:lang w:val="en-US" w:eastAsia="en-AU"/>
              </w:rPr>
            </w:pPr>
            <w:r>
              <w:rPr>
                <w:b/>
                <w:lang w:val="en-US" w:eastAsia="en-AU"/>
              </w:rPr>
              <w:t>Payments</w:t>
            </w:r>
          </w:p>
        </w:tc>
        <w:tc>
          <w:tcPr>
            <w:tcW w:w="1418" w:type="dxa"/>
            <w:tcBorders>
              <w:top w:val="single" w:sz="4" w:space="0" w:color="9FBCD0"/>
              <w:left w:val="single" w:sz="4" w:space="0" w:color="9FBCD0"/>
              <w:bottom w:val="single" w:sz="4" w:space="0" w:color="9FBCD0"/>
              <w:right w:val="single" w:sz="4" w:space="0" w:color="9FBCD0"/>
            </w:tcBorders>
          </w:tcPr>
          <w:p w14:paraId="23ADC9C5" w14:textId="77777777" w:rsidR="00DE047A" w:rsidRDefault="00DE047A" w:rsidP="002C60D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tcPr>
          <w:p w14:paraId="5D226348" w14:textId="77777777" w:rsidR="00DE047A" w:rsidRDefault="00DE047A" w:rsidP="002C60DA">
            <w:pPr>
              <w:rPr>
                <w:lang w:val="en-US" w:eastAsia="en-AU"/>
              </w:rPr>
            </w:pPr>
          </w:p>
        </w:tc>
        <w:tc>
          <w:tcPr>
            <w:tcW w:w="1791" w:type="dxa"/>
            <w:tcBorders>
              <w:top w:val="single" w:sz="4" w:space="0" w:color="9FBCD0"/>
              <w:left w:val="single" w:sz="4" w:space="0" w:color="9FBCD0"/>
              <w:bottom w:val="single" w:sz="4" w:space="0" w:color="9FBCD0"/>
              <w:right w:val="single" w:sz="4" w:space="0" w:color="9FBCD0"/>
            </w:tcBorders>
          </w:tcPr>
          <w:p w14:paraId="0B479D66" w14:textId="77777777" w:rsidR="00DE047A" w:rsidRDefault="00DE047A" w:rsidP="002C60DA">
            <w:pPr>
              <w:rPr>
                <w:lang w:val="en-US" w:eastAsia="en-AU"/>
              </w:rPr>
            </w:pPr>
          </w:p>
        </w:tc>
      </w:tr>
      <w:tr w:rsidR="00DE047A" w14:paraId="10D36018"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7689BE96" w14:textId="6831F503" w:rsidR="00DE047A" w:rsidRDefault="00DE047A" w:rsidP="00DE047A">
            <w:pPr>
              <w:rPr>
                <w:lang w:val="en-US" w:eastAsia="en-AU"/>
              </w:rPr>
            </w:pPr>
            <w:r>
              <w:t>Workers' Compensation claim payments</w:t>
            </w:r>
          </w:p>
        </w:tc>
        <w:tc>
          <w:tcPr>
            <w:tcW w:w="1418" w:type="dxa"/>
            <w:tcBorders>
              <w:top w:val="single" w:sz="4" w:space="0" w:color="9FBCD0"/>
              <w:left w:val="single" w:sz="4" w:space="0" w:color="9FBCD0"/>
              <w:bottom w:val="single" w:sz="4" w:space="0" w:color="9FBCD0"/>
              <w:right w:val="single" w:sz="4" w:space="0" w:color="9FBCD0"/>
            </w:tcBorders>
            <w:vAlign w:val="bottom"/>
          </w:tcPr>
          <w:p w14:paraId="1D618112"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40A15DB1" w14:textId="5F9167ED" w:rsidR="00DE047A" w:rsidRDefault="00DE047A" w:rsidP="00DE047A">
            <w:pPr>
              <w:jc w:val="right"/>
              <w:rPr>
                <w:lang w:val="en-US" w:eastAsia="en-AU"/>
              </w:rPr>
            </w:pPr>
            <w:r>
              <w:t xml:space="preserve">            (1,104)</w:t>
            </w:r>
          </w:p>
        </w:tc>
        <w:tc>
          <w:tcPr>
            <w:tcW w:w="1791" w:type="dxa"/>
            <w:tcBorders>
              <w:top w:val="single" w:sz="4" w:space="0" w:color="9FBCD0"/>
              <w:left w:val="single" w:sz="4" w:space="0" w:color="9FBCD0"/>
              <w:bottom w:val="single" w:sz="4" w:space="0" w:color="9FBCD0"/>
              <w:right w:val="single" w:sz="4" w:space="0" w:color="9FBCD0"/>
            </w:tcBorders>
            <w:vAlign w:val="bottom"/>
          </w:tcPr>
          <w:p w14:paraId="09941417" w14:textId="684CE841" w:rsidR="00DE047A" w:rsidRDefault="00DE047A" w:rsidP="00DE047A">
            <w:pPr>
              <w:jc w:val="right"/>
              <w:rPr>
                <w:lang w:val="en-US" w:eastAsia="en-AU"/>
              </w:rPr>
            </w:pPr>
            <w:r>
              <w:t xml:space="preserve">            (1,760)</w:t>
            </w:r>
          </w:p>
        </w:tc>
      </w:tr>
      <w:tr w:rsidR="00DE047A" w14:paraId="72A5615B"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181A32DE" w14:textId="6976FACD" w:rsidR="00DE047A" w:rsidRDefault="00DE047A" w:rsidP="00DE047A">
            <w:pPr>
              <w:rPr>
                <w:lang w:val="en-US" w:eastAsia="en-AU"/>
              </w:rPr>
            </w:pPr>
            <w:r>
              <w:t>Employee benefits</w:t>
            </w:r>
          </w:p>
        </w:tc>
        <w:tc>
          <w:tcPr>
            <w:tcW w:w="1418" w:type="dxa"/>
            <w:tcBorders>
              <w:top w:val="single" w:sz="4" w:space="0" w:color="9FBCD0"/>
              <w:left w:val="single" w:sz="4" w:space="0" w:color="9FBCD0"/>
              <w:bottom w:val="single" w:sz="4" w:space="0" w:color="9FBCD0"/>
              <w:right w:val="single" w:sz="4" w:space="0" w:color="9FBCD0"/>
            </w:tcBorders>
            <w:vAlign w:val="bottom"/>
          </w:tcPr>
          <w:p w14:paraId="401E2054"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5ECAFA66" w14:textId="1480679D" w:rsidR="00DE047A" w:rsidRDefault="00DE047A" w:rsidP="00DE047A">
            <w:pPr>
              <w:jc w:val="right"/>
              <w:rPr>
                <w:lang w:val="en-US" w:eastAsia="en-AU"/>
              </w:rPr>
            </w:pPr>
            <w:r>
              <w:t xml:space="preserve">           (14,786)</w:t>
            </w:r>
          </w:p>
        </w:tc>
        <w:tc>
          <w:tcPr>
            <w:tcW w:w="1791" w:type="dxa"/>
            <w:tcBorders>
              <w:top w:val="single" w:sz="4" w:space="0" w:color="9FBCD0"/>
              <w:left w:val="single" w:sz="4" w:space="0" w:color="9FBCD0"/>
              <w:bottom w:val="single" w:sz="4" w:space="0" w:color="9FBCD0"/>
              <w:right w:val="single" w:sz="4" w:space="0" w:color="9FBCD0"/>
            </w:tcBorders>
            <w:vAlign w:val="bottom"/>
          </w:tcPr>
          <w:p w14:paraId="2BF50AA0" w14:textId="1D139D0C" w:rsidR="00DE047A" w:rsidRDefault="00DE047A" w:rsidP="00DE047A">
            <w:pPr>
              <w:jc w:val="right"/>
              <w:rPr>
                <w:lang w:val="en-US" w:eastAsia="en-AU"/>
              </w:rPr>
            </w:pPr>
            <w:r>
              <w:t xml:space="preserve">           (14,906)</w:t>
            </w:r>
          </w:p>
        </w:tc>
      </w:tr>
      <w:tr w:rsidR="00DE047A" w14:paraId="257FFF9B"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4D94D9F7" w14:textId="147C92E1" w:rsidR="00DE047A" w:rsidRDefault="00DE047A" w:rsidP="00DE047A">
            <w:pPr>
              <w:rPr>
                <w:lang w:val="en-US" w:eastAsia="en-AU"/>
              </w:rPr>
            </w:pPr>
            <w:r>
              <w:t>Supplies and services</w:t>
            </w:r>
          </w:p>
        </w:tc>
        <w:tc>
          <w:tcPr>
            <w:tcW w:w="1418" w:type="dxa"/>
            <w:tcBorders>
              <w:top w:val="single" w:sz="4" w:space="0" w:color="9FBCD0"/>
              <w:left w:val="single" w:sz="4" w:space="0" w:color="9FBCD0"/>
              <w:bottom w:val="single" w:sz="4" w:space="0" w:color="9FBCD0"/>
              <w:right w:val="single" w:sz="4" w:space="0" w:color="9FBCD0"/>
            </w:tcBorders>
            <w:vAlign w:val="bottom"/>
          </w:tcPr>
          <w:p w14:paraId="627AC6F3"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1B2F3989" w14:textId="0A1B7A17" w:rsidR="00DE047A" w:rsidRDefault="00DE047A" w:rsidP="00DE047A">
            <w:pPr>
              <w:jc w:val="right"/>
              <w:rPr>
                <w:lang w:val="en-US" w:eastAsia="en-AU"/>
              </w:rPr>
            </w:pPr>
            <w:r>
              <w:t xml:space="preserve">            (2,875)</w:t>
            </w:r>
          </w:p>
        </w:tc>
        <w:tc>
          <w:tcPr>
            <w:tcW w:w="1791" w:type="dxa"/>
            <w:tcBorders>
              <w:top w:val="single" w:sz="4" w:space="0" w:color="9FBCD0"/>
              <w:left w:val="single" w:sz="4" w:space="0" w:color="9FBCD0"/>
              <w:bottom w:val="single" w:sz="4" w:space="0" w:color="9FBCD0"/>
              <w:right w:val="single" w:sz="4" w:space="0" w:color="9FBCD0"/>
            </w:tcBorders>
            <w:vAlign w:val="bottom"/>
          </w:tcPr>
          <w:p w14:paraId="7DBF0DC3" w14:textId="5B27683F" w:rsidR="00DE047A" w:rsidRDefault="00DE047A" w:rsidP="00DE047A">
            <w:pPr>
              <w:jc w:val="right"/>
              <w:rPr>
                <w:lang w:val="en-US" w:eastAsia="en-AU"/>
              </w:rPr>
            </w:pPr>
            <w:r>
              <w:t xml:space="preserve">            (2,865)</w:t>
            </w:r>
          </w:p>
        </w:tc>
      </w:tr>
      <w:tr w:rsidR="00DE047A" w14:paraId="09568243"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3A7DAA43" w14:textId="11D712F4" w:rsidR="00DE047A" w:rsidRDefault="00DE047A" w:rsidP="00DE047A">
            <w:pPr>
              <w:rPr>
                <w:lang w:val="en-US" w:eastAsia="en-AU"/>
              </w:rPr>
            </w:pPr>
            <w:r>
              <w:t>Accommodation</w:t>
            </w:r>
          </w:p>
        </w:tc>
        <w:tc>
          <w:tcPr>
            <w:tcW w:w="1418" w:type="dxa"/>
            <w:tcBorders>
              <w:top w:val="single" w:sz="4" w:space="0" w:color="9FBCD0"/>
              <w:left w:val="single" w:sz="4" w:space="0" w:color="9FBCD0"/>
              <w:bottom w:val="single" w:sz="4" w:space="0" w:color="9FBCD0"/>
              <w:right w:val="single" w:sz="4" w:space="0" w:color="9FBCD0"/>
            </w:tcBorders>
            <w:vAlign w:val="bottom"/>
          </w:tcPr>
          <w:p w14:paraId="01F994BA"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5ECB4284" w14:textId="02FEDADC" w:rsidR="00DE047A" w:rsidRDefault="00DE047A" w:rsidP="00DE047A">
            <w:pPr>
              <w:jc w:val="right"/>
              <w:rPr>
                <w:lang w:val="en-US" w:eastAsia="en-AU"/>
              </w:rPr>
            </w:pPr>
            <w:r>
              <w:t xml:space="preserve">               (641)</w:t>
            </w:r>
          </w:p>
        </w:tc>
        <w:tc>
          <w:tcPr>
            <w:tcW w:w="1791" w:type="dxa"/>
            <w:tcBorders>
              <w:top w:val="single" w:sz="4" w:space="0" w:color="9FBCD0"/>
              <w:left w:val="single" w:sz="4" w:space="0" w:color="9FBCD0"/>
              <w:bottom w:val="single" w:sz="4" w:space="0" w:color="9FBCD0"/>
              <w:right w:val="single" w:sz="4" w:space="0" w:color="9FBCD0"/>
            </w:tcBorders>
            <w:vAlign w:val="bottom"/>
          </w:tcPr>
          <w:p w14:paraId="36C39C78" w14:textId="061ED097" w:rsidR="00DE047A" w:rsidRDefault="00DE047A" w:rsidP="00DE047A">
            <w:pPr>
              <w:jc w:val="right"/>
              <w:rPr>
                <w:lang w:val="en-US" w:eastAsia="en-AU"/>
              </w:rPr>
            </w:pPr>
            <w:r>
              <w:t xml:space="preserve">               (661)</w:t>
            </w:r>
          </w:p>
        </w:tc>
      </w:tr>
      <w:tr w:rsidR="00DE047A" w14:paraId="4E5643BD"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56CFEF93" w14:textId="6734D9D7" w:rsidR="00DE047A" w:rsidRDefault="00DE047A" w:rsidP="00DE047A">
            <w:pPr>
              <w:rPr>
                <w:lang w:val="en-US" w:eastAsia="en-AU"/>
              </w:rPr>
            </w:pPr>
            <w:r>
              <w:t>Grants and subsidies</w:t>
            </w:r>
          </w:p>
        </w:tc>
        <w:tc>
          <w:tcPr>
            <w:tcW w:w="1418" w:type="dxa"/>
            <w:tcBorders>
              <w:top w:val="single" w:sz="4" w:space="0" w:color="9FBCD0"/>
              <w:left w:val="single" w:sz="4" w:space="0" w:color="9FBCD0"/>
              <w:bottom w:val="single" w:sz="4" w:space="0" w:color="9FBCD0"/>
              <w:right w:val="single" w:sz="4" w:space="0" w:color="9FBCD0"/>
            </w:tcBorders>
            <w:vAlign w:val="bottom"/>
          </w:tcPr>
          <w:p w14:paraId="0226ACD4"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20C0ED00" w14:textId="71960BA6" w:rsidR="00DE047A" w:rsidRDefault="00DE047A" w:rsidP="00DE047A">
            <w:pPr>
              <w:jc w:val="right"/>
              <w:rPr>
                <w:lang w:val="en-US" w:eastAsia="en-AU"/>
              </w:rPr>
            </w:pPr>
            <w:r>
              <w:t xml:space="preserve">                 (50)</w:t>
            </w:r>
          </w:p>
        </w:tc>
        <w:tc>
          <w:tcPr>
            <w:tcW w:w="1791" w:type="dxa"/>
            <w:tcBorders>
              <w:top w:val="single" w:sz="4" w:space="0" w:color="9FBCD0"/>
              <w:left w:val="single" w:sz="4" w:space="0" w:color="9FBCD0"/>
              <w:bottom w:val="single" w:sz="4" w:space="0" w:color="9FBCD0"/>
              <w:right w:val="single" w:sz="4" w:space="0" w:color="9FBCD0"/>
            </w:tcBorders>
            <w:vAlign w:val="bottom"/>
          </w:tcPr>
          <w:p w14:paraId="2450E462" w14:textId="2449C835" w:rsidR="00DE047A" w:rsidRDefault="00DE047A" w:rsidP="00DE047A">
            <w:pPr>
              <w:jc w:val="right"/>
              <w:rPr>
                <w:lang w:val="en-US" w:eastAsia="en-AU"/>
              </w:rPr>
            </w:pPr>
            <w:r>
              <w:t xml:space="preserve">                 (50)</w:t>
            </w:r>
          </w:p>
        </w:tc>
      </w:tr>
      <w:tr w:rsidR="00DE047A" w14:paraId="02B9CDB6"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5E719614" w14:textId="3D92581F" w:rsidR="00DE047A" w:rsidRDefault="00DE047A" w:rsidP="00DE047A">
            <w:pPr>
              <w:rPr>
                <w:lang w:val="en-US" w:eastAsia="en-AU"/>
              </w:rPr>
            </w:pPr>
            <w:r>
              <w:t>GST payments on purchases</w:t>
            </w:r>
          </w:p>
        </w:tc>
        <w:tc>
          <w:tcPr>
            <w:tcW w:w="1418" w:type="dxa"/>
            <w:tcBorders>
              <w:top w:val="single" w:sz="4" w:space="0" w:color="9FBCD0"/>
              <w:left w:val="single" w:sz="4" w:space="0" w:color="9FBCD0"/>
              <w:bottom w:val="single" w:sz="4" w:space="0" w:color="9FBCD0"/>
              <w:right w:val="single" w:sz="4" w:space="0" w:color="9FBCD0"/>
            </w:tcBorders>
            <w:vAlign w:val="bottom"/>
          </w:tcPr>
          <w:p w14:paraId="46977719"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bottom"/>
          </w:tcPr>
          <w:p w14:paraId="3BC0E142" w14:textId="324B5FF3" w:rsidR="00DE047A" w:rsidRDefault="00DE047A" w:rsidP="00DE047A">
            <w:pPr>
              <w:jc w:val="right"/>
              <w:rPr>
                <w:lang w:val="en-US" w:eastAsia="en-AU"/>
              </w:rPr>
            </w:pPr>
            <w:r>
              <w:t xml:space="preserve">               (406)</w:t>
            </w:r>
          </w:p>
        </w:tc>
        <w:tc>
          <w:tcPr>
            <w:tcW w:w="1791" w:type="dxa"/>
            <w:tcBorders>
              <w:top w:val="single" w:sz="4" w:space="0" w:color="9FBCD0"/>
              <w:left w:val="single" w:sz="4" w:space="0" w:color="9FBCD0"/>
              <w:bottom w:val="single" w:sz="4" w:space="0" w:color="9FBCD0"/>
              <w:right w:val="single" w:sz="4" w:space="0" w:color="9FBCD0"/>
            </w:tcBorders>
            <w:vAlign w:val="bottom"/>
          </w:tcPr>
          <w:p w14:paraId="718E7F62" w14:textId="10ACBA15" w:rsidR="00DE047A" w:rsidRDefault="00DE047A" w:rsidP="00DE047A">
            <w:pPr>
              <w:jc w:val="right"/>
              <w:rPr>
                <w:lang w:val="en-US" w:eastAsia="en-AU"/>
              </w:rPr>
            </w:pPr>
            <w:r>
              <w:t xml:space="preserve">               (404)</w:t>
            </w:r>
          </w:p>
        </w:tc>
      </w:tr>
      <w:tr w:rsidR="00DE047A" w14:paraId="7A1F73E1" w14:textId="77777777" w:rsidTr="00994FE8">
        <w:tc>
          <w:tcPr>
            <w:tcW w:w="4106" w:type="dxa"/>
            <w:tcBorders>
              <w:top w:val="single" w:sz="4" w:space="0" w:color="9FBCD0"/>
              <w:left w:val="single" w:sz="4" w:space="0" w:color="9FBCD0"/>
              <w:bottom w:val="single" w:sz="4" w:space="0" w:color="9FBCD0"/>
              <w:right w:val="single" w:sz="4" w:space="0" w:color="9FBCD0"/>
            </w:tcBorders>
            <w:vAlign w:val="bottom"/>
          </w:tcPr>
          <w:p w14:paraId="2D158361" w14:textId="4D6B7213" w:rsidR="00DE047A" w:rsidRDefault="00DE047A" w:rsidP="00DE047A">
            <w:pPr>
              <w:rPr>
                <w:lang w:val="en-US" w:eastAsia="en-AU"/>
              </w:rPr>
            </w:pPr>
            <w:r>
              <w:t>Other payments</w:t>
            </w:r>
          </w:p>
        </w:tc>
        <w:tc>
          <w:tcPr>
            <w:tcW w:w="1418" w:type="dxa"/>
            <w:tcBorders>
              <w:top w:val="single" w:sz="4" w:space="0" w:color="9FBCD0"/>
              <w:left w:val="single" w:sz="4" w:space="0" w:color="9FBCD0"/>
              <w:bottom w:val="single" w:sz="4" w:space="0" w:color="9FBCD0"/>
              <w:right w:val="single" w:sz="4" w:space="0" w:color="9FBCD0"/>
            </w:tcBorders>
            <w:vAlign w:val="bottom"/>
          </w:tcPr>
          <w:p w14:paraId="2D5DE5ED" w14:textId="77777777" w:rsidR="00DE047A" w:rsidRDefault="00DE047A" w:rsidP="00DE047A">
            <w:pPr>
              <w:rPr>
                <w:lang w:val="en-US" w:eastAsia="en-AU"/>
              </w:rPr>
            </w:pPr>
          </w:p>
        </w:tc>
        <w:tc>
          <w:tcPr>
            <w:tcW w:w="1701" w:type="dxa"/>
            <w:tcBorders>
              <w:top w:val="single" w:sz="4" w:space="0" w:color="9FBCD0"/>
              <w:left w:val="single" w:sz="4" w:space="0" w:color="9FBCD0"/>
              <w:bottom w:val="single" w:sz="12" w:space="0" w:color="auto"/>
              <w:right w:val="single" w:sz="4" w:space="0" w:color="9FBCD0"/>
            </w:tcBorders>
            <w:vAlign w:val="bottom"/>
          </w:tcPr>
          <w:p w14:paraId="064A7CBC" w14:textId="2E041074" w:rsidR="00DE047A" w:rsidRDefault="00DE047A" w:rsidP="00DE047A">
            <w:pPr>
              <w:jc w:val="right"/>
              <w:rPr>
                <w:lang w:val="en-US" w:eastAsia="en-AU"/>
              </w:rPr>
            </w:pPr>
            <w:r>
              <w:t xml:space="preserve">            (1,081)</w:t>
            </w:r>
          </w:p>
        </w:tc>
        <w:tc>
          <w:tcPr>
            <w:tcW w:w="1791" w:type="dxa"/>
            <w:tcBorders>
              <w:top w:val="single" w:sz="4" w:space="0" w:color="9FBCD0"/>
              <w:left w:val="single" w:sz="4" w:space="0" w:color="9FBCD0"/>
              <w:bottom w:val="single" w:sz="12" w:space="0" w:color="auto"/>
              <w:right w:val="single" w:sz="4" w:space="0" w:color="9FBCD0"/>
            </w:tcBorders>
            <w:vAlign w:val="bottom"/>
          </w:tcPr>
          <w:p w14:paraId="729FDE48" w14:textId="6CF80BE7" w:rsidR="00DE047A" w:rsidRDefault="00DE047A" w:rsidP="00DE047A">
            <w:pPr>
              <w:jc w:val="right"/>
              <w:rPr>
                <w:lang w:val="en-US" w:eastAsia="en-AU"/>
              </w:rPr>
            </w:pPr>
            <w:r>
              <w:t xml:space="preserve">            (1,045)</w:t>
            </w:r>
          </w:p>
        </w:tc>
      </w:tr>
      <w:tr w:rsidR="00DE047A" w14:paraId="18D6D1B9" w14:textId="77777777" w:rsidTr="00DE047A">
        <w:tc>
          <w:tcPr>
            <w:tcW w:w="4106" w:type="dxa"/>
            <w:tcBorders>
              <w:top w:val="single" w:sz="4" w:space="0" w:color="9FBCD0"/>
              <w:left w:val="single" w:sz="4" w:space="0" w:color="9FBCD0"/>
              <w:bottom w:val="single" w:sz="4" w:space="0" w:color="9FBCD0"/>
              <w:right w:val="single" w:sz="4" w:space="0" w:color="9FBCD0"/>
            </w:tcBorders>
            <w:vAlign w:val="bottom"/>
          </w:tcPr>
          <w:p w14:paraId="23AD652B" w14:textId="0B610159" w:rsidR="00DE047A" w:rsidRPr="00DE047A" w:rsidRDefault="00DE047A" w:rsidP="00DE047A">
            <w:pPr>
              <w:rPr>
                <w:b/>
                <w:lang w:val="en-US" w:eastAsia="en-AU"/>
              </w:rPr>
            </w:pPr>
            <w:r w:rsidRPr="00DE047A">
              <w:rPr>
                <w:b/>
              </w:rPr>
              <w:t>Net cash provided by operating activities</w:t>
            </w:r>
          </w:p>
        </w:tc>
        <w:tc>
          <w:tcPr>
            <w:tcW w:w="1418" w:type="dxa"/>
            <w:tcBorders>
              <w:top w:val="single" w:sz="4" w:space="0" w:color="9FBCD0"/>
              <w:left w:val="single" w:sz="4" w:space="0" w:color="9FBCD0"/>
              <w:bottom w:val="single" w:sz="4" w:space="0" w:color="9FBCD0"/>
              <w:right w:val="single" w:sz="4" w:space="0" w:color="9FBCD0"/>
            </w:tcBorders>
            <w:vAlign w:val="bottom"/>
          </w:tcPr>
          <w:p w14:paraId="4E0EE1C9" w14:textId="237D6490" w:rsidR="00DE047A" w:rsidRPr="00DE047A" w:rsidRDefault="00DE047A" w:rsidP="00DE047A">
            <w:pPr>
              <w:jc w:val="center"/>
              <w:rPr>
                <w:b/>
                <w:lang w:val="en-US" w:eastAsia="en-AU"/>
              </w:rPr>
            </w:pPr>
            <w:r w:rsidRPr="00DE047A">
              <w:rPr>
                <w:b/>
              </w:rPr>
              <w:t>7.1</w:t>
            </w:r>
          </w:p>
        </w:tc>
        <w:tc>
          <w:tcPr>
            <w:tcW w:w="1701" w:type="dxa"/>
            <w:tcBorders>
              <w:top w:val="single" w:sz="12" w:space="0" w:color="auto"/>
              <w:left w:val="single" w:sz="4" w:space="0" w:color="9FBCD0"/>
              <w:bottom w:val="single" w:sz="12" w:space="0" w:color="auto"/>
              <w:right w:val="single" w:sz="4" w:space="0" w:color="9FBCD0"/>
            </w:tcBorders>
            <w:vAlign w:val="bottom"/>
          </w:tcPr>
          <w:p w14:paraId="2BF8BA95" w14:textId="1C87A8C1" w:rsidR="00DE047A" w:rsidRPr="00DE047A" w:rsidRDefault="00DE047A" w:rsidP="00DE047A">
            <w:pPr>
              <w:jc w:val="right"/>
              <w:rPr>
                <w:b/>
                <w:lang w:val="en-US" w:eastAsia="en-AU"/>
              </w:rPr>
            </w:pPr>
            <w:r w:rsidRPr="00DE047A">
              <w:rPr>
                <w:b/>
              </w:rPr>
              <w:t xml:space="preserve">             2,555 </w:t>
            </w:r>
          </w:p>
        </w:tc>
        <w:tc>
          <w:tcPr>
            <w:tcW w:w="1791" w:type="dxa"/>
            <w:tcBorders>
              <w:top w:val="single" w:sz="12" w:space="0" w:color="auto"/>
              <w:left w:val="single" w:sz="4" w:space="0" w:color="9FBCD0"/>
              <w:bottom w:val="single" w:sz="12" w:space="0" w:color="auto"/>
              <w:right w:val="single" w:sz="4" w:space="0" w:color="9FBCD0"/>
            </w:tcBorders>
            <w:vAlign w:val="bottom"/>
          </w:tcPr>
          <w:p w14:paraId="001AA273" w14:textId="1B61AFAF" w:rsidR="00DE047A" w:rsidRPr="00DE047A" w:rsidRDefault="00DE047A" w:rsidP="00DE047A">
            <w:pPr>
              <w:jc w:val="right"/>
              <w:rPr>
                <w:b/>
                <w:lang w:val="en-US" w:eastAsia="en-AU"/>
              </w:rPr>
            </w:pPr>
            <w:r w:rsidRPr="00DE047A">
              <w:rPr>
                <w:b/>
              </w:rPr>
              <w:t xml:space="preserve">             2,049 </w:t>
            </w:r>
          </w:p>
        </w:tc>
      </w:tr>
      <w:tr w:rsidR="00DE047A" w14:paraId="30BAB47D" w14:textId="77777777" w:rsidTr="00DE047A">
        <w:tc>
          <w:tcPr>
            <w:tcW w:w="4106" w:type="dxa"/>
            <w:tcBorders>
              <w:top w:val="single" w:sz="4" w:space="0" w:color="9FBCD0"/>
              <w:left w:val="single" w:sz="4" w:space="0" w:color="9FBCD0"/>
              <w:bottom w:val="single" w:sz="4" w:space="0" w:color="9FBCD0"/>
              <w:right w:val="single" w:sz="4" w:space="0" w:color="9FBCD0"/>
            </w:tcBorders>
          </w:tcPr>
          <w:p w14:paraId="043865AD" w14:textId="02AEEF54" w:rsidR="00DE047A" w:rsidRPr="00DE047A" w:rsidRDefault="00DE047A" w:rsidP="002C60DA">
            <w:pPr>
              <w:rPr>
                <w:b/>
                <w:lang w:eastAsia="en-AU"/>
              </w:rPr>
            </w:pPr>
            <w:r w:rsidRPr="00DE047A">
              <w:rPr>
                <w:b/>
              </w:rPr>
              <w:t>CASH FLOWS FROM INVESTING ACTIVITIES</w:t>
            </w:r>
            <w:r>
              <w:rPr>
                <w:b/>
                <w:lang w:eastAsia="en-AU"/>
              </w:rPr>
              <w:br/>
              <w:t>Receipts</w:t>
            </w:r>
          </w:p>
        </w:tc>
        <w:tc>
          <w:tcPr>
            <w:tcW w:w="1418" w:type="dxa"/>
            <w:tcBorders>
              <w:top w:val="single" w:sz="4" w:space="0" w:color="9FBCD0"/>
              <w:left w:val="single" w:sz="4" w:space="0" w:color="9FBCD0"/>
              <w:bottom w:val="single" w:sz="4" w:space="0" w:color="9FBCD0"/>
              <w:right w:val="single" w:sz="4" w:space="0" w:color="9FBCD0"/>
            </w:tcBorders>
          </w:tcPr>
          <w:p w14:paraId="02A159ED" w14:textId="77777777" w:rsidR="00DE047A" w:rsidRDefault="00DE047A" w:rsidP="002C60DA">
            <w:pPr>
              <w:rPr>
                <w:lang w:val="en-US" w:eastAsia="en-AU"/>
              </w:rPr>
            </w:pPr>
          </w:p>
        </w:tc>
        <w:tc>
          <w:tcPr>
            <w:tcW w:w="1701" w:type="dxa"/>
            <w:tcBorders>
              <w:top w:val="single" w:sz="12" w:space="0" w:color="auto"/>
              <w:left w:val="single" w:sz="4" w:space="0" w:color="9FBCD0"/>
              <w:bottom w:val="single" w:sz="4" w:space="0" w:color="9FBCD0"/>
              <w:right w:val="single" w:sz="4" w:space="0" w:color="9FBCD0"/>
            </w:tcBorders>
          </w:tcPr>
          <w:p w14:paraId="030387FD" w14:textId="77777777" w:rsidR="00DE047A" w:rsidRDefault="00DE047A" w:rsidP="002C60DA">
            <w:pPr>
              <w:rPr>
                <w:lang w:val="en-US" w:eastAsia="en-AU"/>
              </w:rPr>
            </w:pPr>
          </w:p>
        </w:tc>
        <w:tc>
          <w:tcPr>
            <w:tcW w:w="1791" w:type="dxa"/>
            <w:tcBorders>
              <w:top w:val="single" w:sz="12" w:space="0" w:color="auto"/>
              <w:left w:val="single" w:sz="4" w:space="0" w:color="9FBCD0"/>
              <w:bottom w:val="single" w:sz="4" w:space="0" w:color="9FBCD0"/>
              <w:right w:val="single" w:sz="4" w:space="0" w:color="9FBCD0"/>
            </w:tcBorders>
          </w:tcPr>
          <w:p w14:paraId="3984A500" w14:textId="77777777" w:rsidR="00DE047A" w:rsidRDefault="00DE047A" w:rsidP="002C60DA">
            <w:pPr>
              <w:rPr>
                <w:lang w:val="en-US" w:eastAsia="en-AU"/>
              </w:rPr>
            </w:pPr>
          </w:p>
        </w:tc>
      </w:tr>
      <w:tr w:rsidR="00DE047A" w14:paraId="5F21D87B" w14:textId="77777777" w:rsidTr="00187E63">
        <w:tc>
          <w:tcPr>
            <w:tcW w:w="4106" w:type="dxa"/>
            <w:tcBorders>
              <w:top w:val="single" w:sz="4" w:space="0" w:color="9FBCD0"/>
              <w:left w:val="single" w:sz="4" w:space="0" w:color="9FBCD0"/>
              <w:bottom w:val="single" w:sz="4" w:space="0" w:color="9FBCD0"/>
              <w:right w:val="single" w:sz="4" w:space="0" w:color="9FBCD0"/>
            </w:tcBorders>
            <w:vAlign w:val="bottom"/>
          </w:tcPr>
          <w:p w14:paraId="05AAEC5E" w14:textId="0E14E829" w:rsidR="00DE047A" w:rsidRDefault="00DE047A" w:rsidP="00DE047A">
            <w:pPr>
              <w:rPr>
                <w:lang w:val="en-US" w:eastAsia="en-AU"/>
              </w:rPr>
            </w:pPr>
            <w:r>
              <w:t>Proceeds from sale of non-current physical assets</w:t>
            </w:r>
          </w:p>
        </w:tc>
        <w:tc>
          <w:tcPr>
            <w:tcW w:w="1418" w:type="dxa"/>
            <w:tcBorders>
              <w:top w:val="single" w:sz="4" w:space="0" w:color="9FBCD0"/>
              <w:left w:val="single" w:sz="4" w:space="0" w:color="9FBCD0"/>
              <w:bottom w:val="single" w:sz="4" w:space="0" w:color="9FBCD0"/>
              <w:right w:val="single" w:sz="4" w:space="0" w:color="9FBCD0"/>
            </w:tcBorders>
            <w:vAlign w:val="bottom"/>
          </w:tcPr>
          <w:p w14:paraId="093A742B" w14:textId="531B1AC0" w:rsidR="00DE047A" w:rsidRPr="00DE047A" w:rsidRDefault="00DE047A" w:rsidP="00DE047A">
            <w:pPr>
              <w:jc w:val="center"/>
              <w:rPr>
                <w:b/>
                <w:lang w:val="en-US" w:eastAsia="en-AU"/>
              </w:rPr>
            </w:pPr>
            <w:r w:rsidRPr="00DE047A">
              <w:rPr>
                <w:b/>
              </w:rPr>
              <w:t>4.4</w:t>
            </w:r>
          </w:p>
        </w:tc>
        <w:tc>
          <w:tcPr>
            <w:tcW w:w="1701" w:type="dxa"/>
            <w:tcBorders>
              <w:top w:val="single" w:sz="4" w:space="0" w:color="9FBCD0"/>
              <w:left w:val="single" w:sz="4" w:space="0" w:color="9FBCD0"/>
              <w:bottom w:val="single" w:sz="4" w:space="0" w:color="9FBCD0"/>
              <w:right w:val="single" w:sz="4" w:space="0" w:color="9FBCD0"/>
            </w:tcBorders>
            <w:vAlign w:val="bottom"/>
          </w:tcPr>
          <w:p w14:paraId="22875AEF" w14:textId="51DE17E2" w:rsidR="00DE047A" w:rsidRPr="00DE047A" w:rsidRDefault="00DE047A" w:rsidP="00DE047A">
            <w:pPr>
              <w:jc w:val="right"/>
              <w:rPr>
                <w:b/>
                <w:lang w:val="en-US" w:eastAsia="en-AU"/>
              </w:rPr>
            </w:pPr>
            <w:r w:rsidRPr="00DE047A">
              <w:rPr>
                <w:b/>
              </w:rPr>
              <w:t xml:space="preserve">                  -   </w:t>
            </w:r>
          </w:p>
        </w:tc>
        <w:tc>
          <w:tcPr>
            <w:tcW w:w="1791" w:type="dxa"/>
            <w:tcBorders>
              <w:top w:val="single" w:sz="4" w:space="0" w:color="9FBCD0"/>
              <w:left w:val="single" w:sz="4" w:space="0" w:color="9FBCD0"/>
              <w:bottom w:val="single" w:sz="4" w:space="0" w:color="9FBCD0"/>
              <w:right w:val="single" w:sz="4" w:space="0" w:color="9FBCD0"/>
            </w:tcBorders>
            <w:vAlign w:val="bottom"/>
          </w:tcPr>
          <w:p w14:paraId="3DB836FA" w14:textId="504714AA" w:rsidR="00DE047A" w:rsidRPr="00DE047A" w:rsidRDefault="00DE047A" w:rsidP="00DE047A">
            <w:pPr>
              <w:jc w:val="right"/>
              <w:rPr>
                <w:b/>
                <w:lang w:val="en-US" w:eastAsia="en-AU"/>
              </w:rPr>
            </w:pPr>
            <w:r w:rsidRPr="00DE047A">
              <w:rPr>
                <w:b/>
              </w:rPr>
              <w:t xml:space="preserve">                  86 </w:t>
            </w:r>
          </w:p>
        </w:tc>
      </w:tr>
      <w:tr w:rsidR="00DE047A" w14:paraId="44AAA728" w14:textId="77777777" w:rsidTr="00DE047A">
        <w:tc>
          <w:tcPr>
            <w:tcW w:w="4106" w:type="dxa"/>
            <w:tcBorders>
              <w:top w:val="single" w:sz="4" w:space="0" w:color="9FBCD0"/>
              <w:left w:val="single" w:sz="4" w:space="0" w:color="9FBCD0"/>
              <w:bottom w:val="single" w:sz="4" w:space="0" w:color="9FBCD0"/>
              <w:right w:val="single" w:sz="4" w:space="0" w:color="9FBCD0"/>
            </w:tcBorders>
          </w:tcPr>
          <w:p w14:paraId="307AC159" w14:textId="2ECC24D5" w:rsidR="00DE047A" w:rsidRPr="00DE047A" w:rsidRDefault="00DE047A" w:rsidP="002C60DA">
            <w:pPr>
              <w:rPr>
                <w:b/>
                <w:lang w:eastAsia="en-AU"/>
              </w:rPr>
            </w:pPr>
            <w:r w:rsidRPr="00DE047A">
              <w:rPr>
                <w:b/>
              </w:rPr>
              <w:t>Payments</w:t>
            </w:r>
          </w:p>
        </w:tc>
        <w:tc>
          <w:tcPr>
            <w:tcW w:w="1418" w:type="dxa"/>
            <w:tcBorders>
              <w:top w:val="single" w:sz="4" w:space="0" w:color="9FBCD0"/>
              <w:left w:val="single" w:sz="4" w:space="0" w:color="9FBCD0"/>
              <w:bottom w:val="single" w:sz="4" w:space="0" w:color="9FBCD0"/>
              <w:right w:val="single" w:sz="4" w:space="0" w:color="9FBCD0"/>
            </w:tcBorders>
          </w:tcPr>
          <w:p w14:paraId="705844ED" w14:textId="77777777" w:rsidR="00DE047A" w:rsidRDefault="00DE047A" w:rsidP="002C60D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tcPr>
          <w:p w14:paraId="055930E3" w14:textId="77777777" w:rsidR="00DE047A" w:rsidRDefault="00DE047A" w:rsidP="002C60DA">
            <w:pPr>
              <w:rPr>
                <w:lang w:val="en-US" w:eastAsia="en-AU"/>
              </w:rPr>
            </w:pPr>
          </w:p>
        </w:tc>
        <w:tc>
          <w:tcPr>
            <w:tcW w:w="1791" w:type="dxa"/>
            <w:tcBorders>
              <w:top w:val="single" w:sz="4" w:space="0" w:color="9FBCD0"/>
              <w:left w:val="single" w:sz="4" w:space="0" w:color="9FBCD0"/>
              <w:bottom w:val="single" w:sz="4" w:space="0" w:color="9FBCD0"/>
              <w:right w:val="single" w:sz="4" w:space="0" w:color="9FBCD0"/>
            </w:tcBorders>
          </w:tcPr>
          <w:p w14:paraId="49B52073" w14:textId="77777777" w:rsidR="00DE047A" w:rsidRDefault="00DE047A" w:rsidP="002C60DA">
            <w:pPr>
              <w:rPr>
                <w:lang w:val="en-US" w:eastAsia="en-AU"/>
              </w:rPr>
            </w:pPr>
          </w:p>
        </w:tc>
      </w:tr>
      <w:tr w:rsidR="00DE047A" w14:paraId="1DF29179" w14:textId="77777777" w:rsidTr="00D50C1B">
        <w:tc>
          <w:tcPr>
            <w:tcW w:w="4106" w:type="dxa"/>
            <w:tcBorders>
              <w:top w:val="single" w:sz="4" w:space="0" w:color="9FBCD0"/>
              <w:left w:val="single" w:sz="4" w:space="0" w:color="9FBCD0"/>
              <w:bottom w:val="single" w:sz="4" w:space="0" w:color="9FBCD0"/>
              <w:right w:val="single" w:sz="4" w:space="0" w:color="9FBCD0"/>
            </w:tcBorders>
            <w:vAlign w:val="center"/>
          </w:tcPr>
          <w:p w14:paraId="6B447A39" w14:textId="275A5A4C" w:rsidR="00DE047A" w:rsidRPr="00DE047A" w:rsidRDefault="00DE047A" w:rsidP="00D50C1B">
            <w:pPr>
              <w:rPr>
                <w:b/>
              </w:rPr>
            </w:pPr>
            <w:r>
              <w:t>Purchase of non-current physical assets</w:t>
            </w:r>
          </w:p>
        </w:tc>
        <w:tc>
          <w:tcPr>
            <w:tcW w:w="1418" w:type="dxa"/>
            <w:tcBorders>
              <w:top w:val="single" w:sz="4" w:space="0" w:color="9FBCD0"/>
              <w:left w:val="single" w:sz="4" w:space="0" w:color="9FBCD0"/>
              <w:bottom w:val="single" w:sz="4" w:space="0" w:color="9FBCD0"/>
              <w:right w:val="single" w:sz="4" w:space="0" w:color="9FBCD0"/>
            </w:tcBorders>
            <w:vAlign w:val="bottom"/>
          </w:tcPr>
          <w:p w14:paraId="3D11D844" w14:textId="77777777" w:rsidR="00DE047A" w:rsidRDefault="00DE047A" w:rsidP="00DE047A">
            <w:pPr>
              <w:rPr>
                <w:lang w:val="en-US" w:eastAsia="en-AU"/>
              </w:rPr>
            </w:pPr>
          </w:p>
        </w:tc>
        <w:tc>
          <w:tcPr>
            <w:tcW w:w="1701" w:type="dxa"/>
            <w:tcBorders>
              <w:top w:val="single" w:sz="4" w:space="0" w:color="9FBCD0"/>
              <w:left w:val="single" w:sz="4" w:space="0" w:color="9FBCD0"/>
              <w:bottom w:val="single" w:sz="4" w:space="0" w:color="9FBCD0"/>
              <w:right w:val="single" w:sz="4" w:space="0" w:color="9FBCD0"/>
            </w:tcBorders>
            <w:vAlign w:val="center"/>
          </w:tcPr>
          <w:p w14:paraId="70A27068" w14:textId="55755A0B" w:rsidR="00DE047A" w:rsidRDefault="00D50C1B" w:rsidP="00D50C1B">
            <w:pPr>
              <w:jc w:val="right"/>
              <w:rPr>
                <w:lang w:val="en-US" w:eastAsia="en-AU"/>
              </w:rPr>
            </w:pPr>
            <w:r>
              <w:t xml:space="preserve">             </w:t>
            </w:r>
            <w:r w:rsidR="00DE047A">
              <w:t>(600)</w:t>
            </w:r>
          </w:p>
        </w:tc>
        <w:tc>
          <w:tcPr>
            <w:tcW w:w="1791" w:type="dxa"/>
            <w:tcBorders>
              <w:top w:val="single" w:sz="4" w:space="0" w:color="9FBCD0"/>
              <w:left w:val="single" w:sz="4" w:space="0" w:color="9FBCD0"/>
              <w:bottom w:val="single" w:sz="4" w:space="0" w:color="9FBCD0"/>
              <w:right w:val="single" w:sz="4" w:space="0" w:color="9FBCD0"/>
            </w:tcBorders>
            <w:vAlign w:val="center"/>
          </w:tcPr>
          <w:p w14:paraId="22BF3F78" w14:textId="48748D74" w:rsidR="00DE047A" w:rsidRDefault="00DE047A" w:rsidP="00D50C1B">
            <w:pPr>
              <w:jc w:val="right"/>
              <w:rPr>
                <w:lang w:val="en-US" w:eastAsia="en-AU"/>
              </w:rPr>
            </w:pPr>
            <w:r>
              <w:t xml:space="preserve">               (628)</w:t>
            </w:r>
          </w:p>
        </w:tc>
      </w:tr>
      <w:tr w:rsidR="00DE047A" w14:paraId="0A130406" w14:textId="77777777" w:rsidTr="00D50C1B">
        <w:tc>
          <w:tcPr>
            <w:tcW w:w="4106" w:type="dxa"/>
            <w:tcBorders>
              <w:top w:val="single" w:sz="4" w:space="0" w:color="9FBCD0"/>
              <w:left w:val="single" w:sz="4" w:space="0" w:color="9FBCD0"/>
              <w:bottom w:val="single" w:sz="4" w:space="0" w:color="9FBCD0"/>
              <w:right w:val="single" w:sz="4" w:space="0" w:color="9FBCD0"/>
            </w:tcBorders>
            <w:vAlign w:val="center"/>
          </w:tcPr>
          <w:p w14:paraId="3F82BA4F" w14:textId="3A638337" w:rsidR="00DE047A" w:rsidRPr="00DE047A" w:rsidRDefault="00DE047A" w:rsidP="00D50C1B">
            <w:pPr>
              <w:rPr>
                <w:b/>
              </w:rPr>
            </w:pPr>
            <w:r>
              <w:t>Investments in term deposits</w:t>
            </w:r>
          </w:p>
        </w:tc>
        <w:tc>
          <w:tcPr>
            <w:tcW w:w="1418" w:type="dxa"/>
            <w:tcBorders>
              <w:top w:val="single" w:sz="4" w:space="0" w:color="9FBCD0"/>
              <w:left w:val="single" w:sz="4" w:space="0" w:color="9FBCD0"/>
              <w:bottom w:val="single" w:sz="4" w:space="0" w:color="9FBCD0"/>
              <w:right w:val="single" w:sz="4" w:space="0" w:color="9FBCD0"/>
            </w:tcBorders>
            <w:vAlign w:val="bottom"/>
          </w:tcPr>
          <w:p w14:paraId="15323B0C" w14:textId="77777777" w:rsidR="00DE047A" w:rsidRDefault="00DE047A" w:rsidP="00DE047A">
            <w:pPr>
              <w:rPr>
                <w:lang w:val="en-US" w:eastAsia="en-AU"/>
              </w:rPr>
            </w:pPr>
          </w:p>
        </w:tc>
        <w:tc>
          <w:tcPr>
            <w:tcW w:w="1701" w:type="dxa"/>
            <w:tcBorders>
              <w:top w:val="single" w:sz="4" w:space="0" w:color="9FBCD0"/>
              <w:left w:val="single" w:sz="4" w:space="0" w:color="9FBCD0"/>
              <w:bottom w:val="single" w:sz="12" w:space="0" w:color="auto"/>
              <w:right w:val="single" w:sz="4" w:space="0" w:color="9FBCD0"/>
            </w:tcBorders>
            <w:vAlign w:val="center"/>
          </w:tcPr>
          <w:p w14:paraId="431006BD" w14:textId="7A7E9DCA" w:rsidR="00DE047A" w:rsidRDefault="00D50C1B" w:rsidP="00D50C1B">
            <w:pPr>
              <w:jc w:val="right"/>
              <w:rPr>
                <w:lang w:val="en-US" w:eastAsia="en-AU"/>
              </w:rPr>
            </w:pPr>
            <w:r>
              <w:t xml:space="preserve">          </w:t>
            </w:r>
            <w:r w:rsidR="00DE047A">
              <w:t>(3,495)</w:t>
            </w:r>
          </w:p>
        </w:tc>
        <w:tc>
          <w:tcPr>
            <w:tcW w:w="1791" w:type="dxa"/>
            <w:tcBorders>
              <w:top w:val="single" w:sz="4" w:space="0" w:color="9FBCD0"/>
              <w:left w:val="single" w:sz="4" w:space="0" w:color="9FBCD0"/>
              <w:bottom w:val="single" w:sz="12" w:space="0" w:color="auto"/>
              <w:right w:val="single" w:sz="4" w:space="0" w:color="9FBCD0"/>
            </w:tcBorders>
            <w:vAlign w:val="center"/>
          </w:tcPr>
          <w:p w14:paraId="58DF5028" w14:textId="21D04C2D" w:rsidR="00DE047A" w:rsidRDefault="00DE047A" w:rsidP="00D50C1B">
            <w:pPr>
              <w:jc w:val="right"/>
              <w:rPr>
                <w:lang w:val="en-US" w:eastAsia="en-AU"/>
              </w:rPr>
            </w:pPr>
            <w:r>
              <w:t xml:space="preserve">            (6,144)</w:t>
            </w:r>
          </w:p>
        </w:tc>
      </w:tr>
      <w:tr w:rsidR="00DE047A" w14:paraId="4A05C245" w14:textId="77777777" w:rsidTr="00D50C1B">
        <w:tc>
          <w:tcPr>
            <w:tcW w:w="4106" w:type="dxa"/>
            <w:tcBorders>
              <w:top w:val="single" w:sz="4" w:space="0" w:color="9FBCD0"/>
              <w:left w:val="single" w:sz="4" w:space="0" w:color="9FBCD0"/>
              <w:bottom w:val="single" w:sz="4" w:space="0" w:color="9FBCD0"/>
              <w:right w:val="single" w:sz="4" w:space="0" w:color="9FBCD0"/>
            </w:tcBorders>
            <w:vAlign w:val="center"/>
          </w:tcPr>
          <w:p w14:paraId="7E7B496D" w14:textId="4F072307" w:rsidR="00DE047A" w:rsidRPr="00DE047A" w:rsidRDefault="00DE047A" w:rsidP="00D50C1B">
            <w:pPr>
              <w:rPr>
                <w:b/>
              </w:rPr>
            </w:pPr>
            <w:r>
              <w:rPr>
                <w:b/>
                <w:bCs/>
              </w:rPr>
              <w:t>Net cash used in investing activities</w:t>
            </w:r>
          </w:p>
        </w:tc>
        <w:tc>
          <w:tcPr>
            <w:tcW w:w="1418" w:type="dxa"/>
            <w:tcBorders>
              <w:top w:val="single" w:sz="4" w:space="0" w:color="9FBCD0"/>
              <w:left w:val="single" w:sz="4" w:space="0" w:color="9FBCD0"/>
              <w:bottom w:val="single" w:sz="4" w:space="0" w:color="9FBCD0"/>
              <w:right w:val="single" w:sz="4" w:space="0" w:color="9FBCD0"/>
            </w:tcBorders>
            <w:vAlign w:val="bottom"/>
          </w:tcPr>
          <w:p w14:paraId="5ABCE284" w14:textId="77777777" w:rsidR="00DE047A" w:rsidRDefault="00DE047A" w:rsidP="00DE047A">
            <w:pPr>
              <w:rPr>
                <w:lang w:val="en-US" w:eastAsia="en-AU"/>
              </w:rPr>
            </w:pPr>
          </w:p>
        </w:tc>
        <w:tc>
          <w:tcPr>
            <w:tcW w:w="1701" w:type="dxa"/>
            <w:tcBorders>
              <w:top w:val="single" w:sz="12" w:space="0" w:color="auto"/>
              <w:left w:val="single" w:sz="4" w:space="0" w:color="9FBCD0"/>
              <w:bottom w:val="single" w:sz="12" w:space="0" w:color="auto"/>
              <w:right w:val="single" w:sz="4" w:space="0" w:color="9FBCD0"/>
            </w:tcBorders>
            <w:vAlign w:val="center"/>
          </w:tcPr>
          <w:p w14:paraId="1B4ACEFA" w14:textId="2DA8820E" w:rsidR="00DE047A" w:rsidRDefault="00D50C1B" w:rsidP="00D50C1B">
            <w:pPr>
              <w:jc w:val="right"/>
              <w:rPr>
                <w:lang w:val="en-US" w:eastAsia="en-AU"/>
              </w:rPr>
            </w:pPr>
            <w:r>
              <w:t xml:space="preserve">          </w:t>
            </w:r>
            <w:r w:rsidR="00DE047A">
              <w:t>(4,095)</w:t>
            </w:r>
          </w:p>
        </w:tc>
        <w:tc>
          <w:tcPr>
            <w:tcW w:w="1791" w:type="dxa"/>
            <w:tcBorders>
              <w:top w:val="single" w:sz="12" w:space="0" w:color="auto"/>
              <w:left w:val="single" w:sz="4" w:space="0" w:color="9FBCD0"/>
              <w:bottom w:val="single" w:sz="12" w:space="0" w:color="auto"/>
              <w:right w:val="single" w:sz="4" w:space="0" w:color="9FBCD0"/>
            </w:tcBorders>
            <w:vAlign w:val="center"/>
          </w:tcPr>
          <w:p w14:paraId="1FF30B50" w14:textId="6ED73D99" w:rsidR="00DE047A" w:rsidRDefault="00DE047A" w:rsidP="00D50C1B">
            <w:pPr>
              <w:jc w:val="right"/>
              <w:rPr>
                <w:lang w:val="en-US" w:eastAsia="en-AU"/>
              </w:rPr>
            </w:pPr>
            <w:r>
              <w:t xml:space="preserve">            (6,686)</w:t>
            </w:r>
          </w:p>
        </w:tc>
      </w:tr>
      <w:tr w:rsidR="00D50C1B" w14:paraId="5F49F53A" w14:textId="77777777" w:rsidTr="00D50C1B">
        <w:tc>
          <w:tcPr>
            <w:tcW w:w="4106" w:type="dxa"/>
            <w:tcBorders>
              <w:top w:val="single" w:sz="4" w:space="0" w:color="9FBCD0"/>
              <w:left w:val="single" w:sz="4" w:space="0" w:color="9FBCD0"/>
              <w:bottom w:val="single" w:sz="4" w:space="0" w:color="9FBCD0"/>
              <w:right w:val="single" w:sz="4" w:space="0" w:color="9FBCD0"/>
            </w:tcBorders>
            <w:vAlign w:val="bottom"/>
          </w:tcPr>
          <w:p w14:paraId="1F3231E0" w14:textId="7A706B5D" w:rsidR="00D50C1B" w:rsidRPr="00D50C1B" w:rsidRDefault="00D50C1B" w:rsidP="00D50C1B">
            <w:pPr>
              <w:rPr>
                <w:b/>
              </w:rPr>
            </w:pPr>
            <w:r w:rsidRPr="00D50C1B">
              <w:rPr>
                <w:b/>
              </w:rPr>
              <w:t>Net (decrease)/increase in cash and cash equivalents</w:t>
            </w:r>
          </w:p>
        </w:tc>
        <w:tc>
          <w:tcPr>
            <w:tcW w:w="1418" w:type="dxa"/>
            <w:tcBorders>
              <w:top w:val="single" w:sz="4" w:space="0" w:color="9FBCD0"/>
              <w:left w:val="single" w:sz="4" w:space="0" w:color="9FBCD0"/>
              <w:bottom w:val="single" w:sz="4" w:space="0" w:color="9FBCD0"/>
              <w:right w:val="single" w:sz="4" w:space="0" w:color="9FBCD0"/>
            </w:tcBorders>
            <w:vAlign w:val="bottom"/>
          </w:tcPr>
          <w:p w14:paraId="63B02F85" w14:textId="77777777" w:rsidR="00D50C1B" w:rsidRPr="00D50C1B" w:rsidRDefault="00D50C1B" w:rsidP="00D50C1B">
            <w:pPr>
              <w:rPr>
                <w:b/>
                <w:lang w:val="en-US" w:eastAsia="en-AU"/>
              </w:rPr>
            </w:pPr>
          </w:p>
        </w:tc>
        <w:tc>
          <w:tcPr>
            <w:tcW w:w="1701" w:type="dxa"/>
            <w:tcBorders>
              <w:top w:val="single" w:sz="12" w:space="0" w:color="auto"/>
              <w:left w:val="single" w:sz="4" w:space="0" w:color="9FBCD0"/>
              <w:bottom w:val="single" w:sz="4" w:space="0" w:color="9FBCD0"/>
              <w:right w:val="single" w:sz="4" w:space="0" w:color="9FBCD0"/>
            </w:tcBorders>
            <w:vAlign w:val="center"/>
          </w:tcPr>
          <w:p w14:paraId="791BF6A7" w14:textId="36E63B3C" w:rsidR="00D50C1B" w:rsidRPr="00D50C1B" w:rsidRDefault="00D50C1B" w:rsidP="00D50C1B">
            <w:pPr>
              <w:jc w:val="right"/>
              <w:rPr>
                <w:b/>
                <w:lang w:val="en-US" w:eastAsia="en-AU"/>
              </w:rPr>
            </w:pPr>
            <w:r>
              <w:rPr>
                <w:b/>
              </w:rPr>
              <w:t xml:space="preserve">          </w:t>
            </w:r>
            <w:r w:rsidRPr="00D50C1B">
              <w:rPr>
                <w:b/>
              </w:rPr>
              <w:t>(1,540)</w:t>
            </w:r>
          </w:p>
        </w:tc>
        <w:tc>
          <w:tcPr>
            <w:tcW w:w="1791" w:type="dxa"/>
            <w:tcBorders>
              <w:top w:val="single" w:sz="12" w:space="0" w:color="auto"/>
              <w:left w:val="single" w:sz="4" w:space="0" w:color="9FBCD0"/>
              <w:bottom w:val="single" w:sz="4" w:space="0" w:color="9FBCD0"/>
              <w:right w:val="single" w:sz="4" w:space="0" w:color="9FBCD0"/>
            </w:tcBorders>
            <w:vAlign w:val="center"/>
          </w:tcPr>
          <w:p w14:paraId="40D24FBE" w14:textId="681AA447" w:rsidR="00D50C1B" w:rsidRPr="00D50C1B" w:rsidRDefault="00D50C1B" w:rsidP="00D50C1B">
            <w:pPr>
              <w:jc w:val="right"/>
              <w:rPr>
                <w:b/>
                <w:lang w:val="en-US" w:eastAsia="en-AU"/>
              </w:rPr>
            </w:pPr>
            <w:r w:rsidRPr="00D50C1B">
              <w:rPr>
                <w:b/>
              </w:rPr>
              <w:t xml:space="preserve">            (4,637)</w:t>
            </w:r>
          </w:p>
        </w:tc>
      </w:tr>
      <w:tr w:rsidR="00D50C1B" w14:paraId="6B62180B" w14:textId="77777777" w:rsidTr="00D50C1B">
        <w:tc>
          <w:tcPr>
            <w:tcW w:w="4106" w:type="dxa"/>
            <w:tcBorders>
              <w:top w:val="single" w:sz="4" w:space="0" w:color="9FBCD0"/>
              <w:left w:val="single" w:sz="4" w:space="0" w:color="9FBCD0"/>
              <w:bottom w:val="single" w:sz="4" w:space="0" w:color="9FBCD0"/>
              <w:right w:val="single" w:sz="4" w:space="0" w:color="9FBCD0"/>
            </w:tcBorders>
            <w:vAlign w:val="bottom"/>
          </w:tcPr>
          <w:p w14:paraId="41B9A95F" w14:textId="163DA6DF" w:rsidR="00D50C1B" w:rsidRPr="00DE047A" w:rsidRDefault="00D50C1B" w:rsidP="00D50C1B">
            <w:pPr>
              <w:rPr>
                <w:b/>
              </w:rPr>
            </w:pPr>
            <w:r>
              <w:t>Cash and cash equivalents at the beginning of the period</w:t>
            </w:r>
          </w:p>
        </w:tc>
        <w:tc>
          <w:tcPr>
            <w:tcW w:w="1418" w:type="dxa"/>
            <w:tcBorders>
              <w:top w:val="single" w:sz="4" w:space="0" w:color="9FBCD0"/>
              <w:left w:val="single" w:sz="4" w:space="0" w:color="9FBCD0"/>
              <w:bottom w:val="single" w:sz="4" w:space="0" w:color="9FBCD0"/>
              <w:right w:val="single" w:sz="4" w:space="0" w:color="9FBCD0"/>
            </w:tcBorders>
            <w:vAlign w:val="bottom"/>
          </w:tcPr>
          <w:p w14:paraId="0AA3888B" w14:textId="77777777" w:rsidR="00D50C1B" w:rsidRDefault="00D50C1B" w:rsidP="00D50C1B">
            <w:pPr>
              <w:rPr>
                <w:lang w:val="en-US" w:eastAsia="en-AU"/>
              </w:rPr>
            </w:pPr>
          </w:p>
        </w:tc>
        <w:tc>
          <w:tcPr>
            <w:tcW w:w="1701" w:type="dxa"/>
            <w:tcBorders>
              <w:top w:val="single" w:sz="4" w:space="0" w:color="9FBCD0"/>
              <w:left w:val="single" w:sz="4" w:space="0" w:color="9FBCD0"/>
              <w:bottom w:val="single" w:sz="12" w:space="0" w:color="auto"/>
              <w:right w:val="single" w:sz="4" w:space="0" w:color="9FBCD0"/>
            </w:tcBorders>
            <w:vAlign w:val="center"/>
          </w:tcPr>
          <w:p w14:paraId="3EB9E69B" w14:textId="26DC7AC3" w:rsidR="00D50C1B" w:rsidRDefault="00D50C1B" w:rsidP="00D50C1B">
            <w:pPr>
              <w:rPr>
                <w:lang w:val="en-US" w:eastAsia="en-AU"/>
              </w:rPr>
            </w:pPr>
            <w:r>
              <w:t xml:space="preserve">           96,322 </w:t>
            </w:r>
          </w:p>
        </w:tc>
        <w:tc>
          <w:tcPr>
            <w:tcW w:w="1791" w:type="dxa"/>
            <w:tcBorders>
              <w:top w:val="single" w:sz="4" w:space="0" w:color="9FBCD0"/>
              <w:left w:val="single" w:sz="4" w:space="0" w:color="9FBCD0"/>
              <w:bottom w:val="single" w:sz="12" w:space="0" w:color="auto"/>
              <w:right w:val="single" w:sz="4" w:space="0" w:color="9FBCD0"/>
            </w:tcBorders>
            <w:vAlign w:val="center"/>
          </w:tcPr>
          <w:p w14:paraId="7CD0A54B" w14:textId="27C56386" w:rsidR="00D50C1B" w:rsidRDefault="00D50C1B" w:rsidP="00D50C1B">
            <w:pPr>
              <w:jc w:val="right"/>
              <w:rPr>
                <w:lang w:val="en-US" w:eastAsia="en-AU"/>
              </w:rPr>
            </w:pPr>
            <w:r>
              <w:t xml:space="preserve">          100,959 </w:t>
            </w:r>
          </w:p>
        </w:tc>
      </w:tr>
      <w:tr w:rsidR="00D50C1B" w14:paraId="2218BD09" w14:textId="77777777" w:rsidTr="00D50C1B">
        <w:tc>
          <w:tcPr>
            <w:tcW w:w="4106" w:type="dxa"/>
            <w:tcBorders>
              <w:top w:val="single" w:sz="4" w:space="0" w:color="9FBCD0"/>
              <w:left w:val="single" w:sz="4" w:space="0" w:color="9FBCD0"/>
              <w:bottom w:val="single" w:sz="4" w:space="0" w:color="9FBCD0"/>
              <w:right w:val="single" w:sz="4" w:space="0" w:color="9FBCD0"/>
            </w:tcBorders>
            <w:vAlign w:val="bottom"/>
          </w:tcPr>
          <w:p w14:paraId="3EA8D393" w14:textId="09F6C338" w:rsidR="00D50C1B" w:rsidRPr="00D50C1B" w:rsidRDefault="00D50C1B" w:rsidP="00D50C1B">
            <w:pPr>
              <w:rPr>
                <w:b/>
              </w:rPr>
            </w:pPr>
            <w:r w:rsidRPr="00D50C1B">
              <w:rPr>
                <w:b/>
              </w:rPr>
              <w:t>Cash and cash equivalents at the end of the period</w:t>
            </w:r>
          </w:p>
        </w:tc>
        <w:tc>
          <w:tcPr>
            <w:tcW w:w="1418" w:type="dxa"/>
            <w:tcBorders>
              <w:top w:val="single" w:sz="4" w:space="0" w:color="9FBCD0"/>
              <w:left w:val="single" w:sz="4" w:space="0" w:color="9FBCD0"/>
              <w:bottom w:val="single" w:sz="4" w:space="0" w:color="9FBCD0"/>
              <w:right w:val="single" w:sz="4" w:space="0" w:color="9FBCD0"/>
            </w:tcBorders>
            <w:vAlign w:val="bottom"/>
          </w:tcPr>
          <w:p w14:paraId="6DC97F8C" w14:textId="5AABFF14" w:rsidR="00D50C1B" w:rsidRPr="00D50C1B" w:rsidRDefault="00D50C1B" w:rsidP="00D50C1B">
            <w:pPr>
              <w:jc w:val="center"/>
              <w:rPr>
                <w:b/>
                <w:lang w:val="en-US" w:eastAsia="en-AU"/>
              </w:rPr>
            </w:pPr>
            <w:r w:rsidRPr="00D50C1B">
              <w:rPr>
                <w:b/>
              </w:rPr>
              <w:t>7.1</w:t>
            </w:r>
          </w:p>
        </w:tc>
        <w:tc>
          <w:tcPr>
            <w:tcW w:w="1701" w:type="dxa"/>
            <w:tcBorders>
              <w:top w:val="single" w:sz="12" w:space="0" w:color="auto"/>
              <w:left w:val="single" w:sz="4" w:space="0" w:color="9FBCD0"/>
              <w:bottom w:val="double" w:sz="4" w:space="0" w:color="3D5C57" w:themeColor="accent1"/>
              <w:right w:val="single" w:sz="4" w:space="0" w:color="9FBCD0"/>
            </w:tcBorders>
            <w:vAlign w:val="center"/>
          </w:tcPr>
          <w:p w14:paraId="662F1332" w14:textId="655F5537" w:rsidR="00D50C1B" w:rsidRPr="00D50C1B" w:rsidRDefault="00D50C1B" w:rsidP="00D50C1B">
            <w:pPr>
              <w:jc w:val="right"/>
              <w:rPr>
                <w:b/>
                <w:lang w:val="en-US" w:eastAsia="en-AU"/>
              </w:rPr>
            </w:pPr>
            <w:r>
              <w:rPr>
                <w:b/>
              </w:rPr>
              <w:t xml:space="preserve">          </w:t>
            </w:r>
            <w:r w:rsidRPr="00D50C1B">
              <w:rPr>
                <w:b/>
              </w:rPr>
              <w:t xml:space="preserve">94,782 </w:t>
            </w:r>
          </w:p>
        </w:tc>
        <w:tc>
          <w:tcPr>
            <w:tcW w:w="1791" w:type="dxa"/>
            <w:tcBorders>
              <w:top w:val="single" w:sz="12" w:space="0" w:color="auto"/>
              <w:left w:val="single" w:sz="4" w:space="0" w:color="9FBCD0"/>
              <w:bottom w:val="double" w:sz="4" w:space="0" w:color="3D5C57" w:themeColor="accent1"/>
              <w:right w:val="single" w:sz="4" w:space="0" w:color="9FBCD0"/>
            </w:tcBorders>
            <w:vAlign w:val="center"/>
          </w:tcPr>
          <w:p w14:paraId="37005063" w14:textId="3881DC08" w:rsidR="00D50C1B" w:rsidRPr="00D50C1B" w:rsidRDefault="00D50C1B" w:rsidP="00D50C1B">
            <w:pPr>
              <w:jc w:val="right"/>
              <w:rPr>
                <w:b/>
                <w:lang w:val="en-US" w:eastAsia="en-AU"/>
              </w:rPr>
            </w:pPr>
            <w:r w:rsidRPr="00D50C1B">
              <w:rPr>
                <w:b/>
              </w:rPr>
              <w:t xml:space="preserve">            96,322 </w:t>
            </w:r>
          </w:p>
        </w:tc>
      </w:tr>
    </w:tbl>
    <w:p w14:paraId="6813778D" w14:textId="4DDE54EE" w:rsidR="00D50C1B" w:rsidRPr="00D50C1B" w:rsidRDefault="00D50C1B" w:rsidP="00D50C1B">
      <w:pPr>
        <w:rPr>
          <w:lang w:val="en-GB" w:eastAsia="en-AU"/>
        </w:rPr>
      </w:pPr>
      <w:r>
        <w:rPr>
          <w:lang w:val="en-US" w:eastAsia="en-AU"/>
        </w:rPr>
        <w:br/>
      </w:r>
      <w:r w:rsidRPr="00D50C1B">
        <w:rPr>
          <w:lang w:val="en-GB" w:eastAsia="en-AU"/>
        </w:rPr>
        <w:t>The Statement of Cash Flows should be read in conjunction with the accompanying notes.</w:t>
      </w:r>
    </w:p>
    <w:p w14:paraId="5CE83B5A" w14:textId="77777777" w:rsidR="009B1B3A" w:rsidRPr="009B1B3A" w:rsidRDefault="009B1B3A" w:rsidP="009B1B3A"/>
    <w:p w14:paraId="73AF1A71" w14:textId="77777777" w:rsidR="009B1B3A" w:rsidRPr="009B1B3A" w:rsidRDefault="009B1B3A" w:rsidP="009B1B3A"/>
    <w:p w14:paraId="15929922" w14:textId="77777777" w:rsidR="009B1B3A" w:rsidRPr="009B1B3A" w:rsidRDefault="009B1B3A" w:rsidP="009B1B3A">
      <w:pPr>
        <w:rPr>
          <w:bCs/>
        </w:rPr>
      </w:pPr>
    </w:p>
    <w:p w14:paraId="7068A4DD" w14:textId="77777777" w:rsidR="009B1B3A" w:rsidRPr="009B1B3A" w:rsidRDefault="009B1B3A" w:rsidP="009B1B3A"/>
    <w:p w14:paraId="0A6F0197" w14:textId="77777777" w:rsidR="004553D9" w:rsidRPr="004553D9" w:rsidRDefault="004553D9" w:rsidP="004553D9"/>
    <w:p w14:paraId="6272C32A" w14:textId="77777777" w:rsidR="004553D9" w:rsidRPr="004553D9" w:rsidRDefault="004553D9" w:rsidP="004553D9">
      <w:pPr>
        <w:rPr>
          <w:b/>
          <w:bCs/>
        </w:rPr>
      </w:pPr>
    </w:p>
    <w:p w14:paraId="6671038C" w14:textId="3E288F72" w:rsidR="004553D9" w:rsidRDefault="00D50C1B" w:rsidP="00D50C1B">
      <w:pPr>
        <w:pStyle w:val="Heading1nonumber"/>
      </w:pPr>
      <w:bookmarkStart w:id="753" w:name="_Toc525122150"/>
      <w:r>
        <w:t>Notes to the Financial Statements</w:t>
      </w:r>
      <w:bookmarkEnd w:id="753"/>
    </w:p>
    <w:p w14:paraId="773B6F45" w14:textId="6C8610EC" w:rsidR="00D50C1B" w:rsidRDefault="00D50C1B" w:rsidP="00026A6F">
      <w:pPr>
        <w:pStyle w:val="Heading2nonumber"/>
        <w:numPr>
          <w:ilvl w:val="0"/>
          <w:numId w:val="50"/>
        </w:numPr>
      </w:pPr>
      <w:bookmarkStart w:id="754" w:name="_Toc525122151"/>
      <w:r w:rsidRPr="00D50C1B">
        <w:t>Basis of preparation</w:t>
      </w:r>
      <w:bookmarkEnd w:id="754"/>
    </w:p>
    <w:p w14:paraId="0F646D1C" w14:textId="31DDD7AB" w:rsidR="00D50C1B" w:rsidRDefault="00D50C1B" w:rsidP="00D50C1B">
      <w:r>
        <w:t xml:space="preserve">The Authority is a not-for-profit reporting entity that prepares general purpose financial statements in accordance with Australian Accounting Standards, the Framework, Statements of Accounting Concepts and other authoritative pronouncements of the Australian Accounting Standards Board (AASB) as applied by the </w:t>
      </w:r>
      <w:r w:rsidRPr="00D50C1B">
        <w:rPr>
          <w:i/>
        </w:rPr>
        <w:t>Treasurer's Instructions</w:t>
      </w:r>
      <w:r>
        <w:t xml:space="preserve">. </w:t>
      </w:r>
      <w:r>
        <w:tab/>
      </w:r>
      <w:r>
        <w:tab/>
      </w:r>
      <w:r>
        <w:tab/>
      </w:r>
      <w:r>
        <w:tab/>
      </w:r>
      <w:r>
        <w:tab/>
      </w:r>
    </w:p>
    <w:p w14:paraId="1ABA8BB0" w14:textId="4C00520A" w:rsidR="00D50C1B" w:rsidRDefault="00D50C1B" w:rsidP="00D50C1B">
      <w:r>
        <w:t xml:space="preserve">The financial statements represent transactions of the Workers’ Compensation and Injury Management General Account established under Section 106 of the </w:t>
      </w:r>
      <w:r w:rsidRPr="00D50C1B">
        <w:rPr>
          <w:i/>
        </w:rPr>
        <w:t>Workers' Compensation and Injury Management Act 1981</w:t>
      </w:r>
      <w:r>
        <w:t xml:space="preserve">, and the Supplementation Fund established under Section 5 of the </w:t>
      </w:r>
      <w:r w:rsidRPr="00D50C1B">
        <w:rPr>
          <w:i/>
        </w:rPr>
        <w:t>Employers' Indemnity Supplementation Fund Act 1980.</w:t>
      </w:r>
      <w:r w:rsidRPr="00D50C1B">
        <w:rPr>
          <w:i/>
        </w:rPr>
        <w:tab/>
      </w:r>
      <w:r>
        <w:tab/>
      </w:r>
    </w:p>
    <w:p w14:paraId="018DA17A" w14:textId="52CAE67E" w:rsidR="00D50C1B" w:rsidRDefault="00D50C1B" w:rsidP="00D50C1B">
      <w:r>
        <w:t xml:space="preserve">Trust Accounts under Section 110 of the </w:t>
      </w:r>
      <w:r w:rsidRPr="00D50C1B">
        <w:rPr>
          <w:i/>
        </w:rPr>
        <w:t>Workers’ Compensation and Injury Management Act 1981</w:t>
      </w:r>
      <w:r>
        <w:t xml:space="preserve"> are administered independently of the General Account and Supplementation Fund.  See note 9.8 ‘Workers’ Compensation &amp; Injury Management Trust Account’ for transactions relating to the Trust Account.</w:t>
      </w:r>
      <w:r>
        <w:tab/>
      </w:r>
    </w:p>
    <w:p w14:paraId="43583335" w14:textId="77777777" w:rsidR="00D50C1B" w:rsidRDefault="00D50C1B" w:rsidP="00D50C1B">
      <w:r>
        <w:t>A description of the nature of its operations and its principal activities have been included in the ‘Overview’ which does not form part of these financial statements.</w:t>
      </w:r>
      <w:r>
        <w:tab/>
      </w:r>
    </w:p>
    <w:p w14:paraId="2F352BC7" w14:textId="77777777" w:rsidR="00D50C1B" w:rsidRDefault="00D50C1B" w:rsidP="00D50C1B">
      <w:r w:rsidRPr="00D50C1B">
        <w:t>These annual financial statements were authorised for issue by the B</w:t>
      </w:r>
      <w:r>
        <w:t xml:space="preserve">oard of WorkCover WA Authority </w:t>
      </w:r>
      <w:r w:rsidRPr="00D50C1B">
        <w:t>on 31 August 2018.</w:t>
      </w:r>
      <w:r w:rsidRPr="00D50C1B">
        <w:tab/>
      </w:r>
    </w:p>
    <w:p w14:paraId="591D38B9" w14:textId="77777777" w:rsidR="00D50C1B" w:rsidRDefault="00D50C1B" w:rsidP="00D50C1B">
      <w:pPr>
        <w:pStyle w:val="Heading3nonumber"/>
      </w:pPr>
      <w:bookmarkStart w:id="755" w:name="_Toc525122152"/>
      <w:r>
        <w:t>Statement of compliance</w:t>
      </w:r>
      <w:bookmarkEnd w:id="755"/>
      <w:r>
        <w:t xml:space="preserve"> </w:t>
      </w:r>
    </w:p>
    <w:p w14:paraId="00DE6562" w14:textId="260D8048" w:rsidR="00D50C1B" w:rsidRDefault="00D50C1B" w:rsidP="00D50C1B">
      <w:r>
        <w:t>These general purpose financial statements have been prepared in accordance with:</w:t>
      </w:r>
      <w:r>
        <w:br/>
      </w:r>
      <w:r>
        <w:br/>
        <w:t xml:space="preserve">1)     The Financial Management Act 2006 </w:t>
      </w:r>
      <w:r w:rsidRPr="00D50C1B">
        <w:rPr>
          <w:b/>
        </w:rPr>
        <w:t>(FMA)</w:t>
      </w:r>
      <w:r>
        <w:tab/>
      </w:r>
      <w:r>
        <w:tab/>
      </w:r>
      <w:r>
        <w:tab/>
      </w:r>
      <w:r>
        <w:tab/>
      </w:r>
    </w:p>
    <w:p w14:paraId="6EE41A72" w14:textId="536A3339" w:rsidR="00D50C1B" w:rsidRDefault="00D50C1B" w:rsidP="00D50C1B">
      <w:r>
        <w:t xml:space="preserve">2)     The Treasurer’s Instructions </w:t>
      </w:r>
      <w:r w:rsidRPr="00D50C1B">
        <w:rPr>
          <w:b/>
        </w:rPr>
        <w:t>(the Instructions or TI)</w:t>
      </w:r>
      <w:r>
        <w:tab/>
      </w:r>
      <w:r>
        <w:tab/>
      </w:r>
      <w:r>
        <w:tab/>
      </w:r>
      <w:r>
        <w:tab/>
      </w:r>
    </w:p>
    <w:p w14:paraId="3FD769F2" w14:textId="2157324A" w:rsidR="00D50C1B" w:rsidRDefault="00D50C1B" w:rsidP="00D50C1B">
      <w:r>
        <w:t xml:space="preserve">3)     Australian Accounting Standards </w:t>
      </w:r>
      <w:r w:rsidRPr="00D50C1B">
        <w:rPr>
          <w:b/>
        </w:rPr>
        <w:t xml:space="preserve">(AAS) </w:t>
      </w:r>
      <w:r>
        <w:t>including applicable interpretations</w:t>
      </w:r>
      <w:r>
        <w:tab/>
      </w:r>
    </w:p>
    <w:p w14:paraId="0B3B0665" w14:textId="77777777" w:rsidR="00894F6C" w:rsidRDefault="00D50C1B" w:rsidP="00D50C1B">
      <w:r>
        <w:t xml:space="preserve">4)     Where appropriate, those </w:t>
      </w:r>
      <w:r w:rsidRPr="00D50C1B">
        <w:rPr>
          <w:b/>
        </w:rPr>
        <w:t>AAS</w:t>
      </w:r>
      <w:r>
        <w:t xml:space="preserve"> paragraphs applicable for not</w:t>
      </w:r>
      <w:r>
        <w:rPr>
          <w:rFonts w:ascii="Cambria Math" w:hAnsi="Cambria Math" w:cs="Cambria Math"/>
        </w:rPr>
        <w:t>‑</w:t>
      </w:r>
      <w:r>
        <w:t>for</w:t>
      </w:r>
      <w:r>
        <w:rPr>
          <w:rFonts w:ascii="Cambria Math" w:hAnsi="Cambria Math" w:cs="Cambria Math"/>
        </w:rPr>
        <w:t>‑</w:t>
      </w:r>
      <w:r>
        <w:t xml:space="preserve">profit entities </w:t>
      </w:r>
      <w:r w:rsidR="00894F6C">
        <w:t>have been applied.</w:t>
      </w:r>
    </w:p>
    <w:p w14:paraId="25A0532D" w14:textId="77777777" w:rsidR="00894F6C" w:rsidRDefault="00D50C1B" w:rsidP="00894F6C">
      <w:r>
        <w:t xml:space="preserve">The </w:t>
      </w:r>
      <w:r w:rsidRPr="00894F6C">
        <w:rPr>
          <w:i/>
        </w:rPr>
        <w:t>Financial Management Act 2006</w:t>
      </w:r>
      <w:r>
        <w:t xml:space="preserve"> and the </w:t>
      </w:r>
      <w:r w:rsidRPr="00894F6C">
        <w:rPr>
          <w:i/>
        </w:rPr>
        <w:t>Treasurer’s Instructions</w:t>
      </w:r>
      <w:r>
        <w:t xml:space="preserve"> (the Instructions) take precedence over AAS. Several AAS are modified by the Instructions to vary application, disclosure format and wording.  Where modification is required and has had a material or significant financial effect upon the reported results, details of that modification and the resulting financial effect are disclosed in the notes to t</w:t>
      </w:r>
      <w:r w:rsidR="00894F6C">
        <w:t>he financial statements.</w:t>
      </w:r>
    </w:p>
    <w:p w14:paraId="00B5ED18" w14:textId="77777777" w:rsidR="00894F6C" w:rsidRDefault="00894F6C" w:rsidP="00894F6C">
      <w:pPr>
        <w:pStyle w:val="Heading3nonumber"/>
      </w:pPr>
      <w:bookmarkStart w:id="756" w:name="_Toc525122153"/>
      <w:r>
        <w:t>Basis of preparation</w:t>
      </w:r>
      <w:bookmarkEnd w:id="756"/>
      <w:r>
        <w:tab/>
      </w:r>
    </w:p>
    <w:p w14:paraId="12EB170D" w14:textId="2D3E7073" w:rsidR="00250DD4" w:rsidRDefault="00894F6C" w:rsidP="00250DD4">
      <w: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14:paraId="6B9A5127" w14:textId="29B7B6C3" w:rsidR="00894F6C" w:rsidRDefault="00894F6C" w:rsidP="00894F6C">
      <w:pPr>
        <w:pStyle w:val="Heading3nonumber"/>
      </w:pPr>
      <w:bookmarkStart w:id="757" w:name="_Toc525122154"/>
      <w:r>
        <w:t>Judgements and estimates</w:t>
      </w:r>
      <w:bookmarkEnd w:id="757"/>
    </w:p>
    <w:p w14:paraId="4F6CA4B9" w14:textId="29940668" w:rsidR="00894F6C" w:rsidRDefault="00894F6C" w:rsidP="00894F6C">
      <w:r>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p w14:paraId="2EC69169" w14:textId="6CDCD55C" w:rsidR="00894F6C" w:rsidRDefault="00894F6C" w:rsidP="00026A6F">
      <w:pPr>
        <w:pStyle w:val="Heading2nonumber"/>
        <w:numPr>
          <w:ilvl w:val="0"/>
          <w:numId w:val="50"/>
        </w:numPr>
      </w:pPr>
      <w:bookmarkStart w:id="758" w:name="_Toc525122155"/>
      <w:r>
        <w:t>Authority outputs</w:t>
      </w:r>
      <w:bookmarkEnd w:id="758"/>
    </w:p>
    <w:p w14:paraId="2FA876A8" w14:textId="73643C10" w:rsidR="00894F6C" w:rsidRDefault="00894F6C" w:rsidP="00894F6C">
      <w:pPr>
        <w:pStyle w:val="Heading3nonumber"/>
      </w:pPr>
      <w:bookmarkStart w:id="759" w:name="_Toc525122156"/>
      <w:r>
        <w:t>How the Authority operates</w:t>
      </w:r>
      <w:bookmarkEnd w:id="759"/>
    </w:p>
    <w:p w14:paraId="2CA2DEC5" w14:textId="77777777" w:rsidR="00894F6C" w:rsidRPr="00894F6C" w:rsidRDefault="00894F6C" w:rsidP="00894F6C">
      <w:pPr>
        <w:rPr>
          <w:lang w:eastAsia="en-AU"/>
        </w:rPr>
      </w:pPr>
      <w:r w:rsidRPr="00894F6C">
        <w:rPr>
          <w:lang w:eastAsia="en-AU"/>
        </w:rPr>
        <w:t xml:space="preserve">This section includes information regarding the nature of funding the Authority receives and how this funding is utilised to achieve the Authority’s objectives.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How the Authority operates"/>
        <w:tblDescription w:val="This table outlines the breakdown of section 2 - Authority outputs. "/>
      </w:tblPr>
      <w:tblGrid>
        <w:gridCol w:w="6456"/>
        <w:gridCol w:w="1151"/>
      </w:tblGrid>
      <w:tr w:rsidR="00894F6C" w14:paraId="50C9428A" w14:textId="77777777" w:rsidTr="00F11774">
        <w:trPr>
          <w:trHeight w:val="486"/>
          <w:tblHeader/>
        </w:trPr>
        <w:tc>
          <w:tcPr>
            <w:tcW w:w="6456" w:type="dxa"/>
          </w:tcPr>
          <w:p w14:paraId="209E5B03" w14:textId="77777777" w:rsidR="00894F6C" w:rsidRDefault="00894F6C" w:rsidP="00894F6C"/>
        </w:tc>
        <w:tc>
          <w:tcPr>
            <w:tcW w:w="1151" w:type="dxa"/>
          </w:tcPr>
          <w:p w14:paraId="76164E5D" w14:textId="4C180DDB" w:rsidR="00894F6C" w:rsidRPr="00894F6C" w:rsidRDefault="00894F6C" w:rsidP="00894F6C">
            <w:pPr>
              <w:jc w:val="center"/>
              <w:rPr>
                <w:b/>
              </w:rPr>
            </w:pPr>
            <w:r>
              <w:rPr>
                <w:b/>
              </w:rPr>
              <w:t>Notes</w:t>
            </w:r>
          </w:p>
        </w:tc>
      </w:tr>
      <w:tr w:rsidR="00894F6C" w14:paraId="0AE0421C" w14:textId="77777777" w:rsidTr="00894F6C">
        <w:trPr>
          <w:trHeight w:val="486"/>
        </w:trPr>
        <w:tc>
          <w:tcPr>
            <w:tcW w:w="6456" w:type="dxa"/>
          </w:tcPr>
          <w:p w14:paraId="540A929B" w14:textId="58540482" w:rsidR="00894F6C" w:rsidRDefault="00894F6C" w:rsidP="00894F6C">
            <w:r>
              <w:t>Authority objectives</w:t>
            </w:r>
          </w:p>
        </w:tc>
        <w:tc>
          <w:tcPr>
            <w:tcW w:w="1151" w:type="dxa"/>
          </w:tcPr>
          <w:p w14:paraId="34A7226B" w14:textId="2A3DD86D" w:rsidR="00894F6C" w:rsidRDefault="00894F6C" w:rsidP="00894F6C">
            <w:pPr>
              <w:jc w:val="center"/>
            </w:pPr>
            <w:r>
              <w:t>2.1</w:t>
            </w:r>
          </w:p>
        </w:tc>
      </w:tr>
      <w:tr w:rsidR="00894F6C" w14:paraId="3B7529C1" w14:textId="77777777" w:rsidTr="00894F6C">
        <w:trPr>
          <w:trHeight w:val="473"/>
        </w:trPr>
        <w:tc>
          <w:tcPr>
            <w:tcW w:w="6456" w:type="dxa"/>
          </w:tcPr>
          <w:p w14:paraId="5854DA7A" w14:textId="21A4A857" w:rsidR="00894F6C" w:rsidRDefault="00894F6C" w:rsidP="00894F6C">
            <w:r>
              <w:t>Schedule of Income and Expenses by Service</w:t>
            </w:r>
          </w:p>
        </w:tc>
        <w:tc>
          <w:tcPr>
            <w:tcW w:w="1151" w:type="dxa"/>
          </w:tcPr>
          <w:p w14:paraId="4A4E5DE6" w14:textId="44DAC3CF" w:rsidR="00894F6C" w:rsidRDefault="00894F6C" w:rsidP="00894F6C">
            <w:pPr>
              <w:jc w:val="center"/>
            </w:pPr>
            <w:r>
              <w:t>2.2</w:t>
            </w:r>
          </w:p>
        </w:tc>
      </w:tr>
    </w:tbl>
    <w:p w14:paraId="1E97DF35" w14:textId="77777777" w:rsidR="00894F6C" w:rsidRDefault="00894F6C">
      <w:r>
        <w:br w:type="page"/>
      </w:r>
    </w:p>
    <w:tbl>
      <w:tblPr>
        <w:tblW w:w="8656" w:type="dxa"/>
        <w:tblLook w:val="04A0" w:firstRow="1" w:lastRow="0" w:firstColumn="1" w:lastColumn="0" w:noHBand="0" w:noVBand="1"/>
      </w:tblPr>
      <w:tblGrid>
        <w:gridCol w:w="8656"/>
      </w:tblGrid>
      <w:tr w:rsidR="00894F6C" w:rsidRPr="00894F6C" w14:paraId="2B8BAE7D" w14:textId="77777777" w:rsidTr="00894F6C">
        <w:trPr>
          <w:trHeight w:val="780"/>
        </w:trPr>
        <w:tc>
          <w:tcPr>
            <w:tcW w:w="8656" w:type="dxa"/>
            <w:tcBorders>
              <w:top w:val="nil"/>
              <w:left w:val="nil"/>
              <w:bottom w:val="nil"/>
              <w:right w:val="nil"/>
            </w:tcBorders>
            <w:shd w:val="clear" w:color="auto" w:fill="auto"/>
            <w:noWrap/>
            <w:hideMark/>
          </w:tcPr>
          <w:p w14:paraId="30363B3F" w14:textId="1552A530" w:rsidR="00894F6C" w:rsidRPr="00894F6C" w:rsidRDefault="00894F6C" w:rsidP="00894F6C">
            <w:pPr>
              <w:rPr>
                <w:lang w:eastAsia="en-AU"/>
              </w:rPr>
            </w:pPr>
            <w:r w:rsidRPr="00894F6C">
              <w:rPr>
                <w:lang w:eastAsia="en-AU"/>
              </w:rPr>
              <w:t>Revenue is recognised and measured at the fair value of consideration received or receivable. Revenue is recognised for the major business activities noted below:</w:t>
            </w:r>
          </w:p>
        </w:tc>
      </w:tr>
      <w:tr w:rsidR="00894F6C" w:rsidRPr="00894F6C" w14:paraId="452BA650" w14:textId="77777777" w:rsidTr="00894F6C">
        <w:trPr>
          <w:trHeight w:val="375"/>
        </w:trPr>
        <w:tc>
          <w:tcPr>
            <w:tcW w:w="8656" w:type="dxa"/>
            <w:tcBorders>
              <w:top w:val="nil"/>
              <w:left w:val="nil"/>
              <w:bottom w:val="nil"/>
              <w:right w:val="nil"/>
            </w:tcBorders>
            <w:shd w:val="clear" w:color="auto" w:fill="auto"/>
            <w:noWrap/>
            <w:hideMark/>
          </w:tcPr>
          <w:p w14:paraId="28B1B9A5" w14:textId="77777777" w:rsidR="00894F6C" w:rsidRPr="00894F6C" w:rsidRDefault="00894F6C" w:rsidP="00894F6C">
            <w:pPr>
              <w:rPr>
                <w:lang w:eastAsia="en-AU"/>
              </w:rPr>
            </w:pPr>
            <w:r w:rsidRPr="00894F6C">
              <w:rPr>
                <w:lang w:eastAsia="en-AU"/>
              </w:rPr>
              <w:t>- Insurer contributions and supplementation fund levies</w:t>
            </w:r>
          </w:p>
        </w:tc>
      </w:tr>
      <w:tr w:rsidR="00894F6C" w:rsidRPr="00894F6C" w14:paraId="07229434" w14:textId="77777777" w:rsidTr="00894F6C">
        <w:trPr>
          <w:trHeight w:val="375"/>
        </w:trPr>
        <w:tc>
          <w:tcPr>
            <w:tcW w:w="8656" w:type="dxa"/>
            <w:tcBorders>
              <w:top w:val="nil"/>
              <w:left w:val="nil"/>
              <w:bottom w:val="nil"/>
              <w:right w:val="nil"/>
            </w:tcBorders>
            <w:shd w:val="clear" w:color="auto" w:fill="auto"/>
            <w:noWrap/>
            <w:hideMark/>
          </w:tcPr>
          <w:p w14:paraId="36982DD2" w14:textId="77777777" w:rsidR="00894F6C" w:rsidRPr="00894F6C" w:rsidRDefault="00894F6C" w:rsidP="00894F6C">
            <w:pPr>
              <w:rPr>
                <w:lang w:eastAsia="en-AU"/>
              </w:rPr>
            </w:pPr>
            <w:r w:rsidRPr="00894F6C">
              <w:rPr>
                <w:lang w:eastAsia="en-AU"/>
              </w:rPr>
              <w:t>- Provision of services</w:t>
            </w:r>
          </w:p>
        </w:tc>
      </w:tr>
      <w:tr w:rsidR="00894F6C" w:rsidRPr="00894F6C" w14:paraId="0AD8B43F" w14:textId="77777777" w:rsidTr="00894F6C">
        <w:trPr>
          <w:trHeight w:val="375"/>
        </w:trPr>
        <w:tc>
          <w:tcPr>
            <w:tcW w:w="8656" w:type="dxa"/>
            <w:tcBorders>
              <w:top w:val="nil"/>
              <w:left w:val="nil"/>
              <w:bottom w:val="nil"/>
              <w:right w:val="nil"/>
            </w:tcBorders>
            <w:shd w:val="clear" w:color="auto" w:fill="auto"/>
            <w:noWrap/>
            <w:hideMark/>
          </w:tcPr>
          <w:p w14:paraId="549C4A3C" w14:textId="435AB3A5" w:rsidR="00894F6C" w:rsidRPr="00894F6C" w:rsidRDefault="00894F6C" w:rsidP="00894F6C">
            <w:pPr>
              <w:rPr>
                <w:lang w:eastAsia="en-AU"/>
              </w:rPr>
            </w:pPr>
            <w:r w:rsidRPr="00894F6C">
              <w:rPr>
                <w:lang w:eastAsia="en-AU"/>
              </w:rPr>
              <w:t>- Recoveries from uninsured employers</w:t>
            </w:r>
            <w:r>
              <w:rPr>
                <w:lang w:eastAsia="en-AU"/>
              </w:rPr>
              <w:t>.</w:t>
            </w:r>
          </w:p>
        </w:tc>
      </w:tr>
    </w:tbl>
    <w:p w14:paraId="78D95A0F" w14:textId="3358D4F5" w:rsidR="00B15D5B" w:rsidRDefault="00894F6C" w:rsidP="00026A6F">
      <w:pPr>
        <w:pStyle w:val="Heading3nonumber"/>
        <w:numPr>
          <w:ilvl w:val="1"/>
          <w:numId w:val="50"/>
        </w:numPr>
      </w:pPr>
      <w:bookmarkStart w:id="760" w:name="_Toc525122157"/>
      <w:r>
        <w:t>Authority objectives</w:t>
      </w:r>
      <w:bookmarkEnd w:id="760"/>
    </w:p>
    <w:p w14:paraId="09AA8E0C" w14:textId="172C857C" w:rsidR="00894F6C" w:rsidRDefault="00894F6C" w:rsidP="008121F9">
      <w:pPr>
        <w:pStyle w:val="Heading4"/>
        <w:ind w:left="0"/>
      </w:pPr>
      <w:r>
        <w:t>Mission</w:t>
      </w:r>
    </w:p>
    <w:p w14:paraId="64EA9A40" w14:textId="295E691A" w:rsidR="00894F6C" w:rsidRPr="00894F6C" w:rsidRDefault="00894F6C" w:rsidP="00894F6C">
      <w:pPr>
        <w:rPr>
          <w:lang w:eastAsia="en-AU"/>
        </w:rPr>
      </w:pPr>
      <w:r>
        <w:rPr>
          <w:lang w:eastAsia="en-AU"/>
        </w:rPr>
        <w:t>WorkCover WA</w:t>
      </w:r>
      <w:r w:rsidRPr="00894F6C">
        <w:rPr>
          <w:lang w:eastAsia="en-AU"/>
        </w:rPr>
        <w:t xml:space="preserve"> Authority is to lead a contemporary, sustainable and integrated workers' compensation scheme that is fair, accessible and cost effective for all stakeholders.</w:t>
      </w:r>
    </w:p>
    <w:p w14:paraId="5D733FAB" w14:textId="77777777" w:rsidR="00894F6C" w:rsidRDefault="00894F6C" w:rsidP="00894F6C">
      <w:pPr>
        <w:rPr>
          <w:lang w:eastAsia="en-AU"/>
        </w:rPr>
      </w:pPr>
      <w:r w:rsidRPr="00894F6C">
        <w:rPr>
          <w:lang w:eastAsia="en-AU"/>
        </w:rPr>
        <w:t>The Authority is the government organisation responsible for managing the workers' compensation and injury management scheme in Western Australia (WA).</w:t>
      </w:r>
    </w:p>
    <w:p w14:paraId="710432A8" w14:textId="463EE5E3" w:rsidR="000B5EB8" w:rsidRDefault="000B5EB8" w:rsidP="008121F9">
      <w:pPr>
        <w:pStyle w:val="Heading4"/>
        <w:ind w:left="0"/>
      </w:pPr>
      <w:r>
        <w:t>Services</w:t>
      </w:r>
    </w:p>
    <w:p w14:paraId="491859EE" w14:textId="24C1E76D" w:rsidR="000B5EB8" w:rsidRDefault="000B5EB8" w:rsidP="000B5EB8">
      <w:pPr>
        <w:rPr>
          <w:lang w:eastAsia="en-AU"/>
        </w:rPr>
      </w:pPr>
      <w:r>
        <w:rPr>
          <w:lang w:eastAsia="en-AU"/>
        </w:rPr>
        <w:t xml:space="preserve">The Authority provides the following services: </w:t>
      </w:r>
    </w:p>
    <w:p w14:paraId="2FB7443F" w14:textId="4436174C" w:rsidR="000B5EB8" w:rsidRDefault="000B5EB8" w:rsidP="000B5EB8">
      <w:pPr>
        <w:rPr>
          <w:i/>
          <w:lang w:eastAsia="en-AU"/>
        </w:rPr>
      </w:pPr>
      <w:r>
        <w:rPr>
          <w:i/>
          <w:lang w:eastAsia="en-AU"/>
        </w:rPr>
        <w:t xml:space="preserve">Service 1: </w:t>
      </w:r>
      <w:r>
        <w:rPr>
          <w:i/>
          <w:lang w:eastAsia="en-AU"/>
        </w:rPr>
        <w:tab/>
        <w:t>Scheme Regulation</w:t>
      </w:r>
    </w:p>
    <w:p w14:paraId="3DD7FF77" w14:textId="2A0E3238" w:rsidR="000B5EB8" w:rsidRDefault="000B5EB8" w:rsidP="000B5EB8">
      <w:pPr>
        <w:ind w:left="1440"/>
        <w:rPr>
          <w:lang w:eastAsia="en-AU"/>
        </w:rPr>
      </w:pPr>
      <w:r>
        <w:rPr>
          <w:lang w:eastAsia="en-AU"/>
        </w:rPr>
        <w:t xml:space="preserve">Regulation of workers’ compensation scheme participants for compliance with legislative requirements. </w:t>
      </w:r>
    </w:p>
    <w:p w14:paraId="62519B52" w14:textId="021961BE" w:rsidR="000B5EB8" w:rsidRDefault="000B5EB8" w:rsidP="000B5EB8">
      <w:pPr>
        <w:rPr>
          <w:i/>
          <w:lang w:eastAsia="en-AU"/>
        </w:rPr>
      </w:pPr>
      <w:r>
        <w:rPr>
          <w:i/>
          <w:lang w:eastAsia="en-AU"/>
        </w:rPr>
        <w:t xml:space="preserve">Service 2: </w:t>
      </w:r>
      <w:r>
        <w:rPr>
          <w:i/>
          <w:lang w:eastAsia="en-AU"/>
        </w:rPr>
        <w:tab/>
        <w:t>Scheme Services</w:t>
      </w:r>
    </w:p>
    <w:p w14:paraId="78CA4080" w14:textId="327BA985" w:rsidR="000B5EB8" w:rsidRPr="000B5EB8" w:rsidRDefault="000B5EB8" w:rsidP="000B5EB8">
      <w:pPr>
        <w:ind w:left="1440"/>
        <w:rPr>
          <w:lang w:eastAsia="en-AU"/>
        </w:rPr>
      </w:pPr>
      <w:r>
        <w:rPr>
          <w:lang w:eastAsia="en-AU"/>
        </w:rPr>
        <w:t xml:space="preserve">Provision of effective and equitable dispute resolution and other services to scheme participants. </w:t>
      </w:r>
    </w:p>
    <w:p w14:paraId="1627E478" w14:textId="296BC270" w:rsidR="00187E63" w:rsidRDefault="00187E63">
      <w:pPr>
        <w:keepLines w:val="0"/>
        <w:spacing w:after="0" w:line="240" w:lineRule="auto"/>
      </w:pPr>
      <w:r>
        <w:br w:type="page"/>
      </w:r>
    </w:p>
    <w:p w14:paraId="48222C30" w14:textId="44F86800" w:rsidR="00B15D5B" w:rsidRDefault="00187E63" w:rsidP="00026A6F">
      <w:pPr>
        <w:pStyle w:val="Heading3nonumber"/>
        <w:numPr>
          <w:ilvl w:val="1"/>
          <w:numId w:val="50"/>
        </w:numPr>
      </w:pPr>
      <w:bookmarkStart w:id="761" w:name="_Toc525122158"/>
      <w:r>
        <w:t>Schedule of Income and Expenses by Service</w:t>
      </w:r>
      <w:bookmarkEnd w:id="761"/>
      <w:r>
        <w:t xml:space="preserve"> </w:t>
      </w:r>
    </w:p>
    <w:tbl>
      <w:tblPr>
        <w:tblStyle w:val="TableGrid"/>
        <w:tblW w:w="0" w:type="auto"/>
        <w:tblLook w:val="04A0" w:firstRow="1" w:lastRow="0" w:firstColumn="1" w:lastColumn="0" w:noHBand="0" w:noVBand="1"/>
        <w:tblCaption w:val="Table: Schedule of income and expenses by service"/>
        <w:tblDescription w:val="This table outlines the schedule of income and expenses by scheme regulation and scheme services for the past financial year. "/>
      </w:tblPr>
      <w:tblGrid>
        <w:gridCol w:w="2254"/>
        <w:gridCol w:w="1127"/>
        <w:gridCol w:w="1127"/>
        <w:gridCol w:w="1127"/>
        <w:gridCol w:w="1127"/>
        <w:gridCol w:w="1127"/>
        <w:gridCol w:w="1127"/>
      </w:tblGrid>
      <w:tr w:rsidR="00187E63" w14:paraId="6B4AA808" w14:textId="77777777" w:rsidTr="00B15D5B">
        <w:trPr>
          <w:tblHeader/>
        </w:trPr>
        <w:tc>
          <w:tcPr>
            <w:tcW w:w="2254" w:type="dxa"/>
            <w:tcBorders>
              <w:top w:val="single" w:sz="4" w:space="0" w:color="9FBCD0"/>
              <w:left w:val="single" w:sz="4" w:space="0" w:color="9FBCD0"/>
              <w:bottom w:val="single" w:sz="4" w:space="0" w:color="9FBCD0"/>
              <w:right w:val="single" w:sz="4" w:space="0" w:color="9FBCD0"/>
            </w:tcBorders>
          </w:tcPr>
          <w:p w14:paraId="1099B024" w14:textId="77777777" w:rsidR="00187E63" w:rsidRDefault="00187E63" w:rsidP="00187E63"/>
        </w:tc>
        <w:tc>
          <w:tcPr>
            <w:tcW w:w="2254" w:type="dxa"/>
            <w:gridSpan w:val="2"/>
            <w:tcBorders>
              <w:top w:val="single" w:sz="4" w:space="0" w:color="9FBCD0"/>
              <w:left w:val="single" w:sz="4" w:space="0" w:color="9FBCD0"/>
              <w:bottom w:val="single" w:sz="4" w:space="0" w:color="9FBCD0"/>
              <w:right w:val="single" w:sz="4" w:space="0" w:color="9FBCD0"/>
            </w:tcBorders>
            <w:vAlign w:val="center"/>
          </w:tcPr>
          <w:p w14:paraId="73070F25" w14:textId="7D862ED5" w:rsidR="00187E63" w:rsidRPr="00187E63" w:rsidRDefault="00187E63" w:rsidP="00187E63">
            <w:pPr>
              <w:jc w:val="center"/>
              <w:rPr>
                <w:b/>
              </w:rPr>
            </w:pPr>
            <w:r>
              <w:rPr>
                <w:b/>
              </w:rPr>
              <w:t>Scheme Regulation</w:t>
            </w:r>
          </w:p>
        </w:tc>
        <w:tc>
          <w:tcPr>
            <w:tcW w:w="2254" w:type="dxa"/>
            <w:gridSpan w:val="2"/>
            <w:tcBorders>
              <w:top w:val="single" w:sz="4" w:space="0" w:color="9FBCD0"/>
              <w:left w:val="single" w:sz="4" w:space="0" w:color="9FBCD0"/>
              <w:bottom w:val="single" w:sz="4" w:space="0" w:color="9FBCD0"/>
              <w:right w:val="single" w:sz="4" w:space="0" w:color="9FBCD0"/>
            </w:tcBorders>
            <w:vAlign w:val="center"/>
          </w:tcPr>
          <w:p w14:paraId="70DCF5E0" w14:textId="15BAC20C" w:rsidR="00187E63" w:rsidRPr="00187E63" w:rsidRDefault="00187E63" w:rsidP="00187E63">
            <w:pPr>
              <w:jc w:val="center"/>
              <w:rPr>
                <w:b/>
              </w:rPr>
            </w:pPr>
            <w:r w:rsidRPr="00187E63">
              <w:rPr>
                <w:b/>
              </w:rPr>
              <w:t xml:space="preserve">Scheme </w:t>
            </w:r>
            <w:r>
              <w:rPr>
                <w:b/>
              </w:rPr>
              <w:br/>
            </w:r>
            <w:r w:rsidRPr="00187E63">
              <w:rPr>
                <w:b/>
              </w:rPr>
              <w:t>Services</w:t>
            </w:r>
          </w:p>
        </w:tc>
        <w:tc>
          <w:tcPr>
            <w:tcW w:w="2254" w:type="dxa"/>
            <w:gridSpan w:val="2"/>
            <w:tcBorders>
              <w:top w:val="single" w:sz="4" w:space="0" w:color="9FBCD0"/>
              <w:left w:val="single" w:sz="4" w:space="0" w:color="9FBCD0"/>
              <w:bottom w:val="single" w:sz="4" w:space="0" w:color="9FBCD0"/>
              <w:right w:val="single" w:sz="4" w:space="0" w:color="9FBCD0"/>
            </w:tcBorders>
            <w:vAlign w:val="center"/>
          </w:tcPr>
          <w:p w14:paraId="67D180E4" w14:textId="38B310D7" w:rsidR="00187E63" w:rsidRPr="00187E63" w:rsidRDefault="00187E63" w:rsidP="00187E63">
            <w:pPr>
              <w:jc w:val="center"/>
              <w:rPr>
                <w:b/>
              </w:rPr>
            </w:pPr>
            <w:r>
              <w:rPr>
                <w:b/>
              </w:rPr>
              <w:t>Grand Total</w:t>
            </w:r>
          </w:p>
        </w:tc>
      </w:tr>
      <w:tr w:rsidR="00994FE8" w14:paraId="05245790" w14:textId="77777777" w:rsidTr="00B15D5B">
        <w:tc>
          <w:tcPr>
            <w:tcW w:w="2254" w:type="dxa"/>
            <w:tcBorders>
              <w:top w:val="single" w:sz="4" w:space="0" w:color="9FBCD0"/>
              <w:left w:val="single" w:sz="4" w:space="0" w:color="9FBCD0"/>
              <w:bottom w:val="single" w:sz="4" w:space="0" w:color="9FBCD0"/>
              <w:right w:val="single" w:sz="4" w:space="0" w:color="9FBCD0"/>
            </w:tcBorders>
          </w:tcPr>
          <w:p w14:paraId="2A1D28C1" w14:textId="77777777" w:rsidR="00994FE8" w:rsidRDefault="00994FE8" w:rsidP="00187E63"/>
        </w:tc>
        <w:tc>
          <w:tcPr>
            <w:tcW w:w="1127" w:type="dxa"/>
            <w:tcBorders>
              <w:top w:val="single" w:sz="4" w:space="0" w:color="9FBCD0"/>
              <w:left w:val="single" w:sz="4" w:space="0" w:color="9FBCD0"/>
              <w:bottom w:val="single" w:sz="12" w:space="0" w:color="auto"/>
              <w:right w:val="single" w:sz="4" w:space="0" w:color="9FBCD0"/>
            </w:tcBorders>
          </w:tcPr>
          <w:p w14:paraId="15BA77C8" w14:textId="0BD19835" w:rsidR="00994FE8" w:rsidRPr="00994FE8" w:rsidRDefault="00994FE8" w:rsidP="00994FE8">
            <w:pPr>
              <w:jc w:val="center"/>
              <w:rPr>
                <w:b/>
              </w:rPr>
            </w:pPr>
            <w:r>
              <w:rPr>
                <w:b/>
              </w:rPr>
              <w:t>2018</w:t>
            </w:r>
            <w:r>
              <w:rPr>
                <w:b/>
              </w:rPr>
              <w:br/>
              <w:t>$000</w:t>
            </w:r>
          </w:p>
        </w:tc>
        <w:tc>
          <w:tcPr>
            <w:tcW w:w="1127" w:type="dxa"/>
            <w:tcBorders>
              <w:top w:val="single" w:sz="4" w:space="0" w:color="9FBCD0"/>
              <w:left w:val="single" w:sz="4" w:space="0" w:color="9FBCD0"/>
              <w:bottom w:val="single" w:sz="12" w:space="0" w:color="auto"/>
              <w:right w:val="single" w:sz="4" w:space="0" w:color="9FBCD0"/>
            </w:tcBorders>
            <w:shd w:val="clear" w:color="auto" w:fill="CEDCE8"/>
          </w:tcPr>
          <w:p w14:paraId="3BB132AE" w14:textId="02C8E01B" w:rsidR="00994FE8" w:rsidRPr="00994FE8" w:rsidRDefault="00994FE8" w:rsidP="00994FE8">
            <w:pPr>
              <w:jc w:val="center"/>
              <w:rPr>
                <w:b/>
              </w:rPr>
            </w:pPr>
            <w:r>
              <w:rPr>
                <w:b/>
              </w:rPr>
              <w:t>2017</w:t>
            </w:r>
            <w:r>
              <w:rPr>
                <w:b/>
              </w:rPr>
              <w:br/>
              <w:t>$000</w:t>
            </w:r>
          </w:p>
        </w:tc>
        <w:tc>
          <w:tcPr>
            <w:tcW w:w="1127" w:type="dxa"/>
            <w:tcBorders>
              <w:top w:val="single" w:sz="4" w:space="0" w:color="9FBCD0"/>
              <w:left w:val="single" w:sz="4" w:space="0" w:color="9FBCD0"/>
              <w:bottom w:val="single" w:sz="12" w:space="0" w:color="auto"/>
              <w:right w:val="single" w:sz="4" w:space="0" w:color="9FBCD0"/>
            </w:tcBorders>
          </w:tcPr>
          <w:p w14:paraId="4459FD61" w14:textId="6F4A1DC9" w:rsidR="00994FE8" w:rsidRPr="00994FE8" w:rsidRDefault="00994FE8" w:rsidP="00994FE8">
            <w:pPr>
              <w:jc w:val="center"/>
              <w:rPr>
                <w:b/>
              </w:rPr>
            </w:pPr>
            <w:r>
              <w:rPr>
                <w:b/>
              </w:rPr>
              <w:t>2018</w:t>
            </w:r>
            <w:r>
              <w:rPr>
                <w:b/>
              </w:rPr>
              <w:br/>
              <w:t>$000</w:t>
            </w:r>
          </w:p>
        </w:tc>
        <w:tc>
          <w:tcPr>
            <w:tcW w:w="1127" w:type="dxa"/>
            <w:tcBorders>
              <w:top w:val="single" w:sz="4" w:space="0" w:color="9FBCD0"/>
              <w:left w:val="single" w:sz="4" w:space="0" w:color="9FBCD0"/>
              <w:bottom w:val="single" w:sz="12" w:space="0" w:color="auto"/>
              <w:right w:val="single" w:sz="4" w:space="0" w:color="9FBCD0"/>
            </w:tcBorders>
            <w:shd w:val="clear" w:color="auto" w:fill="CEDCE8"/>
          </w:tcPr>
          <w:p w14:paraId="4B5A4F13" w14:textId="096587C9" w:rsidR="00994FE8" w:rsidRPr="00994FE8" w:rsidRDefault="00994FE8" w:rsidP="00994FE8">
            <w:pPr>
              <w:jc w:val="center"/>
              <w:rPr>
                <w:b/>
              </w:rPr>
            </w:pPr>
            <w:r>
              <w:rPr>
                <w:b/>
              </w:rPr>
              <w:t>2017</w:t>
            </w:r>
            <w:r>
              <w:rPr>
                <w:b/>
              </w:rPr>
              <w:br/>
              <w:t>$000</w:t>
            </w:r>
          </w:p>
        </w:tc>
        <w:tc>
          <w:tcPr>
            <w:tcW w:w="1127" w:type="dxa"/>
            <w:tcBorders>
              <w:top w:val="single" w:sz="4" w:space="0" w:color="9FBCD0"/>
              <w:left w:val="single" w:sz="4" w:space="0" w:color="9FBCD0"/>
              <w:bottom w:val="single" w:sz="12" w:space="0" w:color="auto"/>
              <w:right w:val="single" w:sz="4" w:space="0" w:color="9FBCD0"/>
            </w:tcBorders>
          </w:tcPr>
          <w:p w14:paraId="629867C3" w14:textId="1716D375" w:rsidR="00994FE8" w:rsidRPr="00994FE8" w:rsidRDefault="00994FE8" w:rsidP="00994FE8">
            <w:pPr>
              <w:jc w:val="center"/>
              <w:rPr>
                <w:b/>
              </w:rPr>
            </w:pPr>
            <w:r>
              <w:rPr>
                <w:b/>
              </w:rPr>
              <w:t>2018</w:t>
            </w:r>
            <w:r>
              <w:rPr>
                <w:b/>
              </w:rPr>
              <w:br/>
              <w:t>$000</w:t>
            </w:r>
          </w:p>
        </w:tc>
        <w:tc>
          <w:tcPr>
            <w:tcW w:w="1127" w:type="dxa"/>
            <w:tcBorders>
              <w:top w:val="single" w:sz="4" w:space="0" w:color="9FBCD0"/>
              <w:left w:val="single" w:sz="4" w:space="0" w:color="9FBCD0"/>
              <w:bottom w:val="single" w:sz="12" w:space="0" w:color="auto"/>
              <w:right w:val="single" w:sz="4" w:space="0" w:color="9FBCD0"/>
            </w:tcBorders>
            <w:shd w:val="clear" w:color="auto" w:fill="CEDCE8"/>
          </w:tcPr>
          <w:p w14:paraId="3B855540" w14:textId="61BAF423" w:rsidR="00994FE8" w:rsidRPr="00994FE8" w:rsidRDefault="00994FE8" w:rsidP="00994FE8">
            <w:pPr>
              <w:jc w:val="center"/>
              <w:rPr>
                <w:b/>
              </w:rPr>
            </w:pPr>
            <w:r>
              <w:rPr>
                <w:b/>
              </w:rPr>
              <w:t>2017</w:t>
            </w:r>
            <w:r>
              <w:rPr>
                <w:b/>
              </w:rPr>
              <w:br/>
              <w:t>$000</w:t>
            </w:r>
          </w:p>
        </w:tc>
      </w:tr>
      <w:tr w:rsidR="00994FE8" w14:paraId="140FEC79" w14:textId="77777777" w:rsidTr="00B15D5B">
        <w:tc>
          <w:tcPr>
            <w:tcW w:w="2254" w:type="dxa"/>
            <w:tcBorders>
              <w:top w:val="single" w:sz="4" w:space="0" w:color="9FBCD0"/>
              <w:left w:val="single" w:sz="4" w:space="0" w:color="9FBCD0"/>
              <w:bottom w:val="single" w:sz="4" w:space="0" w:color="9FBCD0"/>
              <w:right w:val="single" w:sz="4" w:space="0" w:color="9FBCD0"/>
            </w:tcBorders>
          </w:tcPr>
          <w:p w14:paraId="5E3FE496" w14:textId="0C4C80F1" w:rsidR="00994FE8" w:rsidRPr="00994FE8" w:rsidRDefault="00994FE8" w:rsidP="00187E63">
            <w:pPr>
              <w:rPr>
                <w:b/>
              </w:rPr>
            </w:pPr>
            <w:r>
              <w:rPr>
                <w:b/>
              </w:rPr>
              <w:t>Income</w:t>
            </w:r>
          </w:p>
        </w:tc>
        <w:tc>
          <w:tcPr>
            <w:tcW w:w="1127" w:type="dxa"/>
            <w:tcBorders>
              <w:top w:val="single" w:sz="12" w:space="0" w:color="auto"/>
              <w:left w:val="single" w:sz="4" w:space="0" w:color="9FBCD0"/>
              <w:bottom w:val="single" w:sz="4" w:space="0" w:color="9FBCD0"/>
              <w:right w:val="single" w:sz="4" w:space="0" w:color="9FBCD0"/>
            </w:tcBorders>
          </w:tcPr>
          <w:p w14:paraId="59CAA744"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54312DF3" w14:textId="1B244729"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tcPr>
          <w:p w14:paraId="4857727C"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5DCFD1FE"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tcPr>
          <w:p w14:paraId="08B7DA0A"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4A3FFE69" w14:textId="3BF886C8" w:rsidR="00994FE8" w:rsidRDefault="00994FE8" w:rsidP="00187E63"/>
        </w:tc>
      </w:tr>
      <w:tr w:rsidR="00994FE8" w14:paraId="4EC12CB8"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41EF87C4" w14:textId="3CE4DA87" w:rsidR="00994FE8" w:rsidRPr="00994FE8" w:rsidRDefault="00994FE8" w:rsidP="00994FE8">
            <w:pPr>
              <w:rPr>
                <w:b/>
              </w:rPr>
            </w:pPr>
            <w:r>
              <w:t>Insurer contributions</w:t>
            </w:r>
          </w:p>
        </w:tc>
        <w:tc>
          <w:tcPr>
            <w:tcW w:w="1127" w:type="dxa"/>
            <w:tcBorders>
              <w:top w:val="single" w:sz="4" w:space="0" w:color="9FBCD0"/>
              <w:left w:val="single" w:sz="4" w:space="0" w:color="9FBCD0"/>
              <w:bottom w:val="single" w:sz="4" w:space="0" w:color="9FBCD0"/>
              <w:right w:val="single" w:sz="4" w:space="0" w:color="9FBCD0"/>
            </w:tcBorders>
            <w:vAlign w:val="center"/>
          </w:tcPr>
          <w:p w14:paraId="445C11D1" w14:textId="32A036D9" w:rsidR="00994FE8" w:rsidRDefault="00994FE8" w:rsidP="00994FE8">
            <w:pPr>
              <w:jc w:val="right"/>
            </w:pPr>
            <w:r>
              <w:t xml:space="preserve">        9,009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1D3851AE" w14:textId="4764F973" w:rsidR="00994FE8" w:rsidRDefault="00994FE8" w:rsidP="00994FE8">
            <w:pPr>
              <w:jc w:val="right"/>
            </w:pPr>
            <w:r>
              <w:t xml:space="preserve">        9,034 </w:t>
            </w:r>
          </w:p>
        </w:tc>
        <w:tc>
          <w:tcPr>
            <w:tcW w:w="1127" w:type="dxa"/>
            <w:tcBorders>
              <w:top w:val="single" w:sz="4" w:space="0" w:color="9FBCD0"/>
              <w:left w:val="single" w:sz="4" w:space="0" w:color="9FBCD0"/>
              <w:bottom w:val="single" w:sz="4" w:space="0" w:color="9FBCD0"/>
              <w:right w:val="single" w:sz="4" w:space="0" w:color="9FBCD0"/>
            </w:tcBorders>
            <w:vAlign w:val="center"/>
          </w:tcPr>
          <w:p w14:paraId="2D92FF42" w14:textId="07C289B9" w:rsidR="00994FE8" w:rsidRDefault="00994FE8" w:rsidP="00994FE8">
            <w:pPr>
              <w:jc w:val="right"/>
            </w:pPr>
            <w:r>
              <w:t xml:space="preserve">      10,874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B575EF0" w14:textId="4D2A229F" w:rsidR="00994FE8" w:rsidRDefault="00994FE8" w:rsidP="00994FE8">
            <w:pPr>
              <w:jc w:val="right"/>
            </w:pPr>
            <w:r>
              <w:t xml:space="preserve">      10,911 </w:t>
            </w:r>
          </w:p>
        </w:tc>
        <w:tc>
          <w:tcPr>
            <w:tcW w:w="1127" w:type="dxa"/>
            <w:tcBorders>
              <w:top w:val="single" w:sz="4" w:space="0" w:color="9FBCD0"/>
              <w:left w:val="single" w:sz="4" w:space="0" w:color="9FBCD0"/>
              <w:bottom w:val="single" w:sz="4" w:space="0" w:color="9FBCD0"/>
              <w:right w:val="single" w:sz="4" w:space="0" w:color="9FBCD0"/>
            </w:tcBorders>
            <w:vAlign w:val="center"/>
          </w:tcPr>
          <w:p w14:paraId="61E226D4" w14:textId="647F123D" w:rsidR="00994FE8" w:rsidRDefault="00994FE8" w:rsidP="00994FE8">
            <w:pPr>
              <w:jc w:val="right"/>
            </w:pPr>
            <w:r>
              <w:t xml:space="preserve">            19,883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282609D" w14:textId="79EB9E40" w:rsidR="00994FE8" w:rsidRDefault="00994FE8" w:rsidP="00994FE8">
            <w:pPr>
              <w:jc w:val="right"/>
            </w:pPr>
            <w:r>
              <w:t xml:space="preserve">             19,945 </w:t>
            </w:r>
          </w:p>
        </w:tc>
      </w:tr>
      <w:tr w:rsidR="00994FE8" w14:paraId="16B5368D"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63DD65D5" w14:textId="5F22F343" w:rsidR="00994FE8" w:rsidRDefault="00994FE8" w:rsidP="00994FE8">
            <w:r>
              <w:t>Interest revenue</w:t>
            </w:r>
          </w:p>
        </w:tc>
        <w:tc>
          <w:tcPr>
            <w:tcW w:w="1127" w:type="dxa"/>
            <w:tcBorders>
              <w:top w:val="single" w:sz="4" w:space="0" w:color="9FBCD0"/>
              <w:left w:val="single" w:sz="4" w:space="0" w:color="9FBCD0"/>
              <w:bottom w:val="single" w:sz="4" w:space="0" w:color="9FBCD0"/>
              <w:right w:val="single" w:sz="4" w:space="0" w:color="9FBCD0"/>
            </w:tcBorders>
            <w:vAlign w:val="center"/>
          </w:tcPr>
          <w:p w14:paraId="64F9CCF5" w14:textId="5ADB2E79" w:rsidR="00994FE8" w:rsidRDefault="00994FE8" w:rsidP="00994FE8">
            <w:pPr>
              <w:jc w:val="right"/>
            </w:pPr>
            <w:r>
              <w:t xml:space="preserve">        1,041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F989829" w14:textId="2592CFB2" w:rsidR="00994FE8" w:rsidRDefault="00994FE8" w:rsidP="00994FE8">
            <w:pPr>
              <w:jc w:val="right"/>
            </w:pPr>
            <w:r>
              <w:t xml:space="preserve">        1,051 </w:t>
            </w:r>
          </w:p>
        </w:tc>
        <w:tc>
          <w:tcPr>
            <w:tcW w:w="1127" w:type="dxa"/>
            <w:tcBorders>
              <w:top w:val="single" w:sz="4" w:space="0" w:color="9FBCD0"/>
              <w:left w:val="single" w:sz="4" w:space="0" w:color="9FBCD0"/>
              <w:bottom w:val="single" w:sz="4" w:space="0" w:color="9FBCD0"/>
              <w:right w:val="single" w:sz="4" w:space="0" w:color="9FBCD0"/>
            </w:tcBorders>
            <w:vAlign w:val="center"/>
          </w:tcPr>
          <w:p w14:paraId="4FDB13BE" w14:textId="0C369D2F" w:rsidR="00994FE8" w:rsidRDefault="00994FE8" w:rsidP="00994FE8">
            <w:pPr>
              <w:jc w:val="right"/>
            </w:pPr>
            <w:r>
              <w:t xml:space="preserve">        1,257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22913DB0" w14:textId="2638CC6C" w:rsidR="00994FE8" w:rsidRDefault="00994FE8" w:rsidP="00994FE8">
            <w:pPr>
              <w:jc w:val="right"/>
            </w:pPr>
            <w:r>
              <w:t xml:space="preserve">        1,269 </w:t>
            </w:r>
          </w:p>
        </w:tc>
        <w:tc>
          <w:tcPr>
            <w:tcW w:w="1127" w:type="dxa"/>
            <w:tcBorders>
              <w:top w:val="single" w:sz="4" w:space="0" w:color="9FBCD0"/>
              <w:left w:val="single" w:sz="4" w:space="0" w:color="9FBCD0"/>
              <w:bottom w:val="single" w:sz="4" w:space="0" w:color="9FBCD0"/>
              <w:right w:val="single" w:sz="4" w:space="0" w:color="9FBCD0"/>
            </w:tcBorders>
            <w:vAlign w:val="center"/>
          </w:tcPr>
          <w:p w14:paraId="38F83E5D" w14:textId="6C07157C" w:rsidR="00994FE8" w:rsidRDefault="00994FE8" w:rsidP="00994FE8">
            <w:pPr>
              <w:jc w:val="right"/>
            </w:pPr>
            <w:r>
              <w:t xml:space="preserve">              2,298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2321750" w14:textId="66D03679" w:rsidR="00994FE8" w:rsidRDefault="00994FE8" w:rsidP="00994FE8">
            <w:pPr>
              <w:jc w:val="right"/>
            </w:pPr>
            <w:r>
              <w:t xml:space="preserve">               2,320 </w:t>
            </w:r>
          </w:p>
        </w:tc>
      </w:tr>
      <w:tr w:rsidR="00994FE8" w14:paraId="0E870010"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40FA7492" w14:textId="5CC6A6AF" w:rsidR="00994FE8" w:rsidRDefault="00994FE8" w:rsidP="00994FE8">
            <w:r>
              <w:t>Other revenue</w:t>
            </w:r>
          </w:p>
        </w:tc>
        <w:tc>
          <w:tcPr>
            <w:tcW w:w="1127" w:type="dxa"/>
            <w:tcBorders>
              <w:top w:val="single" w:sz="4" w:space="0" w:color="9FBCD0"/>
              <w:left w:val="single" w:sz="4" w:space="0" w:color="9FBCD0"/>
              <w:bottom w:val="single" w:sz="4" w:space="0" w:color="9FBCD0"/>
              <w:right w:val="single" w:sz="4" w:space="0" w:color="9FBCD0"/>
            </w:tcBorders>
            <w:vAlign w:val="center"/>
          </w:tcPr>
          <w:p w14:paraId="107983D1" w14:textId="4BF56289" w:rsidR="00994FE8" w:rsidRDefault="00994FE8" w:rsidP="00994FE8">
            <w:pPr>
              <w:jc w:val="right"/>
            </w:pPr>
            <w:r>
              <w:t xml:space="preserve">           473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6356EB77" w14:textId="1FD20F3E" w:rsidR="00994FE8" w:rsidRDefault="00994FE8" w:rsidP="00994FE8">
            <w:pPr>
              <w:jc w:val="right"/>
            </w:pPr>
            <w:r>
              <w:t xml:space="preserve">           390 </w:t>
            </w:r>
          </w:p>
        </w:tc>
        <w:tc>
          <w:tcPr>
            <w:tcW w:w="1127" w:type="dxa"/>
            <w:tcBorders>
              <w:top w:val="single" w:sz="4" w:space="0" w:color="9FBCD0"/>
              <w:left w:val="single" w:sz="4" w:space="0" w:color="9FBCD0"/>
              <w:bottom w:val="single" w:sz="4" w:space="0" w:color="9FBCD0"/>
              <w:right w:val="single" w:sz="4" w:space="0" w:color="9FBCD0"/>
            </w:tcBorders>
            <w:vAlign w:val="center"/>
          </w:tcPr>
          <w:p w14:paraId="1FCE98A6" w14:textId="589F7F76" w:rsidR="00994FE8" w:rsidRDefault="00994FE8" w:rsidP="00994FE8">
            <w:pPr>
              <w:jc w:val="right"/>
            </w:pPr>
            <w:r>
              <w:t xml:space="preserve">           571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3C2CABB" w14:textId="79E9A5B5" w:rsidR="00994FE8" w:rsidRDefault="00994FE8" w:rsidP="00994FE8">
            <w:pPr>
              <w:jc w:val="right"/>
            </w:pPr>
            <w:r>
              <w:t xml:space="preserve">           472 </w:t>
            </w:r>
          </w:p>
        </w:tc>
        <w:tc>
          <w:tcPr>
            <w:tcW w:w="1127" w:type="dxa"/>
            <w:tcBorders>
              <w:top w:val="single" w:sz="4" w:space="0" w:color="9FBCD0"/>
              <w:left w:val="single" w:sz="4" w:space="0" w:color="9FBCD0"/>
              <w:bottom w:val="single" w:sz="4" w:space="0" w:color="9FBCD0"/>
              <w:right w:val="single" w:sz="4" w:space="0" w:color="9FBCD0"/>
            </w:tcBorders>
            <w:vAlign w:val="center"/>
          </w:tcPr>
          <w:p w14:paraId="72E84B23" w14:textId="13871AC6" w:rsidR="00994FE8" w:rsidRDefault="00994FE8" w:rsidP="00994FE8">
            <w:pPr>
              <w:jc w:val="right"/>
            </w:pPr>
            <w:r>
              <w:t xml:space="preserve">              1,044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4AA262B" w14:textId="411AE7E2" w:rsidR="00994FE8" w:rsidRDefault="00994FE8" w:rsidP="00994FE8">
            <w:pPr>
              <w:jc w:val="right"/>
            </w:pPr>
            <w:r>
              <w:t xml:space="preserve">                   862 </w:t>
            </w:r>
          </w:p>
        </w:tc>
      </w:tr>
      <w:tr w:rsidR="00994FE8" w14:paraId="487769BF"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6C1A2161" w14:textId="403EADA8" w:rsidR="00994FE8" w:rsidRDefault="00994FE8" w:rsidP="00994FE8">
            <w:r>
              <w:t>Employers' Indemnity Supplementation Fund</w:t>
            </w:r>
          </w:p>
        </w:tc>
        <w:tc>
          <w:tcPr>
            <w:tcW w:w="1127" w:type="dxa"/>
            <w:tcBorders>
              <w:top w:val="single" w:sz="4" w:space="0" w:color="9FBCD0"/>
              <w:left w:val="single" w:sz="4" w:space="0" w:color="9FBCD0"/>
              <w:bottom w:val="single" w:sz="4" w:space="0" w:color="9FBCD0"/>
              <w:right w:val="single" w:sz="4" w:space="0" w:color="9FBCD0"/>
            </w:tcBorders>
            <w:vAlign w:val="center"/>
          </w:tcPr>
          <w:p w14:paraId="4CA82B7D" w14:textId="3F98D6BB" w:rsidR="00994FE8" w:rsidRDefault="00994FE8" w:rsidP="00994FE8">
            <w:pPr>
              <w:jc w:val="right"/>
            </w:pPr>
            <w:r>
              <w:t xml:space="preserve">               -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17F6F96" w14:textId="65728F76" w:rsidR="00994FE8" w:rsidRDefault="00994FE8" w:rsidP="00994FE8">
            <w:pPr>
              <w:jc w:val="right"/>
            </w:pPr>
            <w:r>
              <w:t xml:space="preserve">              54 </w:t>
            </w:r>
          </w:p>
        </w:tc>
        <w:tc>
          <w:tcPr>
            <w:tcW w:w="1127" w:type="dxa"/>
            <w:tcBorders>
              <w:top w:val="single" w:sz="4" w:space="0" w:color="9FBCD0"/>
              <w:left w:val="single" w:sz="4" w:space="0" w:color="9FBCD0"/>
              <w:bottom w:val="single" w:sz="4" w:space="0" w:color="9FBCD0"/>
              <w:right w:val="single" w:sz="4" w:space="0" w:color="9FBCD0"/>
            </w:tcBorders>
            <w:vAlign w:val="center"/>
          </w:tcPr>
          <w:p w14:paraId="617A54EF" w14:textId="76F67F4D" w:rsidR="00994FE8" w:rsidRDefault="00994FE8" w:rsidP="00994FE8">
            <w:pPr>
              <w:jc w:val="right"/>
            </w:pPr>
            <w:r>
              <w:t xml:space="preserve">               -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2D1947B1" w14:textId="697E9A37" w:rsidR="00994FE8" w:rsidRDefault="00994FE8" w:rsidP="00994FE8">
            <w:pPr>
              <w:jc w:val="right"/>
            </w:pPr>
            <w:r>
              <w:t xml:space="preserve">              66 </w:t>
            </w:r>
          </w:p>
        </w:tc>
        <w:tc>
          <w:tcPr>
            <w:tcW w:w="1127" w:type="dxa"/>
            <w:tcBorders>
              <w:top w:val="single" w:sz="4" w:space="0" w:color="9FBCD0"/>
              <w:left w:val="single" w:sz="4" w:space="0" w:color="9FBCD0"/>
              <w:bottom w:val="single" w:sz="4" w:space="0" w:color="9FBCD0"/>
              <w:right w:val="single" w:sz="4" w:space="0" w:color="9FBCD0"/>
            </w:tcBorders>
            <w:vAlign w:val="center"/>
          </w:tcPr>
          <w:p w14:paraId="3DE0163C" w14:textId="38EF29E4" w:rsidR="00994FE8" w:rsidRDefault="00994FE8" w:rsidP="00994FE8">
            <w:pPr>
              <w:jc w:val="right"/>
            </w:pPr>
            <w:r>
              <w:t xml:space="preserve">                     -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AA71FB0" w14:textId="4A26D79C" w:rsidR="00994FE8" w:rsidRDefault="00994FE8" w:rsidP="00994FE8">
            <w:pPr>
              <w:jc w:val="right"/>
            </w:pPr>
            <w:r>
              <w:t xml:space="preserve">                   120 </w:t>
            </w:r>
          </w:p>
        </w:tc>
      </w:tr>
      <w:tr w:rsidR="00994FE8" w14:paraId="34683B00" w14:textId="77777777" w:rsidTr="00B15D5B">
        <w:tc>
          <w:tcPr>
            <w:tcW w:w="2254" w:type="dxa"/>
            <w:tcBorders>
              <w:top w:val="single" w:sz="4" w:space="0" w:color="9FBCD0"/>
              <w:left w:val="single" w:sz="4" w:space="0" w:color="9FBCD0"/>
              <w:bottom w:val="single" w:sz="4" w:space="0" w:color="auto"/>
              <w:right w:val="single" w:sz="4" w:space="0" w:color="9FBCD0"/>
            </w:tcBorders>
            <w:vAlign w:val="center"/>
          </w:tcPr>
          <w:p w14:paraId="282090D1" w14:textId="4F2A55F6" w:rsidR="00994FE8" w:rsidRDefault="00994FE8" w:rsidP="00994FE8">
            <w:r>
              <w:t>Decrease in claims liability</w:t>
            </w:r>
          </w:p>
        </w:tc>
        <w:tc>
          <w:tcPr>
            <w:tcW w:w="1127" w:type="dxa"/>
            <w:tcBorders>
              <w:top w:val="single" w:sz="4" w:space="0" w:color="9FBCD0"/>
              <w:left w:val="single" w:sz="4" w:space="0" w:color="9FBCD0"/>
              <w:bottom w:val="single" w:sz="4" w:space="0" w:color="auto"/>
              <w:right w:val="single" w:sz="4" w:space="0" w:color="9FBCD0"/>
            </w:tcBorders>
            <w:vAlign w:val="center"/>
          </w:tcPr>
          <w:p w14:paraId="4EA28C0B" w14:textId="2630937D" w:rsidR="00994FE8" w:rsidRDefault="00994FE8" w:rsidP="00994FE8">
            <w:pPr>
              <w:jc w:val="right"/>
            </w:pPr>
            <w:r>
              <w:t xml:space="preserve">               -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04605FE5" w14:textId="3096E313" w:rsidR="00994FE8" w:rsidRDefault="00994FE8" w:rsidP="00994FE8">
            <w:pPr>
              <w:jc w:val="right"/>
            </w:pPr>
            <w:r>
              <w:t xml:space="preserve">        1,599 </w:t>
            </w:r>
          </w:p>
        </w:tc>
        <w:tc>
          <w:tcPr>
            <w:tcW w:w="1127" w:type="dxa"/>
            <w:tcBorders>
              <w:top w:val="single" w:sz="4" w:space="0" w:color="9FBCD0"/>
              <w:left w:val="single" w:sz="4" w:space="0" w:color="9FBCD0"/>
              <w:bottom w:val="single" w:sz="4" w:space="0" w:color="auto"/>
              <w:right w:val="single" w:sz="4" w:space="0" w:color="9FBCD0"/>
            </w:tcBorders>
            <w:vAlign w:val="center"/>
          </w:tcPr>
          <w:p w14:paraId="477B0A49" w14:textId="27922061" w:rsidR="00994FE8" w:rsidRDefault="00994FE8" w:rsidP="00994FE8">
            <w:pPr>
              <w:jc w:val="right"/>
            </w:pPr>
            <w:r>
              <w:t xml:space="preserve">               -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56466AB6" w14:textId="2BF0DFDD" w:rsidR="00994FE8" w:rsidRDefault="00994FE8" w:rsidP="00994FE8">
            <w:pPr>
              <w:jc w:val="right"/>
            </w:pPr>
            <w:r>
              <w:t xml:space="preserve">        1,932 </w:t>
            </w:r>
          </w:p>
        </w:tc>
        <w:tc>
          <w:tcPr>
            <w:tcW w:w="1127" w:type="dxa"/>
            <w:tcBorders>
              <w:top w:val="single" w:sz="4" w:space="0" w:color="9FBCD0"/>
              <w:left w:val="single" w:sz="4" w:space="0" w:color="9FBCD0"/>
              <w:bottom w:val="single" w:sz="4" w:space="0" w:color="auto"/>
              <w:right w:val="single" w:sz="4" w:space="0" w:color="9FBCD0"/>
            </w:tcBorders>
            <w:vAlign w:val="center"/>
          </w:tcPr>
          <w:p w14:paraId="667899F0" w14:textId="52C8E4B8" w:rsidR="00994FE8" w:rsidRDefault="00994FE8" w:rsidP="00994FE8">
            <w:pPr>
              <w:jc w:val="right"/>
            </w:pPr>
            <w:r>
              <w:t xml:space="preserve">                     -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6DDF8E6F" w14:textId="7FFB52F6" w:rsidR="00994FE8" w:rsidRDefault="00994FE8" w:rsidP="00994FE8">
            <w:pPr>
              <w:jc w:val="right"/>
            </w:pPr>
            <w:r>
              <w:t xml:space="preserve">               3,531 </w:t>
            </w:r>
          </w:p>
        </w:tc>
      </w:tr>
      <w:tr w:rsidR="00994FE8" w14:paraId="6BF0749D" w14:textId="77777777" w:rsidTr="00B15D5B">
        <w:tc>
          <w:tcPr>
            <w:tcW w:w="2254" w:type="dxa"/>
            <w:tcBorders>
              <w:top w:val="single" w:sz="4" w:space="0" w:color="auto"/>
              <w:left w:val="single" w:sz="4" w:space="0" w:color="9FBCD0"/>
              <w:bottom w:val="single" w:sz="12" w:space="0" w:color="auto"/>
              <w:right w:val="single" w:sz="4" w:space="0" w:color="9FBCD0"/>
            </w:tcBorders>
            <w:vAlign w:val="center"/>
          </w:tcPr>
          <w:p w14:paraId="1DAC4ED6" w14:textId="67AAABB0" w:rsidR="00994FE8" w:rsidRPr="00994FE8" w:rsidRDefault="00994FE8" w:rsidP="00994FE8">
            <w:pPr>
              <w:rPr>
                <w:b/>
              </w:rPr>
            </w:pPr>
            <w:r>
              <w:rPr>
                <w:b/>
              </w:rPr>
              <w:t>Total Income</w:t>
            </w:r>
          </w:p>
        </w:tc>
        <w:tc>
          <w:tcPr>
            <w:tcW w:w="1127" w:type="dxa"/>
            <w:tcBorders>
              <w:top w:val="single" w:sz="4" w:space="0" w:color="auto"/>
              <w:left w:val="single" w:sz="4" w:space="0" w:color="9FBCD0"/>
              <w:bottom w:val="single" w:sz="12" w:space="0" w:color="auto"/>
              <w:right w:val="single" w:sz="4" w:space="0" w:color="9FBCD0"/>
            </w:tcBorders>
            <w:vAlign w:val="bottom"/>
          </w:tcPr>
          <w:p w14:paraId="494B39EE" w14:textId="75376DA9" w:rsidR="00994FE8" w:rsidRPr="00994FE8" w:rsidRDefault="00994FE8" w:rsidP="00994FE8">
            <w:pPr>
              <w:jc w:val="right"/>
              <w:rPr>
                <w:b/>
              </w:rPr>
            </w:pPr>
            <w:r w:rsidRPr="00994FE8">
              <w:rPr>
                <w:b/>
              </w:rPr>
              <w:t xml:space="preserve">      10,523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7659276E" w14:textId="6A76ED58" w:rsidR="00994FE8" w:rsidRPr="00994FE8" w:rsidRDefault="00994FE8" w:rsidP="00994FE8">
            <w:pPr>
              <w:jc w:val="right"/>
              <w:rPr>
                <w:b/>
              </w:rPr>
            </w:pPr>
            <w:r w:rsidRPr="00994FE8">
              <w:rPr>
                <w:b/>
              </w:rPr>
              <w:t xml:space="preserve">      12,128 </w:t>
            </w:r>
          </w:p>
        </w:tc>
        <w:tc>
          <w:tcPr>
            <w:tcW w:w="1127" w:type="dxa"/>
            <w:tcBorders>
              <w:top w:val="single" w:sz="4" w:space="0" w:color="auto"/>
              <w:left w:val="single" w:sz="4" w:space="0" w:color="9FBCD0"/>
              <w:bottom w:val="single" w:sz="12" w:space="0" w:color="auto"/>
              <w:right w:val="single" w:sz="4" w:space="0" w:color="9FBCD0"/>
            </w:tcBorders>
            <w:vAlign w:val="bottom"/>
          </w:tcPr>
          <w:p w14:paraId="6B848888" w14:textId="6F7C3A08" w:rsidR="00994FE8" w:rsidRPr="00994FE8" w:rsidRDefault="00994FE8" w:rsidP="00994FE8">
            <w:pPr>
              <w:jc w:val="right"/>
              <w:rPr>
                <w:b/>
              </w:rPr>
            </w:pPr>
            <w:r w:rsidRPr="00994FE8">
              <w:rPr>
                <w:b/>
              </w:rPr>
              <w:t xml:space="preserve">      12,702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5676B00F" w14:textId="0BCB48C9" w:rsidR="00994FE8" w:rsidRPr="00994FE8" w:rsidRDefault="00994FE8" w:rsidP="00994FE8">
            <w:pPr>
              <w:jc w:val="right"/>
              <w:rPr>
                <w:b/>
              </w:rPr>
            </w:pPr>
            <w:r w:rsidRPr="00994FE8">
              <w:rPr>
                <w:b/>
              </w:rPr>
              <w:t xml:space="preserve">      14,650 </w:t>
            </w:r>
          </w:p>
        </w:tc>
        <w:tc>
          <w:tcPr>
            <w:tcW w:w="1127" w:type="dxa"/>
            <w:tcBorders>
              <w:top w:val="single" w:sz="4" w:space="0" w:color="auto"/>
              <w:left w:val="single" w:sz="4" w:space="0" w:color="9FBCD0"/>
              <w:bottom w:val="single" w:sz="12" w:space="0" w:color="auto"/>
              <w:right w:val="single" w:sz="4" w:space="0" w:color="9FBCD0"/>
            </w:tcBorders>
            <w:vAlign w:val="bottom"/>
          </w:tcPr>
          <w:p w14:paraId="224D0399" w14:textId="10B3EE83" w:rsidR="00994FE8" w:rsidRPr="00994FE8" w:rsidRDefault="00994FE8" w:rsidP="00994FE8">
            <w:pPr>
              <w:jc w:val="right"/>
              <w:rPr>
                <w:b/>
              </w:rPr>
            </w:pPr>
            <w:r w:rsidRPr="00994FE8">
              <w:rPr>
                <w:b/>
              </w:rPr>
              <w:t xml:space="preserve">            23,225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2880B019" w14:textId="61D1C080" w:rsidR="00994FE8" w:rsidRPr="00994FE8" w:rsidRDefault="00994FE8" w:rsidP="00994FE8">
            <w:pPr>
              <w:jc w:val="right"/>
              <w:rPr>
                <w:b/>
              </w:rPr>
            </w:pPr>
            <w:r w:rsidRPr="00994FE8">
              <w:rPr>
                <w:b/>
              </w:rPr>
              <w:t xml:space="preserve">             26,778 </w:t>
            </w:r>
          </w:p>
        </w:tc>
      </w:tr>
      <w:tr w:rsidR="00994FE8" w14:paraId="4E7DFC58" w14:textId="77777777" w:rsidTr="00B15D5B">
        <w:tc>
          <w:tcPr>
            <w:tcW w:w="2254" w:type="dxa"/>
            <w:tcBorders>
              <w:top w:val="single" w:sz="12" w:space="0" w:color="auto"/>
              <w:left w:val="single" w:sz="4" w:space="0" w:color="9FBCD0"/>
              <w:bottom w:val="single" w:sz="4" w:space="0" w:color="9FBCD0"/>
              <w:right w:val="single" w:sz="4" w:space="0" w:color="9FBCD0"/>
            </w:tcBorders>
          </w:tcPr>
          <w:p w14:paraId="02B69A75" w14:textId="46D2CF15" w:rsidR="00994FE8" w:rsidRPr="00994FE8" w:rsidRDefault="00994FE8" w:rsidP="00187E63">
            <w:pPr>
              <w:rPr>
                <w:b/>
              </w:rPr>
            </w:pPr>
            <w:r w:rsidRPr="00994FE8">
              <w:rPr>
                <w:b/>
              </w:rPr>
              <w:t>Expenses</w:t>
            </w:r>
          </w:p>
        </w:tc>
        <w:tc>
          <w:tcPr>
            <w:tcW w:w="1127" w:type="dxa"/>
            <w:tcBorders>
              <w:top w:val="single" w:sz="12" w:space="0" w:color="auto"/>
              <w:left w:val="single" w:sz="4" w:space="0" w:color="9FBCD0"/>
              <w:bottom w:val="single" w:sz="4" w:space="0" w:color="9FBCD0"/>
              <w:right w:val="single" w:sz="4" w:space="0" w:color="9FBCD0"/>
            </w:tcBorders>
          </w:tcPr>
          <w:p w14:paraId="2A60BBEA"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325031E1" w14:textId="1A2F79CF"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tcPr>
          <w:p w14:paraId="0FDE8375"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6665D527"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tcPr>
          <w:p w14:paraId="6BAF151A" w14:textId="77777777" w:rsidR="00994FE8" w:rsidRDefault="00994FE8" w:rsidP="00187E63"/>
        </w:tc>
        <w:tc>
          <w:tcPr>
            <w:tcW w:w="1127" w:type="dxa"/>
            <w:tcBorders>
              <w:top w:val="single" w:sz="12" w:space="0" w:color="auto"/>
              <w:left w:val="single" w:sz="4" w:space="0" w:color="9FBCD0"/>
              <w:bottom w:val="single" w:sz="4" w:space="0" w:color="9FBCD0"/>
              <w:right w:val="single" w:sz="4" w:space="0" w:color="9FBCD0"/>
            </w:tcBorders>
            <w:shd w:val="clear" w:color="auto" w:fill="CEDCE8"/>
          </w:tcPr>
          <w:p w14:paraId="244D8F44" w14:textId="3AACBD14" w:rsidR="00994FE8" w:rsidRDefault="00994FE8" w:rsidP="00187E63"/>
        </w:tc>
      </w:tr>
      <w:tr w:rsidR="00994FE8" w14:paraId="27479430"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5246913D" w14:textId="4114C3AC" w:rsidR="00994FE8" w:rsidRDefault="00994FE8" w:rsidP="00994FE8">
            <w:r>
              <w:t>Employee benefits expense</w:t>
            </w:r>
          </w:p>
        </w:tc>
        <w:tc>
          <w:tcPr>
            <w:tcW w:w="1127" w:type="dxa"/>
            <w:tcBorders>
              <w:top w:val="single" w:sz="4" w:space="0" w:color="9FBCD0"/>
              <w:left w:val="single" w:sz="4" w:space="0" w:color="9FBCD0"/>
              <w:bottom w:val="single" w:sz="4" w:space="0" w:color="9FBCD0"/>
              <w:right w:val="single" w:sz="4" w:space="0" w:color="9FBCD0"/>
            </w:tcBorders>
            <w:vAlign w:val="center"/>
          </w:tcPr>
          <w:p w14:paraId="4F4EB981" w14:textId="54A37992" w:rsidR="00994FE8" w:rsidRDefault="00994FE8" w:rsidP="00994FE8">
            <w:pPr>
              <w:jc w:val="right"/>
            </w:pPr>
            <w:r>
              <w:t xml:space="preserve">        6,730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83E9FC2" w14:textId="1E7BB8F2" w:rsidR="00994FE8" w:rsidRDefault="00994FE8" w:rsidP="00994FE8">
            <w:pPr>
              <w:jc w:val="right"/>
            </w:pPr>
            <w:r>
              <w:t xml:space="preserve">        6,565 </w:t>
            </w:r>
          </w:p>
        </w:tc>
        <w:tc>
          <w:tcPr>
            <w:tcW w:w="1127" w:type="dxa"/>
            <w:tcBorders>
              <w:top w:val="single" w:sz="4" w:space="0" w:color="9FBCD0"/>
              <w:left w:val="single" w:sz="4" w:space="0" w:color="9FBCD0"/>
              <w:bottom w:val="single" w:sz="4" w:space="0" w:color="9FBCD0"/>
              <w:right w:val="single" w:sz="4" w:space="0" w:color="9FBCD0"/>
            </w:tcBorders>
            <w:vAlign w:val="center"/>
          </w:tcPr>
          <w:p w14:paraId="26D48CE1" w14:textId="0B72ECC4" w:rsidR="00994FE8" w:rsidRDefault="00994FE8" w:rsidP="00994FE8">
            <w:pPr>
              <w:jc w:val="right"/>
            </w:pPr>
            <w:r>
              <w:t xml:space="preserve">        8,123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32D517B" w14:textId="52F1CE4E" w:rsidR="00994FE8" w:rsidRDefault="00994FE8" w:rsidP="00994FE8">
            <w:pPr>
              <w:jc w:val="right"/>
            </w:pPr>
            <w:r>
              <w:t xml:space="preserve">        7,929 </w:t>
            </w:r>
          </w:p>
        </w:tc>
        <w:tc>
          <w:tcPr>
            <w:tcW w:w="1127" w:type="dxa"/>
            <w:tcBorders>
              <w:top w:val="single" w:sz="4" w:space="0" w:color="9FBCD0"/>
              <w:left w:val="single" w:sz="4" w:space="0" w:color="9FBCD0"/>
              <w:bottom w:val="single" w:sz="4" w:space="0" w:color="9FBCD0"/>
              <w:right w:val="single" w:sz="4" w:space="0" w:color="9FBCD0"/>
            </w:tcBorders>
            <w:vAlign w:val="center"/>
          </w:tcPr>
          <w:p w14:paraId="3C9BA8EF" w14:textId="21845B88" w:rsidR="00994FE8" w:rsidRDefault="00994FE8" w:rsidP="00994FE8">
            <w:pPr>
              <w:jc w:val="right"/>
            </w:pPr>
            <w:r>
              <w:t xml:space="preserve">            14,853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B05C445" w14:textId="6DB83809" w:rsidR="00994FE8" w:rsidRDefault="00994FE8" w:rsidP="00994FE8">
            <w:pPr>
              <w:jc w:val="right"/>
            </w:pPr>
            <w:r>
              <w:t xml:space="preserve">             14,494 </w:t>
            </w:r>
          </w:p>
        </w:tc>
      </w:tr>
      <w:tr w:rsidR="00994FE8" w14:paraId="299B38E7"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000CB881" w14:textId="4F4AA3FC" w:rsidR="00994FE8" w:rsidRDefault="00994FE8" w:rsidP="00994FE8">
            <w:r>
              <w:t>Supplies and services</w:t>
            </w:r>
          </w:p>
        </w:tc>
        <w:tc>
          <w:tcPr>
            <w:tcW w:w="1127" w:type="dxa"/>
            <w:tcBorders>
              <w:top w:val="single" w:sz="4" w:space="0" w:color="9FBCD0"/>
              <w:left w:val="single" w:sz="4" w:space="0" w:color="9FBCD0"/>
              <w:bottom w:val="single" w:sz="4" w:space="0" w:color="9FBCD0"/>
              <w:right w:val="single" w:sz="4" w:space="0" w:color="9FBCD0"/>
            </w:tcBorders>
            <w:vAlign w:val="center"/>
          </w:tcPr>
          <w:p w14:paraId="77123CFF" w14:textId="7D81D7FB" w:rsidR="00994FE8" w:rsidRDefault="00994FE8" w:rsidP="00994FE8">
            <w:pPr>
              <w:jc w:val="right"/>
            </w:pPr>
            <w:r>
              <w:t xml:space="preserve">        1,237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30ECFC9" w14:textId="7947A56D" w:rsidR="00994FE8" w:rsidRDefault="00994FE8" w:rsidP="00994FE8">
            <w:pPr>
              <w:jc w:val="right"/>
            </w:pPr>
            <w:r>
              <w:t xml:space="preserve">        1,233 </w:t>
            </w:r>
          </w:p>
        </w:tc>
        <w:tc>
          <w:tcPr>
            <w:tcW w:w="1127" w:type="dxa"/>
            <w:tcBorders>
              <w:top w:val="single" w:sz="4" w:space="0" w:color="9FBCD0"/>
              <w:left w:val="single" w:sz="4" w:space="0" w:color="9FBCD0"/>
              <w:bottom w:val="single" w:sz="4" w:space="0" w:color="9FBCD0"/>
              <w:right w:val="single" w:sz="4" w:space="0" w:color="9FBCD0"/>
            </w:tcBorders>
            <w:vAlign w:val="center"/>
          </w:tcPr>
          <w:p w14:paraId="357418CA" w14:textId="4CA24081" w:rsidR="00994FE8" w:rsidRDefault="00994FE8" w:rsidP="00994FE8">
            <w:pPr>
              <w:jc w:val="right"/>
            </w:pPr>
            <w:r>
              <w:t xml:space="preserve">        1,492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1E7DF04" w14:textId="07918316" w:rsidR="00994FE8" w:rsidRDefault="00994FE8" w:rsidP="00994FE8">
            <w:pPr>
              <w:jc w:val="right"/>
            </w:pPr>
            <w:r>
              <w:t xml:space="preserve">        1,489 </w:t>
            </w:r>
          </w:p>
        </w:tc>
        <w:tc>
          <w:tcPr>
            <w:tcW w:w="1127" w:type="dxa"/>
            <w:tcBorders>
              <w:top w:val="single" w:sz="4" w:space="0" w:color="9FBCD0"/>
              <w:left w:val="single" w:sz="4" w:space="0" w:color="9FBCD0"/>
              <w:bottom w:val="single" w:sz="4" w:space="0" w:color="9FBCD0"/>
              <w:right w:val="single" w:sz="4" w:space="0" w:color="9FBCD0"/>
            </w:tcBorders>
            <w:vAlign w:val="center"/>
          </w:tcPr>
          <w:p w14:paraId="776369ED" w14:textId="745E9DE2" w:rsidR="00994FE8" w:rsidRDefault="00994FE8" w:rsidP="00994FE8">
            <w:pPr>
              <w:jc w:val="right"/>
            </w:pPr>
            <w:r>
              <w:t xml:space="preserve">              2,729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19429001" w14:textId="6CDBDE76" w:rsidR="00994FE8" w:rsidRDefault="00994FE8" w:rsidP="00994FE8">
            <w:pPr>
              <w:jc w:val="right"/>
            </w:pPr>
            <w:r>
              <w:t xml:space="preserve">               2,722 </w:t>
            </w:r>
          </w:p>
        </w:tc>
      </w:tr>
      <w:tr w:rsidR="00994FE8" w14:paraId="34281D3E"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42E2B4C8" w14:textId="49F23C58" w:rsidR="00994FE8" w:rsidRDefault="00994FE8" w:rsidP="00994FE8">
            <w:r>
              <w:t>Depreciation and amortisation expense</w:t>
            </w:r>
          </w:p>
        </w:tc>
        <w:tc>
          <w:tcPr>
            <w:tcW w:w="1127" w:type="dxa"/>
            <w:tcBorders>
              <w:top w:val="single" w:sz="4" w:space="0" w:color="9FBCD0"/>
              <w:left w:val="single" w:sz="4" w:space="0" w:color="9FBCD0"/>
              <w:bottom w:val="single" w:sz="4" w:space="0" w:color="9FBCD0"/>
              <w:right w:val="single" w:sz="4" w:space="0" w:color="9FBCD0"/>
            </w:tcBorders>
            <w:vAlign w:val="center"/>
          </w:tcPr>
          <w:p w14:paraId="7F9B1C43" w14:textId="6D01CFF6" w:rsidR="00994FE8" w:rsidRDefault="00994FE8" w:rsidP="00994FE8">
            <w:pPr>
              <w:jc w:val="right"/>
            </w:pPr>
            <w:r>
              <w:t xml:space="preserve">           433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E3E45B6" w14:textId="799401F5" w:rsidR="00994FE8" w:rsidRDefault="00994FE8" w:rsidP="00994FE8">
            <w:pPr>
              <w:jc w:val="right"/>
            </w:pPr>
            <w:r>
              <w:t xml:space="preserve">           440 </w:t>
            </w:r>
          </w:p>
        </w:tc>
        <w:tc>
          <w:tcPr>
            <w:tcW w:w="1127" w:type="dxa"/>
            <w:tcBorders>
              <w:top w:val="single" w:sz="4" w:space="0" w:color="9FBCD0"/>
              <w:left w:val="single" w:sz="4" w:space="0" w:color="9FBCD0"/>
              <w:bottom w:val="single" w:sz="4" w:space="0" w:color="9FBCD0"/>
              <w:right w:val="single" w:sz="4" w:space="0" w:color="9FBCD0"/>
            </w:tcBorders>
            <w:vAlign w:val="center"/>
          </w:tcPr>
          <w:p w14:paraId="335D516A" w14:textId="3E1BFBEE" w:rsidR="00994FE8" w:rsidRDefault="00994FE8" w:rsidP="00994FE8">
            <w:pPr>
              <w:jc w:val="right"/>
            </w:pPr>
            <w:r>
              <w:t xml:space="preserve">           522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1E091FE9" w14:textId="529CB0E7" w:rsidR="00994FE8" w:rsidRDefault="00994FE8" w:rsidP="00994FE8">
            <w:pPr>
              <w:jc w:val="right"/>
            </w:pPr>
            <w:r>
              <w:t xml:space="preserve">           531 </w:t>
            </w:r>
          </w:p>
        </w:tc>
        <w:tc>
          <w:tcPr>
            <w:tcW w:w="1127" w:type="dxa"/>
            <w:tcBorders>
              <w:top w:val="single" w:sz="4" w:space="0" w:color="9FBCD0"/>
              <w:left w:val="single" w:sz="4" w:space="0" w:color="9FBCD0"/>
              <w:bottom w:val="single" w:sz="4" w:space="0" w:color="9FBCD0"/>
              <w:right w:val="single" w:sz="4" w:space="0" w:color="9FBCD0"/>
            </w:tcBorders>
            <w:vAlign w:val="center"/>
          </w:tcPr>
          <w:p w14:paraId="5F19DD4C" w14:textId="603B66C8" w:rsidR="00994FE8" w:rsidRDefault="00994FE8" w:rsidP="00994FE8">
            <w:pPr>
              <w:jc w:val="right"/>
            </w:pPr>
            <w:r>
              <w:t xml:space="preserve">                  955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08801166" w14:textId="61E2F0D4" w:rsidR="00994FE8" w:rsidRDefault="00994FE8" w:rsidP="00994FE8">
            <w:pPr>
              <w:jc w:val="right"/>
            </w:pPr>
            <w:r>
              <w:t xml:space="preserve">                   971 </w:t>
            </w:r>
          </w:p>
        </w:tc>
      </w:tr>
      <w:tr w:rsidR="00994FE8" w14:paraId="096CC36D"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01F6AD4B" w14:textId="5A3DDD9D" w:rsidR="00994FE8" w:rsidRDefault="00994FE8" w:rsidP="00994FE8">
            <w:r>
              <w:t>Accommodation expenses</w:t>
            </w:r>
          </w:p>
        </w:tc>
        <w:tc>
          <w:tcPr>
            <w:tcW w:w="1127" w:type="dxa"/>
            <w:tcBorders>
              <w:top w:val="single" w:sz="4" w:space="0" w:color="9FBCD0"/>
              <w:left w:val="single" w:sz="4" w:space="0" w:color="9FBCD0"/>
              <w:bottom w:val="single" w:sz="4" w:space="0" w:color="9FBCD0"/>
              <w:right w:val="single" w:sz="4" w:space="0" w:color="9FBCD0"/>
            </w:tcBorders>
            <w:vAlign w:val="center"/>
          </w:tcPr>
          <w:p w14:paraId="313F8EB8" w14:textId="126BBFC2" w:rsidR="00994FE8" w:rsidRDefault="00994FE8" w:rsidP="00994FE8">
            <w:pPr>
              <w:jc w:val="right"/>
            </w:pPr>
            <w:r>
              <w:t xml:space="preserve">           311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6F62BA95" w14:textId="4AA82249" w:rsidR="00994FE8" w:rsidRDefault="00994FE8" w:rsidP="00994FE8">
            <w:pPr>
              <w:jc w:val="right"/>
            </w:pPr>
            <w:r>
              <w:t xml:space="preserve">           293 </w:t>
            </w:r>
          </w:p>
        </w:tc>
        <w:tc>
          <w:tcPr>
            <w:tcW w:w="1127" w:type="dxa"/>
            <w:tcBorders>
              <w:top w:val="single" w:sz="4" w:space="0" w:color="9FBCD0"/>
              <w:left w:val="single" w:sz="4" w:space="0" w:color="9FBCD0"/>
              <w:bottom w:val="single" w:sz="4" w:space="0" w:color="9FBCD0"/>
              <w:right w:val="single" w:sz="4" w:space="0" w:color="9FBCD0"/>
            </w:tcBorders>
            <w:vAlign w:val="center"/>
          </w:tcPr>
          <w:p w14:paraId="0E9132F6" w14:textId="2F3815D3" w:rsidR="00994FE8" w:rsidRDefault="00994FE8" w:rsidP="00994FE8">
            <w:pPr>
              <w:jc w:val="right"/>
            </w:pPr>
            <w:r>
              <w:t xml:space="preserve">           375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35CCC86" w14:textId="15AA0830" w:rsidR="00994FE8" w:rsidRDefault="00994FE8" w:rsidP="00994FE8">
            <w:pPr>
              <w:jc w:val="right"/>
            </w:pPr>
            <w:r>
              <w:t xml:space="preserve">           354 </w:t>
            </w:r>
          </w:p>
        </w:tc>
        <w:tc>
          <w:tcPr>
            <w:tcW w:w="1127" w:type="dxa"/>
            <w:tcBorders>
              <w:top w:val="single" w:sz="4" w:space="0" w:color="9FBCD0"/>
              <w:left w:val="single" w:sz="4" w:space="0" w:color="9FBCD0"/>
              <w:bottom w:val="single" w:sz="4" w:space="0" w:color="9FBCD0"/>
              <w:right w:val="single" w:sz="4" w:space="0" w:color="9FBCD0"/>
            </w:tcBorders>
            <w:vAlign w:val="center"/>
          </w:tcPr>
          <w:p w14:paraId="4A1F239F" w14:textId="3708C652" w:rsidR="00994FE8" w:rsidRDefault="00994FE8" w:rsidP="00994FE8">
            <w:pPr>
              <w:jc w:val="right"/>
            </w:pPr>
            <w:r>
              <w:t xml:space="preserve">                  686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3CA0D4A" w14:textId="66AD0A0F" w:rsidR="00994FE8" w:rsidRDefault="00994FE8" w:rsidP="00994FE8">
            <w:pPr>
              <w:jc w:val="right"/>
            </w:pPr>
            <w:r>
              <w:t xml:space="preserve">                   647 </w:t>
            </w:r>
          </w:p>
        </w:tc>
      </w:tr>
      <w:tr w:rsidR="00994FE8" w14:paraId="395D760E"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2C91E386" w14:textId="1767CC3A" w:rsidR="00994FE8" w:rsidRDefault="00994FE8" w:rsidP="00994FE8">
            <w:r>
              <w:t>Grants and subsidies</w:t>
            </w:r>
          </w:p>
        </w:tc>
        <w:tc>
          <w:tcPr>
            <w:tcW w:w="1127" w:type="dxa"/>
            <w:tcBorders>
              <w:top w:val="single" w:sz="4" w:space="0" w:color="9FBCD0"/>
              <w:left w:val="single" w:sz="4" w:space="0" w:color="9FBCD0"/>
              <w:bottom w:val="single" w:sz="4" w:space="0" w:color="9FBCD0"/>
              <w:right w:val="single" w:sz="4" w:space="0" w:color="9FBCD0"/>
            </w:tcBorders>
            <w:vAlign w:val="center"/>
          </w:tcPr>
          <w:p w14:paraId="02E2A4AF" w14:textId="04127A55" w:rsidR="00994FE8" w:rsidRDefault="00994FE8" w:rsidP="00994FE8">
            <w:pPr>
              <w:jc w:val="right"/>
            </w:pPr>
            <w:r>
              <w:t xml:space="preserve">              23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73D2449F" w14:textId="53EBB744" w:rsidR="00994FE8" w:rsidRDefault="00994FE8" w:rsidP="00994FE8">
            <w:pPr>
              <w:jc w:val="right"/>
            </w:pPr>
            <w:r>
              <w:t xml:space="preserve">              23 </w:t>
            </w:r>
          </w:p>
        </w:tc>
        <w:tc>
          <w:tcPr>
            <w:tcW w:w="1127" w:type="dxa"/>
            <w:tcBorders>
              <w:top w:val="single" w:sz="4" w:space="0" w:color="9FBCD0"/>
              <w:left w:val="single" w:sz="4" w:space="0" w:color="9FBCD0"/>
              <w:bottom w:val="single" w:sz="4" w:space="0" w:color="9FBCD0"/>
              <w:right w:val="single" w:sz="4" w:space="0" w:color="9FBCD0"/>
            </w:tcBorders>
            <w:vAlign w:val="center"/>
          </w:tcPr>
          <w:p w14:paraId="3BFBCCE5" w14:textId="14E281E0" w:rsidR="00994FE8" w:rsidRDefault="00994FE8" w:rsidP="00994FE8">
            <w:pPr>
              <w:jc w:val="right"/>
            </w:pPr>
            <w:r>
              <w:t xml:space="preserve">              27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5F036D9" w14:textId="509D1D81" w:rsidR="00994FE8" w:rsidRDefault="00994FE8" w:rsidP="00994FE8">
            <w:pPr>
              <w:jc w:val="right"/>
            </w:pPr>
            <w:r>
              <w:t xml:space="preserve">              27 </w:t>
            </w:r>
          </w:p>
        </w:tc>
        <w:tc>
          <w:tcPr>
            <w:tcW w:w="1127" w:type="dxa"/>
            <w:tcBorders>
              <w:top w:val="single" w:sz="4" w:space="0" w:color="9FBCD0"/>
              <w:left w:val="single" w:sz="4" w:space="0" w:color="9FBCD0"/>
              <w:bottom w:val="single" w:sz="4" w:space="0" w:color="9FBCD0"/>
              <w:right w:val="single" w:sz="4" w:space="0" w:color="9FBCD0"/>
            </w:tcBorders>
            <w:vAlign w:val="center"/>
          </w:tcPr>
          <w:p w14:paraId="2B74EB84" w14:textId="3681C15E" w:rsidR="00994FE8" w:rsidRDefault="00994FE8" w:rsidP="00994FE8">
            <w:pPr>
              <w:jc w:val="right"/>
            </w:pPr>
            <w:r>
              <w:t xml:space="preserve">                    50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774DD5F" w14:textId="2AE41562" w:rsidR="00994FE8" w:rsidRDefault="00994FE8" w:rsidP="00994FE8">
            <w:pPr>
              <w:jc w:val="right"/>
            </w:pPr>
            <w:r>
              <w:t xml:space="preserve">                     50 </w:t>
            </w:r>
          </w:p>
        </w:tc>
      </w:tr>
      <w:tr w:rsidR="00994FE8" w14:paraId="650883F9"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5186CA2E" w14:textId="0B15091A" w:rsidR="00994FE8" w:rsidRDefault="00994FE8" w:rsidP="00994FE8">
            <w:r>
              <w:t>Claims expense</w:t>
            </w:r>
          </w:p>
        </w:tc>
        <w:tc>
          <w:tcPr>
            <w:tcW w:w="1127" w:type="dxa"/>
            <w:tcBorders>
              <w:top w:val="single" w:sz="4" w:space="0" w:color="9FBCD0"/>
              <w:left w:val="single" w:sz="4" w:space="0" w:color="9FBCD0"/>
              <w:bottom w:val="single" w:sz="4" w:space="0" w:color="9FBCD0"/>
              <w:right w:val="single" w:sz="4" w:space="0" w:color="9FBCD0"/>
            </w:tcBorders>
            <w:vAlign w:val="center"/>
          </w:tcPr>
          <w:p w14:paraId="4ABFE462" w14:textId="410ADC46" w:rsidR="00994FE8" w:rsidRDefault="00994FE8" w:rsidP="00994FE8">
            <w:pPr>
              <w:jc w:val="right"/>
            </w:pPr>
            <w:r>
              <w:t xml:space="preserve">        1,389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B073169" w14:textId="58B13B40" w:rsidR="00994FE8" w:rsidRDefault="00994FE8" w:rsidP="00994FE8">
            <w:pPr>
              <w:jc w:val="right"/>
            </w:pPr>
            <w:r>
              <w:t xml:space="preserve">           915 </w:t>
            </w:r>
          </w:p>
        </w:tc>
        <w:tc>
          <w:tcPr>
            <w:tcW w:w="1127" w:type="dxa"/>
            <w:tcBorders>
              <w:top w:val="single" w:sz="4" w:space="0" w:color="9FBCD0"/>
              <w:left w:val="single" w:sz="4" w:space="0" w:color="9FBCD0"/>
              <w:bottom w:val="single" w:sz="4" w:space="0" w:color="9FBCD0"/>
              <w:right w:val="single" w:sz="4" w:space="0" w:color="9FBCD0"/>
            </w:tcBorders>
            <w:vAlign w:val="center"/>
          </w:tcPr>
          <w:p w14:paraId="53034627" w14:textId="223AED94" w:rsidR="00994FE8" w:rsidRDefault="00994FE8" w:rsidP="00994FE8">
            <w:pPr>
              <w:jc w:val="right"/>
            </w:pPr>
            <w:r>
              <w:t xml:space="preserve">        1,676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FA72C4C" w14:textId="49B90CC0" w:rsidR="00994FE8" w:rsidRDefault="00994FE8" w:rsidP="00994FE8">
            <w:pPr>
              <w:jc w:val="right"/>
            </w:pPr>
            <w:r>
              <w:t xml:space="preserve">        1,105 </w:t>
            </w:r>
          </w:p>
        </w:tc>
        <w:tc>
          <w:tcPr>
            <w:tcW w:w="1127" w:type="dxa"/>
            <w:tcBorders>
              <w:top w:val="single" w:sz="4" w:space="0" w:color="9FBCD0"/>
              <w:left w:val="single" w:sz="4" w:space="0" w:color="9FBCD0"/>
              <w:bottom w:val="single" w:sz="4" w:space="0" w:color="9FBCD0"/>
              <w:right w:val="single" w:sz="4" w:space="0" w:color="9FBCD0"/>
            </w:tcBorders>
            <w:vAlign w:val="center"/>
          </w:tcPr>
          <w:p w14:paraId="0B5B2931" w14:textId="5B2AEE40" w:rsidR="00994FE8" w:rsidRDefault="00994FE8" w:rsidP="00994FE8">
            <w:pPr>
              <w:jc w:val="right"/>
            </w:pPr>
            <w:r>
              <w:t xml:space="preserve">              3,065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678B45FA" w14:textId="1902F88D" w:rsidR="00994FE8" w:rsidRDefault="00994FE8" w:rsidP="00994FE8">
            <w:pPr>
              <w:jc w:val="right"/>
            </w:pPr>
            <w:r>
              <w:t xml:space="preserve">               2,020 </w:t>
            </w:r>
          </w:p>
        </w:tc>
      </w:tr>
      <w:tr w:rsidR="00994FE8" w14:paraId="5EA82D9C" w14:textId="77777777" w:rsidTr="00B15D5B">
        <w:tc>
          <w:tcPr>
            <w:tcW w:w="2254" w:type="dxa"/>
            <w:tcBorders>
              <w:top w:val="single" w:sz="4" w:space="0" w:color="9FBCD0"/>
              <w:left w:val="single" w:sz="4" w:space="0" w:color="9FBCD0"/>
              <w:bottom w:val="single" w:sz="4" w:space="0" w:color="9FBCD0"/>
              <w:right w:val="single" w:sz="4" w:space="0" w:color="9FBCD0"/>
            </w:tcBorders>
            <w:vAlign w:val="center"/>
          </w:tcPr>
          <w:p w14:paraId="12BBE6D7" w14:textId="2205F0E6" w:rsidR="00994FE8" w:rsidRDefault="00994FE8" w:rsidP="00994FE8">
            <w:r>
              <w:t>Loss on disposal of non current assets</w:t>
            </w:r>
          </w:p>
        </w:tc>
        <w:tc>
          <w:tcPr>
            <w:tcW w:w="1127" w:type="dxa"/>
            <w:tcBorders>
              <w:top w:val="single" w:sz="4" w:space="0" w:color="9FBCD0"/>
              <w:left w:val="single" w:sz="4" w:space="0" w:color="9FBCD0"/>
              <w:bottom w:val="single" w:sz="4" w:space="0" w:color="9FBCD0"/>
              <w:right w:val="single" w:sz="4" w:space="0" w:color="9FBCD0"/>
            </w:tcBorders>
            <w:vAlign w:val="center"/>
          </w:tcPr>
          <w:p w14:paraId="248D680C" w14:textId="58F75975" w:rsidR="00994FE8" w:rsidRDefault="00994FE8" w:rsidP="00994FE8">
            <w:pPr>
              <w:jc w:val="right"/>
            </w:pPr>
            <w:r>
              <w:t xml:space="preserve">                1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4D93717D" w14:textId="242FB64C" w:rsidR="00994FE8" w:rsidRDefault="00994FE8" w:rsidP="00994FE8">
            <w:pPr>
              <w:jc w:val="right"/>
            </w:pPr>
            <w:r>
              <w:t xml:space="preserve">                2 </w:t>
            </w:r>
          </w:p>
        </w:tc>
        <w:tc>
          <w:tcPr>
            <w:tcW w:w="1127" w:type="dxa"/>
            <w:tcBorders>
              <w:top w:val="single" w:sz="4" w:space="0" w:color="9FBCD0"/>
              <w:left w:val="single" w:sz="4" w:space="0" w:color="9FBCD0"/>
              <w:bottom w:val="single" w:sz="4" w:space="0" w:color="9FBCD0"/>
              <w:right w:val="single" w:sz="4" w:space="0" w:color="9FBCD0"/>
            </w:tcBorders>
            <w:vAlign w:val="center"/>
          </w:tcPr>
          <w:p w14:paraId="5555D40B" w14:textId="55713E73" w:rsidR="00994FE8" w:rsidRDefault="00994FE8" w:rsidP="00994FE8">
            <w:pPr>
              <w:jc w:val="right"/>
            </w:pPr>
            <w:r>
              <w:t xml:space="preserve">                2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58B49E35" w14:textId="7475AE7F" w:rsidR="00994FE8" w:rsidRDefault="00994FE8" w:rsidP="00994FE8">
            <w:pPr>
              <w:jc w:val="right"/>
            </w:pPr>
            <w:r>
              <w:t xml:space="preserve">                3 </w:t>
            </w:r>
          </w:p>
        </w:tc>
        <w:tc>
          <w:tcPr>
            <w:tcW w:w="1127" w:type="dxa"/>
            <w:tcBorders>
              <w:top w:val="single" w:sz="4" w:space="0" w:color="9FBCD0"/>
              <w:left w:val="single" w:sz="4" w:space="0" w:color="9FBCD0"/>
              <w:bottom w:val="single" w:sz="4" w:space="0" w:color="9FBCD0"/>
              <w:right w:val="single" w:sz="4" w:space="0" w:color="9FBCD0"/>
            </w:tcBorders>
            <w:vAlign w:val="center"/>
          </w:tcPr>
          <w:p w14:paraId="24264CE5" w14:textId="61B42D7A" w:rsidR="00994FE8" w:rsidRDefault="00994FE8" w:rsidP="00994FE8">
            <w:pPr>
              <w:jc w:val="right"/>
            </w:pPr>
            <w:r>
              <w:t xml:space="preserve">                      3 </w:t>
            </w:r>
          </w:p>
        </w:tc>
        <w:tc>
          <w:tcPr>
            <w:tcW w:w="1127" w:type="dxa"/>
            <w:tcBorders>
              <w:top w:val="single" w:sz="4" w:space="0" w:color="9FBCD0"/>
              <w:left w:val="single" w:sz="4" w:space="0" w:color="9FBCD0"/>
              <w:bottom w:val="single" w:sz="4" w:space="0" w:color="9FBCD0"/>
              <w:right w:val="single" w:sz="4" w:space="0" w:color="9FBCD0"/>
            </w:tcBorders>
            <w:shd w:val="clear" w:color="auto" w:fill="CEDCE8"/>
            <w:vAlign w:val="center"/>
          </w:tcPr>
          <w:p w14:paraId="38D857AC" w14:textId="58419E86" w:rsidR="00994FE8" w:rsidRDefault="00994FE8" w:rsidP="00994FE8">
            <w:pPr>
              <w:jc w:val="right"/>
            </w:pPr>
            <w:r>
              <w:t xml:space="preserve">                       5 </w:t>
            </w:r>
          </w:p>
        </w:tc>
      </w:tr>
      <w:tr w:rsidR="00994FE8" w14:paraId="0B88D4C0" w14:textId="77777777" w:rsidTr="00B15D5B">
        <w:tc>
          <w:tcPr>
            <w:tcW w:w="2254" w:type="dxa"/>
            <w:tcBorders>
              <w:top w:val="single" w:sz="4" w:space="0" w:color="9FBCD0"/>
              <w:left w:val="single" w:sz="4" w:space="0" w:color="9FBCD0"/>
              <w:bottom w:val="single" w:sz="4" w:space="0" w:color="auto"/>
              <w:right w:val="single" w:sz="4" w:space="0" w:color="9FBCD0"/>
            </w:tcBorders>
            <w:vAlign w:val="center"/>
          </w:tcPr>
          <w:p w14:paraId="74EAA87D" w14:textId="686B6886" w:rsidR="00994FE8" w:rsidRDefault="00994FE8" w:rsidP="00994FE8">
            <w:r>
              <w:t>Other expenses</w:t>
            </w:r>
          </w:p>
        </w:tc>
        <w:tc>
          <w:tcPr>
            <w:tcW w:w="1127" w:type="dxa"/>
            <w:tcBorders>
              <w:top w:val="single" w:sz="4" w:space="0" w:color="9FBCD0"/>
              <w:left w:val="single" w:sz="4" w:space="0" w:color="9FBCD0"/>
              <w:bottom w:val="single" w:sz="4" w:space="0" w:color="auto"/>
              <w:right w:val="single" w:sz="4" w:space="0" w:color="9FBCD0"/>
            </w:tcBorders>
            <w:vAlign w:val="center"/>
          </w:tcPr>
          <w:p w14:paraId="09727905" w14:textId="7B95C174" w:rsidR="00994FE8" w:rsidRDefault="00994FE8" w:rsidP="00994FE8">
            <w:pPr>
              <w:jc w:val="right"/>
            </w:pPr>
            <w:r>
              <w:t xml:space="preserve">           599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694EB60C" w14:textId="3B2B8B1B" w:rsidR="00994FE8" w:rsidRDefault="00994FE8" w:rsidP="00994FE8">
            <w:pPr>
              <w:jc w:val="right"/>
            </w:pPr>
            <w:r>
              <w:t xml:space="preserve">           626 </w:t>
            </w:r>
          </w:p>
        </w:tc>
        <w:tc>
          <w:tcPr>
            <w:tcW w:w="1127" w:type="dxa"/>
            <w:tcBorders>
              <w:top w:val="single" w:sz="4" w:space="0" w:color="9FBCD0"/>
              <w:left w:val="single" w:sz="4" w:space="0" w:color="9FBCD0"/>
              <w:bottom w:val="single" w:sz="4" w:space="0" w:color="auto"/>
              <w:right w:val="single" w:sz="4" w:space="0" w:color="9FBCD0"/>
            </w:tcBorders>
            <w:vAlign w:val="center"/>
          </w:tcPr>
          <w:p w14:paraId="22135880" w14:textId="10847057" w:rsidR="00994FE8" w:rsidRDefault="00994FE8" w:rsidP="00994FE8">
            <w:pPr>
              <w:jc w:val="right"/>
            </w:pPr>
            <w:r>
              <w:t xml:space="preserve">           724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5B36F40D" w14:textId="43D671CD" w:rsidR="00994FE8" w:rsidRDefault="00994FE8" w:rsidP="00994FE8">
            <w:pPr>
              <w:jc w:val="right"/>
            </w:pPr>
            <w:r>
              <w:t xml:space="preserve">           756 </w:t>
            </w:r>
          </w:p>
        </w:tc>
        <w:tc>
          <w:tcPr>
            <w:tcW w:w="1127" w:type="dxa"/>
            <w:tcBorders>
              <w:top w:val="single" w:sz="4" w:space="0" w:color="9FBCD0"/>
              <w:left w:val="single" w:sz="4" w:space="0" w:color="9FBCD0"/>
              <w:bottom w:val="single" w:sz="4" w:space="0" w:color="auto"/>
              <w:right w:val="single" w:sz="4" w:space="0" w:color="9FBCD0"/>
            </w:tcBorders>
            <w:vAlign w:val="center"/>
          </w:tcPr>
          <w:p w14:paraId="663D707C" w14:textId="14D8A828" w:rsidR="00994FE8" w:rsidRDefault="00994FE8" w:rsidP="00994FE8">
            <w:pPr>
              <w:jc w:val="right"/>
            </w:pPr>
            <w:r>
              <w:t xml:space="preserve">              1,323 </w:t>
            </w:r>
          </w:p>
        </w:tc>
        <w:tc>
          <w:tcPr>
            <w:tcW w:w="1127" w:type="dxa"/>
            <w:tcBorders>
              <w:top w:val="single" w:sz="4" w:space="0" w:color="9FBCD0"/>
              <w:left w:val="single" w:sz="4" w:space="0" w:color="9FBCD0"/>
              <w:bottom w:val="single" w:sz="4" w:space="0" w:color="auto"/>
              <w:right w:val="single" w:sz="4" w:space="0" w:color="9FBCD0"/>
            </w:tcBorders>
            <w:shd w:val="clear" w:color="auto" w:fill="CEDCE8"/>
            <w:vAlign w:val="center"/>
          </w:tcPr>
          <w:p w14:paraId="3676EDAD" w14:textId="56B7C279" w:rsidR="00994FE8" w:rsidRDefault="00994FE8" w:rsidP="00994FE8">
            <w:pPr>
              <w:jc w:val="right"/>
            </w:pPr>
            <w:r>
              <w:t xml:space="preserve">               1,382 </w:t>
            </w:r>
          </w:p>
        </w:tc>
      </w:tr>
      <w:tr w:rsidR="005B320B" w14:paraId="7EA62299" w14:textId="77777777" w:rsidTr="00B15D5B">
        <w:tc>
          <w:tcPr>
            <w:tcW w:w="2254" w:type="dxa"/>
            <w:tcBorders>
              <w:top w:val="single" w:sz="4" w:space="0" w:color="auto"/>
              <w:left w:val="single" w:sz="4" w:space="0" w:color="9FBCD0"/>
              <w:bottom w:val="single" w:sz="12" w:space="0" w:color="auto"/>
              <w:right w:val="single" w:sz="4" w:space="0" w:color="9FBCD0"/>
            </w:tcBorders>
            <w:vAlign w:val="center"/>
          </w:tcPr>
          <w:p w14:paraId="1B56877E" w14:textId="36690907" w:rsidR="005B320B" w:rsidRPr="00994FE8" w:rsidRDefault="005B320B" w:rsidP="005B320B">
            <w:pPr>
              <w:rPr>
                <w:b/>
              </w:rPr>
            </w:pPr>
            <w:r>
              <w:rPr>
                <w:b/>
              </w:rPr>
              <w:t>Total Expenses</w:t>
            </w:r>
          </w:p>
        </w:tc>
        <w:tc>
          <w:tcPr>
            <w:tcW w:w="1127" w:type="dxa"/>
            <w:tcBorders>
              <w:top w:val="single" w:sz="4" w:space="0" w:color="auto"/>
              <w:left w:val="single" w:sz="4" w:space="0" w:color="9FBCD0"/>
              <w:bottom w:val="single" w:sz="12" w:space="0" w:color="auto"/>
              <w:right w:val="single" w:sz="4" w:space="0" w:color="9FBCD0"/>
            </w:tcBorders>
            <w:vAlign w:val="bottom"/>
          </w:tcPr>
          <w:p w14:paraId="2BFCFFB8" w14:textId="2FB31E26" w:rsidR="005B320B" w:rsidRPr="005B320B" w:rsidRDefault="005B320B" w:rsidP="005B320B">
            <w:pPr>
              <w:jc w:val="right"/>
              <w:rPr>
                <w:b/>
              </w:rPr>
            </w:pPr>
            <w:r w:rsidRPr="005B320B">
              <w:rPr>
                <w:b/>
              </w:rPr>
              <w:t xml:space="preserve">      10,723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6198BA06" w14:textId="05986835" w:rsidR="005B320B" w:rsidRPr="005B320B" w:rsidRDefault="005B320B" w:rsidP="005B320B">
            <w:pPr>
              <w:jc w:val="right"/>
              <w:rPr>
                <w:b/>
              </w:rPr>
            </w:pPr>
            <w:r w:rsidRPr="005B320B">
              <w:rPr>
                <w:b/>
              </w:rPr>
              <w:t xml:space="preserve">      10,097 </w:t>
            </w:r>
          </w:p>
        </w:tc>
        <w:tc>
          <w:tcPr>
            <w:tcW w:w="1127" w:type="dxa"/>
            <w:tcBorders>
              <w:top w:val="single" w:sz="4" w:space="0" w:color="auto"/>
              <w:left w:val="single" w:sz="4" w:space="0" w:color="9FBCD0"/>
              <w:bottom w:val="single" w:sz="12" w:space="0" w:color="auto"/>
              <w:right w:val="single" w:sz="4" w:space="0" w:color="9FBCD0"/>
            </w:tcBorders>
            <w:vAlign w:val="bottom"/>
          </w:tcPr>
          <w:p w14:paraId="189C6012" w14:textId="42E268E9" w:rsidR="005B320B" w:rsidRPr="005B320B" w:rsidRDefault="005B320B" w:rsidP="005B320B">
            <w:pPr>
              <w:jc w:val="right"/>
              <w:rPr>
                <w:b/>
              </w:rPr>
            </w:pPr>
            <w:r w:rsidRPr="005B320B">
              <w:rPr>
                <w:b/>
              </w:rPr>
              <w:t xml:space="preserve">      12,941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421E5167" w14:textId="02DF7A35" w:rsidR="005B320B" w:rsidRPr="005B320B" w:rsidRDefault="005B320B" w:rsidP="005B320B">
            <w:pPr>
              <w:jc w:val="right"/>
              <w:rPr>
                <w:b/>
              </w:rPr>
            </w:pPr>
            <w:r w:rsidRPr="005B320B">
              <w:rPr>
                <w:b/>
              </w:rPr>
              <w:t xml:space="preserve">      12,194 </w:t>
            </w:r>
          </w:p>
        </w:tc>
        <w:tc>
          <w:tcPr>
            <w:tcW w:w="1127" w:type="dxa"/>
            <w:tcBorders>
              <w:top w:val="single" w:sz="4" w:space="0" w:color="auto"/>
              <w:left w:val="single" w:sz="4" w:space="0" w:color="9FBCD0"/>
              <w:bottom w:val="single" w:sz="12" w:space="0" w:color="auto"/>
              <w:right w:val="single" w:sz="4" w:space="0" w:color="9FBCD0"/>
            </w:tcBorders>
            <w:vAlign w:val="bottom"/>
          </w:tcPr>
          <w:p w14:paraId="2025C578" w14:textId="525FE246" w:rsidR="005B320B" w:rsidRPr="005B320B" w:rsidRDefault="005B320B" w:rsidP="005B320B">
            <w:pPr>
              <w:jc w:val="right"/>
              <w:rPr>
                <w:b/>
              </w:rPr>
            </w:pPr>
            <w:r w:rsidRPr="005B320B">
              <w:rPr>
                <w:b/>
              </w:rPr>
              <w:t xml:space="preserve">            23,664 </w:t>
            </w:r>
          </w:p>
        </w:tc>
        <w:tc>
          <w:tcPr>
            <w:tcW w:w="1127" w:type="dxa"/>
            <w:tcBorders>
              <w:top w:val="single" w:sz="4" w:space="0" w:color="auto"/>
              <w:left w:val="single" w:sz="4" w:space="0" w:color="9FBCD0"/>
              <w:bottom w:val="single" w:sz="12" w:space="0" w:color="auto"/>
              <w:right w:val="single" w:sz="4" w:space="0" w:color="9FBCD0"/>
            </w:tcBorders>
            <w:shd w:val="clear" w:color="auto" w:fill="CEDCE8"/>
            <w:vAlign w:val="bottom"/>
          </w:tcPr>
          <w:p w14:paraId="2357E984" w14:textId="437878EA" w:rsidR="005B320B" w:rsidRPr="005B320B" w:rsidRDefault="005B320B" w:rsidP="005B320B">
            <w:pPr>
              <w:jc w:val="right"/>
              <w:rPr>
                <w:b/>
              </w:rPr>
            </w:pPr>
            <w:r w:rsidRPr="005B320B">
              <w:rPr>
                <w:b/>
              </w:rPr>
              <w:t xml:space="preserve">             22,291 </w:t>
            </w:r>
          </w:p>
        </w:tc>
      </w:tr>
      <w:tr w:rsidR="005B320B" w14:paraId="4C9EA754" w14:textId="77777777" w:rsidTr="00B15D5B">
        <w:tc>
          <w:tcPr>
            <w:tcW w:w="2254" w:type="dxa"/>
            <w:tcBorders>
              <w:top w:val="single" w:sz="12" w:space="0" w:color="auto"/>
              <w:left w:val="single" w:sz="4" w:space="0" w:color="9FBCD0"/>
              <w:bottom w:val="single" w:sz="12" w:space="0" w:color="auto"/>
              <w:right w:val="single" w:sz="4" w:space="0" w:color="9FBCD0"/>
            </w:tcBorders>
          </w:tcPr>
          <w:p w14:paraId="468A49E2" w14:textId="682A304D" w:rsidR="005B320B" w:rsidRPr="005B320B" w:rsidRDefault="005B320B" w:rsidP="005B320B">
            <w:pPr>
              <w:rPr>
                <w:b/>
                <w:lang w:eastAsia="en-AU"/>
              </w:rPr>
            </w:pPr>
            <w:r w:rsidRPr="005B320B">
              <w:rPr>
                <w:b/>
              </w:rPr>
              <w:t>Profit/(Loss) before grants and subsidies from State Government</w:t>
            </w:r>
          </w:p>
        </w:tc>
        <w:tc>
          <w:tcPr>
            <w:tcW w:w="1127" w:type="dxa"/>
            <w:tcBorders>
              <w:top w:val="single" w:sz="12" w:space="0" w:color="auto"/>
              <w:left w:val="single" w:sz="4" w:space="0" w:color="9FBCD0"/>
              <w:bottom w:val="single" w:sz="12" w:space="0" w:color="auto"/>
              <w:right w:val="single" w:sz="4" w:space="0" w:color="9FBCD0"/>
            </w:tcBorders>
            <w:vAlign w:val="center"/>
          </w:tcPr>
          <w:p w14:paraId="20B4AC14" w14:textId="56A28E2B" w:rsidR="005B320B" w:rsidRPr="005B320B" w:rsidRDefault="005B320B" w:rsidP="005B320B">
            <w:pPr>
              <w:jc w:val="right"/>
              <w:rPr>
                <w:b/>
              </w:rPr>
            </w:pPr>
            <w:r w:rsidRPr="005B320B">
              <w:rPr>
                <w:b/>
              </w:rPr>
              <w:t>(200)</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center"/>
          </w:tcPr>
          <w:p w14:paraId="42413825" w14:textId="48F3BAF4" w:rsidR="005B320B" w:rsidRPr="005B320B" w:rsidRDefault="005B320B" w:rsidP="005B320B">
            <w:pPr>
              <w:jc w:val="right"/>
              <w:rPr>
                <w:b/>
              </w:rPr>
            </w:pPr>
            <w:r w:rsidRPr="005B320B">
              <w:rPr>
                <w:b/>
              </w:rPr>
              <w:t>2,031</w:t>
            </w:r>
          </w:p>
        </w:tc>
        <w:tc>
          <w:tcPr>
            <w:tcW w:w="1127" w:type="dxa"/>
            <w:tcBorders>
              <w:top w:val="single" w:sz="12" w:space="0" w:color="auto"/>
              <w:left w:val="single" w:sz="4" w:space="0" w:color="9FBCD0"/>
              <w:bottom w:val="single" w:sz="12" w:space="0" w:color="auto"/>
              <w:right w:val="single" w:sz="4" w:space="0" w:color="9FBCD0"/>
            </w:tcBorders>
            <w:vAlign w:val="center"/>
          </w:tcPr>
          <w:p w14:paraId="492A2F27" w14:textId="4957F656" w:rsidR="005B320B" w:rsidRPr="005B320B" w:rsidRDefault="005B320B" w:rsidP="005B320B">
            <w:pPr>
              <w:jc w:val="right"/>
              <w:rPr>
                <w:b/>
              </w:rPr>
            </w:pPr>
            <w:r w:rsidRPr="005B320B">
              <w:rPr>
                <w:b/>
              </w:rPr>
              <w:t>(239)</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center"/>
          </w:tcPr>
          <w:p w14:paraId="725FC946" w14:textId="5587AD6A" w:rsidR="005B320B" w:rsidRPr="005B320B" w:rsidRDefault="005B320B" w:rsidP="005B320B">
            <w:pPr>
              <w:jc w:val="right"/>
              <w:rPr>
                <w:b/>
              </w:rPr>
            </w:pPr>
            <w:r w:rsidRPr="005B320B">
              <w:rPr>
                <w:b/>
              </w:rPr>
              <w:t>2,456</w:t>
            </w:r>
          </w:p>
        </w:tc>
        <w:tc>
          <w:tcPr>
            <w:tcW w:w="1127" w:type="dxa"/>
            <w:tcBorders>
              <w:top w:val="single" w:sz="12" w:space="0" w:color="auto"/>
              <w:left w:val="single" w:sz="4" w:space="0" w:color="9FBCD0"/>
              <w:bottom w:val="single" w:sz="12" w:space="0" w:color="auto"/>
              <w:right w:val="single" w:sz="4" w:space="0" w:color="9FBCD0"/>
            </w:tcBorders>
            <w:vAlign w:val="center"/>
          </w:tcPr>
          <w:p w14:paraId="5FB98806" w14:textId="51149160" w:rsidR="005B320B" w:rsidRPr="005B320B" w:rsidRDefault="005B320B" w:rsidP="005B320B">
            <w:pPr>
              <w:jc w:val="right"/>
              <w:rPr>
                <w:b/>
              </w:rPr>
            </w:pPr>
            <w:r w:rsidRPr="005B320B">
              <w:rPr>
                <w:b/>
              </w:rPr>
              <w:t>(439)</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center"/>
          </w:tcPr>
          <w:p w14:paraId="203FDA19" w14:textId="0713988D" w:rsidR="005B320B" w:rsidRPr="005B320B" w:rsidRDefault="005B320B" w:rsidP="005B320B">
            <w:pPr>
              <w:jc w:val="right"/>
              <w:rPr>
                <w:b/>
              </w:rPr>
            </w:pPr>
            <w:r w:rsidRPr="005B320B">
              <w:rPr>
                <w:b/>
              </w:rPr>
              <w:t>4,487</w:t>
            </w:r>
          </w:p>
        </w:tc>
      </w:tr>
      <w:tr w:rsidR="005B320B" w14:paraId="504CD1A0" w14:textId="77777777" w:rsidTr="00B15D5B">
        <w:tc>
          <w:tcPr>
            <w:tcW w:w="2254" w:type="dxa"/>
            <w:tcBorders>
              <w:top w:val="single" w:sz="12" w:space="0" w:color="auto"/>
              <w:left w:val="single" w:sz="4" w:space="0" w:color="9FBCD0"/>
              <w:bottom w:val="single" w:sz="12" w:space="0" w:color="auto"/>
              <w:right w:val="single" w:sz="4" w:space="0" w:color="9FBCD0"/>
            </w:tcBorders>
          </w:tcPr>
          <w:p w14:paraId="3DD5E8A1" w14:textId="14350C07" w:rsidR="005B320B" w:rsidRPr="005B320B" w:rsidRDefault="005B320B" w:rsidP="005B320B">
            <w:pPr>
              <w:rPr>
                <w:lang w:eastAsia="en-AU"/>
              </w:rPr>
            </w:pPr>
            <w:r>
              <w:t>Services received free of charges</w:t>
            </w:r>
          </w:p>
        </w:tc>
        <w:tc>
          <w:tcPr>
            <w:tcW w:w="1127" w:type="dxa"/>
            <w:tcBorders>
              <w:top w:val="single" w:sz="12" w:space="0" w:color="auto"/>
              <w:left w:val="single" w:sz="4" w:space="0" w:color="9FBCD0"/>
              <w:bottom w:val="single" w:sz="12" w:space="0" w:color="auto"/>
              <w:right w:val="single" w:sz="4" w:space="0" w:color="9FBCD0"/>
            </w:tcBorders>
            <w:vAlign w:val="bottom"/>
          </w:tcPr>
          <w:p w14:paraId="524A2C5F" w14:textId="43C087C7" w:rsidR="005B320B" w:rsidRDefault="005B320B" w:rsidP="005B320B">
            <w:pPr>
              <w:jc w:val="right"/>
            </w:pPr>
            <w:r>
              <w:t xml:space="preserve">              38 </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02952816" w14:textId="4C25C405" w:rsidR="005B320B" w:rsidRDefault="005B320B" w:rsidP="005B320B">
            <w:pPr>
              <w:jc w:val="right"/>
            </w:pPr>
            <w:r>
              <w:t xml:space="preserve">              52 </w:t>
            </w:r>
          </w:p>
        </w:tc>
        <w:tc>
          <w:tcPr>
            <w:tcW w:w="1127" w:type="dxa"/>
            <w:tcBorders>
              <w:top w:val="single" w:sz="12" w:space="0" w:color="auto"/>
              <w:left w:val="single" w:sz="4" w:space="0" w:color="9FBCD0"/>
              <w:bottom w:val="single" w:sz="12" w:space="0" w:color="auto"/>
              <w:right w:val="single" w:sz="4" w:space="0" w:color="9FBCD0"/>
            </w:tcBorders>
            <w:vAlign w:val="bottom"/>
          </w:tcPr>
          <w:p w14:paraId="2F2F72DD" w14:textId="5FDDCEC7" w:rsidR="005B320B" w:rsidRDefault="005B320B" w:rsidP="005B320B">
            <w:pPr>
              <w:jc w:val="right"/>
            </w:pPr>
            <w:r>
              <w:t xml:space="preserve">              46 </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4A565BD5" w14:textId="5B5295C3" w:rsidR="005B320B" w:rsidRDefault="005B320B" w:rsidP="005B320B">
            <w:pPr>
              <w:jc w:val="right"/>
            </w:pPr>
            <w:r>
              <w:t xml:space="preserve">              62 </w:t>
            </w:r>
          </w:p>
        </w:tc>
        <w:tc>
          <w:tcPr>
            <w:tcW w:w="1127" w:type="dxa"/>
            <w:tcBorders>
              <w:top w:val="single" w:sz="12" w:space="0" w:color="auto"/>
              <w:left w:val="single" w:sz="4" w:space="0" w:color="9FBCD0"/>
              <w:bottom w:val="single" w:sz="12" w:space="0" w:color="auto"/>
              <w:right w:val="single" w:sz="4" w:space="0" w:color="9FBCD0"/>
            </w:tcBorders>
            <w:vAlign w:val="bottom"/>
          </w:tcPr>
          <w:p w14:paraId="6E0DD929" w14:textId="0A484225" w:rsidR="005B320B" w:rsidRDefault="005B320B" w:rsidP="005B320B">
            <w:pPr>
              <w:jc w:val="right"/>
            </w:pPr>
            <w:r>
              <w:t xml:space="preserve">                    84 </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2450F17B" w14:textId="111E32ED" w:rsidR="005B320B" w:rsidRDefault="005B320B" w:rsidP="005B320B">
            <w:pPr>
              <w:jc w:val="right"/>
            </w:pPr>
            <w:r>
              <w:t xml:space="preserve">                   114 </w:t>
            </w:r>
          </w:p>
        </w:tc>
      </w:tr>
      <w:tr w:rsidR="005B320B" w14:paraId="5E676019" w14:textId="77777777" w:rsidTr="00B15D5B">
        <w:tc>
          <w:tcPr>
            <w:tcW w:w="2254" w:type="dxa"/>
            <w:tcBorders>
              <w:top w:val="single" w:sz="12" w:space="0" w:color="auto"/>
              <w:left w:val="single" w:sz="4" w:space="0" w:color="9FBCD0"/>
              <w:bottom w:val="single" w:sz="12" w:space="0" w:color="auto"/>
              <w:right w:val="single" w:sz="4" w:space="0" w:color="9FBCD0"/>
            </w:tcBorders>
            <w:vAlign w:val="bottom"/>
          </w:tcPr>
          <w:p w14:paraId="453D7036" w14:textId="73787C1D" w:rsidR="005B320B" w:rsidRPr="005B320B" w:rsidRDefault="005B320B" w:rsidP="005B320B">
            <w:pPr>
              <w:rPr>
                <w:b/>
              </w:rPr>
            </w:pPr>
            <w:r w:rsidRPr="005B320B">
              <w:rPr>
                <w:b/>
              </w:rPr>
              <w:t xml:space="preserve">Profit/(Loss) for the period  </w:t>
            </w:r>
          </w:p>
        </w:tc>
        <w:tc>
          <w:tcPr>
            <w:tcW w:w="1127" w:type="dxa"/>
            <w:tcBorders>
              <w:top w:val="single" w:sz="12" w:space="0" w:color="auto"/>
              <w:left w:val="single" w:sz="4" w:space="0" w:color="9FBCD0"/>
              <w:bottom w:val="single" w:sz="12" w:space="0" w:color="auto"/>
              <w:right w:val="single" w:sz="4" w:space="0" w:color="9FBCD0"/>
            </w:tcBorders>
            <w:vAlign w:val="bottom"/>
          </w:tcPr>
          <w:p w14:paraId="61069E62" w14:textId="703E4A5C" w:rsidR="005B320B" w:rsidRDefault="005B320B" w:rsidP="005B320B">
            <w:pPr>
              <w:jc w:val="right"/>
            </w:pPr>
            <w:r>
              <w:t xml:space="preserve">          (162)</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55F6FC7A" w14:textId="20B7A5EF" w:rsidR="005B320B" w:rsidRDefault="005B320B" w:rsidP="005B320B">
            <w:pPr>
              <w:jc w:val="right"/>
            </w:pPr>
            <w:r>
              <w:t xml:space="preserve">        2,083 </w:t>
            </w:r>
          </w:p>
        </w:tc>
        <w:tc>
          <w:tcPr>
            <w:tcW w:w="1127" w:type="dxa"/>
            <w:tcBorders>
              <w:top w:val="single" w:sz="12" w:space="0" w:color="auto"/>
              <w:left w:val="single" w:sz="4" w:space="0" w:color="9FBCD0"/>
              <w:bottom w:val="single" w:sz="12" w:space="0" w:color="auto"/>
              <w:right w:val="single" w:sz="4" w:space="0" w:color="9FBCD0"/>
            </w:tcBorders>
            <w:vAlign w:val="bottom"/>
          </w:tcPr>
          <w:p w14:paraId="7F40BD37" w14:textId="406574B3" w:rsidR="005B320B" w:rsidRDefault="005B320B" w:rsidP="005B320B">
            <w:pPr>
              <w:jc w:val="right"/>
            </w:pPr>
            <w:r>
              <w:t xml:space="preserve">          (193)</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71A7F292" w14:textId="0F3ADDAF" w:rsidR="005B320B" w:rsidRDefault="005B320B" w:rsidP="005B320B">
            <w:pPr>
              <w:jc w:val="right"/>
            </w:pPr>
            <w:r>
              <w:t xml:space="preserve">        2,518 </w:t>
            </w:r>
          </w:p>
        </w:tc>
        <w:tc>
          <w:tcPr>
            <w:tcW w:w="1127" w:type="dxa"/>
            <w:tcBorders>
              <w:top w:val="single" w:sz="12" w:space="0" w:color="auto"/>
              <w:left w:val="single" w:sz="4" w:space="0" w:color="9FBCD0"/>
              <w:bottom w:val="single" w:sz="12" w:space="0" w:color="auto"/>
              <w:right w:val="single" w:sz="4" w:space="0" w:color="9FBCD0"/>
            </w:tcBorders>
            <w:vAlign w:val="bottom"/>
          </w:tcPr>
          <w:p w14:paraId="5311B42A" w14:textId="60573034" w:rsidR="005B320B" w:rsidRDefault="005B320B" w:rsidP="005B320B">
            <w:pPr>
              <w:jc w:val="right"/>
            </w:pPr>
            <w:r>
              <w:t xml:space="preserve">                (355)</w:t>
            </w:r>
          </w:p>
        </w:tc>
        <w:tc>
          <w:tcPr>
            <w:tcW w:w="1127" w:type="dxa"/>
            <w:tcBorders>
              <w:top w:val="single" w:sz="12" w:space="0" w:color="auto"/>
              <w:left w:val="single" w:sz="4" w:space="0" w:color="9FBCD0"/>
              <w:bottom w:val="single" w:sz="12" w:space="0" w:color="auto"/>
              <w:right w:val="single" w:sz="4" w:space="0" w:color="9FBCD0"/>
            </w:tcBorders>
            <w:shd w:val="clear" w:color="auto" w:fill="CEDCE8"/>
            <w:vAlign w:val="bottom"/>
          </w:tcPr>
          <w:p w14:paraId="6939831A" w14:textId="0BE12C7C" w:rsidR="005B320B" w:rsidRDefault="005B320B" w:rsidP="005B320B">
            <w:pPr>
              <w:jc w:val="right"/>
            </w:pPr>
            <w:r>
              <w:t xml:space="preserve">               4,601 </w:t>
            </w:r>
          </w:p>
        </w:tc>
      </w:tr>
    </w:tbl>
    <w:p w14:paraId="654C38A9" w14:textId="77777777" w:rsidR="00187E63" w:rsidRDefault="00187E63" w:rsidP="00187E63"/>
    <w:p w14:paraId="5874529C" w14:textId="60B05EEE" w:rsidR="005B320B" w:rsidRDefault="005B320B" w:rsidP="00026A6F">
      <w:pPr>
        <w:pStyle w:val="Heading2nonumber"/>
        <w:numPr>
          <w:ilvl w:val="0"/>
          <w:numId w:val="50"/>
        </w:numPr>
      </w:pPr>
      <w:bookmarkStart w:id="762" w:name="_Toc525122159"/>
      <w:r>
        <w:t>Our funding sources</w:t>
      </w:r>
      <w:bookmarkEnd w:id="762"/>
      <w:r>
        <w:t xml:space="preserve"> </w:t>
      </w:r>
    </w:p>
    <w:p w14:paraId="14782857" w14:textId="7C245829" w:rsidR="005B320B" w:rsidRDefault="00B15D5B" w:rsidP="00B15D5B">
      <w:pPr>
        <w:pStyle w:val="Heading3nonumber"/>
      </w:pPr>
      <w:bookmarkStart w:id="763" w:name="_Toc525122160"/>
      <w:r>
        <w:t>How we obtain our funding</w:t>
      </w:r>
      <w:bookmarkEnd w:id="763"/>
      <w:r>
        <w:t xml:space="preserve"> </w:t>
      </w:r>
    </w:p>
    <w:p w14:paraId="08BAAA4F" w14:textId="2B28E478" w:rsidR="00B15D5B" w:rsidRDefault="00B15D5B" w:rsidP="00B15D5B">
      <w:r w:rsidRPr="00B15D5B">
        <w:t>This section provides additional information about how the Authority obtains its funding and the relevant accounting policy notes that govern the recognition and measurement of this funding. The primary income received by the Authority and the relevant not</w:t>
      </w:r>
      <w:r>
        <w:t>es are:</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How funding is obtained"/>
        <w:tblDescription w:val="This table outlines how the Authority obtains its funding, which is through insurer contributions, interest revenue, other revenue and the Employers' Indemnity Supplementation Fund. "/>
      </w:tblPr>
      <w:tblGrid>
        <w:gridCol w:w="5382"/>
        <w:gridCol w:w="1134"/>
        <w:gridCol w:w="1276"/>
        <w:gridCol w:w="1224"/>
      </w:tblGrid>
      <w:tr w:rsidR="00B15D5B" w14:paraId="749DDE76" w14:textId="77777777" w:rsidTr="00F11774">
        <w:trPr>
          <w:tblHeader/>
        </w:trPr>
        <w:tc>
          <w:tcPr>
            <w:tcW w:w="5382" w:type="dxa"/>
          </w:tcPr>
          <w:p w14:paraId="2B7963BD" w14:textId="77777777" w:rsidR="00B15D5B" w:rsidRDefault="00B15D5B" w:rsidP="00B15D5B"/>
        </w:tc>
        <w:tc>
          <w:tcPr>
            <w:tcW w:w="1134" w:type="dxa"/>
            <w:vAlign w:val="center"/>
          </w:tcPr>
          <w:p w14:paraId="6AF41243" w14:textId="402868F0" w:rsidR="00B15D5B" w:rsidRPr="00B15D5B" w:rsidRDefault="00B15D5B" w:rsidP="00B15D5B">
            <w:pPr>
              <w:jc w:val="center"/>
              <w:rPr>
                <w:b/>
              </w:rPr>
            </w:pPr>
            <w:r>
              <w:rPr>
                <w:b/>
              </w:rPr>
              <w:t>Notes</w:t>
            </w:r>
          </w:p>
        </w:tc>
        <w:tc>
          <w:tcPr>
            <w:tcW w:w="1276" w:type="dxa"/>
            <w:vAlign w:val="center"/>
          </w:tcPr>
          <w:p w14:paraId="306D94EB" w14:textId="694EA8D6" w:rsidR="00B15D5B" w:rsidRPr="00B15D5B" w:rsidRDefault="00B15D5B" w:rsidP="00B15D5B">
            <w:pPr>
              <w:jc w:val="right"/>
              <w:rPr>
                <w:b/>
              </w:rPr>
            </w:pPr>
            <w:r>
              <w:rPr>
                <w:b/>
              </w:rPr>
              <w:t>2018</w:t>
            </w:r>
            <w:r>
              <w:rPr>
                <w:b/>
              </w:rPr>
              <w:br/>
              <w:t>$000</w:t>
            </w:r>
          </w:p>
        </w:tc>
        <w:tc>
          <w:tcPr>
            <w:tcW w:w="1224" w:type="dxa"/>
            <w:vAlign w:val="center"/>
          </w:tcPr>
          <w:p w14:paraId="76F6C985" w14:textId="09AFF7EE" w:rsidR="00B15D5B" w:rsidRPr="00B15D5B" w:rsidRDefault="00B15D5B" w:rsidP="00B15D5B">
            <w:pPr>
              <w:jc w:val="right"/>
              <w:rPr>
                <w:b/>
              </w:rPr>
            </w:pPr>
            <w:r>
              <w:rPr>
                <w:b/>
              </w:rPr>
              <w:t>2017</w:t>
            </w:r>
            <w:r>
              <w:rPr>
                <w:b/>
              </w:rPr>
              <w:br/>
              <w:t>$000</w:t>
            </w:r>
          </w:p>
        </w:tc>
      </w:tr>
      <w:tr w:rsidR="00B15D5B" w14:paraId="3420A15E" w14:textId="77777777" w:rsidTr="00B15D5B">
        <w:tc>
          <w:tcPr>
            <w:tcW w:w="5382" w:type="dxa"/>
            <w:vAlign w:val="bottom"/>
          </w:tcPr>
          <w:p w14:paraId="676C4B7A" w14:textId="51D12545" w:rsidR="00B15D5B" w:rsidRDefault="00B15D5B" w:rsidP="00B15D5B">
            <w:r>
              <w:t>Insurer contributions</w:t>
            </w:r>
          </w:p>
        </w:tc>
        <w:tc>
          <w:tcPr>
            <w:tcW w:w="1134" w:type="dxa"/>
            <w:vAlign w:val="bottom"/>
          </w:tcPr>
          <w:p w14:paraId="409875D7" w14:textId="337A6780" w:rsidR="00B15D5B" w:rsidRPr="00B15D5B" w:rsidRDefault="00B15D5B" w:rsidP="00B15D5B">
            <w:pPr>
              <w:jc w:val="center"/>
              <w:rPr>
                <w:b/>
              </w:rPr>
            </w:pPr>
            <w:r w:rsidRPr="00B15D5B">
              <w:rPr>
                <w:b/>
              </w:rPr>
              <w:t>3.1</w:t>
            </w:r>
          </w:p>
        </w:tc>
        <w:tc>
          <w:tcPr>
            <w:tcW w:w="1276" w:type="dxa"/>
            <w:vAlign w:val="bottom"/>
          </w:tcPr>
          <w:p w14:paraId="33ED8FE0" w14:textId="31D9CDEC" w:rsidR="00B15D5B" w:rsidRDefault="00B15D5B" w:rsidP="00B15D5B">
            <w:pPr>
              <w:jc w:val="right"/>
            </w:pPr>
            <w:r>
              <w:t xml:space="preserve">               19,883 </w:t>
            </w:r>
          </w:p>
        </w:tc>
        <w:tc>
          <w:tcPr>
            <w:tcW w:w="1224" w:type="dxa"/>
            <w:vAlign w:val="bottom"/>
          </w:tcPr>
          <w:p w14:paraId="3BB544E4" w14:textId="0BBDA7BC" w:rsidR="00B15D5B" w:rsidRDefault="00B15D5B" w:rsidP="00B15D5B">
            <w:pPr>
              <w:jc w:val="right"/>
            </w:pPr>
            <w:r>
              <w:t xml:space="preserve">                                 19,945 </w:t>
            </w:r>
          </w:p>
        </w:tc>
      </w:tr>
      <w:tr w:rsidR="00B15D5B" w14:paraId="2243376A" w14:textId="77777777" w:rsidTr="00B15D5B">
        <w:tc>
          <w:tcPr>
            <w:tcW w:w="5382" w:type="dxa"/>
            <w:vAlign w:val="bottom"/>
          </w:tcPr>
          <w:p w14:paraId="62DB5203" w14:textId="5F8F9F22" w:rsidR="00B15D5B" w:rsidRDefault="00B15D5B" w:rsidP="00B15D5B">
            <w:r>
              <w:t>Interest revenue</w:t>
            </w:r>
          </w:p>
        </w:tc>
        <w:tc>
          <w:tcPr>
            <w:tcW w:w="1134" w:type="dxa"/>
            <w:vAlign w:val="bottom"/>
          </w:tcPr>
          <w:p w14:paraId="12E62624" w14:textId="79E15C68" w:rsidR="00B15D5B" w:rsidRPr="00B15D5B" w:rsidRDefault="00B15D5B" w:rsidP="00B15D5B">
            <w:pPr>
              <w:jc w:val="center"/>
              <w:rPr>
                <w:b/>
              </w:rPr>
            </w:pPr>
            <w:r w:rsidRPr="00B15D5B">
              <w:rPr>
                <w:b/>
              </w:rPr>
              <w:t>3.2</w:t>
            </w:r>
          </w:p>
        </w:tc>
        <w:tc>
          <w:tcPr>
            <w:tcW w:w="1276" w:type="dxa"/>
            <w:vAlign w:val="bottom"/>
          </w:tcPr>
          <w:p w14:paraId="2251FFE2" w14:textId="05D89857" w:rsidR="00B15D5B" w:rsidRDefault="00B15D5B" w:rsidP="00B15D5B">
            <w:pPr>
              <w:jc w:val="right"/>
            </w:pPr>
            <w:r>
              <w:t xml:space="preserve">                 2,298 </w:t>
            </w:r>
          </w:p>
        </w:tc>
        <w:tc>
          <w:tcPr>
            <w:tcW w:w="1224" w:type="dxa"/>
            <w:vAlign w:val="bottom"/>
          </w:tcPr>
          <w:p w14:paraId="3ED23B8C" w14:textId="6158E831" w:rsidR="00B15D5B" w:rsidRDefault="00B15D5B" w:rsidP="00B15D5B">
            <w:pPr>
              <w:jc w:val="right"/>
            </w:pPr>
            <w:r>
              <w:t xml:space="preserve">                                   2,320 </w:t>
            </w:r>
          </w:p>
        </w:tc>
      </w:tr>
      <w:tr w:rsidR="00B15D5B" w14:paraId="10803911" w14:textId="77777777" w:rsidTr="00B15D5B">
        <w:tc>
          <w:tcPr>
            <w:tcW w:w="5382" w:type="dxa"/>
            <w:vAlign w:val="bottom"/>
          </w:tcPr>
          <w:p w14:paraId="07B190EA" w14:textId="23D8B7BD" w:rsidR="00B15D5B" w:rsidRDefault="00B15D5B" w:rsidP="00B15D5B">
            <w:r>
              <w:t>Other revenue</w:t>
            </w:r>
          </w:p>
        </w:tc>
        <w:tc>
          <w:tcPr>
            <w:tcW w:w="1134" w:type="dxa"/>
            <w:vAlign w:val="bottom"/>
          </w:tcPr>
          <w:p w14:paraId="42110559" w14:textId="55A309DA" w:rsidR="00B15D5B" w:rsidRPr="00B15D5B" w:rsidRDefault="00B15D5B" w:rsidP="00B15D5B">
            <w:pPr>
              <w:jc w:val="center"/>
              <w:rPr>
                <w:b/>
              </w:rPr>
            </w:pPr>
            <w:r w:rsidRPr="00B15D5B">
              <w:rPr>
                <w:b/>
              </w:rPr>
              <w:t>3.3</w:t>
            </w:r>
          </w:p>
        </w:tc>
        <w:tc>
          <w:tcPr>
            <w:tcW w:w="1276" w:type="dxa"/>
            <w:vAlign w:val="bottom"/>
          </w:tcPr>
          <w:p w14:paraId="220704D8" w14:textId="2AD08E8C" w:rsidR="00B15D5B" w:rsidRDefault="00B15D5B" w:rsidP="00B15D5B">
            <w:pPr>
              <w:jc w:val="right"/>
            </w:pPr>
            <w:r>
              <w:t xml:space="preserve">                 1,044 </w:t>
            </w:r>
          </w:p>
        </w:tc>
        <w:tc>
          <w:tcPr>
            <w:tcW w:w="1224" w:type="dxa"/>
            <w:vAlign w:val="bottom"/>
          </w:tcPr>
          <w:p w14:paraId="0251A053" w14:textId="1DF9562C" w:rsidR="00B15D5B" w:rsidRDefault="00B15D5B" w:rsidP="00B15D5B">
            <w:pPr>
              <w:jc w:val="right"/>
            </w:pPr>
            <w:r>
              <w:t xml:space="preserve">                                      862 </w:t>
            </w:r>
          </w:p>
        </w:tc>
      </w:tr>
      <w:tr w:rsidR="00B15D5B" w14:paraId="4264217F" w14:textId="77777777" w:rsidTr="00B15D5B">
        <w:tc>
          <w:tcPr>
            <w:tcW w:w="5382" w:type="dxa"/>
            <w:vAlign w:val="bottom"/>
          </w:tcPr>
          <w:p w14:paraId="2219FB66" w14:textId="4C0DA613" w:rsidR="00B15D5B" w:rsidRDefault="00B15D5B" w:rsidP="00B15D5B">
            <w:r>
              <w:t>Employers' Indemnity Supplementation Fund</w:t>
            </w:r>
          </w:p>
        </w:tc>
        <w:tc>
          <w:tcPr>
            <w:tcW w:w="1134" w:type="dxa"/>
            <w:vAlign w:val="bottom"/>
          </w:tcPr>
          <w:p w14:paraId="59CE47B4" w14:textId="6ABDC4A3" w:rsidR="00B15D5B" w:rsidRPr="00B15D5B" w:rsidRDefault="00B15D5B" w:rsidP="00B15D5B">
            <w:pPr>
              <w:jc w:val="center"/>
              <w:rPr>
                <w:b/>
              </w:rPr>
            </w:pPr>
            <w:r w:rsidRPr="00B15D5B">
              <w:rPr>
                <w:b/>
              </w:rPr>
              <w:t>3.4</w:t>
            </w:r>
          </w:p>
        </w:tc>
        <w:tc>
          <w:tcPr>
            <w:tcW w:w="1276" w:type="dxa"/>
            <w:vAlign w:val="bottom"/>
          </w:tcPr>
          <w:p w14:paraId="59A1A173" w14:textId="016B8A23" w:rsidR="00B15D5B" w:rsidRDefault="00B15D5B" w:rsidP="00B15D5B">
            <w:pPr>
              <w:jc w:val="right"/>
            </w:pPr>
            <w:r>
              <w:t xml:space="preserve">                      -   </w:t>
            </w:r>
          </w:p>
        </w:tc>
        <w:tc>
          <w:tcPr>
            <w:tcW w:w="1224" w:type="dxa"/>
            <w:vAlign w:val="bottom"/>
          </w:tcPr>
          <w:p w14:paraId="28BBA98C" w14:textId="159F2461" w:rsidR="00B15D5B" w:rsidRDefault="00B15D5B" w:rsidP="00B15D5B">
            <w:pPr>
              <w:jc w:val="right"/>
            </w:pPr>
            <w:r>
              <w:t xml:space="preserve">                                      120 </w:t>
            </w:r>
          </w:p>
        </w:tc>
      </w:tr>
    </w:tbl>
    <w:p w14:paraId="59CFBE15" w14:textId="7892341F" w:rsidR="00B15D5B" w:rsidRDefault="000161DB" w:rsidP="00026A6F">
      <w:pPr>
        <w:pStyle w:val="Heading3nonumber"/>
        <w:numPr>
          <w:ilvl w:val="1"/>
          <w:numId w:val="50"/>
        </w:numPr>
      </w:pPr>
      <w:bookmarkStart w:id="764" w:name="_Toc525122161"/>
      <w:r>
        <w:t>Insurer contributions</w:t>
      </w:r>
      <w:bookmarkEnd w:id="764"/>
      <w:r>
        <w:t xml:space="preserve"> </w:t>
      </w:r>
    </w:p>
    <w:p w14:paraId="099A8124" w14:textId="276097B1" w:rsidR="000161DB" w:rsidRDefault="000161DB" w:rsidP="000161DB">
      <w:r>
        <w:t>Revenue is recognised when the amount become due and payable.</w:t>
      </w:r>
      <w:r w:rsidR="004E269B">
        <w:br/>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nsurer contributions"/>
        <w:tblDescription w:val="This table outlines the revenue from insurer contributions for 2017/18. "/>
      </w:tblPr>
      <w:tblGrid>
        <w:gridCol w:w="6374"/>
        <w:gridCol w:w="1418"/>
        <w:gridCol w:w="1224"/>
      </w:tblGrid>
      <w:tr w:rsidR="000161DB" w14:paraId="686D1F4C" w14:textId="77777777" w:rsidTr="00F11774">
        <w:trPr>
          <w:tblHeader/>
        </w:trPr>
        <w:tc>
          <w:tcPr>
            <w:tcW w:w="6374" w:type="dxa"/>
          </w:tcPr>
          <w:p w14:paraId="3438DECD" w14:textId="77777777" w:rsidR="000161DB" w:rsidRDefault="000161DB" w:rsidP="000161DB"/>
        </w:tc>
        <w:tc>
          <w:tcPr>
            <w:tcW w:w="1418" w:type="dxa"/>
            <w:vAlign w:val="center"/>
          </w:tcPr>
          <w:p w14:paraId="04C83F6F" w14:textId="65A7382F" w:rsidR="000161DB" w:rsidRDefault="000161DB" w:rsidP="004E269B">
            <w:pPr>
              <w:jc w:val="right"/>
            </w:pPr>
            <w:r>
              <w:rPr>
                <w:b/>
              </w:rPr>
              <w:t>2018</w:t>
            </w:r>
            <w:r>
              <w:rPr>
                <w:b/>
              </w:rPr>
              <w:br/>
              <w:t>$000</w:t>
            </w:r>
          </w:p>
        </w:tc>
        <w:tc>
          <w:tcPr>
            <w:tcW w:w="1224" w:type="dxa"/>
            <w:vAlign w:val="center"/>
          </w:tcPr>
          <w:p w14:paraId="11363A74" w14:textId="5B2342E8" w:rsidR="000161DB" w:rsidRDefault="000161DB" w:rsidP="004E269B">
            <w:pPr>
              <w:jc w:val="right"/>
            </w:pPr>
            <w:r>
              <w:rPr>
                <w:b/>
              </w:rPr>
              <w:t>2017</w:t>
            </w:r>
            <w:r>
              <w:rPr>
                <w:b/>
              </w:rPr>
              <w:br/>
              <w:t>$000</w:t>
            </w:r>
          </w:p>
        </w:tc>
      </w:tr>
      <w:tr w:rsidR="000161DB" w14:paraId="7F64D6BA" w14:textId="77777777" w:rsidTr="004E269B">
        <w:tc>
          <w:tcPr>
            <w:tcW w:w="6374" w:type="dxa"/>
          </w:tcPr>
          <w:p w14:paraId="3D56986D" w14:textId="32959AAA" w:rsidR="000161DB" w:rsidRDefault="004E269B" w:rsidP="000161DB">
            <w:r>
              <w:t xml:space="preserve">Insurer contributions </w:t>
            </w:r>
          </w:p>
        </w:tc>
        <w:tc>
          <w:tcPr>
            <w:tcW w:w="1418" w:type="dxa"/>
          </w:tcPr>
          <w:p w14:paraId="3E226411" w14:textId="305B3DCE" w:rsidR="000161DB" w:rsidRDefault="004E269B" w:rsidP="004E269B">
            <w:pPr>
              <w:jc w:val="right"/>
            </w:pPr>
            <w:r>
              <w:t>19,883</w:t>
            </w:r>
          </w:p>
        </w:tc>
        <w:tc>
          <w:tcPr>
            <w:tcW w:w="1224" w:type="dxa"/>
          </w:tcPr>
          <w:p w14:paraId="4865AB2E" w14:textId="375EDDB4" w:rsidR="000161DB" w:rsidRDefault="004E269B" w:rsidP="004E269B">
            <w:pPr>
              <w:jc w:val="right"/>
            </w:pPr>
            <w:r>
              <w:t>19,945</w:t>
            </w:r>
          </w:p>
        </w:tc>
      </w:tr>
    </w:tbl>
    <w:p w14:paraId="61D83208" w14:textId="041D3C7E" w:rsidR="004E269B" w:rsidRPr="004E269B" w:rsidRDefault="004E269B" w:rsidP="004E269B">
      <w:pPr>
        <w:rPr>
          <w:lang w:eastAsia="en-AU"/>
        </w:rPr>
      </w:pPr>
      <w:r>
        <w:br/>
      </w:r>
      <w:r w:rsidRPr="004E269B">
        <w:rPr>
          <w:lang w:eastAsia="en-AU"/>
        </w:rPr>
        <w:t xml:space="preserve">The Authority does not receive an appropriation as a Division of the Consolidated Account Expenditure Estimates as it is funded by a levy on insurers and </w:t>
      </w:r>
      <w:r>
        <w:rPr>
          <w:lang w:eastAsia="en-AU"/>
        </w:rPr>
        <w:br/>
      </w:r>
      <w:r w:rsidRPr="004E269B">
        <w:rPr>
          <w:lang w:eastAsia="en-AU"/>
        </w:rPr>
        <w:t xml:space="preserve">self-insurers. In accordance with Section 107 of the </w:t>
      </w:r>
      <w:r w:rsidRPr="004E269B">
        <w:rPr>
          <w:i/>
          <w:iCs/>
          <w:lang w:eastAsia="en-AU"/>
        </w:rPr>
        <w:t>Workers' Compensation and Injury Management Act 1981</w:t>
      </w:r>
      <w:r>
        <w:rPr>
          <w:i/>
          <w:iCs/>
          <w:lang w:eastAsia="en-AU"/>
        </w:rPr>
        <w:t xml:space="preserve"> </w:t>
      </w:r>
      <w:r w:rsidRPr="004E269B">
        <w:rPr>
          <w:b/>
          <w:bCs/>
          <w:lang w:eastAsia="en-AU"/>
        </w:rPr>
        <w:t>(the Act)</w:t>
      </w:r>
      <w:r w:rsidRPr="004E269B">
        <w:rPr>
          <w:lang w:eastAsia="en-AU"/>
        </w:rPr>
        <w:t>, the Authority collects levies and contributions from approved insurers and self-insurers to carry out its functions under the Act.</w:t>
      </w:r>
    </w:p>
    <w:p w14:paraId="6C8D7EBD" w14:textId="01097F46" w:rsidR="004E269B" w:rsidRDefault="004E269B" w:rsidP="00026A6F">
      <w:pPr>
        <w:pStyle w:val="Heading3nonumber"/>
        <w:numPr>
          <w:ilvl w:val="1"/>
          <w:numId w:val="50"/>
        </w:numPr>
      </w:pPr>
      <w:bookmarkStart w:id="765" w:name="_Toc525122162"/>
      <w:r>
        <w:t>Interest revenue</w:t>
      </w:r>
      <w:bookmarkEnd w:id="765"/>
      <w:r>
        <w:t xml:space="preserve"> </w:t>
      </w:r>
    </w:p>
    <w:p w14:paraId="38E811B1" w14:textId="774184F8" w:rsidR="004E269B" w:rsidRDefault="004E269B" w:rsidP="004E269B">
      <w:r>
        <w:t xml:space="preserve">Revenue is recognised as the interest accrues. </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nterest revenue"/>
        <w:tblDescription w:val="This table outlines the interest revenue for the reporting period. "/>
      </w:tblPr>
      <w:tblGrid>
        <w:gridCol w:w="6575"/>
        <w:gridCol w:w="1316"/>
        <w:gridCol w:w="1409"/>
      </w:tblGrid>
      <w:tr w:rsidR="004E269B" w14:paraId="7BEBCAD5" w14:textId="77777777" w:rsidTr="00EA270B">
        <w:trPr>
          <w:trHeight w:val="530"/>
          <w:tblHeader/>
        </w:trPr>
        <w:tc>
          <w:tcPr>
            <w:tcW w:w="6575" w:type="dxa"/>
          </w:tcPr>
          <w:p w14:paraId="59972ED3" w14:textId="5AF6B564" w:rsidR="004E269B" w:rsidRDefault="004E269B" w:rsidP="004E269B"/>
        </w:tc>
        <w:tc>
          <w:tcPr>
            <w:tcW w:w="1316" w:type="dxa"/>
            <w:vAlign w:val="center"/>
          </w:tcPr>
          <w:p w14:paraId="17EC4D84" w14:textId="1FF4FFBC" w:rsidR="004E269B" w:rsidRDefault="004E269B" w:rsidP="004E269B">
            <w:pPr>
              <w:jc w:val="right"/>
            </w:pPr>
            <w:r>
              <w:rPr>
                <w:b/>
              </w:rPr>
              <w:t>2018</w:t>
            </w:r>
            <w:r>
              <w:rPr>
                <w:b/>
              </w:rPr>
              <w:br/>
              <w:t>$000</w:t>
            </w:r>
          </w:p>
        </w:tc>
        <w:tc>
          <w:tcPr>
            <w:tcW w:w="1409" w:type="dxa"/>
            <w:vAlign w:val="center"/>
          </w:tcPr>
          <w:p w14:paraId="5F668AE8" w14:textId="1503991B" w:rsidR="004E269B" w:rsidRDefault="004E269B" w:rsidP="004E269B">
            <w:pPr>
              <w:jc w:val="right"/>
            </w:pPr>
            <w:r>
              <w:rPr>
                <w:b/>
              </w:rPr>
              <w:t>2017</w:t>
            </w:r>
            <w:r>
              <w:rPr>
                <w:b/>
              </w:rPr>
              <w:br/>
              <w:t>$000</w:t>
            </w:r>
          </w:p>
        </w:tc>
      </w:tr>
      <w:tr w:rsidR="004E269B" w14:paraId="439758AA" w14:textId="77777777" w:rsidTr="00EA270B">
        <w:trPr>
          <w:trHeight w:val="530"/>
        </w:trPr>
        <w:tc>
          <w:tcPr>
            <w:tcW w:w="6575" w:type="dxa"/>
            <w:vAlign w:val="bottom"/>
          </w:tcPr>
          <w:p w14:paraId="1FD14471" w14:textId="44026AE1" w:rsidR="004E269B" w:rsidRDefault="004E269B" w:rsidP="004E269B">
            <w:r>
              <w:t>General Account</w:t>
            </w:r>
          </w:p>
        </w:tc>
        <w:tc>
          <w:tcPr>
            <w:tcW w:w="1316" w:type="dxa"/>
            <w:vAlign w:val="bottom"/>
          </w:tcPr>
          <w:p w14:paraId="3A3B6EA7" w14:textId="7CB981F4" w:rsidR="004E269B" w:rsidRDefault="004E269B" w:rsidP="004E269B">
            <w:pPr>
              <w:jc w:val="right"/>
            </w:pPr>
            <w:r>
              <w:t xml:space="preserve">                   598 </w:t>
            </w:r>
          </w:p>
        </w:tc>
        <w:tc>
          <w:tcPr>
            <w:tcW w:w="1409" w:type="dxa"/>
            <w:vAlign w:val="bottom"/>
          </w:tcPr>
          <w:p w14:paraId="1510E113" w14:textId="73BB6A2B" w:rsidR="004E269B" w:rsidRDefault="004E269B" w:rsidP="004E269B">
            <w:pPr>
              <w:jc w:val="right"/>
            </w:pPr>
            <w:r>
              <w:t xml:space="preserve">                                      624 </w:t>
            </w:r>
          </w:p>
        </w:tc>
      </w:tr>
      <w:tr w:rsidR="004E269B" w14:paraId="6A28DD29" w14:textId="77777777" w:rsidTr="00EA270B">
        <w:trPr>
          <w:trHeight w:val="516"/>
        </w:trPr>
        <w:tc>
          <w:tcPr>
            <w:tcW w:w="6575" w:type="dxa"/>
            <w:vAlign w:val="bottom"/>
          </w:tcPr>
          <w:p w14:paraId="20314588" w14:textId="2BCB142E" w:rsidR="004E269B" w:rsidRDefault="004E269B" w:rsidP="004E269B">
            <w:r>
              <w:t>Employers' Indemnity Supplementation Fund (see note 4.3(b)(i))</w:t>
            </w:r>
          </w:p>
        </w:tc>
        <w:tc>
          <w:tcPr>
            <w:tcW w:w="1316" w:type="dxa"/>
            <w:vAlign w:val="bottom"/>
          </w:tcPr>
          <w:p w14:paraId="1D4528BB" w14:textId="77E4EFA0" w:rsidR="004E269B" w:rsidRDefault="004E269B" w:rsidP="004E269B">
            <w:pPr>
              <w:jc w:val="right"/>
            </w:pPr>
            <w:r>
              <w:t xml:space="preserve">                 1,700 </w:t>
            </w:r>
          </w:p>
        </w:tc>
        <w:tc>
          <w:tcPr>
            <w:tcW w:w="1409" w:type="dxa"/>
            <w:vAlign w:val="bottom"/>
          </w:tcPr>
          <w:p w14:paraId="01385BDD" w14:textId="24C9BEA5" w:rsidR="004E269B" w:rsidRDefault="004E269B" w:rsidP="004E269B">
            <w:pPr>
              <w:jc w:val="right"/>
            </w:pPr>
            <w:r>
              <w:t xml:space="preserve">                                   1,696 </w:t>
            </w:r>
          </w:p>
        </w:tc>
      </w:tr>
      <w:tr w:rsidR="00EA270B" w14:paraId="0C772FCF" w14:textId="77777777" w:rsidTr="00EA270B">
        <w:trPr>
          <w:trHeight w:val="516"/>
        </w:trPr>
        <w:tc>
          <w:tcPr>
            <w:tcW w:w="6575" w:type="dxa"/>
          </w:tcPr>
          <w:p w14:paraId="2AC5FC2E" w14:textId="77777777" w:rsidR="00EA270B" w:rsidRDefault="00EA270B" w:rsidP="00EA270B"/>
        </w:tc>
        <w:tc>
          <w:tcPr>
            <w:tcW w:w="1316" w:type="dxa"/>
            <w:tcBorders>
              <w:top w:val="single" w:sz="4" w:space="0" w:color="auto"/>
              <w:bottom w:val="double" w:sz="4" w:space="0" w:color="auto"/>
            </w:tcBorders>
            <w:vAlign w:val="bottom"/>
          </w:tcPr>
          <w:p w14:paraId="086837E6" w14:textId="6B137BC6" w:rsidR="00EA270B" w:rsidRPr="00EA270B" w:rsidRDefault="00EA270B" w:rsidP="00EA270B">
            <w:pPr>
              <w:jc w:val="right"/>
              <w:rPr>
                <w:b/>
              </w:rPr>
            </w:pPr>
            <w:r w:rsidRPr="00EA270B">
              <w:rPr>
                <w:b/>
              </w:rPr>
              <w:t xml:space="preserve">                 2,298 </w:t>
            </w:r>
          </w:p>
        </w:tc>
        <w:tc>
          <w:tcPr>
            <w:tcW w:w="1409" w:type="dxa"/>
            <w:tcBorders>
              <w:top w:val="single" w:sz="4" w:space="0" w:color="auto"/>
              <w:bottom w:val="double" w:sz="4" w:space="0" w:color="auto"/>
            </w:tcBorders>
            <w:vAlign w:val="bottom"/>
          </w:tcPr>
          <w:p w14:paraId="21351519" w14:textId="65803930" w:rsidR="00EA270B" w:rsidRPr="00EA270B" w:rsidRDefault="00EA270B" w:rsidP="00EA270B">
            <w:pPr>
              <w:jc w:val="right"/>
              <w:rPr>
                <w:b/>
              </w:rPr>
            </w:pPr>
            <w:r w:rsidRPr="00EA270B">
              <w:rPr>
                <w:b/>
              </w:rPr>
              <w:t xml:space="preserve">                                   2,320 </w:t>
            </w:r>
          </w:p>
        </w:tc>
      </w:tr>
    </w:tbl>
    <w:p w14:paraId="64644F42" w14:textId="77777777" w:rsidR="004E269B" w:rsidRDefault="004E269B" w:rsidP="004E269B"/>
    <w:p w14:paraId="2F1261C5" w14:textId="30F125C2" w:rsidR="00EA270B" w:rsidRDefault="00EA270B" w:rsidP="00026A6F">
      <w:pPr>
        <w:pStyle w:val="Heading3nonumber"/>
        <w:numPr>
          <w:ilvl w:val="1"/>
          <w:numId w:val="50"/>
        </w:numPr>
      </w:pPr>
      <w:bookmarkStart w:id="766" w:name="_Toc525122163"/>
      <w:r>
        <w:t>Other revenue</w:t>
      </w:r>
      <w:bookmarkEnd w:id="766"/>
      <w:r>
        <w:t xml:space="preserve"> </w:t>
      </w:r>
    </w:p>
    <w:p w14:paraId="47D0D110" w14:textId="31112C0D" w:rsidR="00EA270B" w:rsidRDefault="00EA270B" w:rsidP="00EA270B">
      <w:r w:rsidRPr="00EA270B">
        <w:t>Recoveries from uninsured employers is recognised as revenue on receipt of the recovered monies.</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ther revenue"/>
        <w:tblDescription w:val="This table outlines other revenue. It includes recoveries from uninsured employers and other."/>
      </w:tblPr>
      <w:tblGrid>
        <w:gridCol w:w="6575"/>
        <w:gridCol w:w="1316"/>
        <w:gridCol w:w="1409"/>
      </w:tblGrid>
      <w:tr w:rsidR="00EA270B" w14:paraId="148C89F5" w14:textId="77777777" w:rsidTr="008F2E8B">
        <w:trPr>
          <w:trHeight w:val="530"/>
          <w:tblHeader/>
        </w:trPr>
        <w:tc>
          <w:tcPr>
            <w:tcW w:w="6575" w:type="dxa"/>
          </w:tcPr>
          <w:p w14:paraId="246EB49E" w14:textId="77777777" w:rsidR="00EA270B" w:rsidRDefault="00EA270B" w:rsidP="00C5596F"/>
        </w:tc>
        <w:tc>
          <w:tcPr>
            <w:tcW w:w="1316" w:type="dxa"/>
            <w:vAlign w:val="center"/>
          </w:tcPr>
          <w:p w14:paraId="4613E4F2" w14:textId="77777777" w:rsidR="00EA270B" w:rsidRDefault="00EA270B" w:rsidP="00C5596F">
            <w:pPr>
              <w:jc w:val="right"/>
            </w:pPr>
            <w:r>
              <w:rPr>
                <w:b/>
              </w:rPr>
              <w:t>2018</w:t>
            </w:r>
            <w:r>
              <w:rPr>
                <w:b/>
              </w:rPr>
              <w:br/>
              <w:t>$000</w:t>
            </w:r>
          </w:p>
        </w:tc>
        <w:tc>
          <w:tcPr>
            <w:tcW w:w="1409" w:type="dxa"/>
            <w:vAlign w:val="center"/>
          </w:tcPr>
          <w:p w14:paraId="0442DFB3" w14:textId="77777777" w:rsidR="00EA270B" w:rsidRDefault="00EA270B" w:rsidP="00C5596F">
            <w:pPr>
              <w:jc w:val="right"/>
            </w:pPr>
            <w:r>
              <w:rPr>
                <w:b/>
              </w:rPr>
              <w:t>2017</w:t>
            </w:r>
            <w:r>
              <w:rPr>
                <w:b/>
              </w:rPr>
              <w:br/>
              <w:t>$000</w:t>
            </w:r>
          </w:p>
        </w:tc>
      </w:tr>
      <w:tr w:rsidR="00EA270B" w14:paraId="22CB642D" w14:textId="77777777" w:rsidTr="008F2E8B">
        <w:trPr>
          <w:trHeight w:val="530"/>
        </w:trPr>
        <w:tc>
          <w:tcPr>
            <w:tcW w:w="6575" w:type="dxa"/>
            <w:vAlign w:val="bottom"/>
          </w:tcPr>
          <w:p w14:paraId="6E952AC2" w14:textId="77777777" w:rsidR="00EA270B" w:rsidRPr="00EA270B" w:rsidRDefault="00EA270B" w:rsidP="00EA270B">
            <w:pPr>
              <w:rPr>
                <w:u w:val="single"/>
              </w:rPr>
            </w:pPr>
            <w:r w:rsidRPr="00EA270B">
              <w:rPr>
                <w:u w:val="single"/>
              </w:rPr>
              <w:t>General Account</w:t>
            </w:r>
          </w:p>
        </w:tc>
        <w:tc>
          <w:tcPr>
            <w:tcW w:w="1316" w:type="dxa"/>
            <w:vAlign w:val="bottom"/>
          </w:tcPr>
          <w:p w14:paraId="6B963B80" w14:textId="289D4FC8" w:rsidR="00EA270B" w:rsidRDefault="00EA270B" w:rsidP="00EA270B">
            <w:pPr>
              <w:jc w:val="right"/>
            </w:pPr>
          </w:p>
        </w:tc>
        <w:tc>
          <w:tcPr>
            <w:tcW w:w="1409" w:type="dxa"/>
            <w:vAlign w:val="bottom"/>
          </w:tcPr>
          <w:p w14:paraId="7D759468" w14:textId="10DDD0BB" w:rsidR="00EA270B" w:rsidRDefault="00EA270B" w:rsidP="00EA270B">
            <w:pPr>
              <w:jc w:val="right"/>
            </w:pPr>
          </w:p>
        </w:tc>
      </w:tr>
      <w:tr w:rsidR="00EA270B" w14:paraId="3FD1A3A3" w14:textId="77777777" w:rsidTr="008F2E8B">
        <w:trPr>
          <w:trHeight w:val="516"/>
        </w:trPr>
        <w:tc>
          <w:tcPr>
            <w:tcW w:w="6575" w:type="dxa"/>
            <w:vAlign w:val="bottom"/>
          </w:tcPr>
          <w:p w14:paraId="6FCED8B4" w14:textId="20A4E9BE" w:rsidR="00EA270B" w:rsidRDefault="00EA270B" w:rsidP="00EA270B">
            <w:pPr>
              <w:rPr>
                <w:lang w:eastAsia="en-AU"/>
              </w:rPr>
            </w:pPr>
            <w:r>
              <w:t>Recoveries from uninsured employers</w:t>
            </w:r>
          </w:p>
        </w:tc>
        <w:tc>
          <w:tcPr>
            <w:tcW w:w="1316" w:type="dxa"/>
            <w:vAlign w:val="bottom"/>
          </w:tcPr>
          <w:p w14:paraId="6D5C60BB" w14:textId="2966A8E3" w:rsidR="00EA270B" w:rsidRDefault="00EA270B" w:rsidP="00EA270B">
            <w:pPr>
              <w:jc w:val="right"/>
            </w:pPr>
            <w:r>
              <w:t xml:space="preserve">                     12 </w:t>
            </w:r>
          </w:p>
        </w:tc>
        <w:tc>
          <w:tcPr>
            <w:tcW w:w="1409" w:type="dxa"/>
            <w:vAlign w:val="bottom"/>
          </w:tcPr>
          <w:p w14:paraId="0BF7E324" w14:textId="6269D358" w:rsidR="00EA270B" w:rsidRDefault="00EA270B" w:rsidP="00EA270B">
            <w:pPr>
              <w:jc w:val="right"/>
            </w:pPr>
            <w:r>
              <w:t xml:space="preserve">                                        40 </w:t>
            </w:r>
          </w:p>
        </w:tc>
      </w:tr>
      <w:tr w:rsidR="008F2E8B" w14:paraId="044E1A86" w14:textId="77777777" w:rsidTr="008F2E8B">
        <w:trPr>
          <w:trHeight w:val="516"/>
        </w:trPr>
        <w:tc>
          <w:tcPr>
            <w:tcW w:w="6575" w:type="dxa"/>
          </w:tcPr>
          <w:p w14:paraId="687F6999" w14:textId="05C96E6C" w:rsidR="008F2E8B" w:rsidRDefault="008F2E8B" w:rsidP="008F2E8B">
            <w:pPr>
              <w:rPr>
                <w:lang w:eastAsia="en-AU"/>
              </w:rPr>
            </w:pPr>
            <w:r>
              <w:t>Other</w:t>
            </w:r>
            <w:r>
              <w:rPr>
                <w:vertAlign w:val="superscript"/>
              </w:rPr>
              <w:t>(a)</w:t>
            </w:r>
          </w:p>
        </w:tc>
        <w:tc>
          <w:tcPr>
            <w:tcW w:w="1316" w:type="dxa"/>
            <w:tcBorders>
              <w:bottom w:val="single" w:sz="4" w:space="0" w:color="auto"/>
            </w:tcBorders>
            <w:vAlign w:val="bottom"/>
          </w:tcPr>
          <w:p w14:paraId="7B02F40F" w14:textId="64EC0F5D" w:rsidR="008F2E8B" w:rsidRPr="00EA270B" w:rsidRDefault="008F2E8B" w:rsidP="008F2E8B">
            <w:pPr>
              <w:jc w:val="right"/>
              <w:rPr>
                <w:b/>
              </w:rPr>
            </w:pPr>
            <w:r>
              <w:t xml:space="preserve">                 1,032 </w:t>
            </w:r>
          </w:p>
        </w:tc>
        <w:tc>
          <w:tcPr>
            <w:tcW w:w="1409" w:type="dxa"/>
            <w:tcBorders>
              <w:bottom w:val="single" w:sz="4" w:space="0" w:color="auto"/>
            </w:tcBorders>
            <w:vAlign w:val="bottom"/>
          </w:tcPr>
          <w:p w14:paraId="3B59EFB7" w14:textId="4F1650A1" w:rsidR="008F2E8B" w:rsidRPr="00EA270B" w:rsidRDefault="008F2E8B" w:rsidP="008F2E8B">
            <w:pPr>
              <w:jc w:val="right"/>
              <w:rPr>
                <w:b/>
              </w:rPr>
            </w:pPr>
            <w:r>
              <w:t xml:space="preserve">                                      822 </w:t>
            </w:r>
          </w:p>
        </w:tc>
      </w:tr>
      <w:tr w:rsidR="008F2E8B" w14:paraId="6CD4C0DE" w14:textId="77777777" w:rsidTr="008F2E8B">
        <w:trPr>
          <w:trHeight w:val="516"/>
        </w:trPr>
        <w:tc>
          <w:tcPr>
            <w:tcW w:w="6575" w:type="dxa"/>
          </w:tcPr>
          <w:p w14:paraId="71A0CCD8" w14:textId="77777777" w:rsidR="008F2E8B" w:rsidRDefault="008F2E8B" w:rsidP="008F2E8B"/>
        </w:tc>
        <w:tc>
          <w:tcPr>
            <w:tcW w:w="1316" w:type="dxa"/>
            <w:tcBorders>
              <w:top w:val="single" w:sz="4" w:space="0" w:color="auto"/>
              <w:bottom w:val="double" w:sz="4" w:space="0" w:color="auto"/>
            </w:tcBorders>
            <w:vAlign w:val="bottom"/>
          </w:tcPr>
          <w:p w14:paraId="40DF5D26" w14:textId="715188B4" w:rsidR="008F2E8B" w:rsidRPr="008F2E8B" w:rsidRDefault="008F2E8B" w:rsidP="008F2E8B">
            <w:pPr>
              <w:jc w:val="right"/>
              <w:rPr>
                <w:b/>
              </w:rPr>
            </w:pPr>
            <w:r w:rsidRPr="008F2E8B">
              <w:rPr>
                <w:b/>
              </w:rPr>
              <w:t xml:space="preserve">                 1,044 </w:t>
            </w:r>
          </w:p>
        </w:tc>
        <w:tc>
          <w:tcPr>
            <w:tcW w:w="1409" w:type="dxa"/>
            <w:tcBorders>
              <w:top w:val="single" w:sz="4" w:space="0" w:color="auto"/>
              <w:bottom w:val="double" w:sz="4" w:space="0" w:color="auto"/>
            </w:tcBorders>
            <w:vAlign w:val="bottom"/>
          </w:tcPr>
          <w:p w14:paraId="54055D2F" w14:textId="5FF66689" w:rsidR="008F2E8B" w:rsidRPr="008F2E8B" w:rsidRDefault="008F2E8B" w:rsidP="008F2E8B">
            <w:pPr>
              <w:jc w:val="right"/>
              <w:rPr>
                <w:b/>
              </w:rPr>
            </w:pPr>
            <w:r w:rsidRPr="008F2E8B">
              <w:rPr>
                <w:b/>
              </w:rPr>
              <w:t xml:space="preserve">                                      862 </w:t>
            </w:r>
          </w:p>
        </w:tc>
      </w:tr>
    </w:tbl>
    <w:p w14:paraId="1617DFF5" w14:textId="77777777" w:rsidR="008F2E8B" w:rsidRDefault="008F2E8B" w:rsidP="008F2E8B">
      <w:r>
        <w:br/>
        <w:t>(a) Other is mainly comprised of fines and avoided premiums (recognised when due or payable) as well as infringements and contributions from the Executive Vehicle Scheme (recognised on receipt).</w:t>
      </w:r>
    </w:p>
    <w:p w14:paraId="0D075ABA" w14:textId="061EA811" w:rsidR="008F2E8B" w:rsidRDefault="008F2E8B" w:rsidP="00026A6F">
      <w:pPr>
        <w:pStyle w:val="Heading3nonumber"/>
        <w:numPr>
          <w:ilvl w:val="1"/>
          <w:numId w:val="50"/>
        </w:numPr>
      </w:pPr>
      <w:bookmarkStart w:id="767" w:name="_Toc525122164"/>
      <w:r>
        <w:t>Employers’ Indemnity Supplementation Fund</w:t>
      </w:r>
      <w:bookmarkEnd w:id="767"/>
      <w:r>
        <w:t xml:space="preserve"> </w:t>
      </w:r>
      <w:r>
        <w:tab/>
      </w:r>
      <w:r>
        <w:tab/>
      </w:r>
      <w:r>
        <w:tab/>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mployers' Indemnity Supplementation Fund"/>
        <w:tblDescription w:val="This table outlines revenue from the Employers' Indemnity Supplementation Fund. "/>
      </w:tblPr>
      <w:tblGrid>
        <w:gridCol w:w="6575"/>
        <w:gridCol w:w="1316"/>
        <w:gridCol w:w="1409"/>
      </w:tblGrid>
      <w:tr w:rsidR="008F2E8B" w14:paraId="4A17F051" w14:textId="77777777" w:rsidTr="008F2E8B">
        <w:trPr>
          <w:trHeight w:val="530"/>
          <w:tblHeader/>
        </w:trPr>
        <w:tc>
          <w:tcPr>
            <w:tcW w:w="6575" w:type="dxa"/>
          </w:tcPr>
          <w:p w14:paraId="4EA19A57" w14:textId="77777777" w:rsidR="008F2E8B" w:rsidRDefault="008F2E8B" w:rsidP="00C5596F"/>
        </w:tc>
        <w:tc>
          <w:tcPr>
            <w:tcW w:w="1316" w:type="dxa"/>
            <w:vAlign w:val="center"/>
          </w:tcPr>
          <w:p w14:paraId="28AACDF4" w14:textId="77777777" w:rsidR="008F2E8B" w:rsidRDefault="008F2E8B" w:rsidP="00C5596F">
            <w:pPr>
              <w:jc w:val="right"/>
            </w:pPr>
            <w:r>
              <w:rPr>
                <w:b/>
              </w:rPr>
              <w:t>2018</w:t>
            </w:r>
            <w:r>
              <w:rPr>
                <w:b/>
              </w:rPr>
              <w:br/>
              <w:t>$000</w:t>
            </w:r>
          </w:p>
        </w:tc>
        <w:tc>
          <w:tcPr>
            <w:tcW w:w="1409" w:type="dxa"/>
            <w:vAlign w:val="center"/>
          </w:tcPr>
          <w:p w14:paraId="3BABD505" w14:textId="77777777" w:rsidR="008F2E8B" w:rsidRDefault="008F2E8B" w:rsidP="00C5596F">
            <w:pPr>
              <w:jc w:val="right"/>
            </w:pPr>
            <w:r>
              <w:rPr>
                <w:b/>
              </w:rPr>
              <w:t>2017</w:t>
            </w:r>
            <w:r>
              <w:rPr>
                <w:b/>
              </w:rPr>
              <w:br/>
              <w:t>$000</w:t>
            </w:r>
          </w:p>
        </w:tc>
      </w:tr>
      <w:tr w:rsidR="008F2E8B" w14:paraId="1A0D70EF" w14:textId="77777777" w:rsidTr="008F2E8B">
        <w:trPr>
          <w:trHeight w:val="530"/>
        </w:trPr>
        <w:tc>
          <w:tcPr>
            <w:tcW w:w="6575" w:type="dxa"/>
            <w:vAlign w:val="bottom"/>
          </w:tcPr>
          <w:p w14:paraId="136B228E" w14:textId="632F4B7E" w:rsidR="008F2E8B" w:rsidRPr="008F2E8B" w:rsidRDefault="008F2E8B" w:rsidP="008F2E8B">
            <w:pPr>
              <w:rPr>
                <w:lang w:eastAsia="en-AU"/>
              </w:rPr>
            </w:pPr>
            <w:r>
              <w:t xml:space="preserve">Recovery </w:t>
            </w:r>
            <w:r>
              <w:rPr>
                <w:vertAlign w:val="superscript"/>
              </w:rPr>
              <w:t>(i)</w:t>
            </w:r>
          </w:p>
        </w:tc>
        <w:tc>
          <w:tcPr>
            <w:tcW w:w="1316" w:type="dxa"/>
            <w:tcBorders>
              <w:bottom w:val="single" w:sz="4" w:space="0" w:color="auto"/>
            </w:tcBorders>
            <w:vAlign w:val="bottom"/>
          </w:tcPr>
          <w:p w14:paraId="10194DDF" w14:textId="3EE42D83" w:rsidR="008F2E8B" w:rsidRDefault="008F2E8B" w:rsidP="008F2E8B">
            <w:pPr>
              <w:jc w:val="right"/>
            </w:pPr>
            <w:r>
              <w:t xml:space="preserve">                      -   </w:t>
            </w:r>
          </w:p>
        </w:tc>
        <w:tc>
          <w:tcPr>
            <w:tcW w:w="1409" w:type="dxa"/>
            <w:tcBorders>
              <w:bottom w:val="single" w:sz="4" w:space="0" w:color="auto"/>
            </w:tcBorders>
            <w:vAlign w:val="bottom"/>
          </w:tcPr>
          <w:p w14:paraId="35CD24E7" w14:textId="52B2DCD2" w:rsidR="008F2E8B" w:rsidRDefault="008F2E8B" w:rsidP="008F2E8B">
            <w:pPr>
              <w:jc w:val="right"/>
            </w:pPr>
            <w:r>
              <w:t xml:space="preserve">                                      120 </w:t>
            </w:r>
          </w:p>
        </w:tc>
      </w:tr>
      <w:tr w:rsidR="008F2E8B" w14:paraId="1CF147FC" w14:textId="77777777" w:rsidTr="008F2E8B">
        <w:trPr>
          <w:trHeight w:val="516"/>
        </w:trPr>
        <w:tc>
          <w:tcPr>
            <w:tcW w:w="6575" w:type="dxa"/>
            <w:vAlign w:val="bottom"/>
          </w:tcPr>
          <w:p w14:paraId="10B25173" w14:textId="46EB6480" w:rsidR="008F2E8B" w:rsidRDefault="008F2E8B" w:rsidP="008F2E8B">
            <w:pPr>
              <w:rPr>
                <w:lang w:eastAsia="en-AU"/>
              </w:rPr>
            </w:pPr>
          </w:p>
        </w:tc>
        <w:tc>
          <w:tcPr>
            <w:tcW w:w="1316" w:type="dxa"/>
            <w:tcBorders>
              <w:top w:val="single" w:sz="4" w:space="0" w:color="auto"/>
              <w:bottom w:val="double" w:sz="4" w:space="0" w:color="auto"/>
            </w:tcBorders>
            <w:vAlign w:val="bottom"/>
          </w:tcPr>
          <w:p w14:paraId="23EB6D57" w14:textId="4B44CE9D" w:rsidR="008F2E8B" w:rsidRPr="008F2E8B" w:rsidRDefault="008F2E8B" w:rsidP="008F2E8B">
            <w:pPr>
              <w:jc w:val="right"/>
              <w:rPr>
                <w:b/>
              </w:rPr>
            </w:pPr>
            <w:r w:rsidRPr="008F2E8B">
              <w:rPr>
                <w:b/>
              </w:rPr>
              <w:t xml:space="preserve">                      -   </w:t>
            </w:r>
          </w:p>
        </w:tc>
        <w:tc>
          <w:tcPr>
            <w:tcW w:w="1409" w:type="dxa"/>
            <w:tcBorders>
              <w:top w:val="single" w:sz="4" w:space="0" w:color="auto"/>
              <w:bottom w:val="double" w:sz="4" w:space="0" w:color="auto"/>
            </w:tcBorders>
            <w:vAlign w:val="bottom"/>
          </w:tcPr>
          <w:p w14:paraId="19CE5DCD" w14:textId="7493031D" w:rsidR="008F2E8B" w:rsidRPr="008F2E8B" w:rsidRDefault="008F2E8B" w:rsidP="008F2E8B">
            <w:pPr>
              <w:jc w:val="right"/>
              <w:rPr>
                <w:b/>
              </w:rPr>
            </w:pPr>
            <w:r w:rsidRPr="008F2E8B">
              <w:rPr>
                <w:b/>
              </w:rPr>
              <w:t xml:space="preserve">                                      120 </w:t>
            </w:r>
          </w:p>
        </w:tc>
      </w:tr>
    </w:tbl>
    <w:p w14:paraId="363E1655" w14:textId="15C97320" w:rsidR="008F2E8B" w:rsidRDefault="008F2E8B" w:rsidP="008F2E8B">
      <w:r>
        <w:br/>
      </w:r>
      <w:r w:rsidRPr="008F2E8B">
        <w:t>(i) Dividends received from the liquidation of HIH, CIC and FAI Insurance.</w:t>
      </w:r>
    </w:p>
    <w:p w14:paraId="39DF2B04" w14:textId="22F9C4D0" w:rsidR="00EA270B" w:rsidRDefault="008F2E8B" w:rsidP="00026A6F">
      <w:pPr>
        <w:pStyle w:val="Heading3nonumber"/>
        <w:numPr>
          <w:ilvl w:val="1"/>
          <w:numId w:val="50"/>
        </w:numPr>
      </w:pPr>
      <w:bookmarkStart w:id="768" w:name="_Toc525122165"/>
      <w:r>
        <w:t>Services received free of charge</w:t>
      </w:r>
      <w:bookmarkEnd w:id="768"/>
      <w:r>
        <w:t xml:space="preserve"> </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ervices received free of charge "/>
        <w:tblDescription w:val="This table outlines revenue received through services free of charge. "/>
      </w:tblPr>
      <w:tblGrid>
        <w:gridCol w:w="6575"/>
        <w:gridCol w:w="1316"/>
        <w:gridCol w:w="1409"/>
      </w:tblGrid>
      <w:tr w:rsidR="008F2E8B" w14:paraId="46EE02EF" w14:textId="77777777" w:rsidTr="00C5596F">
        <w:trPr>
          <w:trHeight w:val="530"/>
          <w:tblHeader/>
        </w:trPr>
        <w:tc>
          <w:tcPr>
            <w:tcW w:w="6575" w:type="dxa"/>
          </w:tcPr>
          <w:p w14:paraId="25D1F53C" w14:textId="77777777" w:rsidR="008F2E8B" w:rsidRDefault="008F2E8B" w:rsidP="00C5596F"/>
        </w:tc>
        <w:tc>
          <w:tcPr>
            <w:tcW w:w="1316" w:type="dxa"/>
            <w:vAlign w:val="center"/>
          </w:tcPr>
          <w:p w14:paraId="02B9BB1E" w14:textId="77777777" w:rsidR="008F2E8B" w:rsidRDefault="008F2E8B" w:rsidP="00C5596F">
            <w:pPr>
              <w:jc w:val="right"/>
            </w:pPr>
            <w:r>
              <w:rPr>
                <w:b/>
              </w:rPr>
              <w:t>2018</w:t>
            </w:r>
            <w:r>
              <w:rPr>
                <w:b/>
              </w:rPr>
              <w:br/>
              <w:t>$000</w:t>
            </w:r>
          </w:p>
        </w:tc>
        <w:tc>
          <w:tcPr>
            <w:tcW w:w="1409" w:type="dxa"/>
            <w:vAlign w:val="center"/>
          </w:tcPr>
          <w:p w14:paraId="2A4C29D8" w14:textId="77777777" w:rsidR="008F2E8B" w:rsidRDefault="008F2E8B" w:rsidP="00C5596F">
            <w:pPr>
              <w:jc w:val="right"/>
            </w:pPr>
            <w:r>
              <w:rPr>
                <w:b/>
              </w:rPr>
              <w:t>2017</w:t>
            </w:r>
            <w:r>
              <w:rPr>
                <w:b/>
              </w:rPr>
              <w:br/>
              <w:t>$000</w:t>
            </w:r>
          </w:p>
        </w:tc>
      </w:tr>
      <w:tr w:rsidR="008F2E8B" w14:paraId="6741118E" w14:textId="77777777" w:rsidTr="00C5596F">
        <w:trPr>
          <w:trHeight w:val="530"/>
        </w:trPr>
        <w:tc>
          <w:tcPr>
            <w:tcW w:w="6575" w:type="dxa"/>
            <w:vAlign w:val="bottom"/>
          </w:tcPr>
          <w:p w14:paraId="33F375E6" w14:textId="65879734" w:rsidR="008F2E8B" w:rsidRPr="008F2E8B" w:rsidRDefault="008F2E8B" w:rsidP="008F2E8B">
            <w:pPr>
              <w:rPr>
                <w:lang w:eastAsia="en-AU"/>
              </w:rPr>
            </w:pPr>
            <w:r>
              <w:t>Services received free of charge from the State Solicitor’s Office</w:t>
            </w:r>
          </w:p>
        </w:tc>
        <w:tc>
          <w:tcPr>
            <w:tcW w:w="1316" w:type="dxa"/>
            <w:tcBorders>
              <w:bottom w:val="single" w:sz="4" w:space="0" w:color="auto"/>
            </w:tcBorders>
            <w:vAlign w:val="bottom"/>
          </w:tcPr>
          <w:p w14:paraId="1DFEC1B0" w14:textId="5E01B417" w:rsidR="008F2E8B" w:rsidRDefault="008F2E8B" w:rsidP="008F2E8B">
            <w:pPr>
              <w:jc w:val="right"/>
            </w:pPr>
            <w:r>
              <w:t xml:space="preserve">                     84 </w:t>
            </w:r>
          </w:p>
        </w:tc>
        <w:tc>
          <w:tcPr>
            <w:tcW w:w="1409" w:type="dxa"/>
            <w:tcBorders>
              <w:bottom w:val="single" w:sz="4" w:space="0" w:color="auto"/>
            </w:tcBorders>
            <w:vAlign w:val="bottom"/>
          </w:tcPr>
          <w:p w14:paraId="51593B34" w14:textId="3BDDB92B" w:rsidR="008F2E8B" w:rsidRDefault="008F2E8B" w:rsidP="008F2E8B">
            <w:pPr>
              <w:jc w:val="right"/>
            </w:pPr>
            <w:r>
              <w:t xml:space="preserve">                                      114 </w:t>
            </w:r>
          </w:p>
        </w:tc>
      </w:tr>
      <w:tr w:rsidR="008F2E8B" w:rsidRPr="008F2E8B" w14:paraId="380D41AA" w14:textId="77777777" w:rsidTr="00C5596F">
        <w:trPr>
          <w:trHeight w:val="516"/>
        </w:trPr>
        <w:tc>
          <w:tcPr>
            <w:tcW w:w="6575" w:type="dxa"/>
            <w:vAlign w:val="bottom"/>
          </w:tcPr>
          <w:p w14:paraId="464B625B" w14:textId="77777777" w:rsidR="008F2E8B" w:rsidRDefault="008F2E8B" w:rsidP="008F2E8B">
            <w:pPr>
              <w:rPr>
                <w:lang w:eastAsia="en-AU"/>
              </w:rPr>
            </w:pPr>
          </w:p>
        </w:tc>
        <w:tc>
          <w:tcPr>
            <w:tcW w:w="1316" w:type="dxa"/>
            <w:tcBorders>
              <w:top w:val="single" w:sz="4" w:space="0" w:color="auto"/>
              <w:bottom w:val="double" w:sz="4" w:space="0" w:color="auto"/>
            </w:tcBorders>
            <w:vAlign w:val="bottom"/>
          </w:tcPr>
          <w:p w14:paraId="55091ADE" w14:textId="072D8036" w:rsidR="008F2E8B" w:rsidRPr="008F2E8B" w:rsidRDefault="008F2E8B" w:rsidP="008F2E8B">
            <w:pPr>
              <w:jc w:val="right"/>
              <w:rPr>
                <w:b/>
              </w:rPr>
            </w:pPr>
            <w:r>
              <w:rPr>
                <w:b/>
                <w:bCs/>
              </w:rPr>
              <w:t xml:space="preserve">                     84 </w:t>
            </w:r>
          </w:p>
        </w:tc>
        <w:tc>
          <w:tcPr>
            <w:tcW w:w="1409" w:type="dxa"/>
            <w:tcBorders>
              <w:top w:val="single" w:sz="4" w:space="0" w:color="auto"/>
              <w:bottom w:val="double" w:sz="4" w:space="0" w:color="auto"/>
            </w:tcBorders>
            <w:vAlign w:val="bottom"/>
          </w:tcPr>
          <w:p w14:paraId="5958A05F" w14:textId="41AEECC1" w:rsidR="008F2E8B" w:rsidRPr="008F2E8B" w:rsidRDefault="008F2E8B" w:rsidP="008F2E8B">
            <w:pPr>
              <w:jc w:val="right"/>
              <w:rPr>
                <w:b/>
              </w:rPr>
            </w:pPr>
            <w:r>
              <w:rPr>
                <w:b/>
                <w:bCs/>
              </w:rPr>
              <w:t xml:space="preserve">                                      114 </w:t>
            </w:r>
          </w:p>
        </w:tc>
      </w:tr>
    </w:tbl>
    <w:p w14:paraId="6C523E4E" w14:textId="1E3638AC" w:rsidR="008F2E8B" w:rsidRDefault="008F2E8B" w:rsidP="00026A6F">
      <w:pPr>
        <w:pStyle w:val="Heading2nonumber"/>
        <w:numPr>
          <w:ilvl w:val="0"/>
          <w:numId w:val="50"/>
        </w:numPr>
      </w:pPr>
      <w:bookmarkStart w:id="769" w:name="_Toc525122166"/>
      <w:r>
        <w:t>Use of our funding</w:t>
      </w:r>
      <w:bookmarkEnd w:id="769"/>
      <w:r>
        <w:t xml:space="preserve"> </w:t>
      </w:r>
    </w:p>
    <w:p w14:paraId="57060D39" w14:textId="2D005322" w:rsidR="008F2E8B" w:rsidRDefault="002565C5" w:rsidP="008F2E8B">
      <w:pPr>
        <w:pStyle w:val="Heading3nonumber"/>
      </w:pPr>
      <w:bookmarkStart w:id="770" w:name="_Toc525122167"/>
      <w:r>
        <w:t>Expenses incurred in the delivery of services</w:t>
      </w:r>
      <w:bookmarkEnd w:id="770"/>
      <w:r>
        <w:t xml:space="preserve"> </w:t>
      </w:r>
    </w:p>
    <w:p w14:paraId="064C0249" w14:textId="0F91DC2F" w:rsidR="002565C5" w:rsidRDefault="002565C5" w:rsidP="002565C5">
      <w:r w:rsidRPr="002565C5">
        <w:t>This section provides additional information about how the Authority’s funding is applied and the accounting policies that are relevant for an understanding of the items recognised in the financial statements. The primary expenses incurred by the Authority in achieving its objectives and the relevant notes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xpenses incurred in the delivery of services"/>
        <w:tblDescription w:val="This table outlines the expenses incurred in the delivery of services for 2017/18, including expenses and provisions. "/>
      </w:tblPr>
      <w:tblGrid>
        <w:gridCol w:w="4957"/>
        <w:gridCol w:w="1275"/>
        <w:gridCol w:w="1418"/>
        <w:gridCol w:w="1366"/>
      </w:tblGrid>
      <w:tr w:rsidR="00DF13CE" w14:paraId="30CFD1F0" w14:textId="77777777" w:rsidTr="00F11774">
        <w:trPr>
          <w:tblHeader/>
        </w:trPr>
        <w:tc>
          <w:tcPr>
            <w:tcW w:w="4957" w:type="dxa"/>
          </w:tcPr>
          <w:p w14:paraId="4A00D282" w14:textId="77777777" w:rsidR="00DF13CE" w:rsidRDefault="00DF13CE" w:rsidP="00DF13CE"/>
        </w:tc>
        <w:tc>
          <w:tcPr>
            <w:tcW w:w="1275" w:type="dxa"/>
            <w:vAlign w:val="center"/>
          </w:tcPr>
          <w:p w14:paraId="1C98945A" w14:textId="080A234C" w:rsidR="00DF13CE" w:rsidRPr="00DF13CE" w:rsidRDefault="00DF13CE" w:rsidP="00DF13CE">
            <w:pPr>
              <w:jc w:val="center"/>
              <w:rPr>
                <w:b/>
              </w:rPr>
            </w:pPr>
            <w:r>
              <w:rPr>
                <w:b/>
              </w:rPr>
              <w:t xml:space="preserve">Notes </w:t>
            </w:r>
          </w:p>
        </w:tc>
        <w:tc>
          <w:tcPr>
            <w:tcW w:w="1418" w:type="dxa"/>
            <w:vAlign w:val="center"/>
          </w:tcPr>
          <w:p w14:paraId="24801358" w14:textId="37E848FD" w:rsidR="00DF13CE" w:rsidRDefault="00DF13CE" w:rsidP="00DF13CE">
            <w:pPr>
              <w:jc w:val="right"/>
            </w:pPr>
            <w:r>
              <w:rPr>
                <w:b/>
              </w:rPr>
              <w:t>2018</w:t>
            </w:r>
            <w:r>
              <w:rPr>
                <w:b/>
              </w:rPr>
              <w:br/>
              <w:t>$000</w:t>
            </w:r>
          </w:p>
        </w:tc>
        <w:tc>
          <w:tcPr>
            <w:tcW w:w="1366" w:type="dxa"/>
            <w:vAlign w:val="center"/>
          </w:tcPr>
          <w:p w14:paraId="6072D7DB" w14:textId="6544D6D8" w:rsidR="00DF13CE" w:rsidRDefault="00DF13CE" w:rsidP="00DF13CE">
            <w:pPr>
              <w:jc w:val="right"/>
            </w:pPr>
            <w:r>
              <w:rPr>
                <w:b/>
              </w:rPr>
              <w:t>2017</w:t>
            </w:r>
            <w:r>
              <w:rPr>
                <w:b/>
              </w:rPr>
              <w:br/>
              <w:t>$000</w:t>
            </w:r>
          </w:p>
        </w:tc>
      </w:tr>
      <w:tr w:rsidR="00DF13CE" w14:paraId="7041C906" w14:textId="77777777" w:rsidTr="00AA1D0C">
        <w:tc>
          <w:tcPr>
            <w:tcW w:w="4957" w:type="dxa"/>
          </w:tcPr>
          <w:p w14:paraId="2FB5B4D0" w14:textId="6AEA0E4E" w:rsidR="00DF13CE" w:rsidRPr="00DF13CE" w:rsidRDefault="00DF13CE" w:rsidP="002565C5">
            <w:pPr>
              <w:rPr>
                <w:b/>
                <w:u w:val="single"/>
                <w:lang w:eastAsia="en-AU"/>
              </w:rPr>
            </w:pPr>
            <w:r w:rsidRPr="00DF13CE">
              <w:rPr>
                <w:b/>
                <w:u w:val="single"/>
              </w:rPr>
              <w:t>Expenses</w:t>
            </w:r>
          </w:p>
        </w:tc>
        <w:tc>
          <w:tcPr>
            <w:tcW w:w="1275" w:type="dxa"/>
          </w:tcPr>
          <w:p w14:paraId="68E6541F" w14:textId="77777777" w:rsidR="00DF13CE" w:rsidRDefault="00DF13CE" w:rsidP="002565C5"/>
        </w:tc>
        <w:tc>
          <w:tcPr>
            <w:tcW w:w="1418" w:type="dxa"/>
          </w:tcPr>
          <w:p w14:paraId="67360AD1" w14:textId="77777777" w:rsidR="00DF13CE" w:rsidRDefault="00DF13CE" w:rsidP="002565C5"/>
        </w:tc>
        <w:tc>
          <w:tcPr>
            <w:tcW w:w="1366" w:type="dxa"/>
          </w:tcPr>
          <w:p w14:paraId="1F49E0CD" w14:textId="77777777" w:rsidR="00DF13CE" w:rsidRDefault="00DF13CE" w:rsidP="002565C5"/>
        </w:tc>
      </w:tr>
      <w:tr w:rsidR="00DF13CE" w14:paraId="69EE57E5" w14:textId="77777777" w:rsidTr="00AA1D0C">
        <w:tc>
          <w:tcPr>
            <w:tcW w:w="4957" w:type="dxa"/>
            <w:vAlign w:val="bottom"/>
          </w:tcPr>
          <w:p w14:paraId="26C9DFFF" w14:textId="47715834" w:rsidR="00DF13CE" w:rsidRDefault="00DF13CE" w:rsidP="00DF13CE">
            <w:r>
              <w:t>Employee benefits expenses</w:t>
            </w:r>
          </w:p>
        </w:tc>
        <w:tc>
          <w:tcPr>
            <w:tcW w:w="1275" w:type="dxa"/>
            <w:vAlign w:val="bottom"/>
          </w:tcPr>
          <w:p w14:paraId="29A2F402" w14:textId="5307CE25" w:rsidR="00DF13CE" w:rsidRPr="00DF13CE" w:rsidRDefault="00DF13CE" w:rsidP="00DF13CE">
            <w:pPr>
              <w:jc w:val="center"/>
              <w:rPr>
                <w:b/>
              </w:rPr>
            </w:pPr>
            <w:r w:rsidRPr="00DF13CE">
              <w:rPr>
                <w:b/>
              </w:rPr>
              <w:t>4.1(a)</w:t>
            </w:r>
          </w:p>
        </w:tc>
        <w:tc>
          <w:tcPr>
            <w:tcW w:w="1418" w:type="dxa"/>
            <w:vAlign w:val="bottom"/>
          </w:tcPr>
          <w:p w14:paraId="6B77B74F" w14:textId="0F8FEB97" w:rsidR="00DF13CE" w:rsidRDefault="00DF13CE" w:rsidP="00DF13CE">
            <w:pPr>
              <w:jc w:val="right"/>
            </w:pPr>
            <w:r>
              <w:t xml:space="preserve">               14,853 </w:t>
            </w:r>
          </w:p>
        </w:tc>
        <w:tc>
          <w:tcPr>
            <w:tcW w:w="1366" w:type="dxa"/>
            <w:vAlign w:val="bottom"/>
          </w:tcPr>
          <w:p w14:paraId="6AC02F95" w14:textId="1F4DB2CF" w:rsidR="00DF13CE" w:rsidRDefault="00DF13CE" w:rsidP="00DF13CE">
            <w:pPr>
              <w:jc w:val="right"/>
            </w:pPr>
            <w:r>
              <w:t xml:space="preserve">                                 14,494 </w:t>
            </w:r>
          </w:p>
        </w:tc>
      </w:tr>
      <w:tr w:rsidR="00DF13CE" w14:paraId="7FB69DDB" w14:textId="77777777" w:rsidTr="00AA1D0C">
        <w:tc>
          <w:tcPr>
            <w:tcW w:w="4957" w:type="dxa"/>
            <w:vAlign w:val="bottom"/>
          </w:tcPr>
          <w:p w14:paraId="77AED430" w14:textId="6251AF89" w:rsidR="00DF13CE" w:rsidRDefault="00DF13CE" w:rsidP="00DF13CE">
            <w:r>
              <w:t>Grants and subsidies</w:t>
            </w:r>
          </w:p>
        </w:tc>
        <w:tc>
          <w:tcPr>
            <w:tcW w:w="1275" w:type="dxa"/>
            <w:vAlign w:val="bottom"/>
          </w:tcPr>
          <w:p w14:paraId="090F3A24" w14:textId="6D7C45D8" w:rsidR="00DF13CE" w:rsidRPr="00DF13CE" w:rsidRDefault="00DF13CE" w:rsidP="00DF13CE">
            <w:pPr>
              <w:jc w:val="center"/>
              <w:rPr>
                <w:b/>
              </w:rPr>
            </w:pPr>
            <w:r w:rsidRPr="00DF13CE">
              <w:rPr>
                <w:b/>
              </w:rPr>
              <w:t>4.2</w:t>
            </w:r>
          </w:p>
        </w:tc>
        <w:tc>
          <w:tcPr>
            <w:tcW w:w="1418" w:type="dxa"/>
            <w:vAlign w:val="bottom"/>
          </w:tcPr>
          <w:p w14:paraId="28361E91" w14:textId="02D17676" w:rsidR="00DF13CE" w:rsidRDefault="00DF13CE" w:rsidP="00DF13CE">
            <w:pPr>
              <w:jc w:val="right"/>
            </w:pPr>
            <w:r>
              <w:t xml:space="preserve">                     50 </w:t>
            </w:r>
          </w:p>
        </w:tc>
        <w:tc>
          <w:tcPr>
            <w:tcW w:w="1366" w:type="dxa"/>
            <w:vAlign w:val="bottom"/>
          </w:tcPr>
          <w:p w14:paraId="3F3F6FF3" w14:textId="38BA3661" w:rsidR="00DF13CE" w:rsidRDefault="00DF13CE" w:rsidP="00DF13CE">
            <w:pPr>
              <w:jc w:val="right"/>
            </w:pPr>
            <w:r>
              <w:t xml:space="preserve">                                        50 </w:t>
            </w:r>
          </w:p>
        </w:tc>
      </w:tr>
      <w:tr w:rsidR="00DF13CE" w14:paraId="78B7695B" w14:textId="77777777" w:rsidTr="00AA1D0C">
        <w:tc>
          <w:tcPr>
            <w:tcW w:w="4957" w:type="dxa"/>
            <w:vAlign w:val="bottom"/>
          </w:tcPr>
          <w:p w14:paraId="1BD2DFEF" w14:textId="72C80324" w:rsidR="00DF13CE" w:rsidRDefault="00DF13CE" w:rsidP="00DF13CE">
            <w:r>
              <w:t>Claims expense</w:t>
            </w:r>
          </w:p>
        </w:tc>
        <w:tc>
          <w:tcPr>
            <w:tcW w:w="1275" w:type="dxa"/>
            <w:vAlign w:val="bottom"/>
          </w:tcPr>
          <w:p w14:paraId="03E59398" w14:textId="53905898" w:rsidR="00DF13CE" w:rsidRPr="00DF13CE" w:rsidRDefault="00DF13CE" w:rsidP="00DF13CE">
            <w:pPr>
              <w:jc w:val="center"/>
              <w:rPr>
                <w:b/>
              </w:rPr>
            </w:pPr>
            <w:r w:rsidRPr="00DF13CE">
              <w:rPr>
                <w:b/>
              </w:rPr>
              <w:t>4.3</w:t>
            </w:r>
          </w:p>
        </w:tc>
        <w:tc>
          <w:tcPr>
            <w:tcW w:w="1418" w:type="dxa"/>
            <w:vAlign w:val="bottom"/>
          </w:tcPr>
          <w:p w14:paraId="195BD170" w14:textId="5AC4F2D8" w:rsidR="00DF13CE" w:rsidRDefault="00DF13CE" w:rsidP="00DF13CE">
            <w:pPr>
              <w:jc w:val="right"/>
            </w:pPr>
            <w:r>
              <w:t xml:space="preserve">                 3,065 </w:t>
            </w:r>
          </w:p>
        </w:tc>
        <w:tc>
          <w:tcPr>
            <w:tcW w:w="1366" w:type="dxa"/>
            <w:vAlign w:val="bottom"/>
          </w:tcPr>
          <w:p w14:paraId="727E7766" w14:textId="50A51D83" w:rsidR="00DF13CE" w:rsidRDefault="00DF13CE" w:rsidP="00DF13CE">
            <w:pPr>
              <w:jc w:val="right"/>
            </w:pPr>
            <w:r>
              <w:t xml:space="preserve">                                   2,020 </w:t>
            </w:r>
          </w:p>
        </w:tc>
      </w:tr>
      <w:tr w:rsidR="00DF13CE" w14:paraId="07281AA4" w14:textId="77777777" w:rsidTr="00AA1D0C">
        <w:tc>
          <w:tcPr>
            <w:tcW w:w="4957" w:type="dxa"/>
            <w:vAlign w:val="bottom"/>
          </w:tcPr>
          <w:p w14:paraId="2F51B814" w14:textId="7E2D7D40" w:rsidR="00DF13CE" w:rsidRDefault="00DF13CE" w:rsidP="00DF13CE">
            <w:r>
              <w:t>Other expenses</w:t>
            </w:r>
          </w:p>
        </w:tc>
        <w:tc>
          <w:tcPr>
            <w:tcW w:w="1275" w:type="dxa"/>
            <w:vAlign w:val="bottom"/>
          </w:tcPr>
          <w:p w14:paraId="6D0FA005" w14:textId="63A39310" w:rsidR="00DF13CE" w:rsidRPr="00DF13CE" w:rsidRDefault="00DF13CE" w:rsidP="00DF13CE">
            <w:pPr>
              <w:jc w:val="center"/>
              <w:rPr>
                <w:b/>
              </w:rPr>
            </w:pPr>
            <w:r w:rsidRPr="00DF13CE">
              <w:rPr>
                <w:b/>
              </w:rPr>
              <w:t>4.5</w:t>
            </w:r>
          </w:p>
        </w:tc>
        <w:tc>
          <w:tcPr>
            <w:tcW w:w="1418" w:type="dxa"/>
            <w:vAlign w:val="bottom"/>
          </w:tcPr>
          <w:p w14:paraId="0B7AC7F8" w14:textId="696A0AA5" w:rsidR="00DF13CE" w:rsidRDefault="00DF13CE" w:rsidP="00DF13CE">
            <w:pPr>
              <w:jc w:val="right"/>
            </w:pPr>
            <w:r>
              <w:t xml:space="preserve">                 1,323 </w:t>
            </w:r>
          </w:p>
        </w:tc>
        <w:tc>
          <w:tcPr>
            <w:tcW w:w="1366" w:type="dxa"/>
            <w:vAlign w:val="bottom"/>
          </w:tcPr>
          <w:p w14:paraId="00563B28" w14:textId="242756E7" w:rsidR="00DF13CE" w:rsidRDefault="00DF13CE" w:rsidP="00DF13CE">
            <w:pPr>
              <w:jc w:val="right"/>
            </w:pPr>
            <w:r>
              <w:t xml:space="preserve">                                   1,382 </w:t>
            </w:r>
          </w:p>
        </w:tc>
      </w:tr>
      <w:tr w:rsidR="00DF13CE" w14:paraId="13C32EF4" w14:textId="77777777" w:rsidTr="00AA1D0C">
        <w:tc>
          <w:tcPr>
            <w:tcW w:w="4957" w:type="dxa"/>
          </w:tcPr>
          <w:p w14:paraId="2892C665" w14:textId="582BD142" w:rsidR="00DF13CE" w:rsidRPr="00DF13CE" w:rsidRDefault="00DF13CE" w:rsidP="00DF13CE">
            <w:pPr>
              <w:rPr>
                <w:b/>
                <w:u w:val="single"/>
                <w:lang w:eastAsia="en-AU"/>
              </w:rPr>
            </w:pPr>
            <w:r w:rsidRPr="00DF13CE">
              <w:rPr>
                <w:b/>
                <w:u w:val="single"/>
              </w:rPr>
              <w:t>Provisions</w:t>
            </w:r>
          </w:p>
        </w:tc>
        <w:tc>
          <w:tcPr>
            <w:tcW w:w="1275" w:type="dxa"/>
          </w:tcPr>
          <w:p w14:paraId="21D1D71E" w14:textId="77777777" w:rsidR="00DF13CE" w:rsidRDefault="00DF13CE" w:rsidP="002565C5"/>
        </w:tc>
        <w:tc>
          <w:tcPr>
            <w:tcW w:w="1418" w:type="dxa"/>
          </w:tcPr>
          <w:p w14:paraId="0A365A9A" w14:textId="77777777" w:rsidR="00DF13CE" w:rsidRDefault="00DF13CE" w:rsidP="002565C5"/>
        </w:tc>
        <w:tc>
          <w:tcPr>
            <w:tcW w:w="1366" w:type="dxa"/>
          </w:tcPr>
          <w:p w14:paraId="623E86B8" w14:textId="77777777" w:rsidR="00DF13CE" w:rsidRDefault="00DF13CE" w:rsidP="002565C5"/>
        </w:tc>
      </w:tr>
      <w:tr w:rsidR="00DF13CE" w14:paraId="7F437385" w14:textId="77777777" w:rsidTr="00AA1D0C">
        <w:tc>
          <w:tcPr>
            <w:tcW w:w="4957" w:type="dxa"/>
            <w:vAlign w:val="bottom"/>
          </w:tcPr>
          <w:p w14:paraId="41ED0A3A" w14:textId="68F1D77F" w:rsidR="00DF13CE" w:rsidRDefault="00DF13CE" w:rsidP="00DF13CE">
            <w:r>
              <w:t>Employee benefits provisions</w:t>
            </w:r>
          </w:p>
        </w:tc>
        <w:tc>
          <w:tcPr>
            <w:tcW w:w="1275" w:type="dxa"/>
            <w:vAlign w:val="bottom"/>
          </w:tcPr>
          <w:p w14:paraId="3DAE26C4" w14:textId="78824DF4" w:rsidR="00DF13CE" w:rsidRPr="00DF13CE" w:rsidRDefault="00DF13CE" w:rsidP="00DF13CE">
            <w:pPr>
              <w:jc w:val="center"/>
              <w:rPr>
                <w:b/>
              </w:rPr>
            </w:pPr>
            <w:r w:rsidRPr="00DF13CE">
              <w:rPr>
                <w:b/>
              </w:rPr>
              <w:t>4.1(b)</w:t>
            </w:r>
          </w:p>
        </w:tc>
        <w:tc>
          <w:tcPr>
            <w:tcW w:w="1418" w:type="dxa"/>
            <w:vAlign w:val="bottom"/>
          </w:tcPr>
          <w:p w14:paraId="5D1202EB" w14:textId="13F43CCF" w:rsidR="00DF13CE" w:rsidRDefault="00DF13CE" w:rsidP="00DF13CE">
            <w:pPr>
              <w:jc w:val="right"/>
            </w:pPr>
            <w:r>
              <w:t xml:space="preserve">                 8,855 </w:t>
            </w:r>
          </w:p>
        </w:tc>
        <w:tc>
          <w:tcPr>
            <w:tcW w:w="1366" w:type="dxa"/>
            <w:vAlign w:val="bottom"/>
          </w:tcPr>
          <w:p w14:paraId="1706E9C9" w14:textId="1BCD7B29" w:rsidR="00DF13CE" w:rsidRDefault="00DF13CE" w:rsidP="00DF13CE">
            <w:pPr>
              <w:jc w:val="right"/>
            </w:pPr>
            <w:r>
              <w:t xml:space="preserve">                                   9,002 </w:t>
            </w:r>
          </w:p>
        </w:tc>
      </w:tr>
      <w:tr w:rsidR="00DF13CE" w14:paraId="38054FBE" w14:textId="77777777" w:rsidTr="00AA1D0C">
        <w:tc>
          <w:tcPr>
            <w:tcW w:w="4957" w:type="dxa"/>
            <w:vAlign w:val="bottom"/>
          </w:tcPr>
          <w:p w14:paraId="59B3BBA9" w14:textId="20E50AFD" w:rsidR="00DF13CE" w:rsidRDefault="00DF13CE" w:rsidP="00DF13CE">
            <w:r>
              <w:t>Claim provisions</w:t>
            </w:r>
          </w:p>
        </w:tc>
        <w:tc>
          <w:tcPr>
            <w:tcW w:w="1275" w:type="dxa"/>
            <w:vAlign w:val="bottom"/>
          </w:tcPr>
          <w:p w14:paraId="5F333675" w14:textId="39F5831A" w:rsidR="00DF13CE" w:rsidRPr="00DF13CE" w:rsidRDefault="00DF13CE" w:rsidP="00DF13CE">
            <w:pPr>
              <w:jc w:val="center"/>
              <w:rPr>
                <w:b/>
              </w:rPr>
            </w:pPr>
            <w:r w:rsidRPr="00DF13CE">
              <w:rPr>
                <w:b/>
              </w:rPr>
              <w:t>4.3(b)</w:t>
            </w:r>
          </w:p>
        </w:tc>
        <w:tc>
          <w:tcPr>
            <w:tcW w:w="1418" w:type="dxa"/>
            <w:vAlign w:val="bottom"/>
          </w:tcPr>
          <w:p w14:paraId="4ABD0E34" w14:textId="34FAA2F2" w:rsidR="00DF13CE" w:rsidRDefault="00DF13CE" w:rsidP="00DF13CE">
            <w:pPr>
              <w:jc w:val="right"/>
            </w:pPr>
            <w:r>
              <w:t xml:space="preserve">               21,823 </w:t>
            </w:r>
          </w:p>
        </w:tc>
        <w:tc>
          <w:tcPr>
            <w:tcW w:w="1366" w:type="dxa"/>
            <w:vAlign w:val="bottom"/>
          </w:tcPr>
          <w:p w14:paraId="51D6C9B7" w14:textId="0E49E998" w:rsidR="00DF13CE" w:rsidRDefault="00DF13CE" w:rsidP="00DF13CE">
            <w:pPr>
              <w:jc w:val="right"/>
            </w:pPr>
            <w:r>
              <w:t xml:space="preserve">                                 19,796 </w:t>
            </w:r>
          </w:p>
        </w:tc>
      </w:tr>
    </w:tbl>
    <w:p w14:paraId="69B8B3E0" w14:textId="283A1AB3" w:rsidR="002565C5" w:rsidRDefault="00DF13CE" w:rsidP="00DF13CE">
      <w:pPr>
        <w:pStyle w:val="Heading3nonumber"/>
        <w:ind w:left="227"/>
      </w:pPr>
      <w:bookmarkStart w:id="771" w:name="_Toc525122168"/>
      <w:r>
        <w:t>4.1(a) Employee benefits expense</w:t>
      </w:r>
      <w:bookmarkEnd w:id="771"/>
      <w:r>
        <w:tab/>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mployee benefits expense"/>
        <w:tblDescription w:val="This table outlines the total employee benefits expenses for 2017/18 including wages and salaries, termination benefits and superannuation. "/>
      </w:tblPr>
      <w:tblGrid>
        <w:gridCol w:w="6374"/>
        <w:gridCol w:w="1418"/>
        <w:gridCol w:w="1507"/>
      </w:tblGrid>
      <w:tr w:rsidR="00AA1D0C" w14:paraId="2A60F0A7" w14:textId="77777777" w:rsidTr="00F11774">
        <w:trPr>
          <w:trHeight w:val="723"/>
          <w:tblHeader/>
        </w:trPr>
        <w:tc>
          <w:tcPr>
            <w:tcW w:w="6374" w:type="dxa"/>
          </w:tcPr>
          <w:p w14:paraId="31B02F7C" w14:textId="77777777" w:rsidR="00AA1D0C" w:rsidRDefault="00AA1D0C" w:rsidP="00AA1D0C"/>
        </w:tc>
        <w:tc>
          <w:tcPr>
            <w:tcW w:w="1418" w:type="dxa"/>
            <w:vAlign w:val="center"/>
          </w:tcPr>
          <w:p w14:paraId="4F1A656A" w14:textId="5FD519DE" w:rsidR="00AA1D0C" w:rsidRDefault="00AA1D0C" w:rsidP="00AA1D0C">
            <w:pPr>
              <w:jc w:val="right"/>
            </w:pPr>
            <w:r>
              <w:rPr>
                <w:b/>
              </w:rPr>
              <w:t>2018</w:t>
            </w:r>
            <w:r>
              <w:rPr>
                <w:b/>
              </w:rPr>
              <w:br/>
              <w:t>$000</w:t>
            </w:r>
          </w:p>
        </w:tc>
        <w:tc>
          <w:tcPr>
            <w:tcW w:w="1507" w:type="dxa"/>
            <w:vAlign w:val="center"/>
          </w:tcPr>
          <w:p w14:paraId="42B16448" w14:textId="0D4E30CB" w:rsidR="00AA1D0C" w:rsidRDefault="00AA1D0C" w:rsidP="00AA1D0C">
            <w:pPr>
              <w:jc w:val="right"/>
            </w:pPr>
            <w:r>
              <w:rPr>
                <w:b/>
              </w:rPr>
              <w:t>2017</w:t>
            </w:r>
            <w:r>
              <w:rPr>
                <w:b/>
              </w:rPr>
              <w:br/>
              <w:t>$000</w:t>
            </w:r>
          </w:p>
        </w:tc>
      </w:tr>
      <w:tr w:rsidR="00AA1D0C" w14:paraId="1B13ECDF" w14:textId="77777777" w:rsidTr="00AA1D0C">
        <w:trPr>
          <w:trHeight w:val="654"/>
        </w:trPr>
        <w:tc>
          <w:tcPr>
            <w:tcW w:w="6374" w:type="dxa"/>
            <w:vAlign w:val="bottom"/>
          </w:tcPr>
          <w:p w14:paraId="63FD0FFB" w14:textId="5FF774AB" w:rsidR="00AA1D0C" w:rsidRDefault="00AA1D0C" w:rsidP="00AA1D0C">
            <w:r>
              <w:t>Wages and salaries</w:t>
            </w:r>
          </w:p>
        </w:tc>
        <w:tc>
          <w:tcPr>
            <w:tcW w:w="1418" w:type="dxa"/>
            <w:vAlign w:val="bottom"/>
          </w:tcPr>
          <w:p w14:paraId="7E5AFDCD" w14:textId="1130D6C4" w:rsidR="00AA1D0C" w:rsidRDefault="00AA1D0C" w:rsidP="00AA1D0C">
            <w:pPr>
              <w:jc w:val="right"/>
            </w:pPr>
            <w:r>
              <w:t xml:space="preserve">               11,893 </w:t>
            </w:r>
          </w:p>
        </w:tc>
        <w:tc>
          <w:tcPr>
            <w:tcW w:w="1507" w:type="dxa"/>
            <w:vAlign w:val="bottom"/>
          </w:tcPr>
          <w:p w14:paraId="03C797B7" w14:textId="19ABDF98" w:rsidR="00AA1D0C" w:rsidRDefault="00AA1D0C" w:rsidP="00AA1D0C">
            <w:pPr>
              <w:jc w:val="right"/>
            </w:pPr>
            <w:r>
              <w:t xml:space="preserve">                                 12,902 </w:t>
            </w:r>
          </w:p>
        </w:tc>
      </w:tr>
      <w:tr w:rsidR="00AA1D0C" w14:paraId="389E9A59" w14:textId="77777777" w:rsidTr="00AA1D0C">
        <w:trPr>
          <w:trHeight w:val="654"/>
        </w:trPr>
        <w:tc>
          <w:tcPr>
            <w:tcW w:w="6374" w:type="dxa"/>
            <w:vAlign w:val="bottom"/>
          </w:tcPr>
          <w:p w14:paraId="6672F2FD" w14:textId="3343BE08" w:rsidR="00AA1D0C" w:rsidRDefault="00AA1D0C" w:rsidP="00AA1D0C">
            <w:r>
              <w:t>Termination benefits</w:t>
            </w:r>
          </w:p>
        </w:tc>
        <w:tc>
          <w:tcPr>
            <w:tcW w:w="1418" w:type="dxa"/>
            <w:vAlign w:val="bottom"/>
          </w:tcPr>
          <w:p w14:paraId="62E0B4CA" w14:textId="71AD7B25" w:rsidR="00AA1D0C" w:rsidRDefault="00AA1D0C" w:rsidP="00AA1D0C">
            <w:pPr>
              <w:jc w:val="right"/>
            </w:pPr>
            <w:r>
              <w:t xml:space="preserve">                 1,571 </w:t>
            </w:r>
          </w:p>
        </w:tc>
        <w:tc>
          <w:tcPr>
            <w:tcW w:w="1507" w:type="dxa"/>
            <w:vAlign w:val="bottom"/>
          </w:tcPr>
          <w:p w14:paraId="6184A443" w14:textId="275A2BBC" w:rsidR="00AA1D0C" w:rsidRDefault="00AA1D0C" w:rsidP="00AA1D0C">
            <w:pPr>
              <w:jc w:val="right"/>
            </w:pPr>
            <w:r>
              <w:t xml:space="preserve">                                      111 </w:t>
            </w:r>
          </w:p>
        </w:tc>
      </w:tr>
      <w:tr w:rsidR="00AA1D0C" w14:paraId="574E8E83" w14:textId="77777777" w:rsidTr="00AA1D0C">
        <w:trPr>
          <w:trHeight w:val="654"/>
        </w:trPr>
        <w:tc>
          <w:tcPr>
            <w:tcW w:w="6374" w:type="dxa"/>
            <w:vAlign w:val="bottom"/>
          </w:tcPr>
          <w:p w14:paraId="37941369" w14:textId="48DE00B0" w:rsidR="00AA1D0C" w:rsidRDefault="00AA1D0C" w:rsidP="00AA1D0C">
            <w:r>
              <w:t xml:space="preserve">Superannuation - defined contribution plans </w:t>
            </w:r>
            <w:r>
              <w:rPr>
                <w:vertAlign w:val="superscript"/>
              </w:rPr>
              <w:t>(i)</w:t>
            </w:r>
          </w:p>
        </w:tc>
        <w:tc>
          <w:tcPr>
            <w:tcW w:w="1418" w:type="dxa"/>
            <w:vAlign w:val="bottom"/>
          </w:tcPr>
          <w:p w14:paraId="46B97D22" w14:textId="494C9759" w:rsidR="00AA1D0C" w:rsidRDefault="00AA1D0C" w:rsidP="00AA1D0C">
            <w:pPr>
              <w:jc w:val="right"/>
            </w:pPr>
            <w:r>
              <w:t xml:space="preserve">                 1,251 </w:t>
            </w:r>
          </w:p>
        </w:tc>
        <w:tc>
          <w:tcPr>
            <w:tcW w:w="1507" w:type="dxa"/>
            <w:vAlign w:val="bottom"/>
          </w:tcPr>
          <w:p w14:paraId="550260F6" w14:textId="1A57192F" w:rsidR="00AA1D0C" w:rsidRDefault="00AA1D0C" w:rsidP="00AA1D0C">
            <w:pPr>
              <w:jc w:val="right"/>
            </w:pPr>
            <w:r>
              <w:t xml:space="preserve">                                   1,355 </w:t>
            </w:r>
          </w:p>
        </w:tc>
      </w:tr>
      <w:tr w:rsidR="00AA1D0C" w14:paraId="7E955D08" w14:textId="77777777" w:rsidTr="00AA1D0C">
        <w:trPr>
          <w:trHeight w:val="654"/>
        </w:trPr>
        <w:tc>
          <w:tcPr>
            <w:tcW w:w="6374" w:type="dxa"/>
            <w:vAlign w:val="bottom"/>
          </w:tcPr>
          <w:p w14:paraId="7BBE2CED" w14:textId="07CD3A3B" w:rsidR="00AA1D0C" w:rsidRDefault="00AA1D0C" w:rsidP="00AA1D0C">
            <w:r>
              <w:t>Superannuation - defined benefit plans</w:t>
            </w:r>
            <w:r>
              <w:rPr>
                <w:vertAlign w:val="superscript"/>
              </w:rPr>
              <w:t xml:space="preserve"> (ii)</w:t>
            </w:r>
          </w:p>
        </w:tc>
        <w:tc>
          <w:tcPr>
            <w:tcW w:w="1418" w:type="dxa"/>
            <w:tcBorders>
              <w:bottom w:val="single" w:sz="4" w:space="0" w:color="auto"/>
            </w:tcBorders>
            <w:vAlign w:val="bottom"/>
          </w:tcPr>
          <w:p w14:paraId="49CE6B2B" w14:textId="1A6DF07A" w:rsidR="00AA1D0C" w:rsidRDefault="00AA1D0C" w:rsidP="00AA1D0C">
            <w:pPr>
              <w:jc w:val="right"/>
            </w:pPr>
            <w:r>
              <w:t xml:space="preserve">                   138 </w:t>
            </w:r>
          </w:p>
        </w:tc>
        <w:tc>
          <w:tcPr>
            <w:tcW w:w="1507" w:type="dxa"/>
            <w:tcBorders>
              <w:bottom w:val="single" w:sz="4" w:space="0" w:color="auto"/>
            </w:tcBorders>
            <w:vAlign w:val="bottom"/>
          </w:tcPr>
          <w:p w14:paraId="0EF24031" w14:textId="06AF27FB" w:rsidR="00AA1D0C" w:rsidRDefault="00AA1D0C" w:rsidP="00AA1D0C">
            <w:pPr>
              <w:jc w:val="right"/>
            </w:pPr>
            <w:r>
              <w:t xml:space="preserve">                                      126 </w:t>
            </w:r>
          </w:p>
        </w:tc>
      </w:tr>
      <w:tr w:rsidR="00AA1D0C" w14:paraId="4F0E2101" w14:textId="77777777" w:rsidTr="00AA1D0C">
        <w:trPr>
          <w:trHeight w:val="654"/>
        </w:trPr>
        <w:tc>
          <w:tcPr>
            <w:tcW w:w="6374" w:type="dxa"/>
            <w:vAlign w:val="center"/>
          </w:tcPr>
          <w:p w14:paraId="431EF5D1" w14:textId="40592F27" w:rsidR="00AA1D0C" w:rsidRPr="00AA1D0C" w:rsidRDefault="00AA1D0C" w:rsidP="00AA1D0C">
            <w:pPr>
              <w:rPr>
                <w:b/>
                <w:lang w:eastAsia="en-AU"/>
              </w:rPr>
            </w:pPr>
            <w:r w:rsidRPr="00AA1D0C">
              <w:rPr>
                <w:b/>
              </w:rPr>
              <w:t>Total employee benefits expenses</w:t>
            </w:r>
          </w:p>
        </w:tc>
        <w:tc>
          <w:tcPr>
            <w:tcW w:w="1418" w:type="dxa"/>
            <w:tcBorders>
              <w:top w:val="single" w:sz="4" w:space="0" w:color="auto"/>
              <w:bottom w:val="double" w:sz="4" w:space="0" w:color="auto"/>
            </w:tcBorders>
            <w:vAlign w:val="bottom"/>
          </w:tcPr>
          <w:p w14:paraId="15C91AC9" w14:textId="46D6932A" w:rsidR="00AA1D0C" w:rsidRPr="00AA1D0C" w:rsidRDefault="00AA1D0C" w:rsidP="00AA1D0C">
            <w:pPr>
              <w:jc w:val="right"/>
              <w:rPr>
                <w:b/>
              </w:rPr>
            </w:pPr>
            <w:r w:rsidRPr="00AA1D0C">
              <w:rPr>
                <w:b/>
              </w:rPr>
              <w:t xml:space="preserve">               14,853 </w:t>
            </w:r>
          </w:p>
        </w:tc>
        <w:tc>
          <w:tcPr>
            <w:tcW w:w="1507" w:type="dxa"/>
            <w:tcBorders>
              <w:top w:val="single" w:sz="4" w:space="0" w:color="auto"/>
              <w:bottom w:val="double" w:sz="4" w:space="0" w:color="auto"/>
            </w:tcBorders>
            <w:vAlign w:val="bottom"/>
          </w:tcPr>
          <w:p w14:paraId="5F154BE9" w14:textId="30D895FD" w:rsidR="00AA1D0C" w:rsidRPr="00AA1D0C" w:rsidRDefault="00AA1D0C" w:rsidP="00AA1D0C">
            <w:pPr>
              <w:jc w:val="right"/>
              <w:rPr>
                <w:b/>
              </w:rPr>
            </w:pPr>
            <w:r w:rsidRPr="00AA1D0C">
              <w:rPr>
                <w:b/>
              </w:rPr>
              <w:t xml:space="preserve">                                 14,494 </w:t>
            </w:r>
          </w:p>
        </w:tc>
      </w:tr>
    </w:tbl>
    <w:p w14:paraId="0C7256A4" w14:textId="3F47632C" w:rsidR="00AA1D0C" w:rsidRDefault="00AA1D0C" w:rsidP="00AA1D0C">
      <w:pPr>
        <w:rPr>
          <w:rFonts w:cs="Arial"/>
          <w:sz w:val="22"/>
          <w:szCs w:val="22"/>
          <w:lang w:eastAsia="en-AU"/>
        </w:rPr>
      </w:pPr>
      <w:r>
        <w:fldChar w:fldCharType="begin"/>
      </w:r>
      <w:r>
        <w:instrText xml:space="preserve"> LINK Excel.Sheet.12 "\\\\venus\\trim_home$\\Taylat\\Offline Records (PD)\\5. Annual Report 2018 - Draft Two(2)\\Annual Report - Financial Statements  &amp; Notes 2017-18.XLSX" "Notes3-4!R88C2" \a \f 5 \h  \* MERGEFORMAT </w:instrText>
      </w:r>
      <w:r>
        <w:fldChar w:fldCharType="separate"/>
      </w:r>
    </w:p>
    <w:p w14:paraId="72916A85" w14:textId="541E59E5" w:rsidR="00AA1D0C" w:rsidRPr="00AA1D0C" w:rsidRDefault="00AA1D0C" w:rsidP="00AA1D0C">
      <w:r w:rsidRPr="00AA1D0C">
        <w:rPr>
          <w:vertAlign w:val="superscript"/>
        </w:rPr>
        <w:t xml:space="preserve">(i) </w:t>
      </w:r>
      <w:r w:rsidRPr="00AA1D0C">
        <w:t>Defined contribution plans include West State Superannuation Scheme (WSS), Gold State Superannuation Sch</w:t>
      </w:r>
      <w:r>
        <w:t xml:space="preserve">eme (GSS), Government Employees, </w:t>
      </w:r>
      <w:r w:rsidRPr="00AA1D0C">
        <w:t>Superannuation Board Schemes (GESBs) and other eligible funds.</w:t>
      </w:r>
    </w:p>
    <w:p w14:paraId="70CC002F" w14:textId="5BFFA243" w:rsidR="00AA1D0C" w:rsidRPr="00AA1D0C" w:rsidRDefault="00AA1D0C" w:rsidP="00AA1D0C">
      <w:pPr>
        <w:rPr>
          <w:rFonts w:cs="Arial"/>
          <w:sz w:val="22"/>
          <w:szCs w:val="22"/>
          <w:lang w:eastAsia="en-AU"/>
        </w:rPr>
      </w:pPr>
      <w:r>
        <w:fldChar w:fldCharType="end"/>
      </w:r>
      <w:r>
        <w:fldChar w:fldCharType="begin"/>
      </w:r>
      <w:r>
        <w:instrText xml:space="preserve"> LINK Excel.Sheet.12 "\\\\venus\\trim_home$\\Taylat\\Offline Records (PD)\\5. Annual Report 2018 - Draft Two(2)\\Annual Report - Financial Statements  &amp; Notes 2017-18.XLSX" "Notes3-4!R91C2:R91C7" \a \f 5 \h  \* MERGEFORMAT </w:instrText>
      </w:r>
      <w:r>
        <w:fldChar w:fldCharType="separate"/>
      </w:r>
      <w:r w:rsidRPr="00AA1D0C">
        <w:rPr>
          <w:vertAlign w:val="superscript"/>
        </w:rPr>
        <w:t>(ii)</w:t>
      </w:r>
      <w:r w:rsidRPr="00AA1D0C">
        <w:t xml:space="preserve"> The amount represents the net interest cost for defined benefit plans.</w:t>
      </w:r>
    </w:p>
    <w:p w14:paraId="7900C25F" w14:textId="436C78B9" w:rsidR="00AA1D0C" w:rsidRDefault="00AA1D0C" w:rsidP="004930E9">
      <w:pPr>
        <w:pStyle w:val="Heading4"/>
        <w:ind w:left="0"/>
      </w:pPr>
      <w:r>
        <w:fldChar w:fldCharType="end"/>
      </w:r>
      <w:r>
        <w:t xml:space="preserve">Wages and salaries </w:t>
      </w:r>
    </w:p>
    <w:p w14:paraId="071CB221" w14:textId="55D0B0B5" w:rsidR="00AA1D0C" w:rsidRDefault="00AA1D0C" w:rsidP="00AA1D0C">
      <w:pPr>
        <w:rPr>
          <w:lang w:val="en-US" w:eastAsia="en-AU"/>
        </w:rPr>
      </w:pPr>
      <w:r w:rsidRPr="00AA1D0C">
        <w:rPr>
          <w:lang w:val="en-US" w:eastAsia="en-AU"/>
        </w:rPr>
        <w:t>Employee expenses include all costs related to employment including wages and salaries, fringe benefits tax, leave entitlements, termination payments</w:t>
      </w:r>
      <w:r>
        <w:rPr>
          <w:lang w:val="en-US" w:eastAsia="en-AU"/>
        </w:rPr>
        <w:t xml:space="preserve"> and WorkCover WA premiums.</w:t>
      </w:r>
    </w:p>
    <w:p w14:paraId="421800AC" w14:textId="05497F6A" w:rsidR="00AA1D0C" w:rsidRDefault="004930E9" w:rsidP="004930E9">
      <w:pPr>
        <w:pStyle w:val="Heading4"/>
        <w:ind w:left="0"/>
      </w:pPr>
      <w:r>
        <w:t>T</w:t>
      </w:r>
      <w:r w:rsidR="0012268D" w:rsidRPr="0012268D">
        <w:t>ermination benefits</w:t>
      </w:r>
    </w:p>
    <w:p w14:paraId="5CD26AAF" w14:textId="77777777" w:rsidR="000C4384" w:rsidRDefault="0012268D" w:rsidP="0012268D">
      <w:pPr>
        <w:rPr>
          <w:lang w:val="en-US" w:eastAsia="en-AU"/>
        </w:rPr>
      </w:pPr>
      <w:r w:rsidRPr="0012268D">
        <w:rPr>
          <w:lang w:val="en-US" w:eastAsia="en-AU"/>
        </w:rPr>
        <w:t>Payable when employment is terminated before normal retirement date, or when an employee accepts an offer of benefits in exchange for the termination of employment. Termination benefits are recognised when the Authority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2C1C889A" w14:textId="77777777" w:rsidR="000C4384" w:rsidRDefault="000C4384" w:rsidP="004930E9">
      <w:pPr>
        <w:pStyle w:val="Heading4"/>
        <w:ind w:left="0"/>
      </w:pPr>
      <w:r w:rsidRPr="000C4384">
        <w:t>Superannuation</w:t>
      </w:r>
    </w:p>
    <w:p w14:paraId="2A16C53A" w14:textId="77777777" w:rsidR="000C4384" w:rsidRDefault="000C4384" w:rsidP="000C4384">
      <w:r>
        <w:t xml:space="preserve">The amount recognised in profit or loss of the Statement of Comprehensive Income comprises employer contributions paid to the GSS (concurrent contributions), the WSS, the GESBs, or other superannuation funds. The employer contribution paid to the Government Employees Superannuation Board (GESB) in respect of the GSS is paid back into the Consolidated Account by the GESB. </w:t>
      </w:r>
    </w:p>
    <w:p w14:paraId="4B61CBE2" w14:textId="4699146B" w:rsidR="000C4384" w:rsidRDefault="000C4384" w:rsidP="000C4384">
      <w:r>
        <w:t xml:space="preserve">Eligible employees contribute to the Pension Scheme, a defined benefit pension scheme closed to new members since 1987, or to the Gold State Superannuation Scheme (GSS), a defined benefit lump sum scheme closed to new members since 1995. </w:t>
      </w:r>
      <w:r>
        <w:tab/>
      </w:r>
      <w:r>
        <w:tab/>
      </w:r>
      <w:r>
        <w:tab/>
      </w:r>
      <w:r>
        <w:tab/>
      </w:r>
      <w:r>
        <w:tab/>
      </w:r>
    </w:p>
    <w:p w14:paraId="440BB56D" w14:textId="79B1183F" w:rsidR="000C4384" w:rsidRDefault="000C4384" w:rsidP="000C4384">
      <w:r>
        <w:t>Employees commencing employment prior to 16 April 2007 who were not members of either the Pension Scheme or the GSS became non-contributory members of the West State Superannuation Scheme (WSS).  Employees commencing employment on or after 16 April 2007 became members of the GESB Super Scheme (GESBS). From 30 March 2012, existing members of the WSS or GESBS and new employees became able to choose their preferred superannuation fund provider. The Authority makes contributions to GESB or other funds providers on behalf of employees in compliance with the Commonwealth Government’s Superannuation Guarantee (Administration) Act 1992. Contributions to these accumulation schemes extinguish the Authority’s liability for superannuation charges in respect of employees who are not members of the Pension Scheme or GSS.</w:t>
      </w:r>
    </w:p>
    <w:p w14:paraId="103BF8FC" w14:textId="0EC8BE61" w:rsidR="000C4384" w:rsidRDefault="000C4384" w:rsidP="000C4384">
      <w:r>
        <w:t>For defined benefit plans (the Pension Scheme and the pre-transfer component of the GSS), changes in the defined benefit obligation are recognised in the Statement of Comprehensive Income either in profit or loss, or, other comprehensive income as follows:</w:t>
      </w:r>
    </w:p>
    <w:p w14:paraId="67CB929E" w14:textId="463C3E98" w:rsidR="000C4384" w:rsidRDefault="000C4384" w:rsidP="000C4384">
      <w:r>
        <w:t>·         Profit or loss:</w:t>
      </w:r>
      <w:r>
        <w:tab/>
      </w:r>
    </w:p>
    <w:p w14:paraId="07C4A4A6" w14:textId="103A1F45" w:rsidR="000C4384" w:rsidRDefault="000C4384" w:rsidP="000C4384">
      <w:r>
        <w:t xml:space="preserve">        -  current service cost</w:t>
      </w:r>
      <w:r>
        <w:tab/>
      </w:r>
    </w:p>
    <w:p w14:paraId="1DED2157" w14:textId="20CE4993" w:rsidR="000C4384" w:rsidRDefault="000C4384" w:rsidP="000C4384">
      <w:r>
        <w:t xml:space="preserve">        -  past service cost</w:t>
      </w:r>
    </w:p>
    <w:p w14:paraId="2D24C074" w14:textId="24E94606" w:rsidR="000C4384" w:rsidRDefault="000C4384" w:rsidP="000C4384">
      <w:r>
        <w:t xml:space="preserve">        -  interest cost.</w:t>
      </w:r>
      <w:r>
        <w:tab/>
      </w:r>
    </w:p>
    <w:p w14:paraId="41185112" w14:textId="3F99F8A6" w:rsidR="000C4384" w:rsidRDefault="000C4384" w:rsidP="000C4384">
      <w:r>
        <w:t>·         other comprehensive income:</w:t>
      </w:r>
    </w:p>
    <w:p w14:paraId="5CEAE765" w14:textId="10E4C2A3" w:rsidR="000C4384" w:rsidRDefault="000C4384" w:rsidP="000C4384">
      <w:r>
        <w:t xml:space="preserve">        -  actuarial gains and losses</w:t>
      </w:r>
      <w:r>
        <w:tab/>
      </w:r>
    </w:p>
    <w:p w14:paraId="105F3DB3" w14:textId="56CAB146" w:rsidR="0012268D" w:rsidRPr="0012268D" w:rsidRDefault="000C4384" w:rsidP="000C4384">
      <w:r>
        <w:t>The GESB and other fund providers administer public sector superannuation arrangements in Western Australia in accordance with legislative requirements. Eligibility criteria for membership in particular schemes for public sector employees vary according to commencement and implementation dates.</w:t>
      </w:r>
      <w:r>
        <w:tab/>
      </w:r>
      <w:r>
        <w:tab/>
      </w:r>
      <w:r>
        <w:tab/>
      </w:r>
      <w:r>
        <w:tab/>
      </w:r>
      <w:r>
        <w:tab/>
      </w:r>
      <w:r w:rsidR="0012268D" w:rsidRPr="0012268D">
        <w:tab/>
      </w:r>
      <w:r w:rsidR="0012268D" w:rsidRPr="0012268D">
        <w:tab/>
      </w:r>
      <w:r w:rsidR="0012268D" w:rsidRPr="0012268D">
        <w:tab/>
      </w:r>
      <w:r w:rsidR="0012268D" w:rsidRPr="0012268D">
        <w:tab/>
      </w:r>
      <w:r w:rsidR="0012268D" w:rsidRPr="0012268D">
        <w:tab/>
      </w:r>
    </w:p>
    <w:p w14:paraId="4E3031A7" w14:textId="02F10332" w:rsidR="00DC1847" w:rsidRDefault="00DC1847" w:rsidP="00DC1847">
      <w:pPr>
        <w:pStyle w:val="Heading3nonumber"/>
        <w:rPr>
          <w:lang w:val="en-US" w:eastAsia="en-AU"/>
        </w:rPr>
      </w:pPr>
      <w:bookmarkStart w:id="772" w:name="_Toc525122169"/>
      <w:r>
        <w:rPr>
          <w:lang w:val="en-US" w:eastAsia="en-AU"/>
        </w:rPr>
        <w:t>4.1(b) Employee benefits provisions</w:t>
      </w:r>
      <w:bookmarkEnd w:id="772"/>
      <w:r>
        <w:rPr>
          <w:lang w:val="en-US"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mployee benefits provisions"/>
        <w:tblDescription w:val="This table outlines the employee benefits provisions for the last financial year including current and non-current provisions. "/>
      </w:tblPr>
      <w:tblGrid>
        <w:gridCol w:w="6521"/>
        <w:gridCol w:w="1276"/>
        <w:gridCol w:w="1189"/>
      </w:tblGrid>
      <w:tr w:rsidR="00BE5237" w14:paraId="5257A906" w14:textId="3A5B4BA8" w:rsidTr="00F11774">
        <w:trPr>
          <w:trHeight w:val="872"/>
          <w:tblHeader/>
        </w:trPr>
        <w:tc>
          <w:tcPr>
            <w:tcW w:w="6521" w:type="dxa"/>
          </w:tcPr>
          <w:p w14:paraId="494DABDB" w14:textId="77777777" w:rsidR="00BE5237" w:rsidRDefault="00BE5237" w:rsidP="0049003A">
            <w:pPr>
              <w:rPr>
                <w:lang w:val="en-US" w:eastAsia="en-AU"/>
              </w:rPr>
            </w:pPr>
          </w:p>
        </w:tc>
        <w:tc>
          <w:tcPr>
            <w:tcW w:w="1276" w:type="dxa"/>
            <w:vAlign w:val="center"/>
          </w:tcPr>
          <w:p w14:paraId="43C6CD18" w14:textId="7443FD42" w:rsidR="00BE5237" w:rsidRDefault="00BE5237" w:rsidP="0049003A">
            <w:pPr>
              <w:jc w:val="right"/>
              <w:rPr>
                <w:lang w:val="en-US" w:eastAsia="en-AU"/>
              </w:rPr>
            </w:pPr>
            <w:r>
              <w:rPr>
                <w:b/>
              </w:rPr>
              <w:t>2018</w:t>
            </w:r>
            <w:r>
              <w:rPr>
                <w:b/>
              </w:rPr>
              <w:br/>
              <w:t>$000</w:t>
            </w:r>
          </w:p>
        </w:tc>
        <w:tc>
          <w:tcPr>
            <w:tcW w:w="1189" w:type="dxa"/>
            <w:vAlign w:val="center"/>
          </w:tcPr>
          <w:p w14:paraId="3CB6F812" w14:textId="6F57C024" w:rsidR="00BE5237" w:rsidRDefault="00BE5237" w:rsidP="0049003A">
            <w:pPr>
              <w:jc w:val="right"/>
              <w:rPr>
                <w:lang w:val="en-US" w:eastAsia="en-AU"/>
              </w:rPr>
            </w:pPr>
            <w:r>
              <w:rPr>
                <w:b/>
              </w:rPr>
              <w:t>2017</w:t>
            </w:r>
            <w:r>
              <w:rPr>
                <w:b/>
              </w:rPr>
              <w:br/>
              <w:t>$000</w:t>
            </w:r>
          </w:p>
        </w:tc>
      </w:tr>
      <w:tr w:rsidR="00BE5237" w14:paraId="0C98B1EC" w14:textId="48CFDA9E" w:rsidTr="00BE5237">
        <w:trPr>
          <w:trHeight w:val="556"/>
        </w:trPr>
        <w:tc>
          <w:tcPr>
            <w:tcW w:w="6521" w:type="dxa"/>
          </w:tcPr>
          <w:p w14:paraId="07FC26E5" w14:textId="147305F7" w:rsidR="00BE5237" w:rsidRPr="0049003A" w:rsidRDefault="00BE5237" w:rsidP="0049003A">
            <w:pPr>
              <w:rPr>
                <w:u w:val="single"/>
                <w:lang w:val="en-US" w:eastAsia="en-AU"/>
              </w:rPr>
            </w:pPr>
            <w:r>
              <w:rPr>
                <w:u w:val="single"/>
                <w:lang w:val="en-US" w:eastAsia="en-AU"/>
              </w:rPr>
              <w:t>Current</w:t>
            </w:r>
          </w:p>
        </w:tc>
        <w:tc>
          <w:tcPr>
            <w:tcW w:w="1276" w:type="dxa"/>
            <w:vAlign w:val="bottom"/>
          </w:tcPr>
          <w:p w14:paraId="6F6CDF41" w14:textId="0F0FFF36" w:rsidR="00BE5237" w:rsidRDefault="00BE5237" w:rsidP="0049003A">
            <w:pPr>
              <w:rPr>
                <w:lang w:val="en-US" w:eastAsia="en-AU"/>
              </w:rPr>
            </w:pPr>
          </w:p>
        </w:tc>
        <w:tc>
          <w:tcPr>
            <w:tcW w:w="1189" w:type="dxa"/>
            <w:vAlign w:val="bottom"/>
          </w:tcPr>
          <w:p w14:paraId="3EBDA611" w14:textId="50560523" w:rsidR="00BE5237" w:rsidRDefault="00BE5237" w:rsidP="0049003A">
            <w:pPr>
              <w:rPr>
                <w:lang w:val="en-US" w:eastAsia="en-AU"/>
              </w:rPr>
            </w:pPr>
          </w:p>
        </w:tc>
      </w:tr>
      <w:tr w:rsidR="00BE5237" w14:paraId="025553A3" w14:textId="26FC7CAE" w:rsidTr="00BE5237">
        <w:trPr>
          <w:trHeight w:val="887"/>
        </w:trPr>
        <w:tc>
          <w:tcPr>
            <w:tcW w:w="6521" w:type="dxa"/>
            <w:vAlign w:val="bottom"/>
          </w:tcPr>
          <w:p w14:paraId="58EE52BF" w14:textId="644C583D" w:rsidR="00BE5237" w:rsidRDefault="00BE5237" w:rsidP="0049003A">
            <w:pPr>
              <w:rPr>
                <w:lang w:val="en-US" w:eastAsia="en-AU"/>
              </w:rPr>
            </w:pPr>
            <w:r>
              <w:t>Annual leave</w:t>
            </w:r>
            <w:r>
              <w:rPr>
                <w:vertAlign w:val="superscript"/>
              </w:rPr>
              <w:t>(a)</w:t>
            </w:r>
          </w:p>
        </w:tc>
        <w:tc>
          <w:tcPr>
            <w:tcW w:w="1276" w:type="dxa"/>
            <w:vAlign w:val="bottom"/>
          </w:tcPr>
          <w:p w14:paraId="49E94313" w14:textId="0DA733E1" w:rsidR="00BE5237" w:rsidRDefault="00BE5237" w:rsidP="0049003A">
            <w:pPr>
              <w:jc w:val="right"/>
              <w:rPr>
                <w:lang w:val="en-US" w:eastAsia="en-AU"/>
              </w:rPr>
            </w:pPr>
            <w:r>
              <w:t xml:space="preserve">                   425 </w:t>
            </w:r>
          </w:p>
        </w:tc>
        <w:tc>
          <w:tcPr>
            <w:tcW w:w="1189" w:type="dxa"/>
            <w:vAlign w:val="bottom"/>
          </w:tcPr>
          <w:p w14:paraId="14BF1A01" w14:textId="627DFD4D" w:rsidR="00BE5237" w:rsidRDefault="00BE5237" w:rsidP="0049003A">
            <w:pPr>
              <w:jc w:val="right"/>
              <w:rPr>
                <w:lang w:val="en-US" w:eastAsia="en-AU"/>
              </w:rPr>
            </w:pPr>
            <w:r>
              <w:t xml:space="preserve">                                      394 </w:t>
            </w:r>
          </w:p>
        </w:tc>
      </w:tr>
      <w:tr w:rsidR="00BE5237" w14:paraId="1CA4B0E6" w14:textId="461645CF" w:rsidTr="00BE5237">
        <w:trPr>
          <w:trHeight w:val="872"/>
        </w:trPr>
        <w:tc>
          <w:tcPr>
            <w:tcW w:w="6521" w:type="dxa"/>
            <w:vAlign w:val="bottom"/>
          </w:tcPr>
          <w:p w14:paraId="1E763B54" w14:textId="5FE20548" w:rsidR="00BE5237" w:rsidRDefault="00BE5237" w:rsidP="0049003A">
            <w:pPr>
              <w:rPr>
                <w:lang w:val="en-US" w:eastAsia="en-AU"/>
              </w:rPr>
            </w:pPr>
            <w:r>
              <w:t>Long service leave</w:t>
            </w:r>
            <w:r>
              <w:rPr>
                <w:vertAlign w:val="superscript"/>
              </w:rPr>
              <w:t>(b)</w:t>
            </w:r>
          </w:p>
        </w:tc>
        <w:tc>
          <w:tcPr>
            <w:tcW w:w="1276" w:type="dxa"/>
            <w:vAlign w:val="bottom"/>
          </w:tcPr>
          <w:p w14:paraId="38CED851" w14:textId="166B6684" w:rsidR="00BE5237" w:rsidRDefault="00BE5237" w:rsidP="0049003A">
            <w:pPr>
              <w:jc w:val="right"/>
              <w:rPr>
                <w:lang w:val="en-US" w:eastAsia="en-AU"/>
              </w:rPr>
            </w:pPr>
            <w:r>
              <w:t xml:space="preserve">                 2,219 </w:t>
            </w:r>
          </w:p>
        </w:tc>
        <w:tc>
          <w:tcPr>
            <w:tcW w:w="1189" w:type="dxa"/>
            <w:vAlign w:val="bottom"/>
          </w:tcPr>
          <w:p w14:paraId="724D5AE3" w14:textId="31488CE0" w:rsidR="00BE5237" w:rsidRDefault="00BE5237" w:rsidP="0049003A">
            <w:pPr>
              <w:jc w:val="right"/>
              <w:rPr>
                <w:lang w:val="en-US" w:eastAsia="en-AU"/>
              </w:rPr>
            </w:pPr>
            <w:r>
              <w:t xml:space="preserve">                                   2,415 </w:t>
            </w:r>
          </w:p>
        </w:tc>
      </w:tr>
      <w:tr w:rsidR="00BE5237" w14:paraId="0369D60B" w14:textId="72402D63" w:rsidTr="00BE5237">
        <w:trPr>
          <w:trHeight w:val="872"/>
        </w:trPr>
        <w:tc>
          <w:tcPr>
            <w:tcW w:w="6521" w:type="dxa"/>
            <w:vAlign w:val="bottom"/>
          </w:tcPr>
          <w:p w14:paraId="752339E6" w14:textId="7CF19549" w:rsidR="00BE5237" w:rsidRDefault="00BE5237" w:rsidP="0049003A">
            <w:pPr>
              <w:rPr>
                <w:lang w:val="en-US" w:eastAsia="en-AU"/>
              </w:rPr>
            </w:pPr>
            <w:r>
              <w:t>Superannuation</w:t>
            </w:r>
            <w:r>
              <w:rPr>
                <w:vertAlign w:val="superscript"/>
              </w:rPr>
              <w:t>(d)</w:t>
            </w:r>
          </w:p>
        </w:tc>
        <w:tc>
          <w:tcPr>
            <w:tcW w:w="1276" w:type="dxa"/>
            <w:tcBorders>
              <w:bottom w:val="single" w:sz="4" w:space="0" w:color="auto"/>
            </w:tcBorders>
            <w:vAlign w:val="bottom"/>
          </w:tcPr>
          <w:p w14:paraId="63711E4B" w14:textId="47514CAF" w:rsidR="00BE5237" w:rsidRDefault="00BE5237" w:rsidP="0049003A">
            <w:pPr>
              <w:jc w:val="right"/>
              <w:rPr>
                <w:lang w:val="en-US" w:eastAsia="en-AU"/>
              </w:rPr>
            </w:pPr>
            <w:r>
              <w:t xml:space="preserve">                   750 </w:t>
            </w:r>
          </w:p>
        </w:tc>
        <w:tc>
          <w:tcPr>
            <w:tcW w:w="1189" w:type="dxa"/>
            <w:tcBorders>
              <w:bottom w:val="single" w:sz="4" w:space="0" w:color="auto"/>
            </w:tcBorders>
            <w:vAlign w:val="bottom"/>
          </w:tcPr>
          <w:p w14:paraId="05A41943" w14:textId="14F7B137" w:rsidR="00BE5237" w:rsidRDefault="00BE5237" w:rsidP="0049003A">
            <w:pPr>
              <w:jc w:val="right"/>
              <w:rPr>
                <w:lang w:val="en-US" w:eastAsia="en-AU"/>
              </w:rPr>
            </w:pPr>
            <w:r>
              <w:t xml:space="preserve">                                      562 </w:t>
            </w:r>
          </w:p>
        </w:tc>
      </w:tr>
      <w:tr w:rsidR="00BE5237" w14:paraId="752FAF31" w14:textId="3B5FFB19" w:rsidTr="00BE5237">
        <w:trPr>
          <w:trHeight w:val="872"/>
        </w:trPr>
        <w:tc>
          <w:tcPr>
            <w:tcW w:w="6521" w:type="dxa"/>
          </w:tcPr>
          <w:p w14:paraId="0E45080A" w14:textId="77777777" w:rsidR="00BE5237" w:rsidRDefault="00BE5237" w:rsidP="0049003A">
            <w:pPr>
              <w:rPr>
                <w:lang w:val="en-US" w:eastAsia="en-AU"/>
              </w:rPr>
            </w:pPr>
          </w:p>
        </w:tc>
        <w:tc>
          <w:tcPr>
            <w:tcW w:w="1276" w:type="dxa"/>
            <w:tcBorders>
              <w:top w:val="single" w:sz="4" w:space="0" w:color="auto"/>
              <w:bottom w:val="double" w:sz="4" w:space="0" w:color="auto"/>
            </w:tcBorders>
            <w:vAlign w:val="bottom"/>
          </w:tcPr>
          <w:p w14:paraId="09522946" w14:textId="7D564413" w:rsidR="00BE5237" w:rsidRDefault="00BE5237" w:rsidP="0049003A">
            <w:pPr>
              <w:jc w:val="right"/>
              <w:rPr>
                <w:lang w:val="en-US" w:eastAsia="en-AU"/>
              </w:rPr>
            </w:pPr>
            <w:r>
              <w:t xml:space="preserve">                 3,394 </w:t>
            </w:r>
          </w:p>
        </w:tc>
        <w:tc>
          <w:tcPr>
            <w:tcW w:w="1189" w:type="dxa"/>
            <w:tcBorders>
              <w:top w:val="single" w:sz="4" w:space="0" w:color="auto"/>
              <w:bottom w:val="double" w:sz="4" w:space="0" w:color="auto"/>
            </w:tcBorders>
            <w:vAlign w:val="bottom"/>
          </w:tcPr>
          <w:p w14:paraId="30061A67" w14:textId="717E7679" w:rsidR="00BE5237" w:rsidRDefault="00BE5237" w:rsidP="0049003A">
            <w:pPr>
              <w:jc w:val="right"/>
              <w:rPr>
                <w:lang w:val="en-US" w:eastAsia="en-AU"/>
              </w:rPr>
            </w:pPr>
            <w:r>
              <w:t xml:space="preserve">                                   3,371 </w:t>
            </w:r>
          </w:p>
        </w:tc>
      </w:tr>
      <w:tr w:rsidR="00BE5237" w14:paraId="7D02B50F" w14:textId="24982FBF" w:rsidTr="00BE5237">
        <w:trPr>
          <w:trHeight w:val="556"/>
        </w:trPr>
        <w:tc>
          <w:tcPr>
            <w:tcW w:w="6521" w:type="dxa"/>
          </w:tcPr>
          <w:p w14:paraId="4160D978" w14:textId="3A3B9E02" w:rsidR="00BE5237" w:rsidRPr="0049003A" w:rsidRDefault="00BE5237" w:rsidP="0049003A">
            <w:pPr>
              <w:rPr>
                <w:i/>
                <w:lang w:val="en-US" w:eastAsia="en-AU"/>
              </w:rPr>
            </w:pPr>
            <w:r>
              <w:rPr>
                <w:i/>
                <w:lang w:val="en-US" w:eastAsia="en-AU"/>
              </w:rPr>
              <w:t xml:space="preserve">Other provisions </w:t>
            </w:r>
          </w:p>
        </w:tc>
        <w:tc>
          <w:tcPr>
            <w:tcW w:w="1276" w:type="dxa"/>
            <w:tcBorders>
              <w:top w:val="double" w:sz="4" w:space="0" w:color="auto"/>
            </w:tcBorders>
          </w:tcPr>
          <w:p w14:paraId="3B83B55F" w14:textId="77777777" w:rsidR="00BE5237" w:rsidRDefault="00BE5237" w:rsidP="0049003A">
            <w:pPr>
              <w:rPr>
                <w:lang w:val="en-US" w:eastAsia="en-AU"/>
              </w:rPr>
            </w:pPr>
          </w:p>
        </w:tc>
        <w:tc>
          <w:tcPr>
            <w:tcW w:w="1189" w:type="dxa"/>
            <w:tcBorders>
              <w:top w:val="double" w:sz="4" w:space="0" w:color="auto"/>
            </w:tcBorders>
          </w:tcPr>
          <w:p w14:paraId="46D1E31D" w14:textId="77777777" w:rsidR="00BE5237" w:rsidRDefault="00BE5237" w:rsidP="0049003A">
            <w:pPr>
              <w:rPr>
                <w:lang w:val="en-US" w:eastAsia="en-AU"/>
              </w:rPr>
            </w:pPr>
          </w:p>
        </w:tc>
      </w:tr>
      <w:tr w:rsidR="00BE5237" w14:paraId="0439274B" w14:textId="46A8B1A0" w:rsidTr="00BE5237">
        <w:trPr>
          <w:trHeight w:val="872"/>
        </w:trPr>
        <w:tc>
          <w:tcPr>
            <w:tcW w:w="6521" w:type="dxa"/>
          </w:tcPr>
          <w:p w14:paraId="6BE9055F" w14:textId="68B63AEA" w:rsidR="00BE5237" w:rsidRPr="0049003A" w:rsidRDefault="00BE5237" w:rsidP="0049003A">
            <w:pPr>
              <w:rPr>
                <w:lang w:eastAsia="en-AU"/>
              </w:rPr>
            </w:pPr>
            <w:r>
              <w:t>Employment on-costs</w:t>
            </w:r>
            <w:r>
              <w:rPr>
                <w:vertAlign w:val="superscript"/>
              </w:rPr>
              <w:t>(c)</w:t>
            </w:r>
          </w:p>
        </w:tc>
        <w:tc>
          <w:tcPr>
            <w:tcW w:w="1276" w:type="dxa"/>
            <w:tcBorders>
              <w:bottom w:val="single" w:sz="4" w:space="0" w:color="auto"/>
            </w:tcBorders>
            <w:vAlign w:val="bottom"/>
          </w:tcPr>
          <w:p w14:paraId="657FF057" w14:textId="56B08B7A" w:rsidR="00BE5237" w:rsidRDefault="00BE5237" w:rsidP="0049003A">
            <w:pPr>
              <w:jc w:val="right"/>
              <w:rPr>
                <w:lang w:val="en-US" w:eastAsia="en-AU"/>
              </w:rPr>
            </w:pPr>
            <w:r>
              <w:t xml:space="preserve">                   153 </w:t>
            </w:r>
          </w:p>
        </w:tc>
        <w:tc>
          <w:tcPr>
            <w:tcW w:w="1189" w:type="dxa"/>
            <w:tcBorders>
              <w:bottom w:val="single" w:sz="4" w:space="0" w:color="auto"/>
            </w:tcBorders>
            <w:vAlign w:val="bottom"/>
          </w:tcPr>
          <w:p w14:paraId="783429EB" w14:textId="4DE39911" w:rsidR="00BE5237" w:rsidRDefault="00BE5237" w:rsidP="0049003A">
            <w:pPr>
              <w:jc w:val="right"/>
              <w:rPr>
                <w:lang w:val="en-US" w:eastAsia="en-AU"/>
              </w:rPr>
            </w:pPr>
            <w:r>
              <w:t xml:space="preserve">                                      167 </w:t>
            </w:r>
          </w:p>
        </w:tc>
      </w:tr>
      <w:tr w:rsidR="00BE5237" w14:paraId="6BC4B5E1" w14:textId="01218B22" w:rsidTr="00BE5237">
        <w:trPr>
          <w:trHeight w:val="872"/>
        </w:trPr>
        <w:tc>
          <w:tcPr>
            <w:tcW w:w="6521" w:type="dxa"/>
          </w:tcPr>
          <w:p w14:paraId="1FA512BC" w14:textId="77777777" w:rsidR="00BE5237" w:rsidRDefault="00BE5237" w:rsidP="0049003A">
            <w:pPr>
              <w:rPr>
                <w:lang w:val="en-US" w:eastAsia="en-AU"/>
              </w:rPr>
            </w:pPr>
          </w:p>
        </w:tc>
        <w:tc>
          <w:tcPr>
            <w:tcW w:w="1276" w:type="dxa"/>
            <w:tcBorders>
              <w:top w:val="single" w:sz="4" w:space="0" w:color="auto"/>
              <w:bottom w:val="single" w:sz="4" w:space="0" w:color="auto"/>
            </w:tcBorders>
            <w:vAlign w:val="bottom"/>
          </w:tcPr>
          <w:p w14:paraId="1ACC6967" w14:textId="2F740189" w:rsidR="00BE5237" w:rsidRDefault="00BE5237" w:rsidP="0049003A">
            <w:pPr>
              <w:jc w:val="right"/>
              <w:rPr>
                <w:lang w:val="en-US" w:eastAsia="en-AU"/>
              </w:rPr>
            </w:pPr>
            <w:r>
              <w:t xml:space="preserve">                   153 </w:t>
            </w:r>
          </w:p>
        </w:tc>
        <w:tc>
          <w:tcPr>
            <w:tcW w:w="1189" w:type="dxa"/>
            <w:tcBorders>
              <w:top w:val="single" w:sz="4" w:space="0" w:color="auto"/>
              <w:bottom w:val="single" w:sz="4" w:space="0" w:color="auto"/>
            </w:tcBorders>
            <w:vAlign w:val="bottom"/>
          </w:tcPr>
          <w:p w14:paraId="2EF44340" w14:textId="106BAEE0" w:rsidR="00BE5237" w:rsidRDefault="00BE5237" w:rsidP="0049003A">
            <w:pPr>
              <w:jc w:val="right"/>
              <w:rPr>
                <w:lang w:val="en-US" w:eastAsia="en-AU"/>
              </w:rPr>
            </w:pPr>
            <w:r>
              <w:t xml:space="preserve">                                      167 </w:t>
            </w:r>
          </w:p>
        </w:tc>
      </w:tr>
      <w:tr w:rsidR="00BE5237" w14:paraId="2279C593" w14:textId="70EE365C" w:rsidTr="00BE5237">
        <w:trPr>
          <w:trHeight w:val="872"/>
        </w:trPr>
        <w:tc>
          <w:tcPr>
            <w:tcW w:w="6521" w:type="dxa"/>
            <w:vAlign w:val="center"/>
          </w:tcPr>
          <w:p w14:paraId="74826B73" w14:textId="69274E0B" w:rsidR="00BE5237" w:rsidRPr="0049003A" w:rsidRDefault="00BE5237" w:rsidP="0049003A">
            <w:pPr>
              <w:rPr>
                <w:b/>
                <w:lang w:eastAsia="en-AU"/>
              </w:rPr>
            </w:pPr>
            <w:r w:rsidRPr="0049003A">
              <w:rPr>
                <w:b/>
              </w:rPr>
              <w:t>Total current provisions</w:t>
            </w:r>
          </w:p>
        </w:tc>
        <w:tc>
          <w:tcPr>
            <w:tcW w:w="1276" w:type="dxa"/>
            <w:tcBorders>
              <w:top w:val="single" w:sz="4" w:space="0" w:color="auto"/>
              <w:bottom w:val="double" w:sz="4" w:space="0" w:color="auto"/>
            </w:tcBorders>
            <w:vAlign w:val="bottom"/>
          </w:tcPr>
          <w:p w14:paraId="4A611E93" w14:textId="02C70322" w:rsidR="00BE5237" w:rsidRPr="0049003A" w:rsidRDefault="00BE5237" w:rsidP="0049003A">
            <w:pPr>
              <w:jc w:val="right"/>
              <w:rPr>
                <w:b/>
                <w:lang w:val="en-US" w:eastAsia="en-AU"/>
              </w:rPr>
            </w:pPr>
            <w:r w:rsidRPr="0049003A">
              <w:rPr>
                <w:b/>
              </w:rPr>
              <w:t xml:space="preserve">                 3,547 </w:t>
            </w:r>
          </w:p>
        </w:tc>
        <w:tc>
          <w:tcPr>
            <w:tcW w:w="1189" w:type="dxa"/>
            <w:tcBorders>
              <w:top w:val="single" w:sz="4" w:space="0" w:color="auto"/>
              <w:bottom w:val="double" w:sz="4" w:space="0" w:color="auto"/>
            </w:tcBorders>
            <w:vAlign w:val="bottom"/>
          </w:tcPr>
          <w:p w14:paraId="0ADEDABA" w14:textId="27CFD02C" w:rsidR="00BE5237" w:rsidRPr="0049003A" w:rsidRDefault="00BE5237" w:rsidP="0049003A">
            <w:pPr>
              <w:jc w:val="right"/>
              <w:rPr>
                <w:b/>
                <w:lang w:val="en-US" w:eastAsia="en-AU"/>
              </w:rPr>
            </w:pPr>
            <w:r w:rsidRPr="0049003A">
              <w:rPr>
                <w:b/>
              </w:rPr>
              <w:t xml:space="preserve">                                   3,538 </w:t>
            </w:r>
          </w:p>
        </w:tc>
      </w:tr>
      <w:tr w:rsidR="00BE5237" w14:paraId="39EBE514" w14:textId="3CE7A18D" w:rsidTr="00BE5237">
        <w:trPr>
          <w:trHeight w:val="541"/>
        </w:trPr>
        <w:tc>
          <w:tcPr>
            <w:tcW w:w="6521" w:type="dxa"/>
          </w:tcPr>
          <w:p w14:paraId="349D4E21" w14:textId="7A0161B1" w:rsidR="00BE5237" w:rsidRPr="0049003A" w:rsidRDefault="00BE5237" w:rsidP="0049003A">
            <w:pPr>
              <w:rPr>
                <w:u w:val="single"/>
                <w:lang w:eastAsia="en-AU"/>
              </w:rPr>
            </w:pPr>
            <w:r w:rsidRPr="0049003A">
              <w:rPr>
                <w:u w:val="single"/>
              </w:rPr>
              <w:t>Non-current</w:t>
            </w:r>
          </w:p>
        </w:tc>
        <w:tc>
          <w:tcPr>
            <w:tcW w:w="1276" w:type="dxa"/>
            <w:tcBorders>
              <w:top w:val="double" w:sz="4" w:space="0" w:color="auto"/>
            </w:tcBorders>
          </w:tcPr>
          <w:p w14:paraId="11CB0489" w14:textId="77777777" w:rsidR="00BE5237" w:rsidRDefault="00BE5237" w:rsidP="0049003A">
            <w:pPr>
              <w:rPr>
                <w:lang w:val="en-US" w:eastAsia="en-AU"/>
              </w:rPr>
            </w:pPr>
          </w:p>
        </w:tc>
        <w:tc>
          <w:tcPr>
            <w:tcW w:w="1189" w:type="dxa"/>
            <w:tcBorders>
              <w:top w:val="double" w:sz="4" w:space="0" w:color="auto"/>
            </w:tcBorders>
          </w:tcPr>
          <w:p w14:paraId="3479A641" w14:textId="77777777" w:rsidR="00BE5237" w:rsidRDefault="00BE5237" w:rsidP="0049003A">
            <w:pPr>
              <w:rPr>
                <w:lang w:val="en-US" w:eastAsia="en-AU"/>
              </w:rPr>
            </w:pPr>
          </w:p>
        </w:tc>
      </w:tr>
      <w:tr w:rsidR="00BE5237" w14:paraId="7A98198D" w14:textId="72362892" w:rsidTr="00BE5237">
        <w:trPr>
          <w:trHeight w:val="872"/>
        </w:trPr>
        <w:tc>
          <w:tcPr>
            <w:tcW w:w="6521" w:type="dxa"/>
            <w:vAlign w:val="bottom"/>
          </w:tcPr>
          <w:p w14:paraId="29C00576" w14:textId="6A3C3419" w:rsidR="00BE5237" w:rsidRDefault="00BE5237" w:rsidP="0049003A">
            <w:pPr>
              <w:rPr>
                <w:lang w:val="en-US" w:eastAsia="en-AU"/>
              </w:rPr>
            </w:pPr>
            <w:r>
              <w:t>Long service leave</w:t>
            </w:r>
            <w:r>
              <w:rPr>
                <w:vertAlign w:val="superscript"/>
              </w:rPr>
              <w:t>(b)</w:t>
            </w:r>
          </w:p>
        </w:tc>
        <w:tc>
          <w:tcPr>
            <w:tcW w:w="1276" w:type="dxa"/>
            <w:vAlign w:val="bottom"/>
          </w:tcPr>
          <w:p w14:paraId="469E4780" w14:textId="4D885F69" w:rsidR="00BE5237" w:rsidRDefault="00BE5237" w:rsidP="0049003A">
            <w:pPr>
              <w:jc w:val="right"/>
              <w:rPr>
                <w:lang w:val="en-US" w:eastAsia="en-AU"/>
              </w:rPr>
            </w:pPr>
            <w:r>
              <w:t xml:space="preserve">                   538 </w:t>
            </w:r>
          </w:p>
        </w:tc>
        <w:tc>
          <w:tcPr>
            <w:tcW w:w="1189" w:type="dxa"/>
            <w:vAlign w:val="bottom"/>
          </w:tcPr>
          <w:p w14:paraId="4129C5DA" w14:textId="03C127D3" w:rsidR="00BE5237" w:rsidRDefault="00BE5237" w:rsidP="0049003A">
            <w:pPr>
              <w:jc w:val="right"/>
              <w:rPr>
                <w:lang w:val="en-US" w:eastAsia="en-AU"/>
              </w:rPr>
            </w:pPr>
            <w:r>
              <w:t xml:space="preserve">                                      547 </w:t>
            </w:r>
          </w:p>
        </w:tc>
      </w:tr>
      <w:tr w:rsidR="00BE5237" w14:paraId="2AC9DF48" w14:textId="23384CA7" w:rsidTr="00BE5237">
        <w:trPr>
          <w:trHeight w:val="887"/>
        </w:trPr>
        <w:tc>
          <w:tcPr>
            <w:tcW w:w="6521" w:type="dxa"/>
            <w:vAlign w:val="bottom"/>
          </w:tcPr>
          <w:p w14:paraId="381942DD" w14:textId="22A78251" w:rsidR="00BE5237" w:rsidRDefault="00BE5237" w:rsidP="0049003A">
            <w:pPr>
              <w:rPr>
                <w:lang w:val="en-US" w:eastAsia="en-AU"/>
              </w:rPr>
            </w:pPr>
            <w:r>
              <w:t>Superannuation</w:t>
            </w:r>
            <w:r>
              <w:rPr>
                <w:vertAlign w:val="superscript"/>
              </w:rPr>
              <w:t>(d)</w:t>
            </w:r>
          </w:p>
        </w:tc>
        <w:tc>
          <w:tcPr>
            <w:tcW w:w="1276" w:type="dxa"/>
            <w:tcBorders>
              <w:bottom w:val="single" w:sz="4" w:space="0" w:color="auto"/>
            </w:tcBorders>
            <w:vAlign w:val="bottom"/>
          </w:tcPr>
          <w:p w14:paraId="3C26EFE0" w14:textId="2421739D" w:rsidR="00BE5237" w:rsidRDefault="00BE5237" w:rsidP="0049003A">
            <w:pPr>
              <w:jc w:val="right"/>
              <w:rPr>
                <w:lang w:val="en-US" w:eastAsia="en-AU"/>
              </w:rPr>
            </w:pPr>
            <w:r>
              <w:t xml:space="preserve">                 4,738 </w:t>
            </w:r>
          </w:p>
        </w:tc>
        <w:tc>
          <w:tcPr>
            <w:tcW w:w="1189" w:type="dxa"/>
            <w:tcBorders>
              <w:bottom w:val="single" w:sz="4" w:space="0" w:color="auto"/>
            </w:tcBorders>
            <w:vAlign w:val="bottom"/>
          </w:tcPr>
          <w:p w14:paraId="3CCD4B2D" w14:textId="325D1D16" w:rsidR="00BE5237" w:rsidRDefault="00BE5237" w:rsidP="0049003A">
            <w:pPr>
              <w:jc w:val="right"/>
              <w:rPr>
                <w:lang w:val="en-US" w:eastAsia="en-AU"/>
              </w:rPr>
            </w:pPr>
            <w:r>
              <w:t xml:space="preserve">                                   4,884 </w:t>
            </w:r>
          </w:p>
        </w:tc>
      </w:tr>
      <w:tr w:rsidR="00BE5237" w14:paraId="0E8C28BD" w14:textId="004791DD" w:rsidTr="00BE5237">
        <w:trPr>
          <w:trHeight w:val="1187"/>
        </w:trPr>
        <w:tc>
          <w:tcPr>
            <w:tcW w:w="6521" w:type="dxa"/>
          </w:tcPr>
          <w:p w14:paraId="1D879025" w14:textId="75E7D7CF" w:rsidR="00BE5237" w:rsidRDefault="00BE5237" w:rsidP="0049003A">
            <w:pPr>
              <w:rPr>
                <w:lang w:val="en-US" w:eastAsia="en-AU"/>
              </w:rPr>
            </w:pPr>
            <w:r>
              <w:rPr>
                <w:lang w:val="en-US" w:eastAsia="en-AU"/>
              </w:rPr>
              <w:br/>
            </w:r>
            <w:r>
              <w:rPr>
                <w:lang w:val="en-US" w:eastAsia="en-AU"/>
              </w:rPr>
              <w:br/>
            </w:r>
          </w:p>
        </w:tc>
        <w:tc>
          <w:tcPr>
            <w:tcW w:w="1276" w:type="dxa"/>
            <w:tcBorders>
              <w:top w:val="single" w:sz="4" w:space="0" w:color="auto"/>
            </w:tcBorders>
            <w:vAlign w:val="bottom"/>
          </w:tcPr>
          <w:p w14:paraId="74B19DC0" w14:textId="3931A0AC" w:rsidR="00BE5237" w:rsidRDefault="00BE5237" w:rsidP="00302760">
            <w:pPr>
              <w:jc w:val="right"/>
              <w:rPr>
                <w:lang w:val="en-US" w:eastAsia="en-AU"/>
              </w:rPr>
            </w:pPr>
            <w:r>
              <w:t xml:space="preserve">                 5,276 </w:t>
            </w:r>
          </w:p>
        </w:tc>
        <w:tc>
          <w:tcPr>
            <w:tcW w:w="1189" w:type="dxa"/>
            <w:tcBorders>
              <w:top w:val="single" w:sz="4" w:space="0" w:color="auto"/>
            </w:tcBorders>
            <w:vAlign w:val="bottom"/>
          </w:tcPr>
          <w:p w14:paraId="5CFDC56F" w14:textId="3FEDAB7E" w:rsidR="00BE5237" w:rsidRDefault="00BE5237" w:rsidP="0049003A">
            <w:pPr>
              <w:jc w:val="right"/>
              <w:rPr>
                <w:lang w:val="en-US" w:eastAsia="en-AU"/>
              </w:rPr>
            </w:pPr>
            <w:r>
              <w:t xml:space="preserve">                                   5,431 </w:t>
            </w:r>
          </w:p>
        </w:tc>
      </w:tr>
      <w:tr w:rsidR="00BE5237" w14:paraId="2C53FEEE" w14:textId="77777777" w:rsidTr="00BE5237">
        <w:trPr>
          <w:trHeight w:val="556"/>
        </w:trPr>
        <w:tc>
          <w:tcPr>
            <w:tcW w:w="6521" w:type="dxa"/>
          </w:tcPr>
          <w:p w14:paraId="52170D98" w14:textId="54BE9841" w:rsidR="00BE5237" w:rsidRPr="0049003A" w:rsidRDefault="00BE5237" w:rsidP="0049003A">
            <w:pPr>
              <w:rPr>
                <w:i/>
                <w:lang w:val="en-US" w:eastAsia="en-AU"/>
              </w:rPr>
            </w:pPr>
            <w:r>
              <w:rPr>
                <w:i/>
                <w:lang w:val="en-US" w:eastAsia="en-AU"/>
              </w:rPr>
              <w:t>Other provisions</w:t>
            </w:r>
          </w:p>
        </w:tc>
        <w:tc>
          <w:tcPr>
            <w:tcW w:w="1276" w:type="dxa"/>
            <w:tcBorders>
              <w:top w:val="single" w:sz="4" w:space="0" w:color="auto"/>
            </w:tcBorders>
            <w:vAlign w:val="bottom"/>
          </w:tcPr>
          <w:p w14:paraId="59716931" w14:textId="77777777" w:rsidR="00BE5237" w:rsidRDefault="00BE5237" w:rsidP="0049003A">
            <w:pPr>
              <w:jc w:val="right"/>
            </w:pPr>
          </w:p>
        </w:tc>
        <w:tc>
          <w:tcPr>
            <w:tcW w:w="1189" w:type="dxa"/>
            <w:tcBorders>
              <w:top w:val="single" w:sz="4" w:space="0" w:color="auto"/>
            </w:tcBorders>
            <w:vAlign w:val="bottom"/>
          </w:tcPr>
          <w:p w14:paraId="6EDD68FF" w14:textId="77777777" w:rsidR="00BE5237" w:rsidRDefault="00BE5237" w:rsidP="0049003A">
            <w:pPr>
              <w:jc w:val="right"/>
            </w:pPr>
          </w:p>
        </w:tc>
      </w:tr>
      <w:tr w:rsidR="00BE5237" w14:paraId="27D33F18" w14:textId="77777777" w:rsidTr="00BE5237">
        <w:trPr>
          <w:trHeight w:val="872"/>
        </w:trPr>
        <w:tc>
          <w:tcPr>
            <w:tcW w:w="6521" w:type="dxa"/>
            <w:vAlign w:val="center"/>
          </w:tcPr>
          <w:p w14:paraId="188CCDB1" w14:textId="68E3EF46" w:rsidR="00BE5237" w:rsidRPr="0049003A" w:rsidRDefault="00BE5237" w:rsidP="0049003A">
            <w:pPr>
              <w:rPr>
                <w:lang w:eastAsia="en-AU"/>
              </w:rPr>
            </w:pPr>
            <w:r>
              <w:t>Employment on-costs</w:t>
            </w:r>
            <w:r>
              <w:rPr>
                <w:vertAlign w:val="superscript"/>
              </w:rPr>
              <w:t>(c)</w:t>
            </w:r>
          </w:p>
        </w:tc>
        <w:tc>
          <w:tcPr>
            <w:tcW w:w="1276" w:type="dxa"/>
            <w:tcBorders>
              <w:bottom w:val="single" w:sz="4" w:space="0" w:color="auto"/>
            </w:tcBorders>
            <w:vAlign w:val="bottom"/>
          </w:tcPr>
          <w:p w14:paraId="6CBBB7DF" w14:textId="13954423" w:rsidR="00BE5237" w:rsidRDefault="00BE5237" w:rsidP="0049003A">
            <w:pPr>
              <w:jc w:val="right"/>
            </w:pPr>
            <w:r>
              <w:t xml:space="preserve">                     32 </w:t>
            </w:r>
          </w:p>
        </w:tc>
        <w:tc>
          <w:tcPr>
            <w:tcW w:w="1189" w:type="dxa"/>
            <w:tcBorders>
              <w:bottom w:val="single" w:sz="4" w:space="0" w:color="auto"/>
            </w:tcBorders>
            <w:vAlign w:val="bottom"/>
          </w:tcPr>
          <w:p w14:paraId="7889C52B" w14:textId="60639F85" w:rsidR="00BE5237" w:rsidRDefault="00BE5237" w:rsidP="0049003A">
            <w:pPr>
              <w:jc w:val="right"/>
            </w:pPr>
            <w:r>
              <w:t xml:space="preserve">                                        33 </w:t>
            </w:r>
          </w:p>
        </w:tc>
      </w:tr>
      <w:tr w:rsidR="00BE5237" w14:paraId="670D8EFE" w14:textId="77777777" w:rsidTr="00BE5237">
        <w:trPr>
          <w:trHeight w:val="872"/>
        </w:trPr>
        <w:tc>
          <w:tcPr>
            <w:tcW w:w="6521" w:type="dxa"/>
          </w:tcPr>
          <w:p w14:paraId="75742A95" w14:textId="77777777" w:rsidR="00BE5237" w:rsidRDefault="00BE5237" w:rsidP="0049003A"/>
        </w:tc>
        <w:tc>
          <w:tcPr>
            <w:tcW w:w="1276" w:type="dxa"/>
            <w:tcBorders>
              <w:top w:val="single" w:sz="4" w:space="0" w:color="auto"/>
              <w:bottom w:val="single" w:sz="4" w:space="0" w:color="auto"/>
            </w:tcBorders>
            <w:vAlign w:val="bottom"/>
          </w:tcPr>
          <w:p w14:paraId="04929CEE" w14:textId="68EBA2FB" w:rsidR="00BE5237" w:rsidRDefault="00BE5237" w:rsidP="0049003A">
            <w:pPr>
              <w:jc w:val="right"/>
            </w:pPr>
            <w:r>
              <w:t xml:space="preserve">                     32 </w:t>
            </w:r>
          </w:p>
        </w:tc>
        <w:tc>
          <w:tcPr>
            <w:tcW w:w="1189" w:type="dxa"/>
            <w:tcBorders>
              <w:top w:val="single" w:sz="4" w:space="0" w:color="auto"/>
              <w:bottom w:val="single" w:sz="4" w:space="0" w:color="auto"/>
            </w:tcBorders>
            <w:vAlign w:val="bottom"/>
          </w:tcPr>
          <w:p w14:paraId="079B0140" w14:textId="32D86614" w:rsidR="00BE5237" w:rsidRDefault="00BE5237" w:rsidP="0049003A">
            <w:pPr>
              <w:jc w:val="right"/>
            </w:pPr>
            <w:r>
              <w:t xml:space="preserve">                                        33 </w:t>
            </w:r>
          </w:p>
        </w:tc>
      </w:tr>
      <w:tr w:rsidR="00BE5237" w14:paraId="58631472" w14:textId="77777777" w:rsidTr="00BE5237">
        <w:trPr>
          <w:trHeight w:val="541"/>
        </w:trPr>
        <w:tc>
          <w:tcPr>
            <w:tcW w:w="6521" w:type="dxa"/>
          </w:tcPr>
          <w:p w14:paraId="5B72D045" w14:textId="6C14314D" w:rsidR="00BE5237" w:rsidRPr="0049003A" w:rsidRDefault="00BE5237" w:rsidP="0049003A">
            <w:pPr>
              <w:rPr>
                <w:b/>
              </w:rPr>
            </w:pPr>
            <w:r>
              <w:rPr>
                <w:b/>
              </w:rPr>
              <w:t>Total non-current provisions</w:t>
            </w:r>
          </w:p>
        </w:tc>
        <w:tc>
          <w:tcPr>
            <w:tcW w:w="1276" w:type="dxa"/>
            <w:tcBorders>
              <w:top w:val="single" w:sz="4" w:space="0" w:color="auto"/>
              <w:bottom w:val="double" w:sz="4" w:space="0" w:color="auto"/>
            </w:tcBorders>
            <w:vAlign w:val="center"/>
          </w:tcPr>
          <w:p w14:paraId="5EACD43C" w14:textId="5DB459A5" w:rsidR="00BE5237" w:rsidRPr="0049003A" w:rsidRDefault="00BE5237" w:rsidP="00302760">
            <w:pPr>
              <w:jc w:val="right"/>
              <w:rPr>
                <w:b/>
              </w:rPr>
            </w:pPr>
            <w:r w:rsidRPr="0049003A">
              <w:rPr>
                <w:b/>
              </w:rPr>
              <w:t>5,308</w:t>
            </w:r>
          </w:p>
        </w:tc>
        <w:tc>
          <w:tcPr>
            <w:tcW w:w="1189" w:type="dxa"/>
            <w:tcBorders>
              <w:top w:val="single" w:sz="4" w:space="0" w:color="auto"/>
              <w:bottom w:val="double" w:sz="4" w:space="0" w:color="auto"/>
            </w:tcBorders>
            <w:vAlign w:val="center"/>
          </w:tcPr>
          <w:p w14:paraId="2756F497" w14:textId="3A851A95" w:rsidR="00BE5237" w:rsidRPr="00302760" w:rsidRDefault="00BE5237" w:rsidP="00302760">
            <w:pPr>
              <w:jc w:val="right"/>
              <w:rPr>
                <w:b/>
              </w:rPr>
            </w:pPr>
            <w:r>
              <w:rPr>
                <w:b/>
              </w:rPr>
              <w:t>5,464</w:t>
            </w:r>
          </w:p>
        </w:tc>
      </w:tr>
    </w:tbl>
    <w:p w14:paraId="3ED16A8A" w14:textId="77777777" w:rsidR="00DC1847" w:rsidRPr="00AA1D0C" w:rsidRDefault="00DC1847" w:rsidP="0049003A">
      <w:pPr>
        <w:rPr>
          <w:lang w:val="en-US" w:eastAsia="en-AU"/>
        </w:rPr>
      </w:pPr>
    </w:p>
    <w:p w14:paraId="2D2DB524" w14:textId="01E3A332" w:rsidR="00AA1D0C" w:rsidRDefault="00302760" w:rsidP="00026A6F">
      <w:pPr>
        <w:pStyle w:val="Heading3nonumber"/>
        <w:numPr>
          <w:ilvl w:val="0"/>
          <w:numId w:val="51"/>
        </w:numPr>
      </w:pPr>
      <w:bookmarkStart w:id="773" w:name="_Toc525122170"/>
      <w:r>
        <w:t>Annual leave liabilities</w:t>
      </w:r>
      <w:bookmarkEnd w:id="773"/>
      <w:r>
        <w:t xml:space="preserve"> </w:t>
      </w:r>
    </w:p>
    <w:p w14:paraId="62DCD016" w14:textId="77777777" w:rsidR="00302760" w:rsidRDefault="00302760" w:rsidP="00302760">
      <w:pPr>
        <w:rPr>
          <w:lang w:eastAsia="en-AU"/>
        </w:rPr>
      </w:pPr>
      <w:r w:rsidRPr="00302760">
        <w:rPr>
          <w:lang w:eastAsia="en-AU"/>
        </w:rPr>
        <w:t>Classified as current as there is no unconditional right to defer settlement for at least 12 months after the end of the reporting period. Assessments indicate that actual settlement of the liabilities is expected to occur as follows:</w:t>
      </w:r>
    </w:p>
    <w:p w14:paraId="4C27D9B9" w14:textId="77777777" w:rsidR="00302760" w:rsidRPr="00302760" w:rsidRDefault="00302760" w:rsidP="00302760">
      <w:pPr>
        <w:rPr>
          <w:lang w:eastAsia="en-AU"/>
        </w:rPr>
      </w:pP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nnual leave liabilities"/>
        <w:tblDescription w:val="This table outlines annual leave liabilities for the last financial year including within 12 months of the end of the reporting period and more than 12 months after the end of the reporting period. "/>
      </w:tblPr>
      <w:tblGrid>
        <w:gridCol w:w="6575"/>
        <w:gridCol w:w="1316"/>
        <w:gridCol w:w="1409"/>
      </w:tblGrid>
      <w:tr w:rsidR="005A4AFA" w14:paraId="4632E715" w14:textId="77777777" w:rsidTr="005A4AFA">
        <w:trPr>
          <w:trHeight w:val="530"/>
          <w:tblHeader/>
        </w:trPr>
        <w:tc>
          <w:tcPr>
            <w:tcW w:w="6575" w:type="dxa"/>
          </w:tcPr>
          <w:p w14:paraId="5640571F" w14:textId="77777777" w:rsidR="005A4AFA" w:rsidRDefault="005A4AFA" w:rsidP="00C5596F"/>
        </w:tc>
        <w:tc>
          <w:tcPr>
            <w:tcW w:w="1316" w:type="dxa"/>
            <w:vAlign w:val="center"/>
          </w:tcPr>
          <w:p w14:paraId="7D5B3705" w14:textId="77777777" w:rsidR="005A4AFA" w:rsidRDefault="005A4AFA" w:rsidP="00C5596F">
            <w:pPr>
              <w:jc w:val="right"/>
            </w:pPr>
            <w:r>
              <w:rPr>
                <w:b/>
              </w:rPr>
              <w:t>2018</w:t>
            </w:r>
            <w:r>
              <w:rPr>
                <w:b/>
              </w:rPr>
              <w:br/>
              <w:t>$000</w:t>
            </w:r>
          </w:p>
        </w:tc>
        <w:tc>
          <w:tcPr>
            <w:tcW w:w="1409" w:type="dxa"/>
            <w:vAlign w:val="center"/>
          </w:tcPr>
          <w:p w14:paraId="2F5AB733" w14:textId="77777777" w:rsidR="005A4AFA" w:rsidRDefault="005A4AFA" w:rsidP="00C5596F">
            <w:pPr>
              <w:jc w:val="right"/>
            </w:pPr>
            <w:r>
              <w:rPr>
                <w:b/>
              </w:rPr>
              <w:t>2017</w:t>
            </w:r>
            <w:r>
              <w:rPr>
                <w:b/>
              </w:rPr>
              <w:br/>
              <w:t>$000</w:t>
            </w:r>
          </w:p>
        </w:tc>
      </w:tr>
      <w:tr w:rsidR="005A4AFA" w14:paraId="4BB97068" w14:textId="77777777" w:rsidTr="005A4AFA">
        <w:trPr>
          <w:trHeight w:val="530"/>
        </w:trPr>
        <w:tc>
          <w:tcPr>
            <w:tcW w:w="6575" w:type="dxa"/>
            <w:vAlign w:val="bottom"/>
          </w:tcPr>
          <w:p w14:paraId="29D7FC61" w14:textId="12CA0228" w:rsidR="005A4AFA" w:rsidRPr="008F2E8B" w:rsidRDefault="005A4AFA" w:rsidP="005A4AFA">
            <w:pPr>
              <w:rPr>
                <w:lang w:eastAsia="en-AU"/>
              </w:rPr>
            </w:pPr>
            <w:r>
              <w:t>Within 12 months of the end of the reporting period</w:t>
            </w:r>
          </w:p>
        </w:tc>
        <w:tc>
          <w:tcPr>
            <w:tcW w:w="1316" w:type="dxa"/>
            <w:vAlign w:val="bottom"/>
          </w:tcPr>
          <w:p w14:paraId="5DF9D05B" w14:textId="1D53FE7B" w:rsidR="005A4AFA" w:rsidRDefault="005A4AFA" w:rsidP="005A4AFA">
            <w:pPr>
              <w:jc w:val="right"/>
            </w:pPr>
            <w:r>
              <w:t xml:space="preserve">                   366 </w:t>
            </w:r>
          </w:p>
        </w:tc>
        <w:tc>
          <w:tcPr>
            <w:tcW w:w="1409" w:type="dxa"/>
            <w:vAlign w:val="bottom"/>
          </w:tcPr>
          <w:p w14:paraId="53BB18F6" w14:textId="3A568395" w:rsidR="005A4AFA" w:rsidRDefault="005A4AFA" w:rsidP="005A4AFA">
            <w:pPr>
              <w:jc w:val="right"/>
            </w:pPr>
            <w:r>
              <w:t xml:space="preserve">                                      370 </w:t>
            </w:r>
          </w:p>
        </w:tc>
      </w:tr>
      <w:tr w:rsidR="005A4AFA" w14:paraId="587FA166" w14:textId="77777777" w:rsidTr="005A4AFA">
        <w:trPr>
          <w:trHeight w:val="530"/>
        </w:trPr>
        <w:tc>
          <w:tcPr>
            <w:tcW w:w="6575" w:type="dxa"/>
            <w:vAlign w:val="bottom"/>
          </w:tcPr>
          <w:p w14:paraId="48443D5A" w14:textId="6AC177B2" w:rsidR="005A4AFA" w:rsidRDefault="005A4AFA" w:rsidP="005A4AFA">
            <w:r>
              <w:t>More than 12 months after the end of the reporting period</w:t>
            </w:r>
          </w:p>
        </w:tc>
        <w:tc>
          <w:tcPr>
            <w:tcW w:w="1316" w:type="dxa"/>
            <w:tcBorders>
              <w:bottom w:val="single" w:sz="4" w:space="0" w:color="auto"/>
            </w:tcBorders>
            <w:vAlign w:val="bottom"/>
          </w:tcPr>
          <w:p w14:paraId="7CF27C3C" w14:textId="2402CF3C" w:rsidR="005A4AFA" w:rsidRDefault="005A4AFA" w:rsidP="005A4AFA">
            <w:pPr>
              <w:jc w:val="right"/>
            </w:pPr>
            <w:r>
              <w:t xml:space="preserve">                     59 </w:t>
            </w:r>
          </w:p>
        </w:tc>
        <w:tc>
          <w:tcPr>
            <w:tcW w:w="1409" w:type="dxa"/>
            <w:tcBorders>
              <w:bottom w:val="single" w:sz="4" w:space="0" w:color="auto"/>
            </w:tcBorders>
            <w:vAlign w:val="bottom"/>
          </w:tcPr>
          <w:p w14:paraId="7D950221" w14:textId="1AD4FE0D" w:rsidR="005A4AFA" w:rsidRDefault="005A4AFA" w:rsidP="005A4AFA">
            <w:pPr>
              <w:jc w:val="right"/>
            </w:pPr>
            <w:r>
              <w:t xml:space="preserve">                                        24 </w:t>
            </w:r>
          </w:p>
        </w:tc>
      </w:tr>
      <w:tr w:rsidR="005A4AFA" w:rsidRPr="008F2E8B" w14:paraId="71A3E1DE" w14:textId="77777777" w:rsidTr="005A4AFA">
        <w:trPr>
          <w:trHeight w:val="516"/>
        </w:trPr>
        <w:tc>
          <w:tcPr>
            <w:tcW w:w="6575" w:type="dxa"/>
            <w:vAlign w:val="bottom"/>
          </w:tcPr>
          <w:p w14:paraId="241A13DC" w14:textId="77777777" w:rsidR="005A4AFA" w:rsidRDefault="005A4AFA" w:rsidP="005A4AFA">
            <w:pPr>
              <w:rPr>
                <w:lang w:eastAsia="en-AU"/>
              </w:rPr>
            </w:pPr>
          </w:p>
        </w:tc>
        <w:tc>
          <w:tcPr>
            <w:tcW w:w="1316" w:type="dxa"/>
            <w:tcBorders>
              <w:top w:val="single" w:sz="4" w:space="0" w:color="auto"/>
              <w:bottom w:val="double" w:sz="4" w:space="0" w:color="auto"/>
            </w:tcBorders>
            <w:vAlign w:val="bottom"/>
          </w:tcPr>
          <w:p w14:paraId="17789CBE" w14:textId="08F204AE" w:rsidR="005A4AFA" w:rsidRPr="005A4AFA" w:rsidRDefault="005A4AFA" w:rsidP="005A4AFA">
            <w:pPr>
              <w:jc w:val="right"/>
              <w:rPr>
                <w:b/>
              </w:rPr>
            </w:pPr>
            <w:r w:rsidRPr="005A4AFA">
              <w:rPr>
                <w:b/>
              </w:rPr>
              <w:t xml:space="preserve">                   425 </w:t>
            </w:r>
          </w:p>
        </w:tc>
        <w:tc>
          <w:tcPr>
            <w:tcW w:w="1409" w:type="dxa"/>
            <w:tcBorders>
              <w:top w:val="single" w:sz="4" w:space="0" w:color="auto"/>
              <w:bottom w:val="double" w:sz="4" w:space="0" w:color="auto"/>
            </w:tcBorders>
            <w:vAlign w:val="bottom"/>
          </w:tcPr>
          <w:p w14:paraId="0921D2E2" w14:textId="47AA41E1" w:rsidR="005A4AFA" w:rsidRPr="005A4AFA" w:rsidRDefault="005A4AFA" w:rsidP="005A4AFA">
            <w:pPr>
              <w:jc w:val="right"/>
              <w:rPr>
                <w:b/>
              </w:rPr>
            </w:pPr>
            <w:r w:rsidRPr="005A4AFA">
              <w:rPr>
                <w:b/>
              </w:rPr>
              <w:t xml:space="preserve">                                      394 </w:t>
            </w:r>
          </w:p>
        </w:tc>
      </w:tr>
    </w:tbl>
    <w:p w14:paraId="51D20A58" w14:textId="731EA1DB" w:rsidR="00302760" w:rsidRDefault="005A4AFA" w:rsidP="00026A6F">
      <w:pPr>
        <w:pStyle w:val="Heading3nonumber"/>
        <w:numPr>
          <w:ilvl w:val="0"/>
          <w:numId w:val="51"/>
        </w:numPr>
      </w:pPr>
      <w:bookmarkStart w:id="774" w:name="_Toc525122171"/>
      <w:r>
        <w:t>Long service leave liabilities</w:t>
      </w:r>
      <w:bookmarkEnd w:id="774"/>
      <w:r>
        <w:t xml:space="preserve"> </w:t>
      </w:r>
    </w:p>
    <w:p w14:paraId="79A25436" w14:textId="77777777" w:rsidR="005A4AFA" w:rsidRDefault="005A4AFA" w:rsidP="005A4AFA">
      <w:r>
        <w:t>Unconditional long service leave provisions are classified as current liabilities as the Authority does not have an unconditional right to defer settlement of the liability for at least 12 months after the end of the reporting period.</w:t>
      </w:r>
      <w:r>
        <w:tab/>
      </w:r>
      <w:r>
        <w:tab/>
      </w:r>
      <w:r>
        <w:tab/>
      </w:r>
      <w:r>
        <w:tab/>
      </w:r>
      <w:r>
        <w:tab/>
      </w:r>
    </w:p>
    <w:p w14:paraId="6385857D" w14:textId="77777777" w:rsidR="005A4AFA" w:rsidRDefault="005A4AFA" w:rsidP="005A4AFA">
      <w:r>
        <w:tab/>
      </w:r>
      <w:r>
        <w:tab/>
      </w:r>
      <w:r>
        <w:tab/>
      </w:r>
      <w:r>
        <w:tab/>
      </w:r>
      <w:r>
        <w:tab/>
      </w:r>
    </w:p>
    <w:p w14:paraId="145EFF94" w14:textId="77777777" w:rsidR="005A4AFA" w:rsidRDefault="005A4AFA" w:rsidP="005A4AFA">
      <w:r>
        <w:t>Pre-conditional and conditional long service leave provisions are classified as non-current liabilities because the Authority has an unconditional right to defer the settlement of the liability until the employee has completed the requisite years of service.</w:t>
      </w:r>
      <w:r>
        <w:tab/>
      </w:r>
      <w:r>
        <w:tab/>
      </w:r>
      <w:r>
        <w:tab/>
      </w:r>
      <w:r>
        <w:tab/>
      </w:r>
      <w:r>
        <w:tab/>
      </w:r>
    </w:p>
    <w:p w14:paraId="1EFD3673" w14:textId="1B7F8B36" w:rsidR="005A4AFA" w:rsidRPr="00302760" w:rsidRDefault="005A4AFA" w:rsidP="005A4AFA">
      <w:r>
        <w:t>Assessments indicate that actual settlement of the liabilities is expected to occur as follows:</w:t>
      </w:r>
      <w:r>
        <w:tab/>
      </w:r>
      <w:r>
        <w:tab/>
      </w:r>
      <w:r>
        <w:tab/>
      </w:r>
      <w:r>
        <w:tab/>
      </w:r>
      <w:r>
        <w:tab/>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ong service leave liabilities"/>
        <w:tblDescription w:val="This table outlines long service leave liabilities for the last financial year including within 12 months of the end of the reporting period and more than 12 months after the end of the reporting period. "/>
      </w:tblPr>
      <w:tblGrid>
        <w:gridCol w:w="6575"/>
        <w:gridCol w:w="1316"/>
        <w:gridCol w:w="1409"/>
      </w:tblGrid>
      <w:tr w:rsidR="009757DD" w14:paraId="2C12B8B8" w14:textId="77777777" w:rsidTr="00C5596F">
        <w:trPr>
          <w:trHeight w:val="530"/>
          <w:tblHeader/>
        </w:trPr>
        <w:tc>
          <w:tcPr>
            <w:tcW w:w="6575" w:type="dxa"/>
          </w:tcPr>
          <w:p w14:paraId="5B50F34F" w14:textId="77777777" w:rsidR="009757DD" w:rsidRDefault="009757DD" w:rsidP="00C5596F"/>
        </w:tc>
        <w:tc>
          <w:tcPr>
            <w:tcW w:w="1316" w:type="dxa"/>
            <w:vAlign w:val="center"/>
          </w:tcPr>
          <w:p w14:paraId="4B9307A6" w14:textId="77777777" w:rsidR="009757DD" w:rsidRDefault="009757DD" w:rsidP="00C5596F">
            <w:pPr>
              <w:jc w:val="right"/>
            </w:pPr>
            <w:r>
              <w:rPr>
                <w:b/>
              </w:rPr>
              <w:t>2018</w:t>
            </w:r>
            <w:r>
              <w:rPr>
                <w:b/>
              </w:rPr>
              <w:br/>
              <w:t>$000</w:t>
            </w:r>
          </w:p>
        </w:tc>
        <w:tc>
          <w:tcPr>
            <w:tcW w:w="1409" w:type="dxa"/>
            <w:vAlign w:val="center"/>
          </w:tcPr>
          <w:p w14:paraId="62993EFF" w14:textId="77777777" w:rsidR="009757DD" w:rsidRDefault="009757DD" w:rsidP="00C5596F">
            <w:pPr>
              <w:jc w:val="right"/>
            </w:pPr>
            <w:r>
              <w:rPr>
                <w:b/>
              </w:rPr>
              <w:t>2017</w:t>
            </w:r>
            <w:r>
              <w:rPr>
                <w:b/>
              </w:rPr>
              <w:br/>
              <w:t>$000</w:t>
            </w:r>
          </w:p>
        </w:tc>
      </w:tr>
      <w:tr w:rsidR="009757DD" w14:paraId="676CB5EE" w14:textId="77777777" w:rsidTr="00C5596F">
        <w:trPr>
          <w:trHeight w:val="530"/>
        </w:trPr>
        <w:tc>
          <w:tcPr>
            <w:tcW w:w="6575" w:type="dxa"/>
            <w:vAlign w:val="bottom"/>
          </w:tcPr>
          <w:p w14:paraId="65453CE3" w14:textId="77777777" w:rsidR="009757DD" w:rsidRPr="008F2E8B" w:rsidRDefault="009757DD" w:rsidP="009757DD">
            <w:pPr>
              <w:rPr>
                <w:lang w:eastAsia="en-AU"/>
              </w:rPr>
            </w:pPr>
            <w:r>
              <w:t>Within 12 months of the end of the reporting period</w:t>
            </w:r>
          </w:p>
        </w:tc>
        <w:tc>
          <w:tcPr>
            <w:tcW w:w="1316" w:type="dxa"/>
            <w:vAlign w:val="bottom"/>
          </w:tcPr>
          <w:p w14:paraId="2C3DCCB3" w14:textId="098D7BD7" w:rsidR="009757DD" w:rsidRDefault="009757DD" w:rsidP="009757DD">
            <w:pPr>
              <w:jc w:val="right"/>
            </w:pPr>
            <w:r>
              <w:t xml:space="preserve">                   813 </w:t>
            </w:r>
          </w:p>
        </w:tc>
        <w:tc>
          <w:tcPr>
            <w:tcW w:w="1409" w:type="dxa"/>
            <w:vAlign w:val="bottom"/>
          </w:tcPr>
          <w:p w14:paraId="59E2A8A5" w14:textId="13D49A0F" w:rsidR="009757DD" w:rsidRDefault="009757DD" w:rsidP="009757DD">
            <w:pPr>
              <w:jc w:val="right"/>
            </w:pPr>
            <w:r>
              <w:t xml:space="preserve">                                      975 </w:t>
            </w:r>
          </w:p>
        </w:tc>
      </w:tr>
      <w:tr w:rsidR="009757DD" w14:paraId="68F290C2" w14:textId="77777777" w:rsidTr="009757DD">
        <w:trPr>
          <w:trHeight w:val="530"/>
        </w:trPr>
        <w:tc>
          <w:tcPr>
            <w:tcW w:w="6575" w:type="dxa"/>
            <w:vAlign w:val="bottom"/>
          </w:tcPr>
          <w:p w14:paraId="508C4C31" w14:textId="77777777" w:rsidR="009757DD" w:rsidRDefault="009757DD" w:rsidP="009757DD">
            <w:r>
              <w:t>More than 12 months after the end of the reporting period</w:t>
            </w:r>
          </w:p>
        </w:tc>
        <w:tc>
          <w:tcPr>
            <w:tcW w:w="1316" w:type="dxa"/>
            <w:tcBorders>
              <w:bottom w:val="single" w:sz="4" w:space="0" w:color="auto"/>
            </w:tcBorders>
            <w:vAlign w:val="bottom"/>
          </w:tcPr>
          <w:p w14:paraId="3153E0BF" w14:textId="5E26F8B4" w:rsidR="009757DD" w:rsidRDefault="009757DD" w:rsidP="009757DD">
            <w:pPr>
              <w:jc w:val="right"/>
            </w:pPr>
            <w:r>
              <w:t xml:space="preserve">                 1,944 </w:t>
            </w:r>
          </w:p>
        </w:tc>
        <w:tc>
          <w:tcPr>
            <w:tcW w:w="1409" w:type="dxa"/>
            <w:tcBorders>
              <w:bottom w:val="single" w:sz="4" w:space="0" w:color="auto"/>
            </w:tcBorders>
            <w:vAlign w:val="bottom"/>
          </w:tcPr>
          <w:p w14:paraId="79E1DD45" w14:textId="182007A1" w:rsidR="009757DD" w:rsidRDefault="009757DD" w:rsidP="009757DD">
            <w:pPr>
              <w:jc w:val="right"/>
            </w:pPr>
            <w:r>
              <w:t xml:space="preserve">                                   1,987 </w:t>
            </w:r>
          </w:p>
        </w:tc>
      </w:tr>
      <w:tr w:rsidR="009757DD" w:rsidRPr="008F2E8B" w14:paraId="33F6C4A6" w14:textId="77777777" w:rsidTr="009757DD">
        <w:trPr>
          <w:trHeight w:val="516"/>
        </w:trPr>
        <w:tc>
          <w:tcPr>
            <w:tcW w:w="6575" w:type="dxa"/>
            <w:vAlign w:val="bottom"/>
          </w:tcPr>
          <w:p w14:paraId="3CA84382" w14:textId="77777777" w:rsidR="009757DD" w:rsidRDefault="009757DD" w:rsidP="009757DD">
            <w:pPr>
              <w:rPr>
                <w:lang w:eastAsia="en-AU"/>
              </w:rPr>
            </w:pPr>
          </w:p>
        </w:tc>
        <w:tc>
          <w:tcPr>
            <w:tcW w:w="1316" w:type="dxa"/>
            <w:tcBorders>
              <w:top w:val="single" w:sz="4" w:space="0" w:color="auto"/>
              <w:bottom w:val="double" w:sz="4" w:space="0" w:color="auto"/>
            </w:tcBorders>
            <w:vAlign w:val="bottom"/>
          </w:tcPr>
          <w:p w14:paraId="1E32B4AF" w14:textId="1FD17718" w:rsidR="009757DD" w:rsidRPr="005A4AFA" w:rsidRDefault="009757DD" w:rsidP="009757DD">
            <w:pPr>
              <w:jc w:val="right"/>
              <w:rPr>
                <w:b/>
              </w:rPr>
            </w:pPr>
            <w:r>
              <w:rPr>
                <w:b/>
                <w:bCs/>
              </w:rPr>
              <w:t xml:space="preserve">                 2,757 </w:t>
            </w:r>
          </w:p>
        </w:tc>
        <w:tc>
          <w:tcPr>
            <w:tcW w:w="1409" w:type="dxa"/>
            <w:tcBorders>
              <w:top w:val="single" w:sz="4" w:space="0" w:color="auto"/>
              <w:bottom w:val="double" w:sz="4" w:space="0" w:color="auto"/>
            </w:tcBorders>
            <w:vAlign w:val="bottom"/>
          </w:tcPr>
          <w:p w14:paraId="1A4A6AFA" w14:textId="41D291C2" w:rsidR="009757DD" w:rsidRPr="005A4AFA" w:rsidRDefault="009757DD" w:rsidP="009757DD">
            <w:pPr>
              <w:jc w:val="right"/>
              <w:rPr>
                <w:b/>
              </w:rPr>
            </w:pPr>
            <w:r>
              <w:rPr>
                <w:b/>
                <w:bCs/>
              </w:rPr>
              <w:t xml:space="preserve">                                   2,962 </w:t>
            </w:r>
          </w:p>
        </w:tc>
      </w:tr>
    </w:tbl>
    <w:p w14:paraId="3BA49530" w14:textId="77777777" w:rsidR="009757DD" w:rsidRDefault="009757DD" w:rsidP="009757DD">
      <w:r>
        <w:br/>
      </w:r>
      <w:r w:rsidRPr="009757DD">
        <w:t>The components of the long service leave liabilities are calculated at present value as the Authority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discounted using market yields at the end of the reporting period on national government bonds with terms to maturity that match, as closely as possible, the estimated future cash outflows.</w:t>
      </w:r>
    </w:p>
    <w:p w14:paraId="408AD9B9" w14:textId="77777777" w:rsidR="009757DD" w:rsidRDefault="009757DD" w:rsidP="00026A6F">
      <w:pPr>
        <w:pStyle w:val="Heading3nonumber"/>
        <w:numPr>
          <w:ilvl w:val="0"/>
          <w:numId w:val="51"/>
        </w:numPr>
      </w:pPr>
      <w:bookmarkStart w:id="775" w:name="_Toc525122172"/>
      <w:r>
        <w:t>Employment on-costs</w:t>
      </w:r>
      <w:bookmarkEnd w:id="775"/>
    </w:p>
    <w:p w14:paraId="059EFC2E" w14:textId="77777777" w:rsidR="009757DD" w:rsidRDefault="009757DD" w:rsidP="009757DD">
      <w:r>
        <w:t>The settlement of annual and long service leave liabilities gives rise to the payment of employment on-costs including workers’ compensation insurance and payroll tax. The provision is the present value of expected future payments.</w:t>
      </w:r>
    </w:p>
    <w:p w14:paraId="4493313A" w14:textId="407AF7C7" w:rsidR="009757DD" w:rsidRDefault="009757DD" w:rsidP="009757DD">
      <w:r>
        <w:t>Employment on-costs, including workers’ compensation insurance, are not employee benefits and are recognised separately as liabilities and expenses when the employment to which they relate has occurred. Employment on-costs are included as part of ‘Other expenses, Note 4.5 (apart from the unwinding of the discount (finance cost))’ and are not included as part of the Authority’s ‘employee benefits expense’. The related liability is included in ‘Employment on-costs provision’.</w:t>
      </w:r>
    </w:p>
    <w:p w14:paraId="488060EA" w14:textId="77777777" w:rsidR="009757DD" w:rsidRDefault="009757DD">
      <w:pPr>
        <w:keepLines w:val="0"/>
        <w:spacing w:after="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mployment on-costs provision"/>
        <w:tblDescription w:val="This table outlines the employment on-costs provision for the 2017/18 financial year, including the carrying amount at start of period, additional/(reversal of) provisions recognised, payment/other sacrifices of economic benefits, unwinding of the discount and carrying amount at end of period. "/>
      </w:tblPr>
      <w:tblGrid>
        <w:gridCol w:w="6663"/>
        <w:gridCol w:w="1275"/>
        <w:gridCol w:w="1085"/>
      </w:tblGrid>
      <w:tr w:rsidR="00BE5237" w14:paraId="50EBEDE2" w14:textId="77777777" w:rsidTr="00F11774">
        <w:trPr>
          <w:trHeight w:val="880"/>
          <w:tblHeader/>
        </w:trPr>
        <w:tc>
          <w:tcPr>
            <w:tcW w:w="6663" w:type="dxa"/>
          </w:tcPr>
          <w:p w14:paraId="47049957" w14:textId="77777777" w:rsidR="00BE5237" w:rsidRDefault="00BE5237" w:rsidP="009757DD"/>
        </w:tc>
        <w:tc>
          <w:tcPr>
            <w:tcW w:w="1275" w:type="dxa"/>
            <w:vAlign w:val="center"/>
          </w:tcPr>
          <w:p w14:paraId="167B69B0" w14:textId="022D72EA" w:rsidR="00BE5237" w:rsidRDefault="00BE5237" w:rsidP="009757DD">
            <w:pPr>
              <w:jc w:val="right"/>
            </w:pPr>
            <w:r>
              <w:rPr>
                <w:b/>
              </w:rPr>
              <w:t>2018</w:t>
            </w:r>
            <w:r>
              <w:rPr>
                <w:b/>
              </w:rPr>
              <w:br/>
              <w:t>$000</w:t>
            </w:r>
          </w:p>
        </w:tc>
        <w:tc>
          <w:tcPr>
            <w:tcW w:w="1085" w:type="dxa"/>
            <w:vAlign w:val="center"/>
          </w:tcPr>
          <w:p w14:paraId="17923891" w14:textId="249E3CDF" w:rsidR="00BE5237" w:rsidRDefault="00BE5237" w:rsidP="009757DD">
            <w:pPr>
              <w:jc w:val="right"/>
            </w:pPr>
            <w:r>
              <w:rPr>
                <w:b/>
              </w:rPr>
              <w:t>2017</w:t>
            </w:r>
            <w:r>
              <w:rPr>
                <w:b/>
              </w:rPr>
              <w:br/>
              <w:t>$000</w:t>
            </w:r>
          </w:p>
        </w:tc>
      </w:tr>
      <w:tr w:rsidR="00BE5237" w14:paraId="2D76DDF3" w14:textId="77777777" w:rsidTr="00BE5237">
        <w:trPr>
          <w:trHeight w:val="895"/>
        </w:trPr>
        <w:tc>
          <w:tcPr>
            <w:tcW w:w="6663" w:type="dxa"/>
          </w:tcPr>
          <w:p w14:paraId="0611C614" w14:textId="3F058E9C" w:rsidR="00BE5237" w:rsidRPr="009757DD" w:rsidRDefault="00BE5237" w:rsidP="009757DD">
            <w:pPr>
              <w:rPr>
                <w:b/>
                <w:u w:val="single"/>
                <w:lang w:eastAsia="en-AU"/>
              </w:rPr>
            </w:pPr>
            <w:r w:rsidRPr="009757DD">
              <w:rPr>
                <w:b/>
                <w:u w:val="single"/>
              </w:rPr>
              <w:t>Employment on-costs provision</w:t>
            </w:r>
          </w:p>
        </w:tc>
        <w:tc>
          <w:tcPr>
            <w:tcW w:w="1275" w:type="dxa"/>
            <w:vAlign w:val="bottom"/>
          </w:tcPr>
          <w:p w14:paraId="72E8B1F9" w14:textId="50E919EB" w:rsidR="00BE5237" w:rsidRDefault="00BE5237" w:rsidP="009757DD">
            <w:pPr>
              <w:jc w:val="right"/>
            </w:pPr>
          </w:p>
        </w:tc>
        <w:tc>
          <w:tcPr>
            <w:tcW w:w="1085" w:type="dxa"/>
            <w:vAlign w:val="bottom"/>
          </w:tcPr>
          <w:p w14:paraId="64008CF3" w14:textId="604BA440" w:rsidR="00BE5237" w:rsidRDefault="00BE5237" w:rsidP="009757DD">
            <w:pPr>
              <w:jc w:val="right"/>
            </w:pPr>
          </w:p>
        </w:tc>
      </w:tr>
      <w:tr w:rsidR="00AE7526" w14:paraId="417CA16B" w14:textId="77777777" w:rsidTr="00BE5237">
        <w:trPr>
          <w:trHeight w:val="880"/>
        </w:trPr>
        <w:tc>
          <w:tcPr>
            <w:tcW w:w="6663" w:type="dxa"/>
            <w:vAlign w:val="bottom"/>
          </w:tcPr>
          <w:p w14:paraId="442D7AAF" w14:textId="21A06E38" w:rsidR="00AE7526" w:rsidRDefault="00AE7526" w:rsidP="00AE7526">
            <w:r>
              <w:t>Carrying amount at start of period</w:t>
            </w:r>
          </w:p>
        </w:tc>
        <w:tc>
          <w:tcPr>
            <w:tcW w:w="1275" w:type="dxa"/>
            <w:vAlign w:val="bottom"/>
          </w:tcPr>
          <w:p w14:paraId="1FC86963" w14:textId="1773A4F3" w:rsidR="00AE7526" w:rsidRDefault="00AE7526" w:rsidP="00AE7526">
            <w:pPr>
              <w:jc w:val="right"/>
            </w:pPr>
            <w:r>
              <w:t xml:space="preserve">                   200 </w:t>
            </w:r>
          </w:p>
        </w:tc>
        <w:tc>
          <w:tcPr>
            <w:tcW w:w="1085" w:type="dxa"/>
            <w:vAlign w:val="bottom"/>
          </w:tcPr>
          <w:p w14:paraId="667FBE53" w14:textId="4A8BC828" w:rsidR="00AE7526" w:rsidRDefault="00AE7526" w:rsidP="00AE7526">
            <w:pPr>
              <w:jc w:val="right"/>
            </w:pPr>
            <w:r>
              <w:t xml:space="preserve">                                      200 </w:t>
            </w:r>
          </w:p>
        </w:tc>
      </w:tr>
      <w:tr w:rsidR="00AE7526" w14:paraId="23B98F60" w14:textId="77777777" w:rsidTr="00BE5237">
        <w:trPr>
          <w:trHeight w:val="880"/>
        </w:trPr>
        <w:tc>
          <w:tcPr>
            <w:tcW w:w="6663" w:type="dxa"/>
            <w:vAlign w:val="bottom"/>
          </w:tcPr>
          <w:p w14:paraId="654956CB" w14:textId="22B11550" w:rsidR="00AE7526" w:rsidRDefault="00AE7526" w:rsidP="00AE7526">
            <w:r>
              <w:t>Additional/(reversal of) provisions recognised</w:t>
            </w:r>
          </w:p>
        </w:tc>
        <w:tc>
          <w:tcPr>
            <w:tcW w:w="1275" w:type="dxa"/>
            <w:vAlign w:val="bottom"/>
          </w:tcPr>
          <w:p w14:paraId="49938A2E" w14:textId="6F8A841D" w:rsidR="00AE7526" w:rsidRDefault="00AE7526" w:rsidP="00AE7526">
            <w:pPr>
              <w:jc w:val="right"/>
            </w:pPr>
            <w:r>
              <w:t xml:space="preserve">                     88 </w:t>
            </w:r>
          </w:p>
        </w:tc>
        <w:tc>
          <w:tcPr>
            <w:tcW w:w="1085" w:type="dxa"/>
            <w:vAlign w:val="bottom"/>
          </w:tcPr>
          <w:p w14:paraId="3C28D7C9" w14:textId="2FFB47B8" w:rsidR="00AE7526" w:rsidRDefault="00AE7526" w:rsidP="00AE7526">
            <w:pPr>
              <w:jc w:val="right"/>
            </w:pPr>
            <w:r>
              <w:t xml:space="preserve">                                        88 </w:t>
            </w:r>
          </w:p>
        </w:tc>
      </w:tr>
      <w:tr w:rsidR="00AE7526" w14:paraId="73EC13F7" w14:textId="77777777" w:rsidTr="00BE5237">
        <w:trPr>
          <w:trHeight w:val="895"/>
        </w:trPr>
        <w:tc>
          <w:tcPr>
            <w:tcW w:w="6663" w:type="dxa"/>
            <w:vAlign w:val="bottom"/>
          </w:tcPr>
          <w:p w14:paraId="20BE1EA2" w14:textId="7E8B7606" w:rsidR="00AE7526" w:rsidRDefault="00AE7526" w:rsidP="00AE7526">
            <w:r>
              <w:t>Payments/other sacrifices of economic benefits</w:t>
            </w:r>
          </w:p>
        </w:tc>
        <w:tc>
          <w:tcPr>
            <w:tcW w:w="1275" w:type="dxa"/>
            <w:vAlign w:val="bottom"/>
          </w:tcPr>
          <w:p w14:paraId="38A9EEA4" w14:textId="55FB28FF" w:rsidR="00AE7526" w:rsidRDefault="00AE7526" w:rsidP="00AE7526">
            <w:pPr>
              <w:jc w:val="right"/>
            </w:pPr>
            <w:r>
              <w:t xml:space="preserve">                  (107)</w:t>
            </w:r>
          </w:p>
        </w:tc>
        <w:tc>
          <w:tcPr>
            <w:tcW w:w="1085" w:type="dxa"/>
            <w:vAlign w:val="bottom"/>
          </w:tcPr>
          <w:p w14:paraId="6A34CF7C" w14:textId="1F609F99" w:rsidR="00AE7526" w:rsidRDefault="00AE7526" w:rsidP="00AE7526">
            <w:pPr>
              <w:jc w:val="right"/>
            </w:pPr>
            <w:r>
              <w:t xml:space="preserve">                                       (91)</w:t>
            </w:r>
          </w:p>
        </w:tc>
      </w:tr>
      <w:tr w:rsidR="00AE7526" w14:paraId="4343CD0B" w14:textId="77777777" w:rsidTr="00BE5237">
        <w:trPr>
          <w:trHeight w:val="880"/>
        </w:trPr>
        <w:tc>
          <w:tcPr>
            <w:tcW w:w="6663" w:type="dxa"/>
            <w:vAlign w:val="bottom"/>
          </w:tcPr>
          <w:p w14:paraId="42C6EEC1" w14:textId="473BCDD3" w:rsidR="00AE7526" w:rsidRDefault="00AE7526" w:rsidP="00AE7526">
            <w:r>
              <w:t>Unwinding of the discount</w:t>
            </w:r>
          </w:p>
        </w:tc>
        <w:tc>
          <w:tcPr>
            <w:tcW w:w="1275" w:type="dxa"/>
            <w:tcBorders>
              <w:bottom w:val="single" w:sz="4" w:space="0" w:color="auto"/>
            </w:tcBorders>
            <w:vAlign w:val="bottom"/>
          </w:tcPr>
          <w:p w14:paraId="64C23E0C" w14:textId="58D765B4" w:rsidR="00AE7526" w:rsidRDefault="00AE7526" w:rsidP="00AE7526">
            <w:pPr>
              <w:jc w:val="right"/>
            </w:pPr>
            <w:r>
              <w:t xml:space="preserve">                       4 </w:t>
            </w:r>
          </w:p>
        </w:tc>
        <w:tc>
          <w:tcPr>
            <w:tcW w:w="1085" w:type="dxa"/>
            <w:tcBorders>
              <w:bottom w:val="single" w:sz="4" w:space="0" w:color="auto"/>
            </w:tcBorders>
            <w:vAlign w:val="bottom"/>
          </w:tcPr>
          <w:p w14:paraId="0AD34DB2" w14:textId="5A65A246" w:rsidR="00AE7526" w:rsidRDefault="00AE7526" w:rsidP="00AE7526">
            <w:pPr>
              <w:jc w:val="right"/>
            </w:pPr>
            <w:r>
              <w:t xml:space="preserve">                                         3 </w:t>
            </w:r>
          </w:p>
        </w:tc>
      </w:tr>
      <w:tr w:rsidR="00BE5237" w14:paraId="3CC57B38" w14:textId="77777777" w:rsidTr="00BE5237">
        <w:trPr>
          <w:trHeight w:val="865"/>
        </w:trPr>
        <w:tc>
          <w:tcPr>
            <w:tcW w:w="6663" w:type="dxa"/>
            <w:vAlign w:val="bottom"/>
          </w:tcPr>
          <w:p w14:paraId="1B1DFB3C" w14:textId="5C53E50D" w:rsidR="00BE5237" w:rsidRDefault="00BE5237" w:rsidP="009757DD">
            <w:r>
              <w:t>Carrying amount at end of period</w:t>
            </w:r>
          </w:p>
        </w:tc>
        <w:tc>
          <w:tcPr>
            <w:tcW w:w="1275" w:type="dxa"/>
            <w:tcBorders>
              <w:top w:val="single" w:sz="4" w:space="0" w:color="auto"/>
              <w:bottom w:val="double" w:sz="4" w:space="0" w:color="auto"/>
            </w:tcBorders>
            <w:vAlign w:val="bottom"/>
          </w:tcPr>
          <w:p w14:paraId="683BF746" w14:textId="1A999665" w:rsidR="00BE5237" w:rsidRPr="009757DD" w:rsidRDefault="00BE5237" w:rsidP="009757DD">
            <w:pPr>
              <w:jc w:val="right"/>
              <w:rPr>
                <w:b/>
              </w:rPr>
            </w:pPr>
            <w:r w:rsidRPr="009757DD">
              <w:rPr>
                <w:b/>
              </w:rPr>
              <w:t xml:space="preserve">                   185 </w:t>
            </w:r>
          </w:p>
        </w:tc>
        <w:tc>
          <w:tcPr>
            <w:tcW w:w="1085" w:type="dxa"/>
            <w:tcBorders>
              <w:top w:val="single" w:sz="4" w:space="0" w:color="auto"/>
              <w:bottom w:val="double" w:sz="4" w:space="0" w:color="auto"/>
            </w:tcBorders>
            <w:vAlign w:val="bottom"/>
          </w:tcPr>
          <w:p w14:paraId="5F8A2766" w14:textId="112B681B" w:rsidR="00BE5237" w:rsidRPr="009757DD" w:rsidRDefault="00BE5237" w:rsidP="009757DD">
            <w:pPr>
              <w:jc w:val="right"/>
              <w:rPr>
                <w:b/>
              </w:rPr>
            </w:pPr>
            <w:r w:rsidRPr="009757DD">
              <w:rPr>
                <w:b/>
              </w:rPr>
              <w:t xml:space="preserve">                                      200 </w:t>
            </w:r>
          </w:p>
        </w:tc>
      </w:tr>
    </w:tbl>
    <w:p w14:paraId="146D4EF6" w14:textId="77777777" w:rsidR="00DF13CE" w:rsidRDefault="00DF13CE" w:rsidP="009757DD"/>
    <w:p w14:paraId="7AC6530E" w14:textId="493D25A5" w:rsidR="009757DD" w:rsidRDefault="009757DD" w:rsidP="004930E9">
      <w:pPr>
        <w:pStyle w:val="Heading4"/>
        <w:ind w:left="0"/>
      </w:pPr>
      <w:r w:rsidRPr="009757DD">
        <w:t>Key sources of estimation uncertainty – long service leave</w:t>
      </w:r>
    </w:p>
    <w:p w14:paraId="4D09400C" w14:textId="678E29E6" w:rsidR="009757DD" w:rsidRPr="009757DD" w:rsidRDefault="009757DD" w:rsidP="009757DD">
      <w:pPr>
        <w:rPr>
          <w:lang w:val="en-US" w:eastAsia="en-AU"/>
        </w:rPr>
      </w:pPr>
      <w:r w:rsidRPr="009757DD">
        <w:rPr>
          <w:lang w:val="en-US" w:eastAsia="en-AU"/>
        </w:rPr>
        <w:t>Key estimates and assumptions concerning the future are based on historical experience and various other factors that have a significant risk of causing a material adjustment to the carrying amount of assets and liabilities withi</w:t>
      </w:r>
      <w:r>
        <w:rPr>
          <w:lang w:val="en-US" w:eastAsia="en-AU"/>
        </w:rPr>
        <w:t>n the next financial year.</w:t>
      </w:r>
      <w:r>
        <w:rPr>
          <w:lang w:val="en-US" w:eastAsia="en-AU"/>
        </w:rPr>
        <w:tab/>
      </w:r>
      <w:r>
        <w:rPr>
          <w:lang w:val="en-US" w:eastAsia="en-AU"/>
        </w:rPr>
        <w:tab/>
      </w:r>
      <w:r>
        <w:rPr>
          <w:lang w:val="en-US" w:eastAsia="en-AU"/>
        </w:rPr>
        <w:tab/>
      </w:r>
      <w:r>
        <w:rPr>
          <w:lang w:val="en-US" w:eastAsia="en-AU"/>
        </w:rPr>
        <w:tab/>
      </w:r>
      <w:r>
        <w:rPr>
          <w:lang w:val="en-US" w:eastAsia="en-AU"/>
        </w:rPr>
        <w:tab/>
      </w:r>
      <w:r w:rsidRPr="009757DD">
        <w:rPr>
          <w:lang w:val="en-US" w:eastAsia="en-AU"/>
        </w:rPr>
        <w:tab/>
      </w:r>
      <w:r w:rsidRPr="009757DD">
        <w:rPr>
          <w:lang w:val="en-US" w:eastAsia="en-AU"/>
        </w:rPr>
        <w:tab/>
      </w:r>
      <w:r w:rsidRPr="009757DD">
        <w:rPr>
          <w:lang w:val="en-US" w:eastAsia="en-AU"/>
        </w:rPr>
        <w:tab/>
      </w:r>
      <w:r w:rsidRPr="009757DD">
        <w:rPr>
          <w:lang w:val="en-US" w:eastAsia="en-AU"/>
        </w:rPr>
        <w:tab/>
      </w:r>
      <w:r w:rsidRPr="009757DD">
        <w:rPr>
          <w:lang w:val="en-US" w:eastAsia="en-AU"/>
        </w:rPr>
        <w:tab/>
      </w:r>
    </w:p>
    <w:p w14:paraId="76EADE1A" w14:textId="77777777" w:rsidR="009757DD" w:rsidRPr="009757DD" w:rsidRDefault="009757DD" w:rsidP="009757DD">
      <w:pPr>
        <w:rPr>
          <w:lang w:val="en-US" w:eastAsia="en-AU"/>
        </w:rPr>
      </w:pPr>
      <w:r w:rsidRPr="009757DD">
        <w:rPr>
          <w:lang w:val="en-US" w:eastAsia="en-AU"/>
        </w:rPr>
        <w:t>Several estimates and assumptions are used in calculating the Authority’s long service leave provision. These include:</w:t>
      </w:r>
      <w:r w:rsidRPr="009757DD">
        <w:rPr>
          <w:lang w:val="en-US" w:eastAsia="en-AU"/>
        </w:rPr>
        <w:tab/>
      </w:r>
      <w:r w:rsidRPr="009757DD">
        <w:rPr>
          <w:lang w:val="en-US" w:eastAsia="en-AU"/>
        </w:rPr>
        <w:tab/>
      </w:r>
      <w:r w:rsidRPr="009757DD">
        <w:rPr>
          <w:lang w:val="en-US" w:eastAsia="en-AU"/>
        </w:rPr>
        <w:tab/>
      </w:r>
      <w:r w:rsidRPr="009757DD">
        <w:rPr>
          <w:lang w:val="en-US" w:eastAsia="en-AU"/>
        </w:rPr>
        <w:tab/>
      </w:r>
      <w:r w:rsidRPr="009757DD">
        <w:rPr>
          <w:lang w:val="en-US" w:eastAsia="en-AU"/>
        </w:rPr>
        <w:tab/>
      </w:r>
    </w:p>
    <w:p w14:paraId="2B57922B" w14:textId="7B59392B" w:rsidR="009757DD" w:rsidRPr="009757DD" w:rsidRDefault="009757DD" w:rsidP="009757DD">
      <w:pPr>
        <w:rPr>
          <w:lang w:val="en-US" w:eastAsia="en-AU"/>
        </w:rPr>
      </w:pPr>
      <w:r w:rsidRPr="009757DD">
        <w:rPr>
          <w:lang w:val="en-US" w:eastAsia="en-AU"/>
        </w:rPr>
        <w:t>·        </w:t>
      </w:r>
      <w:r>
        <w:rPr>
          <w:lang w:val="en-US" w:eastAsia="en-AU"/>
        </w:rPr>
        <w:t xml:space="preserve"> Expected future salary rates</w:t>
      </w:r>
      <w:r w:rsidRPr="009757DD">
        <w:rPr>
          <w:lang w:val="en-US" w:eastAsia="en-AU"/>
        </w:rPr>
        <w:tab/>
      </w:r>
      <w:r w:rsidRPr="009757DD">
        <w:rPr>
          <w:lang w:val="en-US" w:eastAsia="en-AU"/>
        </w:rPr>
        <w:tab/>
      </w:r>
    </w:p>
    <w:p w14:paraId="598F45E0" w14:textId="093AE75D" w:rsidR="009757DD" w:rsidRPr="009757DD" w:rsidRDefault="009757DD" w:rsidP="009757DD">
      <w:pPr>
        <w:rPr>
          <w:lang w:val="en-US" w:eastAsia="en-AU"/>
        </w:rPr>
      </w:pPr>
      <w:r>
        <w:rPr>
          <w:lang w:val="en-US" w:eastAsia="en-AU"/>
        </w:rPr>
        <w:t>·         Discount rates</w:t>
      </w:r>
      <w:r w:rsidRPr="009757DD">
        <w:rPr>
          <w:lang w:val="en-US" w:eastAsia="en-AU"/>
        </w:rPr>
        <w:tab/>
      </w:r>
    </w:p>
    <w:p w14:paraId="68787C70" w14:textId="73E3B787" w:rsidR="009757DD" w:rsidRPr="009757DD" w:rsidRDefault="009757DD" w:rsidP="009757DD">
      <w:pPr>
        <w:rPr>
          <w:lang w:val="en-US" w:eastAsia="en-AU"/>
        </w:rPr>
      </w:pPr>
      <w:r w:rsidRPr="009757DD">
        <w:rPr>
          <w:lang w:val="en-US" w:eastAsia="en-AU"/>
        </w:rPr>
        <w:t>·     </w:t>
      </w:r>
      <w:r>
        <w:rPr>
          <w:lang w:val="en-US" w:eastAsia="en-AU"/>
        </w:rPr>
        <w:t>    Employee retention rates</w:t>
      </w:r>
      <w:r w:rsidRPr="009757DD">
        <w:rPr>
          <w:lang w:val="en-US" w:eastAsia="en-AU"/>
        </w:rPr>
        <w:tab/>
      </w:r>
    </w:p>
    <w:p w14:paraId="5AFEECBA" w14:textId="55386684" w:rsidR="009757DD" w:rsidRPr="009757DD" w:rsidRDefault="009757DD" w:rsidP="009757DD">
      <w:pPr>
        <w:rPr>
          <w:lang w:val="en-US" w:eastAsia="en-AU"/>
        </w:rPr>
      </w:pPr>
      <w:r w:rsidRPr="009757DD">
        <w:rPr>
          <w:lang w:val="en-US" w:eastAsia="en-AU"/>
        </w:rPr>
        <w:t>·        </w:t>
      </w:r>
      <w:r>
        <w:rPr>
          <w:lang w:val="en-US" w:eastAsia="en-AU"/>
        </w:rPr>
        <w:t xml:space="preserve"> Expected future payments.</w:t>
      </w:r>
    </w:p>
    <w:p w14:paraId="00CC9149" w14:textId="77777777" w:rsidR="009757DD" w:rsidRPr="009757DD" w:rsidRDefault="009757DD" w:rsidP="009757DD">
      <w:pPr>
        <w:rPr>
          <w:lang w:val="en-US" w:eastAsia="en-AU"/>
        </w:rPr>
      </w:pPr>
      <w:r w:rsidRPr="009757DD">
        <w:rPr>
          <w:lang w:val="en-US" w:eastAsia="en-AU"/>
        </w:rPr>
        <w:t>Changes in these estimations and assumptions may impact on the carrying amount of the long service leave provision.</w:t>
      </w:r>
      <w:r w:rsidRPr="009757DD">
        <w:rPr>
          <w:lang w:val="en-US" w:eastAsia="en-AU"/>
        </w:rPr>
        <w:tab/>
      </w:r>
      <w:r w:rsidRPr="009757DD">
        <w:rPr>
          <w:lang w:val="en-US" w:eastAsia="en-AU"/>
        </w:rPr>
        <w:tab/>
      </w:r>
      <w:r w:rsidRPr="009757DD">
        <w:rPr>
          <w:lang w:val="en-US" w:eastAsia="en-AU"/>
        </w:rPr>
        <w:tab/>
      </w:r>
      <w:r w:rsidRPr="009757DD">
        <w:rPr>
          <w:lang w:val="en-US" w:eastAsia="en-AU"/>
        </w:rPr>
        <w:tab/>
      </w:r>
      <w:r w:rsidRPr="009757DD">
        <w:rPr>
          <w:lang w:val="en-US" w:eastAsia="en-AU"/>
        </w:rPr>
        <w:tab/>
      </w:r>
    </w:p>
    <w:p w14:paraId="04911C10" w14:textId="3F9408DE" w:rsidR="009757DD" w:rsidRDefault="009757DD" w:rsidP="009757DD">
      <w:pPr>
        <w:rPr>
          <w:lang w:val="en-US" w:eastAsia="en-AU"/>
        </w:rPr>
      </w:pPr>
      <w:r w:rsidRPr="009757DD">
        <w:rPr>
          <w:lang w:val="en-US" w:eastAsia="en-AU"/>
        </w:rPr>
        <w:t>Any gain or loss following revaluation of the present value of long service leave liabilities is recognised as</w:t>
      </w:r>
      <w:r>
        <w:rPr>
          <w:lang w:val="en-US" w:eastAsia="en-AU"/>
        </w:rPr>
        <w:t xml:space="preserve"> employee benefits expense.</w:t>
      </w:r>
      <w:r>
        <w:rPr>
          <w:lang w:val="en-US" w:eastAsia="en-AU"/>
        </w:rPr>
        <w:tab/>
      </w:r>
      <w:r>
        <w:rPr>
          <w:lang w:val="en-US" w:eastAsia="en-AU"/>
        </w:rPr>
        <w:tab/>
      </w:r>
      <w:r>
        <w:rPr>
          <w:lang w:val="en-US" w:eastAsia="en-AU"/>
        </w:rPr>
        <w:tab/>
      </w:r>
      <w:r>
        <w:rPr>
          <w:lang w:val="en-US" w:eastAsia="en-AU"/>
        </w:rPr>
        <w:tab/>
      </w:r>
    </w:p>
    <w:p w14:paraId="2D24F721" w14:textId="7E297597" w:rsidR="009757DD" w:rsidRDefault="009757DD">
      <w:pPr>
        <w:keepLines w:val="0"/>
        <w:spacing w:after="0" w:line="240" w:lineRule="auto"/>
        <w:rPr>
          <w:lang w:val="en-US" w:eastAsia="en-AU"/>
        </w:rPr>
      </w:pPr>
      <w:r>
        <w:rPr>
          <w:lang w:val="en-US" w:eastAsia="en-AU"/>
        </w:rPr>
        <w:br w:type="page"/>
      </w:r>
    </w:p>
    <w:p w14:paraId="1791226F" w14:textId="15095ACB" w:rsidR="009757DD" w:rsidRDefault="009757DD" w:rsidP="00026A6F">
      <w:pPr>
        <w:pStyle w:val="Heading3nonumber"/>
        <w:numPr>
          <w:ilvl w:val="0"/>
          <w:numId w:val="51"/>
        </w:numPr>
        <w:rPr>
          <w:lang w:val="en-US" w:eastAsia="en-AU"/>
        </w:rPr>
      </w:pPr>
      <w:bookmarkStart w:id="776" w:name="_Toc525122173"/>
      <w:r>
        <w:rPr>
          <w:lang w:val="en-US" w:eastAsia="en-AU"/>
        </w:rPr>
        <w:t>Defined benefit superannuation plans</w:t>
      </w:r>
      <w:bookmarkEnd w:id="776"/>
      <w:r>
        <w:rPr>
          <w:lang w:val="en-US" w:eastAsia="en-AU"/>
        </w:rPr>
        <w:t xml:space="preserve"> </w:t>
      </w:r>
    </w:p>
    <w:p w14:paraId="160E121D" w14:textId="77777777" w:rsidR="009757DD" w:rsidRDefault="009757DD" w:rsidP="009757DD">
      <w:pPr>
        <w:rPr>
          <w:lang w:val="en-US" w:eastAsia="en-AU"/>
        </w:rPr>
      </w:pPr>
      <w:r w:rsidRPr="009757DD">
        <w:rPr>
          <w:lang w:val="en-US" w:eastAsia="en-AU"/>
        </w:rPr>
        <w:t>The GSS is a defined benefit scheme for the purposes of employees and whole-of-government reporting.  However, it is a defined contribution plan for Authority purposes because the concurrent contributions (defined contributions) made by the Authority to GESB extinguishes the Authority’s obligations to the related superannuation liability.</w:t>
      </w:r>
    </w:p>
    <w:p w14:paraId="752A5105" w14:textId="1DB83C18" w:rsidR="009757DD" w:rsidRPr="009757DD" w:rsidRDefault="009757DD" w:rsidP="009757DD">
      <w:pPr>
        <w:rPr>
          <w:lang w:val="en-US" w:eastAsia="en-AU"/>
        </w:rPr>
      </w:pPr>
      <w:r w:rsidRPr="009757DD">
        <w:rPr>
          <w:lang w:val="en-US" w:eastAsia="en-AU"/>
        </w:rPr>
        <w:t>The Pension Scheme and the pre-transfer benefit for employees who transferred to the GSS Scheme are defined benefit schemes.  These benefits are wholly unfunded and the liabilities for future payments are provided at the end of the reporting period.  The liabilities under these schemes have been calculated separately for each scheme annually by PricewaterhouseCoopers Actuaries using the projected unit credit method.</w:t>
      </w:r>
    </w:p>
    <w:p w14:paraId="2592C2DA" w14:textId="3FE6398A" w:rsidR="009757DD" w:rsidRPr="009757DD" w:rsidRDefault="009757DD" w:rsidP="009757DD">
      <w:pPr>
        <w:rPr>
          <w:lang w:val="en-US" w:eastAsia="en-AU"/>
        </w:rPr>
      </w:pPr>
      <w:r w:rsidRPr="009757DD">
        <w:rPr>
          <w:lang w:val="en-US" w:eastAsia="en-AU"/>
        </w:rPr>
        <w:t>The expected future payments are discounted to present value using market yields at the end of the reporting period on national government bonds with terms to maturity that match, as closely as possible, the estimated future cash outflows.</w:t>
      </w:r>
      <w:r w:rsidRPr="009757DD">
        <w:rPr>
          <w:lang w:val="en-US" w:eastAsia="en-AU"/>
        </w:rPr>
        <w:tab/>
      </w:r>
    </w:p>
    <w:p w14:paraId="05792EE9" w14:textId="7E3A2E48" w:rsidR="009757DD" w:rsidRDefault="009757DD" w:rsidP="009757DD">
      <w:pPr>
        <w:rPr>
          <w:lang w:val="en-US" w:eastAsia="en-AU"/>
        </w:rPr>
      </w:pPr>
      <w:r w:rsidRPr="009757DD">
        <w:rPr>
          <w:lang w:val="en-US" w:eastAsia="en-AU"/>
        </w:rPr>
        <w:t>Movements in the present value of the defined benefit obligation in the reporting period were as follows:</w:t>
      </w:r>
    </w:p>
    <w:tbl>
      <w:tblPr>
        <w:tblStyle w:val="TableGrid"/>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fined benefit superannuation plans"/>
        <w:tblDescription w:val="This table outlines the defined benefit superannuation plans for 2017/18. "/>
      </w:tblPr>
      <w:tblGrid>
        <w:gridCol w:w="4668"/>
        <w:gridCol w:w="861"/>
        <w:gridCol w:w="270"/>
        <w:gridCol w:w="1137"/>
        <w:gridCol w:w="1131"/>
        <w:gridCol w:w="1132"/>
      </w:tblGrid>
      <w:tr w:rsidR="00A306BB" w14:paraId="336CE32E" w14:textId="77777777" w:rsidTr="00F11774">
        <w:trPr>
          <w:trHeight w:val="2051"/>
          <w:tblHeader/>
        </w:trPr>
        <w:tc>
          <w:tcPr>
            <w:tcW w:w="4668" w:type="dxa"/>
          </w:tcPr>
          <w:p w14:paraId="75B797F1" w14:textId="77777777" w:rsidR="00A306BB" w:rsidRDefault="00A306BB" w:rsidP="009757DD">
            <w:pPr>
              <w:rPr>
                <w:lang w:val="en-US" w:eastAsia="en-AU"/>
              </w:rPr>
            </w:pPr>
          </w:p>
        </w:tc>
        <w:tc>
          <w:tcPr>
            <w:tcW w:w="2268" w:type="dxa"/>
            <w:gridSpan w:val="3"/>
          </w:tcPr>
          <w:p w14:paraId="67DD15AF" w14:textId="77777777" w:rsidR="00A306BB" w:rsidRPr="00A306BB" w:rsidRDefault="00A306BB" w:rsidP="00A306BB">
            <w:pPr>
              <w:jc w:val="center"/>
              <w:rPr>
                <w:b/>
                <w:lang w:eastAsia="en-AU"/>
              </w:rPr>
            </w:pPr>
            <w:r w:rsidRPr="00A306BB">
              <w:rPr>
                <w:b/>
              </w:rPr>
              <w:t>Pension Scheme</w:t>
            </w:r>
          </w:p>
          <w:p w14:paraId="1F4CF682" w14:textId="77777777" w:rsidR="00A306BB" w:rsidRPr="00A306BB" w:rsidRDefault="00A306BB" w:rsidP="00A306BB">
            <w:pPr>
              <w:jc w:val="center"/>
              <w:rPr>
                <w:b/>
                <w:lang w:val="en-US" w:eastAsia="en-AU"/>
              </w:rPr>
            </w:pPr>
          </w:p>
        </w:tc>
        <w:tc>
          <w:tcPr>
            <w:tcW w:w="2263" w:type="dxa"/>
            <w:gridSpan w:val="2"/>
          </w:tcPr>
          <w:p w14:paraId="2DABD090" w14:textId="20F8C9CE" w:rsidR="00A306BB" w:rsidRPr="00C5596F" w:rsidRDefault="00A306BB" w:rsidP="00A306BB">
            <w:pPr>
              <w:jc w:val="center"/>
              <w:rPr>
                <w:b/>
                <w:lang w:val="en-US" w:eastAsia="en-AU"/>
              </w:rPr>
            </w:pPr>
            <w:r>
              <w:rPr>
                <w:b/>
                <w:lang w:val="en-US" w:eastAsia="en-AU"/>
              </w:rPr>
              <w:t>Pre-transfer benefit –</w:t>
            </w:r>
            <w:r>
              <w:rPr>
                <w:b/>
                <w:lang w:val="en-US" w:eastAsia="en-AU"/>
              </w:rPr>
              <w:br/>
              <w:t>Gold State Superannuation</w:t>
            </w:r>
            <w:r>
              <w:rPr>
                <w:b/>
                <w:lang w:val="en-US" w:eastAsia="en-AU"/>
              </w:rPr>
              <w:br/>
            </w:r>
            <w:r w:rsidRPr="00C5596F">
              <w:rPr>
                <w:b/>
                <w:lang w:val="en-US" w:eastAsia="en-AU"/>
              </w:rPr>
              <w:t>Scheme</w:t>
            </w:r>
          </w:p>
        </w:tc>
      </w:tr>
      <w:tr w:rsidR="00A306BB" w14:paraId="47E5168D" w14:textId="77777777" w:rsidTr="00A306BB">
        <w:trPr>
          <w:trHeight w:val="553"/>
        </w:trPr>
        <w:tc>
          <w:tcPr>
            <w:tcW w:w="4668" w:type="dxa"/>
          </w:tcPr>
          <w:p w14:paraId="73541E65" w14:textId="77777777" w:rsidR="00A306BB" w:rsidRDefault="00A306BB" w:rsidP="009757DD">
            <w:pPr>
              <w:rPr>
                <w:lang w:val="en-US" w:eastAsia="en-AU"/>
              </w:rPr>
            </w:pPr>
          </w:p>
        </w:tc>
        <w:tc>
          <w:tcPr>
            <w:tcW w:w="1131" w:type="dxa"/>
            <w:gridSpan w:val="2"/>
            <w:tcBorders>
              <w:bottom w:val="single" w:sz="4" w:space="0" w:color="auto"/>
            </w:tcBorders>
          </w:tcPr>
          <w:p w14:paraId="1B560209" w14:textId="1896079F" w:rsidR="00A306BB" w:rsidRPr="00A306BB" w:rsidRDefault="00A306BB" w:rsidP="00A306BB">
            <w:pPr>
              <w:jc w:val="right"/>
              <w:rPr>
                <w:lang w:val="en-US" w:eastAsia="en-AU"/>
              </w:rPr>
            </w:pPr>
            <w:r>
              <w:rPr>
                <w:b/>
                <w:lang w:val="en-US" w:eastAsia="en-AU"/>
              </w:rPr>
              <w:t>2018</w:t>
            </w:r>
            <w:r>
              <w:rPr>
                <w:b/>
                <w:lang w:val="en-US" w:eastAsia="en-AU"/>
              </w:rPr>
              <w:br/>
            </w:r>
            <w:r>
              <w:rPr>
                <w:lang w:val="en-US" w:eastAsia="en-AU"/>
              </w:rPr>
              <w:t>$000</w:t>
            </w:r>
          </w:p>
        </w:tc>
        <w:tc>
          <w:tcPr>
            <w:tcW w:w="1137" w:type="dxa"/>
            <w:tcBorders>
              <w:bottom w:val="single" w:sz="4" w:space="0" w:color="auto"/>
            </w:tcBorders>
          </w:tcPr>
          <w:p w14:paraId="4D98C1A6" w14:textId="2DAEDC15" w:rsidR="00A306BB" w:rsidRPr="00A306BB" w:rsidRDefault="00A306BB" w:rsidP="00A306BB">
            <w:pPr>
              <w:jc w:val="right"/>
              <w:rPr>
                <w:lang w:val="en-US" w:eastAsia="en-AU"/>
              </w:rPr>
            </w:pPr>
            <w:r>
              <w:rPr>
                <w:b/>
                <w:lang w:val="en-US" w:eastAsia="en-AU"/>
              </w:rPr>
              <w:t>2017</w:t>
            </w:r>
            <w:r>
              <w:rPr>
                <w:b/>
                <w:lang w:val="en-US" w:eastAsia="en-AU"/>
              </w:rPr>
              <w:br/>
            </w:r>
            <w:r>
              <w:rPr>
                <w:lang w:val="en-US" w:eastAsia="en-AU"/>
              </w:rPr>
              <w:t>$000</w:t>
            </w:r>
          </w:p>
        </w:tc>
        <w:tc>
          <w:tcPr>
            <w:tcW w:w="1131" w:type="dxa"/>
            <w:tcBorders>
              <w:bottom w:val="single" w:sz="4" w:space="0" w:color="auto"/>
            </w:tcBorders>
          </w:tcPr>
          <w:p w14:paraId="7849E7D9" w14:textId="69C454AB" w:rsidR="00A306BB" w:rsidRPr="00A306BB" w:rsidRDefault="00A306BB" w:rsidP="00A306BB">
            <w:pPr>
              <w:jc w:val="right"/>
              <w:rPr>
                <w:lang w:val="en-US" w:eastAsia="en-AU"/>
              </w:rPr>
            </w:pPr>
            <w:r>
              <w:rPr>
                <w:b/>
                <w:lang w:val="en-US" w:eastAsia="en-AU"/>
              </w:rPr>
              <w:t>2018</w:t>
            </w:r>
            <w:r>
              <w:rPr>
                <w:b/>
                <w:lang w:val="en-US" w:eastAsia="en-AU"/>
              </w:rPr>
              <w:br/>
            </w:r>
            <w:r>
              <w:rPr>
                <w:lang w:val="en-US" w:eastAsia="en-AU"/>
              </w:rPr>
              <w:t>$000</w:t>
            </w:r>
          </w:p>
        </w:tc>
        <w:tc>
          <w:tcPr>
            <w:tcW w:w="1132" w:type="dxa"/>
            <w:tcBorders>
              <w:bottom w:val="single" w:sz="4" w:space="0" w:color="auto"/>
            </w:tcBorders>
          </w:tcPr>
          <w:p w14:paraId="24C580A6" w14:textId="5CE037C3" w:rsidR="00A306BB" w:rsidRPr="00A306BB" w:rsidRDefault="00A306BB" w:rsidP="00A306BB">
            <w:pPr>
              <w:jc w:val="right"/>
              <w:rPr>
                <w:lang w:val="en-US" w:eastAsia="en-AU"/>
              </w:rPr>
            </w:pPr>
            <w:r>
              <w:rPr>
                <w:b/>
                <w:lang w:val="en-US" w:eastAsia="en-AU"/>
              </w:rPr>
              <w:t>2017</w:t>
            </w:r>
            <w:r>
              <w:rPr>
                <w:b/>
                <w:lang w:val="en-US" w:eastAsia="en-AU"/>
              </w:rPr>
              <w:br/>
            </w:r>
            <w:r>
              <w:rPr>
                <w:lang w:val="en-US" w:eastAsia="en-AU"/>
              </w:rPr>
              <w:t>$000</w:t>
            </w:r>
          </w:p>
        </w:tc>
      </w:tr>
      <w:tr w:rsidR="00A306BB" w14:paraId="57ADE7B3" w14:textId="77777777" w:rsidTr="00A306BB">
        <w:trPr>
          <w:trHeight w:val="553"/>
        </w:trPr>
        <w:tc>
          <w:tcPr>
            <w:tcW w:w="4668" w:type="dxa"/>
          </w:tcPr>
          <w:p w14:paraId="3A9F0C8B" w14:textId="027E09C2" w:rsidR="00A306BB" w:rsidRPr="00A306BB" w:rsidRDefault="00A306BB" w:rsidP="00A306BB">
            <w:pPr>
              <w:rPr>
                <w:lang w:eastAsia="en-AU"/>
              </w:rPr>
            </w:pPr>
            <w:r>
              <w:t>Liability at start of period</w:t>
            </w:r>
          </w:p>
        </w:tc>
        <w:tc>
          <w:tcPr>
            <w:tcW w:w="1131" w:type="dxa"/>
            <w:gridSpan w:val="2"/>
            <w:tcBorders>
              <w:top w:val="single" w:sz="4" w:space="0" w:color="auto"/>
              <w:bottom w:val="single" w:sz="4" w:space="0" w:color="auto"/>
            </w:tcBorders>
            <w:vAlign w:val="bottom"/>
          </w:tcPr>
          <w:p w14:paraId="41CA7701" w14:textId="7F4C9BBE" w:rsidR="00A306BB" w:rsidRPr="00A306BB" w:rsidRDefault="00A306BB" w:rsidP="00A306BB">
            <w:pPr>
              <w:jc w:val="right"/>
              <w:rPr>
                <w:b/>
                <w:lang w:val="en-US" w:eastAsia="en-AU"/>
              </w:rPr>
            </w:pPr>
            <w:r w:rsidRPr="00A306BB">
              <w:rPr>
                <w:b/>
              </w:rPr>
              <w:t xml:space="preserve">                    4,967 </w:t>
            </w:r>
          </w:p>
        </w:tc>
        <w:tc>
          <w:tcPr>
            <w:tcW w:w="1137" w:type="dxa"/>
            <w:tcBorders>
              <w:top w:val="single" w:sz="4" w:space="0" w:color="auto"/>
              <w:bottom w:val="single" w:sz="4" w:space="0" w:color="auto"/>
            </w:tcBorders>
            <w:vAlign w:val="bottom"/>
          </w:tcPr>
          <w:p w14:paraId="0F444672" w14:textId="38FFB51F" w:rsidR="00A306BB" w:rsidRPr="00A306BB" w:rsidRDefault="00A306BB" w:rsidP="00A306BB">
            <w:pPr>
              <w:jc w:val="right"/>
              <w:rPr>
                <w:b/>
                <w:lang w:val="en-US" w:eastAsia="en-AU"/>
              </w:rPr>
            </w:pPr>
            <w:r w:rsidRPr="00A306BB">
              <w:rPr>
                <w:b/>
              </w:rPr>
              <w:t xml:space="preserve">                    6,004 </w:t>
            </w:r>
          </w:p>
        </w:tc>
        <w:tc>
          <w:tcPr>
            <w:tcW w:w="1131" w:type="dxa"/>
            <w:tcBorders>
              <w:top w:val="single" w:sz="4" w:space="0" w:color="auto"/>
              <w:bottom w:val="single" w:sz="4" w:space="0" w:color="auto"/>
            </w:tcBorders>
            <w:vAlign w:val="bottom"/>
          </w:tcPr>
          <w:p w14:paraId="494F382A" w14:textId="44D42BB8" w:rsidR="00A306BB" w:rsidRPr="00A306BB" w:rsidRDefault="00A306BB" w:rsidP="00A306BB">
            <w:pPr>
              <w:jc w:val="right"/>
              <w:rPr>
                <w:b/>
                <w:lang w:val="en-US" w:eastAsia="en-AU"/>
              </w:rPr>
            </w:pPr>
            <w:r w:rsidRPr="00A306BB">
              <w:rPr>
                <w:b/>
              </w:rPr>
              <w:t xml:space="preserve">                   479 </w:t>
            </w:r>
          </w:p>
        </w:tc>
        <w:tc>
          <w:tcPr>
            <w:tcW w:w="1132" w:type="dxa"/>
            <w:tcBorders>
              <w:top w:val="single" w:sz="4" w:space="0" w:color="auto"/>
              <w:bottom w:val="single" w:sz="4" w:space="0" w:color="auto"/>
            </w:tcBorders>
            <w:vAlign w:val="bottom"/>
          </w:tcPr>
          <w:p w14:paraId="0F8E0DA3" w14:textId="1A9E1A4C" w:rsidR="00A306BB" w:rsidRPr="00A306BB" w:rsidRDefault="00A306BB" w:rsidP="00A306BB">
            <w:pPr>
              <w:jc w:val="right"/>
              <w:rPr>
                <w:b/>
                <w:lang w:val="en-US" w:eastAsia="en-AU"/>
              </w:rPr>
            </w:pPr>
            <w:r w:rsidRPr="00A306BB">
              <w:rPr>
                <w:b/>
              </w:rPr>
              <w:t xml:space="preserve">                                      519 </w:t>
            </w:r>
          </w:p>
        </w:tc>
      </w:tr>
      <w:tr w:rsidR="00A306BB" w14:paraId="7F30393E" w14:textId="77777777" w:rsidTr="00A306BB">
        <w:trPr>
          <w:trHeight w:val="553"/>
        </w:trPr>
        <w:tc>
          <w:tcPr>
            <w:tcW w:w="4668" w:type="dxa"/>
          </w:tcPr>
          <w:p w14:paraId="459EB4CA" w14:textId="08B595E9" w:rsidR="00A306BB" w:rsidRPr="00A306BB" w:rsidRDefault="00A306BB" w:rsidP="00A306BB">
            <w:pPr>
              <w:rPr>
                <w:b/>
                <w:lang w:eastAsia="en-AU"/>
              </w:rPr>
            </w:pPr>
            <w:r w:rsidRPr="00A306BB">
              <w:rPr>
                <w:b/>
              </w:rPr>
              <w:t>Included in profit or loss:</w:t>
            </w:r>
          </w:p>
        </w:tc>
        <w:tc>
          <w:tcPr>
            <w:tcW w:w="1131" w:type="dxa"/>
            <w:gridSpan w:val="2"/>
            <w:tcBorders>
              <w:top w:val="single" w:sz="4" w:space="0" w:color="auto"/>
            </w:tcBorders>
          </w:tcPr>
          <w:p w14:paraId="0D72108E" w14:textId="77777777" w:rsidR="00A306BB" w:rsidRDefault="00A306BB" w:rsidP="009757DD">
            <w:pPr>
              <w:rPr>
                <w:lang w:val="en-US" w:eastAsia="en-AU"/>
              </w:rPr>
            </w:pPr>
          </w:p>
        </w:tc>
        <w:tc>
          <w:tcPr>
            <w:tcW w:w="1137" w:type="dxa"/>
            <w:tcBorders>
              <w:top w:val="single" w:sz="4" w:space="0" w:color="auto"/>
            </w:tcBorders>
          </w:tcPr>
          <w:p w14:paraId="6BF1D866" w14:textId="77777777" w:rsidR="00A306BB" w:rsidRDefault="00A306BB" w:rsidP="009757DD">
            <w:pPr>
              <w:rPr>
                <w:lang w:val="en-US" w:eastAsia="en-AU"/>
              </w:rPr>
            </w:pPr>
          </w:p>
        </w:tc>
        <w:tc>
          <w:tcPr>
            <w:tcW w:w="1131" w:type="dxa"/>
            <w:tcBorders>
              <w:top w:val="single" w:sz="4" w:space="0" w:color="auto"/>
            </w:tcBorders>
          </w:tcPr>
          <w:p w14:paraId="38079F77" w14:textId="77777777" w:rsidR="00A306BB" w:rsidRDefault="00A306BB" w:rsidP="009757DD">
            <w:pPr>
              <w:rPr>
                <w:lang w:val="en-US" w:eastAsia="en-AU"/>
              </w:rPr>
            </w:pPr>
          </w:p>
        </w:tc>
        <w:tc>
          <w:tcPr>
            <w:tcW w:w="1132" w:type="dxa"/>
            <w:tcBorders>
              <w:top w:val="single" w:sz="4" w:space="0" w:color="auto"/>
            </w:tcBorders>
          </w:tcPr>
          <w:p w14:paraId="25F69148" w14:textId="5F139618" w:rsidR="00A306BB" w:rsidRDefault="00A306BB" w:rsidP="009757DD">
            <w:pPr>
              <w:rPr>
                <w:lang w:val="en-US" w:eastAsia="en-AU"/>
              </w:rPr>
            </w:pPr>
          </w:p>
        </w:tc>
      </w:tr>
      <w:tr w:rsidR="00A306BB" w14:paraId="28779CAE" w14:textId="77777777" w:rsidTr="00121076">
        <w:trPr>
          <w:trHeight w:val="553"/>
        </w:trPr>
        <w:tc>
          <w:tcPr>
            <w:tcW w:w="4668" w:type="dxa"/>
            <w:vAlign w:val="bottom"/>
          </w:tcPr>
          <w:p w14:paraId="7810EFB0" w14:textId="17F6DA7D" w:rsidR="00A306BB" w:rsidRDefault="00A306BB" w:rsidP="00A306BB">
            <w:pPr>
              <w:rPr>
                <w:lang w:val="en-US" w:eastAsia="en-AU"/>
              </w:rPr>
            </w:pPr>
            <w:r>
              <w:t>Current service cost</w:t>
            </w:r>
          </w:p>
        </w:tc>
        <w:tc>
          <w:tcPr>
            <w:tcW w:w="1131" w:type="dxa"/>
            <w:gridSpan w:val="2"/>
            <w:vAlign w:val="bottom"/>
          </w:tcPr>
          <w:p w14:paraId="46CDEECA" w14:textId="4E276B90" w:rsidR="00A306BB" w:rsidRDefault="00A306BB" w:rsidP="00A306BB">
            <w:pPr>
              <w:jc w:val="right"/>
              <w:rPr>
                <w:lang w:val="en-US" w:eastAsia="en-AU"/>
              </w:rPr>
            </w:pPr>
            <w:r>
              <w:t xml:space="preserve">                         -   </w:t>
            </w:r>
          </w:p>
        </w:tc>
        <w:tc>
          <w:tcPr>
            <w:tcW w:w="1137" w:type="dxa"/>
            <w:vAlign w:val="bottom"/>
          </w:tcPr>
          <w:p w14:paraId="654E9645" w14:textId="59565132" w:rsidR="00A306BB" w:rsidRDefault="00A306BB" w:rsidP="00A306BB">
            <w:pPr>
              <w:jc w:val="right"/>
              <w:rPr>
                <w:lang w:val="en-US" w:eastAsia="en-AU"/>
              </w:rPr>
            </w:pPr>
            <w:r>
              <w:t xml:space="preserve">                         -   </w:t>
            </w:r>
          </w:p>
        </w:tc>
        <w:tc>
          <w:tcPr>
            <w:tcW w:w="1131" w:type="dxa"/>
            <w:vAlign w:val="bottom"/>
          </w:tcPr>
          <w:p w14:paraId="12E7BB92" w14:textId="5F75DBDB" w:rsidR="00A306BB" w:rsidRDefault="00A306BB" w:rsidP="00A306BB">
            <w:pPr>
              <w:jc w:val="right"/>
              <w:rPr>
                <w:lang w:val="en-US" w:eastAsia="en-AU"/>
              </w:rPr>
            </w:pPr>
            <w:r>
              <w:t xml:space="preserve">                      -   </w:t>
            </w:r>
          </w:p>
        </w:tc>
        <w:tc>
          <w:tcPr>
            <w:tcW w:w="1132" w:type="dxa"/>
            <w:vAlign w:val="bottom"/>
          </w:tcPr>
          <w:p w14:paraId="2117C89B" w14:textId="47804197" w:rsidR="00A306BB" w:rsidRDefault="00A306BB" w:rsidP="00A306BB">
            <w:pPr>
              <w:jc w:val="right"/>
              <w:rPr>
                <w:lang w:val="en-US" w:eastAsia="en-AU"/>
              </w:rPr>
            </w:pPr>
            <w:r>
              <w:t xml:space="preserve">                                        -   </w:t>
            </w:r>
          </w:p>
        </w:tc>
      </w:tr>
      <w:tr w:rsidR="00A306BB" w14:paraId="026F477C" w14:textId="77777777" w:rsidTr="00121076">
        <w:trPr>
          <w:trHeight w:val="553"/>
        </w:trPr>
        <w:tc>
          <w:tcPr>
            <w:tcW w:w="4668" w:type="dxa"/>
            <w:vAlign w:val="bottom"/>
          </w:tcPr>
          <w:p w14:paraId="0FC285CC" w14:textId="7428BD22" w:rsidR="00A306BB" w:rsidRDefault="00A306BB" w:rsidP="00A306BB">
            <w:pPr>
              <w:rPr>
                <w:lang w:val="en-US" w:eastAsia="en-AU"/>
              </w:rPr>
            </w:pPr>
            <w:r>
              <w:t>Past service cost</w:t>
            </w:r>
          </w:p>
        </w:tc>
        <w:tc>
          <w:tcPr>
            <w:tcW w:w="1131" w:type="dxa"/>
            <w:gridSpan w:val="2"/>
            <w:vAlign w:val="bottom"/>
          </w:tcPr>
          <w:p w14:paraId="2818B576" w14:textId="1E612050" w:rsidR="00A306BB" w:rsidRDefault="00A306BB" w:rsidP="00A306BB">
            <w:pPr>
              <w:jc w:val="right"/>
              <w:rPr>
                <w:lang w:val="en-US" w:eastAsia="en-AU"/>
              </w:rPr>
            </w:pPr>
            <w:r>
              <w:t xml:space="preserve">                         -   </w:t>
            </w:r>
          </w:p>
        </w:tc>
        <w:tc>
          <w:tcPr>
            <w:tcW w:w="1137" w:type="dxa"/>
            <w:vAlign w:val="bottom"/>
          </w:tcPr>
          <w:p w14:paraId="56F63014" w14:textId="0F216A77" w:rsidR="00A306BB" w:rsidRDefault="00A306BB" w:rsidP="00A306BB">
            <w:pPr>
              <w:jc w:val="right"/>
              <w:rPr>
                <w:lang w:val="en-US" w:eastAsia="en-AU"/>
              </w:rPr>
            </w:pPr>
            <w:r>
              <w:t xml:space="preserve">                         -   </w:t>
            </w:r>
          </w:p>
        </w:tc>
        <w:tc>
          <w:tcPr>
            <w:tcW w:w="1131" w:type="dxa"/>
            <w:vAlign w:val="bottom"/>
          </w:tcPr>
          <w:p w14:paraId="3D9F62A8" w14:textId="0FFE2310" w:rsidR="00A306BB" w:rsidRDefault="00A306BB" w:rsidP="00A306BB">
            <w:pPr>
              <w:jc w:val="right"/>
              <w:rPr>
                <w:lang w:val="en-US" w:eastAsia="en-AU"/>
              </w:rPr>
            </w:pPr>
            <w:r>
              <w:t xml:space="preserve">                      -   </w:t>
            </w:r>
          </w:p>
        </w:tc>
        <w:tc>
          <w:tcPr>
            <w:tcW w:w="1132" w:type="dxa"/>
            <w:vAlign w:val="bottom"/>
          </w:tcPr>
          <w:p w14:paraId="1EA6DCBF" w14:textId="2393C966" w:rsidR="00A306BB" w:rsidRDefault="00A306BB" w:rsidP="00A306BB">
            <w:pPr>
              <w:jc w:val="right"/>
              <w:rPr>
                <w:lang w:val="en-US" w:eastAsia="en-AU"/>
              </w:rPr>
            </w:pPr>
            <w:r>
              <w:t xml:space="preserve">                                        -   </w:t>
            </w:r>
          </w:p>
        </w:tc>
      </w:tr>
      <w:tr w:rsidR="00A306BB" w14:paraId="65358DC1" w14:textId="77777777" w:rsidTr="00121076">
        <w:trPr>
          <w:trHeight w:val="538"/>
        </w:trPr>
        <w:tc>
          <w:tcPr>
            <w:tcW w:w="4668" w:type="dxa"/>
            <w:vAlign w:val="bottom"/>
          </w:tcPr>
          <w:p w14:paraId="02160717" w14:textId="59ECA561" w:rsidR="00A306BB" w:rsidRDefault="00A306BB" w:rsidP="00A306BB">
            <w:pPr>
              <w:rPr>
                <w:lang w:val="en-US" w:eastAsia="en-AU"/>
              </w:rPr>
            </w:pPr>
            <w:r>
              <w:t>Interest cost</w:t>
            </w:r>
          </w:p>
        </w:tc>
        <w:tc>
          <w:tcPr>
            <w:tcW w:w="1131" w:type="dxa"/>
            <w:gridSpan w:val="2"/>
            <w:vAlign w:val="bottom"/>
          </w:tcPr>
          <w:p w14:paraId="75314C76" w14:textId="77A20473" w:rsidR="00A306BB" w:rsidRDefault="00A306BB" w:rsidP="00A306BB">
            <w:pPr>
              <w:jc w:val="right"/>
              <w:rPr>
                <w:lang w:val="en-US" w:eastAsia="en-AU"/>
              </w:rPr>
            </w:pPr>
            <w:r>
              <w:t xml:space="preserve">                       125 </w:t>
            </w:r>
          </w:p>
        </w:tc>
        <w:tc>
          <w:tcPr>
            <w:tcW w:w="1137" w:type="dxa"/>
            <w:vAlign w:val="bottom"/>
          </w:tcPr>
          <w:p w14:paraId="7F4F4C0A" w14:textId="1D91AB09" w:rsidR="00A306BB" w:rsidRDefault="00A306BB" w:rsidP="00A306BB">
            <w:pPr>
              <w:jc w:val="right"/>
              <w:rPr>
                <w:lang w:val="en-US" w:eastAsia="en-AU"/>
              </w:rPr>
            </w:pPr>
            <w:r>
              <w:t xml:space="preserve">                       117 </w:t>
            </w:r>
          </w:p>
        </w:tc>
        <w:tc>
          <w:tcPr>
            <w:tcW w:w="1131" w:type="dxa"/>
            <w:vAlign w:val="bottom"/>
          </w:tcPr>
          <w:p w14:paraId="20252188" w14:textId="785B4A76" w:rsidR="00A306BB" w:rsidRDefault="00A306BB" w:rsidP="00A306BB">
            <w:pPr>
              <w:jc w:val="right"/>
              <w:rPr>
                <w:lang w:val="en-US" w:eastAsia="en-AU"/>
              </w:rPr>
            </w:pPr>
            <w:r>
              <w:t xml:space="preserve">                     12 </w:t>
            </w:r>
          </w:p>
        </w:tc>
        <w:tc>
          <w:tcPr>
            <w:tcW w:w="1132" w:type="dxa"/>
            <w:vAlign w:val="bottom"/>
          </w:tcPr>
          <w:p w14:paraId="5F4495D9" w14:textId="61449B09" w:rsidR="00A306BB" w:rsidRDefault="00A306BB" w:rsidP="00A306BB">
            <w:pPr>
              <w:jc w:val="right"/>
              <w:rPr>
                <w:lang w:val="en-US" w:eastAsia="en-AU"/>
              </w:rPr>
            </w:pPr>
            <w:r>
              <w:t xml:space="preserve">                                         9 </w:t>
            </w:r>
          </w:p>
        </w:tc>
      </w:tr>
      <w:tr w:rsidR="00A306BB" w14:paraId="77A699A6" w14:textId="77777777" w:rsidTr="00A306BB">
        <w:trPr>
          <w:trHeight w:val="553"/>
        </w:trPr>
        <w:tc>
          <w:tcPr>
            <w:tcW w:w="4668" w:type="dxa"/>
          </w:tcPr>
          <w:p w14:paraId="528C22D8" w14:textId="77777777" w:rsidR="00A306BB" w:rsidRDefault="00A306BB" w:rsidP="00A306BB">
            <w:pPr>
              <w:rPr>
                <w:lang w:val="en-US" w:eastAsia="en-AU"/>
              </w:rPr>
            </w:pPr>
          </w:p>
        </w:tc>
        <w:tc>
          <w:tcPr>
            <w:tcW w:w="1131" w:type="dxa"/>
            <w:gridSpan w:val="2"/>
            <w:tcBorders>
              <w:top w:val="single" w:sz="4" w:space="0" w:color="auto"/>
              <w:bottom w:val="single" w:sz="4" w:space="0" w:color="auto"/>
            </w:tcBorders>
            <w:vAlign w:val="bottom"/>
          </w:tcPr>
          <w:p w14:paraId="5347DEEA" w14:textId="3773F15F" w:rsidR="00A306BB" w:rsidRPr="00A306BB" w:rsidRDefault="00A306BB" w:rsidP="00A306BB">
            <w:pPr>
              <w:jc w:val="right"/>
              <w:rPr>
                <w:b/>
                <w:lang w:val="en-US" w:eastAsia="en-AU"/>
              </w:rPr>
            </w:pPr>
            <w:r w:rsidRPr="00A306BB">
              <w:rPr>
                <w:b/>
              </w:rPr>
              <w:t xml:space="preserve">                       125 </w:t>
            </w:r>
          </w:p>
        </w:tc>
        <w:tc>
          <w:tcPr>
            <w:tcW w:w="1137" w:type="dxa"/>
            <w:tcBorders>
              <w:top w:val="single" w:sz="4" w:space="0" w:color="auto"/>
              <w:bottom w:val="single" w:sz="4" w:space="0" w:color="auto"/>
            </w:tcBorders>
            <w:vAlign w:val="bottom"/>
          </w:tcPr>
          <w:p w14:paraId="073F86BC" w14:textId="75FF8B98" w:rsidR="00A306BB" w:rsidRPr="00A306BB" w:rsidRDefault="00A306BB" w:rsidP="00A306BB">
            <w:pPr>
              <w:jc w:val="right"/>
              <w:rPr>
                <w:b/>
                <w:lang w:val="en-US" w:eastAsia="en-AU"/>
              </w:rPr>
            </w:pPr>
            <w:r w:rsidRPr="00A306BB">
              <w:rPr>
                <w:b/>
              </w:rPr>
              <w:t xml:space="preserve">                       117 </w:t>
            </w:r>
          </w:p>
        </w:tc>
        <w:tc>
          <w:tcPr>
            <w:tcW w:w="1131" w:type="dxa"/>
            <w:tcBorders>
              <w:top w:val="single" w:sz="4" w:space="0" w:color="auto"/>
              <w:bottom w:val="single" w:sz="4" w:space="0" w:color="auto"/>
            </w:tcBorders>
            <w:vAlign w:val="bottom"/>
          </w:tcPr>
          <w:p w14:paraId="2B2097F7" w14:textId="679B4E5D" w:rsidR="00A306BB" w:rsidRPr="00A306BB" w:rsidRDefault="00A306BB" w:rsidP="00A306BB">
            <w:pPr>
              <w:jc w:val="right"/>
              <w:rPr>
                <w:b/>
                <w:lang w:val="en-US" w:eastAsia="en-AU"/>
              </w:rPr>
            </w:pPr>
            <w:r w:rsidRPr="00A306BB">
              <w:rPr>
                <w:b/>
              </w:rPr>
              <w:t xml:space="preserve">                     12 </w:t>
            </w:r>
          </w:p>
        </w:tc>
        <w:tc>
          <w:tcPr>
            <w:tcW w:w="1132" w:type="dxa"/>
            <w:tcBorders>
              <w:top w:val="single" w:sz="4" w:space="0" w:color="auto"/>
              <w:bottom w:val="single" w:sz="4" w:space="0" w:color="auto"/>
            </w:tcBorders>
            <w:vAlign w:val="bottom"/>
          </w:tcPr>
          <w:p w14:paraId="10FDE77E" w14:textId="4C1A2146" w:rsidR="00A306BB" w:rsidRPr="00A306BB" w:rsidRDefault="00A306BB" w:rsidP="00A306BB">
            <w:pPr>
              <w:jc w:val="right"/>
              <w:rPr>
                <w:b/>
                <w:lang w:val="en-US" w:eastAsia="en-AU"/>
              </w:rPr>
            </w:pPr>
            <w:r w:rsidRPr="00A306BB">
              <w:rPr>
                <w:b/>
              </w:rPr>
              <w:t xml:space="preserve">                                         9 </w:t>
            </w:r>
          </w:p>
        </w:tc>
      </w:tr>
      <w:tr w:rsidR="00A306BB" w14:paraId="36E699BE" w14:textId="77777777" w:rsidTr="004930E9">
        <w:trPr>
          <w:trHeight w:val="553"/>
        </w:trPr>
        <w:tc>
          <w:tcPr>
            <w:tcW w:w="5529" w:type="dxa"/>
            <w:gridSpan w:val="2"/>
            <w:vAlign w:val="center"/>
          </w:tcPr>
          <w:p w14:paraId="7F970A2D" w14:textId="73A526A0" w:rsidR="00A306BB" w:rsidRPr="00A306BB" w:rsidRDefault="004930E9" w:rsidP="00A306BB">
            <w:pPr>
              <w:rPr>
                <w:b/>
                <w:lang w:eastAsia="en-AU"/>
              </w:rPr>
            </w:pPr>
            <w:r>
              <w:rPr>
                <w:b/>
              </w:rPr>
              <w:br/>
            </w:r>
            <w:r w:rsidR="00A306BB" w:rsidRPr="00A306BB">
              <w:rPr>
                <w:b/>
              </w:rPr>
              <w:t>Included in Other Comprehensive Income:</w:t>
            </w:r>
          </w:p>
          <w:p w14:paraId="4D615D14" w14:textId="434477AA" w:rsidR="00A306BB" w:rsidRPr="00A306BB" w:rsidRDefault="00A306BB" w:rsidP="00A306BB">
            <w:pPr>
              <w:rPr>
                <w:lang w:eastAsia="en-AU"/>
              </w:rPr>
            </w:pPr>
            <w:r>
              <w:t>Remeasurements loss (gain) recognised:</w:t>
            </w:r>
          </w:p>
        </w:tc>
        <w:tc>
          <w:tcPr>
            <w:tcW w:w="270" w:type="dxa"/>
            <w:tcBorders>
              <w:top w:val="single" w:sz="4" w:space="0" w:color="auto"/>
            </w:tcBorders>
          </w:tcPr>
          <w:p w14:paraId="69FE5474" w14:textId="77777777" w:rsidR="00A306BB" w:rsidRDefault="00A306BB" w:rsidP="009757DD">
            <w:pPr>
              <w:rPr>
                <w:lang w:val="en-US" w:eastAsia="en-AU"/>
              </w:rPr>
            </w:pPr>
          </w:p>
        </w:tc>
        <w:tc>
          <w:tcPr>
            <w:tcW w:w="1137" w:type="dxa"/>
            <w:tcBorders>
              <w:top w:val="single" w:sz="4" w:space="0" w:color="auto"/>
            </w:tcBorders>
          </w:tcPr>
          <w:p w14:paraId="5CFAD5EF" w14:textId="77777777" w:rsidR="00A306BB" w:rsidRDefault="00A306BB" w:rsidP="009757DD">
            <w:pPr>
              <w:rPr>
                <w:lang w:val="en-US" w:eastAsia="en-AU"/>
              </w:rPr>
            </w:pPr>
          </w:p>
        </w:tc>
        <w:tc>
          <w:tcPr>
            <w:tcW w:w="1131" w:type="dxa"/>
            <w:tcBorders>
              <w:top w:val="single" w:sz="4" w:space="0" w:color="auto"/>
            </w:tcBorders>
          </w:tcPr>
          <w:p w14:paraId="1DEE0BF7" w14:textId="77777777" w:rsidR="00A306BB" w:rsidRDefault="00A306BB" w:rsidP="009757DD">
            <w:pPr>
              <w:rPr>
                <w:lang w:val="en-US" w:eastAsia="en-AU"/>
              </w:rPr>
            </w:pPr>
          </w:p>
        </w:tc>
        <w:tc>
          <w:tcPr>
            <w:tcW w:w="1132" w:type="dxa"/>
            <w:tcBorders>
              <w:top w:val="single" w:sz="4" w:space="0" w:color="auto"/>
            </w:tcBorders>
          </w:tcPr>
          <w:p w14:paraId="2A205EEE" w14:textId="66CD3886" w:rsidR="00A306BB" w:rsidRDefault="00A306BB" w:rsidP="009757DD">
            <w:pPr>
              <w:rPr>
                <w:lang w:val="en-US" w:eastAsia="en-AU"/>
              </w:rPr>
            </w:pPr>
          </w:p>
        </w:tc>
      </w:tr>
      <w:tr w:rsidR="00A306BB" w14:paraId="630667F7" w14:textId="77777777" w:rsidTr="00A306BB">
        <w:trPr>
          <w:trHeight w:val="568"/>
        </w:trPr>
        <w:tc>
          <w:tcPr>
            <w:tcW w:w="4668" w:type="dxa"/>
            <w:vAlign w:val="center"/>
          </w:tcPr>
          <w:p w14:paraId="47A4DA3A" w14:textId="3D5A875D" w:rsidR="00A306BB" w:rsidRDefault="00A306BB" w:rsidP="00A306BB">
            <w:pPr>
              <w:rPr>
                <w:lang w:val="en-US" w:eastAsia="en-AU"/>
              </w:rPr>
            </w:pPr>
            <w:r>
              <w:t>- Actuarial losses/(gains) arising from:</w:t>
            </w:r>
          </w:p>
        </w:tc>
        <w:tc>
          <w:tcPr>
            <w:tcW w:w="1131" w:type="dxa"/>
            <w:gridSpan w:val="2"/>
            <w:vAlign w:val="bottom"/>
          </w:tcPr>
          <w:p w14:paraId="4F9243BD" w14:textId="77777777" w:rsidR="00A306BB" w:rsidRDefault="00A306BB" w:rsidP="00A306BB">
            <w:pPr>
              <w:rPr>
                <w:lang w:val="en-US" w:eastAsia="en-AU"/>
              </w:rPr>
            </w:pPr>
          </w:p>
        </w:tc>
        <w:tc>
          <w:tcPr>
            <w:tcW w:w="1137" w:type="dxa"/>
            <w:vAlign w:val="bottom"/>
          </w:tcPr>
          <w:p w14:paraId="393D97F5" w14:textId="00ACB77A" w:rsidR="00A306BB" w:rsidRDefault="00A306BB" w:rsidP="00A306BB">
            <w:pPr>
              <w:rPr>
                <w:lang w:val="en-US" w:eastAsia="en-AU"/>
              </w:rPr>
            </w:pPr>
            <w:r>
              <w:rPr>
                <w:rFonts w:cs="Arial"/>
                <w:sz w:val="20"/>
                <w:szCs w:val="20"/>
              </w:rPr>
              <w:t> </w:t>
            </w:r>
          </w:p>
        </w:tc>
        <w:tc>
          <w:tcPr>
            <w:tcW w:w="1131" w:type="dxa"/>
            <w:vAlign w:val="bottom"/>
          </w:tcPr>
          <w:p w14:paraId="0AFB53DF" w14:textId="77777777" w:rsidR="00A306BB" w:rsidRDefault="00A306BB" w:rsidP="00A306BB">
            <w:pPr>
              <w:rPr>
                <w:lang w:val="en-US" w:eastAsia="en-AU"/>
              </w:rPr>
            </w:pPr>
          </w:p>
        </w:tc>
        <w:tc>
          <w:tcPr>
            <w:tcW w:w="1132" w:type="dxa"/>
            <w:vAlign w:val="bottom"/>
          </w:tcPr>
          <w:p w14:paraId="30706604" w14:textId="7D077ECF" w:rsidR="00A306BB" w:rsidRDefault="00A306BB" w:rsidP="00A306BB">
            <w:pPr>
              <w:rPr>
                <w:lang w:val="en-US" w:eastAsia="en-AU"/>
              </w:rPr>
            </w:pPr>
            <w:r>
              <w:rPr>
                <w:rFonts w:cs="Arial"/>
                <w:sz w:val="20"/>
                <w:szCs w:val="20"/>
              </w:rPr>
              <w:t> </w:t>
            </w:r>
          </w:p>
        </w:tc>
      </w:tr>
      <w:tr w:rsidR="00A306BB" w14:paraId="264A6510" w14:textId="77777777" w:rsidTr="00A306BB">
        <w:trPr>
          <w:trHeight w:val="553"/>
        </w:trPr>
        <w:tc>
          <w:tcPr>
            <w:tcW w:w="4668" w:type="dxa"/>
            <w:vAlign w:val="center"/>
          </w:tcPr>
          <w:p w14:paraId="07CF57A2" w14:textId="5507DC7E" w:rsidR="00A306BB" w:rsidRDefault="00A306BB" w:rsidP="00A306BB">
            <w:pPr>
              <w:rPr>
                <w:lang w:val="en-US" w:eastAsia="en-AU"/>
              </w:rPr>
            </w:pPr>
            <w:r>
              <w:t xml:space="preserve">        demographic assumptions</w:t>
            </w:r>
          </w:p>
        </w:tc>
        <w:tc>
          <w:tcPr>
            <w:tcW w:w="1131" w:type="dxa"/>
            <w:gridSpan w:val="2"/>
            <w:vAlign w:val="bottom"/>
          </w:tcPr>
          <w:p w14:paraId="2E7BE7A9" w14:textId="2398D3F2" w:rsidR="00A306BB" w:rsidRDefault="00A306BB" w:rsidP="00A306BB">
            <w:pPr>
              <w:jc w:val="right"/>
              <w:rPr>
                <w:lang w:val="en-US" w:eastAsia="en-AU"/>
              </w:rPr>
            </w:pPr>
            <w:r>
              <w:t xml:space="preserve">                       211 </w:t>
            </w:r>
          </w:p>
        </w:tc>
        <w:tc>
          <w:tcPr>
            <w:tcW w:w="1137" w:type="dxa"/>
            <w:vAlign w:val="bottom"/>
          </w:tcPr>
          <w:p w14:paraId="6272FA43" w14:textId="3907BCF6" w:rsidR="00A306BB" w:rsidRDefault="00A306BB" w:rsidP="00A306BB">
            <w:pPr>
              <w:jc w:val="right"/>
              <w:rPr>
                <w:lang w:val="en-US" w:eastAsia="en-AU"/>
              </w:rPr>
            </w:pPr>
            <w:r>
              <w:t xml:space="preserve">                      (322)</w:t>
            </w:r>
          </w:p>
        </w:tc>
        <w:tc>
          <w:tcPr>
            <w:tcW w:w="1131" w:type="dxa"/>
            <w:vAlign w:val="bottom"/>
          </w:tcPr>
          <w:p w14:paraId="6FF7BB32" w14:textId="78E8FF3B" w:rsidR="00A306BB" w:rsidRDefault="00A306BB" w:rsidP="00A306BB">
            <w:pPr>
              <w:jc w:val="right"/>
              <w:rPr>
                <w:lang w:val="en-US" w:eastAsia="en-AU"/>
              </w:rPr>
            </w:pPr>
            <w:r>
              <w:t xml:space="preserve">                      -   </w:t>
            </w:r>
          </w:p>
        </w:tc>
        <w:tc>
          <w:tcPr>
            <w:tcW w:w="1132" w:type="dxa"/>
            <w:vAlign w:val="bottom"/>
          </w:tcPr>
          <w:p w14:paraId="2D2CAF36" w14:textId="1D9480C8" w:rsidR="00A306BB" w:rsidRDefault="00A306BB" w:rsidP="00A306BB">
            <w:pPr>
              <w:jc w:val="right"/>
              <w:rPr>
                <w:lang w:val="en-US" w:eastAsia="en-AU"/>
              </w:rPr>
            </w:pPr>
            <w:r>
              <w:t xml:space="preserve">                                         1 </w:t>
            </w:r>
          </w:p>
        </w:tc>
      </w:tr>
      <w:tr w:rsidR="00A306BB" w14:paraId="46C4FF86" w14:textId="77777777" w:rsidTr="00A306BB">
        <w:trPr>
          <w:trHeight w:val="553"/>
        </w:trPr>
        <w:tc>
          <w:tcPr>
            <w:tcW w:w="4668" w:type="dxa"/>
            <w:vAlign w:val="center"/>
          </w:tcPr>
          <w:p w14:paraId="0F13E45E" w14:textId="29A2A238" w:rsidR="00A306BB" w:rsidRDefault="00A306BB" w:rsidP="00A306BB">
            <w:pPr>
              <w:rPr>
                <w:lang w:val="en-US" w:eastAsia="en-AU"/>
              </w:rPr>
            </w:pPr>
            <w:r>
              <w:t xml:space="preserve">        financial assumptions</w:t>
            </w:r>
          </w:p>
        </w:tc>
        <w:tc>
          <w:tcPr>
            <w:tcW w:w="1131" w:type="dxa"/>
            <w:gridSpan w:val="2"/>
            <w:vAlign w:val="bottom"/>
          </w:tcPr>
          <w:p w14:paraId="5DEF387D" w14:textId="651D465B" w:rsidR="00A306BB" w:rsidRDefault="00A306BB" w:rsidP="00A306BB">
            <w:pPr>
              <w:jc w:val="right"/>
              <w:rPr>
                <w:lang w:val="en-US" w:eastAsia="en-AU"/>
              </w:rPr>
            </w:pPr>
            <w:r>
              <w:t xml:space="preserve">                         -   </w:t>
            </w:r>
          </w:p>
        </w:tc>
        <w:tc>
          <w:tcPr>
            <w:tcW w:w="1137" w:type="dxa"/>
            <w:vAlign w:val="bottom"/>
          </w:tcPr>
          <w:p w14:paraId="3D570886" w14:textId="2F20F8C3" w:rsidR="00A306BB" w:rsidRDefault="00A306BB" w:rsidP="00A306BB">
            <w:pPr>
              <w:jc w:val="right"/>
              <w:rPr>
                <w:lang w:val="en-US" w:eastAsia="en-AU"/>
              </w:rPr>
            </w:pPr>
            <w:r>
              <w:t xml:space="preserve">                      (424)</w:t>
            </w:r>
          </w:p>
        </w:tc>
        <w:tc>
          <w:tcPr>
            <w:tcW w:w="1131" w:type="dxa"/>
            <w:vAlign w:val="bottom"/>
          </w:tcPr>
          <w:p w14:paraId="4EEED2D9" w14:textId="1EF4134E" w:rsidR="00A306BB" w:rsidRDefault="00A306BB" w:rsidP="00A306BB">
            <w:pPr>
              <w:jc w:val="right"/>
              <w:rPr>
                <w:lang w:val="en-US" w:eastAsia="en-AU"/>
              </w:rPr>
            </w:pPr>
            <w:r>
              <w:t xml:space="preserve">                       4 </w:t>
            </w:r>
          </w:p>
        </w:tc>
        <w:tc>
          <w:tcPr>
            <w:tcW w:w="1132" w:type="dxa"/>
            <w:vAlign w:val="bottom"/>
          </w:tcPr>
          <w:p w14:paraId="4655059C" w14:textId="14954F3C" w:rsidR="00A306BB" w:rsidRDefault="00A306BB" w:rsidP="00A306BB">
            <w:pPr>
              <w:jc w:val="right"/>
              <w:rPr>
                <w:lang w:val="en-US" w:eastAsia="en-AU"/>
              </w:rPr>
            </w:pPr>
            <w:r>
              <w:t xml:space="preserve">                                       (21)</w:t>
            </w:r>
          </w:p>
        </w:tc>
      </w:tr>
      <w:tr w:rsidR="00A306BB" w14:paraId="6C5C0040" w14:textId="77777777" w:rsidTr="00A306BB">
        <w:trPr>
          <w:trHeight w:val="538"/>
        </w:trPr>
        <w:tc>
          <w:tcPr>
            <w:tcW w:w="4668" w:type="dxa"/>
            <w:vAlign w:val="center"/>
          </w:tcPr>
          <w:p w14:paraId="0E8B86F5" w14:textId="5F360D04" w:rsidR="00A306BB" w:rsidRDefault="00A306BB" w:rsidP="00A306BB">
            <w:pPr>
              <w:rPr>
                <w:lang w:val="en-US" w:eastAsia="en-AU"/>
              </w:rPr>
            </w:pPr>
            <w:r>
              <w:t xml:space="preserve">        experience adjustments</w:t>
            </w:r>
          </w:p>
        </w:tc>
        <w:tc>
          <w:tcPr>
            <w:tcW w:w="1131" w:type="dxa"/>
            <w:gridSpan w:val="2"/>
            <w:tcBorders>
              <w:bottom w:val="single" w:sz="4" w:space="0" w:color="auto"/>
            </w:tcBorders>
            <w:vAlign w:val="bottom"/>
          </w:tcPr>
          <w:p w14:paraId="0593B83A" w14:textId="3F0D779B" w:rsidR="00A306BB" w:rsidRDefault="00A306BB" w:rsidP="00A306BB">
            <w:pPr>
              <w:jc w:val="right"/>
              <w:rPr>
                <w:lang w:val="en-US" w:eastAsia="en-AU"/>
              </w:rPr>
            </w:pPr>
            <w:r>
              <w:t xml:space="preserve">                          1 </w:t>
            </w:r>
          </w:p>
        </w:tc>
        <w:tc>
          <w:tcPr>
            <w:tcW w:w="1137" w:type="dxa"/>
            <w:tcBorders>
              <w:bottom w:val="single" w:sz="4" w:space="0" w:color="auto"/>
            </w:tcBorders>
            <w:vAlign w:val="bottom"/>
          </w:tcPr>
          <w:p w14:paraId="0F0F35F5" w14:textId="02B241BD" w:rsidR="00A306BB" w:rsidRDefault="00A306BB" w:rsidP="00A306BB">
            <w:pPr>
              <w:jc w:val="right"/>
              <w:rPr>
                <w:lang w:val="en-US" w:eastAsia="en-AU"/>
              </w:rPr>
            </w:pPr>
            <w:r>
              <w:t xml:space="preserve">                       (78)</w:t>
            </w:r>
          </w:p>
        </w:tc>
        <w:tc>
          <w:tcPr>
            <w:tcW w:w="1131" w:type="dxa"/>
            <w:tcBorders>
              <w:bottom w:val="single" w:sz="4" w:space="0" w:color="auto"/>
            </w:tcBorders>
            <w:vAlign w:val="bottom"/>
          </w:tcPr>
          <w:p w14:paraId="5595A3E9" w14:textId="0B90ADA1" w:rsidR="00A306BB" w:rsidRDefault="00A306BB" w:rsidP="00A306BB">
            <w:pPr>
              <w:jc w:val="right"/>
              <w:rPr>
                <w:lang w:val="en-US" w:eastAsia="en-AU"/>
              </w:rPr>
            </w:pPr>
            <w:r>
              <w:t xml:space="preserve">                      (3)</w:t>
            </w:r>
          </w:p>
        </w:tc>
        <w:tc>
          <w:tcPr>
            <w:tcW w:w="1132" w:type="dxa"/>
            <w:tcBorders>
              <w:bottom w:val="single" w:sz="4" w:space="0" w:color="auto"/>
            </w:tcBorders>
            <w:vAlign w:val="bottom"/>
          </w:tcPr>
          <w:p w14:paraId="042DCE9D" w14:textId="4861B549" w:rsidR="00A306BB" w:rsidRDefault="00A306BB" w:rsidP="00A306BB">
            <w:pPr>
              <w:jc w:val="right"/>
              <w:rPr>
                <w:lang w:val="en-US" w:eastAsia="en-AU"/>
              </w:rPr>
            </w:pPr>
            <w:r>
              <w:t xml:space="preserve">                                        95 </w:t>
            </w:r>
          </w:p>
        </w:tc>
      </w:tr>
      <w:tr w:rsidR="00A306BB" w14:paraId="6B5F0BC9" w14:textId="77777777" w:rsidTr="00A306BB">
        <w:trPr>
          <w:trHeight w:val="553"/>
        </w:trPr>
        <w:tc>
          <w:tcPr>
            <w:tcW w:w="4668" w:type="dxa"/>
            <w:vAlign w:val="center"/>
          </w:tcPr>
          <w:p w14:paraId="20827F54" w14:textId="77777777" w:rsidR="00A306BB" w:rsidRDefault="00A306BB" w:rsidP="00A306BB">
            <w:pPr>
              <w:rPr>
                <w:lang w:val="en-US" w:eastAsia="en-AU"/>
              </w:rPr>
            </w:pPr>
          </w:p>
        </w:tc>
        <w:tc>
          <w:tcPr>
            <w:tcW w:w="1131" w:type="dxa"/>
            <w:gridSpan w:val="2"/>
            <w:tcBorders>
              <w:top w:val="single" w:sz="4" w:space="0" w:color="auto"/>
              <w:bottom w:val="single" w:sz="4" w:space="0" w:color="auto"/>
            </w:tcBorders>
            <w:vAlign w:val="bottom"/>
          </w:tcPr>
          <w:p w14:paraId="50C9B987" w14:textId="01B2C20A" w:rsidR="00A306BB" w:rsidRPr="00A306BB" w:rsidRDefault="00A306BB" w:rsidP="00A306BB">
            <w:pPr>
              <w:jc w:val="right"/>
              <w:rPr>
                <w:b/>
                <w:lang w:val="en-US" w:eastAsia="en-AU"/>
              </w:rPr>
            </w:pPr>
            <w:r w:rsidRPr="00A306BB">
              <w:rPr>
                <w:b/>
              </w:rPr>
              <w:t xml:space="preserve">                       212 </w:t>
            </w:r>
          </w:p>
        </w:tc>
        <w:tc>
          <w:tcPr>
            <w:tcW w:w="1137" w:type="dxa"/>
            <w:tcBorders>
              <w:top w:val="single" w:sz="4" w:space="0" w:color="auto"/>
              <w:bottom w:val="single" w:sz="4" w:space="0" w:color="auto"/>
            </w:tcBorders>
            <w:vAlign w:val="bottom"/>
          </w:tcPr>
          <w:p w14:paraId="65DF5FC2" w14:textId="41CAA730" w:rsidR="00A306BB" w:rsidRPr="00A306BB" w:rsidRDefault="00A306BB" w:rsidP="00A306BB">
            <w:pPr>
              <w:jc w:val="right"/>
              <w:rPr>
                <w:b/>
                <w:lang w:val="en-US" w:eastAsia="en-AU"/>
              </w:rPr>
            </w:pPr>
            <w:r w:rsidRPr="00A306BB">
              <w:rPr>
                <w:b/>
              </w:rPr>
              <w:t xml:space="preserve">                      (824)</w:t>
            </w:r>
          </w:p>
        </w:tc>
        <w:tc>
          <w:tcPr>
            <w:tcW w:w="1131" w:type="dxa"/>
            <w:tcBorders>
              <w:top w:val="single" w:sz="4" w:space="0" w:color="auto"/>
              <w:bottom w:val="single" w:sz="4" w:space="0" w:color="auto"/>
            </w:tcBorders>
            <w:vAlign w:val="bottom"/>
          </w:tcPr>
          <w:p w14:paraId="45698F03" w14:textId="167CC711" w:rsidR="00A306BB" w:rsidRPr="00A306BB" w:rsidRDefault="00A306BB" w:rsidP="00A306BB">
            <w:pPr>
              <w:jc w:val="right"/>
              <w:rPr>
                <w:b/>
                <w:lang w:val="en-US" w:eastAsia="en-AU"/>
              </w:rPr>
            </w:pPr>
            <w:r w:rsidRPr="00A306BB">
              <w:rPr>
                <w:b/>
              </w:rPr>
              <w:t xml:space="preserve">                       1 </w:t>
            </w:r>
          </w:p>
        </w:tc>
        <w:tc>
          <w:tcPr>
            <w:tcW w:w="1132" w:type="dxa"/>
            <w:tcBorders>
              <w:top w:val="single" w:sz="4" w:space="0" w:color="auto"/>
              <w:bottom w:val="single" w:sz="4" w:space="0" w:color="auto"/>
            </w:tcBorders>
            <w:vAlign w:val="bottom"/>
          </w:tcPr>
          <w:p w14:paraId="0BF25978" w14:textId="4BED8D80" w:rsidR="00A306BB" w:rsidRPr="00A306BB" w:rsidRDefault="00A306BB" w:rsidP="00A306BB">
            <w:pPr>
              <w:jc w:val="right"/>
              <w:rPr>
                <w:b/>
                <w:lang w:val="en-US" w:eastAsia="en-AU"/>
              </w:rPr>
            </w:pPr>
            <w:r w:rsidRPr="00A306BB">
              <w:rPr>
                <w:b/>
              </w:rPr>
              <w:t xml:space="preserve">                                        75 </w:t>
            </w:r>
          </w:p>
        </w:tc>
      </w:tr>
      <w:tr w:rsidR="00A306BB" w14:paraId="05FD2D3D" w14:textId="77777777" w:rsidTr="00A306BB">
        <w:trPr>
          <w:trHeight w:val="553"/>
        </w:trPr>
        <w:tc>
          <w:tcPr>
            <w:tcW w:w="4668" w:type="dxa"/>
            <w:vAlign w:val="center"/>
          </w:tcPr>
          <w:p w14:paraId="38540AE4" w14:textId="1DFED251" w:rsidR="00A306BB" w:rsidRDefault="00A306BB" w:rsidP="00A306BB">
            <w:pPr>
              <w:rPr>
                <w:lang w:val="en-US" w:eastAsia="en-AU"/>
              </w:rPr>
            </w:pPr>
            <w:r>
              <w:t>Contributions:</w:t>
            </w:r>
          </w:p>
        </w:tc>
        <w:tc>
          <w:tcPr>
            <w:tcW w:w="1131" w:type="dxa"/>
            <w:gridSpan w:val="2"/>
            <w:tcBorders>
              <w:top w:val="single" w:sz="4" w:space="0" w:color="auto"/>
            </w:tcBorders>
          </w:tcPr>
          <w:p w14:paraId="2D341DB8" w14:textId="77777777" w:rsidR="00A306BB" w:rsidRDefault="00A306BB" w:rsidP="00A306BB">
            <w:pPr>
              <w:rPr>
                <w:lang w:val="en-US" w:eastAsia="en-AU"/>
              </w:rPr>
            </w:pPr>
          </w:p>
        </w:tc>
        <w:tc>
          <w:tcPr>
            <w:tcW w:w="1137" w:type="dxa"/>
            <w:tcBorders>
              <w:top w:val="single" w:sz="4" w:space="0" w:color="auto"/>
            </w:tcBorders>
          </w:tcPr>
          <w:p w14:paraId="4364F349" w14:textId="77777777" w:rsidR="00A306BB" w:rsidRDefault="00A306BB" w:rsidP="00A306BB">
            <w:pPr>
              <w:rPr>
                <w:lang w:val="en-US" w:eastAsia="en-AU"/>
              </w:rPr>
            </w:pPr>
          </w:p>
        </w:tc>
        <w:tc>
          <w:tcPr>
            <w:tcW w:w="1131" w:type="dxa"/>
            <w:tcBorders>
              <w:top w:val="single" w:sz="4" w:space="0" w:color="auto"/>
            </w:tcBorders>
          </w:tcPr>
          <w:p w14:paraId="12D61063" w14:textId="77777777" w:rsidR="00A306BB" w:rsidRDefault="00A306BB" w:rsidP="00A306BB">
            <w:pPr>
              <w:rPr>
                <w:lang w:val="en-US" w:eastAsia="en-AU"/>
              </w:rPr>
            </w:pPr>
          </w:p>
        </w:tc>
        <w:tc>
          <w:tcPr>
            <w:tcW w:w="1132" w:type="dxa"/>
            <w:tcBorders>
              <w:top w:val="single" w:sz="4" w:space="0" w:color="auto"/>
            </w:tcBorders>
          </w:tcPr>
          <w:p w14:paraId="57C6F04A" w14:textId="748BAB36" w:rsidR="00A306BB" w:rsidRDefault="00A306BB" w:rsidP="00A306BB">
            <w:pPr>
              <w:rPr>
                <w:lang w:val="en-US" w:eastAsia="en-AU"/>
              </w:rPr>
            </w:pPr>
          </w:p>
        </w:tc>
      </w:tr>
      <w:tr w:rsidR="00A306BB" w14:paraId="3E2EC1A7" w14:textId="77777777" w:rsidTr="00A306BB">
        <w:trPr>
          <w:trHeight w:val="553"/>
        </w:trPr>
        <w:tc>
          <w:tcPr>
            <w:tcW w:w="4668" w:type="dxa"/>
            <w:vAlign w:val="center"/>
          </w:tcPr>
          <w:p w14:paraId="5CBD3548" w14:textId="53D71EBA" w:rsidR="00A306BB" w:rsidRDefault="00A306BB" w:rsidP="00A306BB">
            <w:pPr>
              <w:rPr>
                <w:lang w:val="en-US" w:eastAsia="en-AU"/>
              </w:rPr>
            </w:pPr>
            <w:r>
              <w:t>Benefits Paid</w:t>
            </w:r>
          </w:p>
        </w:tc>
        <w:tc>
          <w:tcPr>
            <w:tcW w:w="1131" w:type="dxa"/>
            <w:gridSpan w:val="2"/>
            <w:tcBorders>
              <w:bottom w:val="single" w:sz="4" w:space="0" w:color="auto"/>
            </w:tcBorders>
            <w:vAlign w:val="bottom"/>
          </w:tcPr>
          <w:p w14:paraId="1233B2B9" w14:textId="1874441D" w:rsidR="00A306BB" w:rsidRDefault="00A306BB" w:rsidP="00A306BB">
            <w:pPr>
              <w:jc w:val="right"/>
              <w:rPr>
                <w:lang w:val="en-US" w:eastAsia="en-AU"/>
              </w:rPr>
            </w:pPr>
            <w:r>
              <w:t xml:space="preserve">                      (308)</w:t>
            </w:r>
          </w:p>
        </w:tc>
        <w:tc>
          <w:tcPr>
            <w:tcW w:w="1137" w:type="dxa"/>
            <w:tcBorders>
              <w:bottom w:val="single" w:sz="4" w:space="0" w:color="auto"/>
            </w:tcBorders>
            <w:vAlign w:val="bottom"/>
          </w:tcPr>
          <w:p w14:paraId="645C13FC" w14:textId="3F65C64E" w:rsidR="00A306BB" w:rsidRDefault="00A306BB" w:rsidP="00A306BB">
            <w:pPr>
              <w:jc w:val="right"/>
              <w:rPr>
                <w:lang w:val="en-US" w:eastAsia="en-AU"/>
              </w:rPr>
            </w:pPr>
            <w:r>
              <w:t xml:space="preserve">                      (330)</w:t>
            </w:r>
          </w:p>
        </w:tc>
        <w:tc>
          <w:tcPr>
            <w:tcW w:w="1131" w:type="dxa"/>
            <w:tcBorders>
              <w:bottom w:val="single" w:sz="4" w:space="0" w:color="auto"/>
            </w:tcBorders>
            <w:vAlign w:val="bottom"/>
          </w:tcPr>
          <w:p w14:paraId="3B778DE7" w14:textId="3E7579E6" w:rsidR="00A306BB" w:rsidRDefault="00A306BB" w:rsidP="00A306BB">
            <w:pPr>
              <w:jc w:val="right"/>
              <w:rPr>
                <w:lang w:val="en-US" w:eastAsia="en-AU"/>
              </w:rPr>
            </w:pPr>
            <w:r>
              <w:t xml:space="preserve">                      -   </w:t>
            </w:r>
          </w:p>
        </w:tc>
        <w:tc>
          <w:tcPr>
            <w:tcW w:w="1132" w:type="dxa"/>
            <w:tcBorders>
              <w:bottom w:val="single" w:sz="4" w:space="0" w:color="auto"/>
            </w:tcBorders>
            <w:vAlign w:val="bottom"/>
          </w:tcPr>
          <w:p w14:paraId="7AB2F35A" w14:textId="3BD2450C" w:rsidR="00A306BB" w:rsidRDefault="00A306BB" w:rsidP="00A306BB">
            <w:pPr>
              <w:jc w:val="right"/>
              <w:rPr>
                <w:lang w:val="en-US" w:eastAsia="en-AU"/>
              </w:rPr>
            </w:pPr>
            <w:r>
              <w:t xml:space="preserve">                                     (124)</w:t>
            </w:r>
          </w:p>
        </w:tc>
      </w:tr>
      <w:tr w:rsidR="00A306BB" w14:paraId="5A41A7CE" w14:textId="77777777" w:rsidTr="00A306BB">
        <w:trPr>
          <w:trHeight w:val="553"/>
        </w:trPr>
        <w:tc>
          <w:tcPr>
            <w:tcW w:w="4668" w:type="dxa"/>
            <w:vAlign w:val="center"/>
          </w:tcPr>
          <w:p w14:paraId="22C7EFB9" w14:textId="77777777" w:rsidR="00A306BB" w:rsidRDefault="00A306BB" w:rsidP="00A306BB">
            <w:pPr>
              <w:rPr>
                <w:lang w:val="en-US" w:eastAsia="en-AU"/>
              </w:rPr>
            </w:pPr>
          </w:p>
        </w:tc>
        <w:tc>
          <w:tcPr>
            <w:tcW w:w="1131" w:type="dxa"/>
            <w:gridSpan w:val="2"/>
            <w:tcBorders>
              <w:top w:val="single" w:sz="4" w:space="0" w:color="auto"/>
              <w:bottom w:val="single" w:sz="4" w:space="0" w:color="auto"/>
            </w:tcBorders>
            <w:vAlign w:val="bottom"/>
          </w:tcPr>
          <w:p w14:paraId="52423115" w14:textId="0CAFA4B2" w:rsidR="00A306BB" w:rsidRDefault="00A306BB" w:rsidP="00A306BB">
            <w:pPr>
              <w:jc w:val="right"/>
              <w:rPr>
                <w:lang w:val="en-US" w:eastAsia="en-AU"/>
              </w:rPr>
            </w:pPr>
            <w:r>
              <w:t xml:space="preserve">                      (308)</w:t>
            </w:r>
          </w:p>
        </w:tc>
        <w:tc>
          <w:tcPr>
            <w:tcW w:w="1137" w:type="dxa"/>
            <w:tcBorders>
              <w:top w:val="single" w:sz="4" w:space="0" w:color="auto"/>
              <w:bottom w:val="single" w:sz="4" w:space="0" w:color="auto"/>
            </w:tcBorders>
            <w:vAlign w:val="bottom"/>
          </w:tcPr>
          <w:p w14:paraId="5061E172" w14:textId="494DF124" w:rsidR="00A306BB" w:rsidRDefault="00A306BB" w:rsidP="00A306BB">
            <w:pPr>
              <w:jc w:val="right"/>
              <w:rPr>
                <w:lang w:val="en-US" w:eastAsia="en-AU"/>
              </w:rPr>
            </w:pPr>
            <w:r>
              <w:t xml:space="preserve">                      (330)</w:t>
            </w:r>
          </w:p>
        </w:tc>
        <w:tc>
          <w:tcPr>
            <w:tcW w:w="1131" w:type="dxa"/>
            <w:tcBorders>
              <w:top w:val="single" w:sz="4" w:space="0" w:color="auto"/>
              <w:bottom w:val="single" w:sz="4" w:space="0" w:color="auto"/>
            </w:tcBorders>
            <w:vAlign w:val="bottom"/>
          </w:tcPr>
          <w:p w14:paraId="5612C50E" w14:textId="4E28DFEC" w:rsidR="00A306BB" w:rsidRDefault="00A306BB" w:rsidP="00A306BB">
            <w:pPr>
              <w:jc w:val="right"/>
              <w:rPr>
                <w:lang w:val="en-US" w:eastAsia="en-AU"/>
              </w:rPr>
            </w:pPr>
            <w:r>
              <w:t xml:space="preserve">                      -   </w:t>
            </w:r>
          </w:p>
        </w:tc>
        <w:tc>
          <w:tcPr>
            <w:tcW w:w="1132" w:type="dxa"/>
            <w:tcBorders>
              <w:top w:val="single" w:sz="4" w:space="0" w:color="auto"/>
              <w:bottom w:val="single" w:sz="4" w:space="0" w:color="auto"/>
            </w:tcBorders>
            <w:vAlign w:val="bottom"/>
          </w:tcPr>
          <w:p w14:paraId="6D6F19E7" w14:textId="11234584" w:rsidR="00A306BB" w:rsidRDefault="00A306BB" w:rsidP="00A306BB">
            <w:pPr>
              <w:jc w:val="right"/>
              <w:rPr>
                <w:lang w:val="en-US" w:eastAsia="en-AU"/>
              </w:rPr>
            </w:pPr>
            <w:r>
              <w:t xml:space="preserve">                                     (124)</w:t>
            </w:r>
          </w:p>
        </w:tc>
      </w:tr>
      <w:tr w:rsidR="00A306BB" w14:paraId="157A15D6" w14:textId="77777777" w:rsidTr="00A306BB">
        <w:trPr>
          <w:trHeight w:val="553"/>
        </w:trPr>
        <w:tc>
          <w:tcPr>
            <w:tcW w:w="4668" w:type="dxa"/>
            <w:vAlign w:val="center"/>
          </w:tcPr>
          <w:p w14:paraId="23CF7177" w14:textId="50100285" w:rsidR="00A306BB" w:rsidRPr="00A306BB" w:rsidRDefault="00A306BB" w:rsidP="00A306BB">
            <w:pPr>
              <w:rPr>
                <w:b/>
                <w:lang w:eastAsia="en-AU"/>
              </w:rPr>
            </w:pPr>
            <w:r w:rsidRPr="00A306BB">
              <w:rPr>
                <w:b/>
              </w:rPr>
              <w:t>Liability at end of period</w:t>
            </w:r>
          </w:p>
        </w:tc>
        <w:tc>
          <w:tcPr>
            <w:tcW w:w="1131" w:type="dxa"/>
            <w:gridSpan w:val="2"/>
            <w:tcBorders>
              <w:top w:val="single" w:sz="4" w:space="0" w:color="auto"/>
              <w:bottom w:val="single" w:sz="12" w:space="0" w:color="auto"/>
            </w:tcBorders>
            <w:vAlign w:val="bottom"/>
          </w:tcPr>
          <w:p w14:paraId="074C3775" w14:textId="5564FD1D" w:rsidR="00A306BB" w:rsidRPr="00A306BB" w:rsidRDefault="00A306BB" w:rsidP="00A306BB">
            <w:pPr>
              <w:jc w:val="right"/>
              <w:rPr>
                <w:b/>
                <w:lang w:val="en-US" w:eastAsia="en-AU"/>
              </w:rPr>
            </w:pPr>
            <w:r w:rsidRPr="00A306BB">
              <w:rPr>
                <w:b/>
              </w:rPr>
              <w:t xml:space="preserve">                    4,996 </w:t>
            </w:r>
          </w:p>
        </w:tc>
        <w:tc>
          <w:tcPr>
            <w:tcW w:w="1137" w:type="dxa"/>
            <w:tcBorders>
              <w:top w:val="single" w:sz="4" w:space="0" w:color="auto"/>
              <w:bottom w:val="single" w:sz="12" w:space="0" w:color="auto"/>
            </w:tcBorders>
            <w:vAlign w:val="bottom"/>
          </w:tcPr>
          <w:p w14:paraId="11F82F0A" w14:textId="5D4CD2DD" w:rsidR="00A306BB" w:rsidRPr="00A306BB" w:rsidRDefault="00A306BB" w:rsidP="00A306BB">
            <w:pPr>
              <w:jc w:val="right"/>
              <w:rPr>
                <w:b/>
                <w:lang w:val="en-US" w:eastAsia="en-AU"/>
              </w:rPr>
            </w:pPr>
            <w:r w:rsidRPr="00A306BB">
              <w:rPr>
                <w:b/>
              </w:rPr>
              <w:t xml:space="preserve">                    4,967 </w:t>
            </w:r>
          </w:p>
        </w:tc>
        <w:tc>
          <w:tcPr>
            <w:tcW w:w="1131" w:type="dxa"/>
            <w:tcBorders>
              <w:top w:val="single" w:sz="4" w:space="0" w:color="auto"/>
              <w:bottom w:val="single" w:sz="12" w:space="0" w:color="auto"/>
            </w:tcBorders>
            <w:vAlign w:val="bottom"/>
          </w:tcPr>
          <w:p w14:paraId="79315A90" w14:textId="67424724" w:rsidR="00A306BB" w:rsidRPr="00A306BB" w:rsidRDefault="00A306BB" w:rsidP="00A306BB">
            <w:pPr>
              <w:jc w:val="right"/>
              <w:rPr>
                <w:b/>
                <w:lang w:val="en-US" w:eastAsia="en-AU"/>
              </w:rPr>
            </w:pPr>
            <w:r w:rsidRPr="00A306BB">
              <w:rPr>
                <w:b/>
              </w:rPr>
              <w:t xml:space="preserve">                   492 </w:t>
            </w:r>
          </w:p>
        </w:tc>
        <w:tc>
          <w:tcPr>
            <w:tcW w:w="1132" w:type="dxa"/>
            <w:tcBorders>
              <w:top w:val="single" w:sz="4" w:space="0" w:color="auto"/>
              <w:bottom w:val="single" w:sz="12" w:space="0" w:color="auto"/>
            </w:tcBorders>
            <w:vAlign w:val="bottom"/>
          </w:tcPr>
          <w:p w14:paraId="3189FB4A" w14:textId="25F9CEAD" w:rsidR="00A306BB" w:rsidRPr="00A306BB" w:rsidRDefault="00A306BB" w:rsidP="00A306BB">
            <w:pPr>
              <w:jc w:val="right"/>
              <w:rPr>
                <w:b/>
                <w:lang w:val="en-US" w:eastAsia="en-AU"/>
              </w:rPr>
            </w:pPr>
            <w:r w:rsidRPr="00A306BB">
              <w:rPr>
                <w:b/>
              </w:rPr>
              <w:t xml:space="preserve">                                      479 </w:t>
            </w:r>
          </w:p>
        </w:tc>
      </w:tr>
    </w:tbl>
    <w:p w14:paraId="11E4BCC9" w14:textId="77777777" w:rsidR="009757DD" w:rsidRDefault="009757DD" w:rsidP="009757DD">
      <w:pPr>
        <w:rPr>
          <w:lang w:val="en-US" w:eastAsia="en-AU"/>
        </w:rPr>
      </w:pPr>
    </w:p>
    <w:p w14:paraId="78E0F755" w14:textId="0F686019" w:rsidR="00D81F8F" w:rsidRPr="00D81F8F" w:rsidRDefault="00D81F8F" w:rsidP="00D81F8F">
      <w:pPr>
        <w:rPr>
          <w:lang w:val="en-US" w:eastAsia="en-AU"/>
        </w:rPr>
      </w:pPr>
      <w:r w:rsidRPr="00D81F8F">
        <w:rPr>
          <w:lang w:val="en-US" w:eastAsia="en-AU"/>
        </w:rPr>
        <w:t>The Authority holds no plan assets, therefore the present value of the defined benefit obligation equals the net defined benefit liability. Employer contributions, to the Pension Scheme and the pre-transfer benefit for employees who transferred to the GSS, equal the benefits paid.</w:t>
      </w:r>
    </w:p>
    <w:p w14:paraId="2D81B0DB" w14:textId="771BD90C" w:rsidR="00D81F8F" w:rsidRDefault="00D81F8F" w:rsidP="00F11774">
      <w:pPr>
        <w:rPr>
          <w:lang w:val="en-US" w:eastAsia="en-AU"/>
        </w:rPr>
      </w:pPr>
      <w:r w:rsidRPr="00D81F8F">
        <w:rPr>
          <w:lang w:val="en-US" w:eastAsia="en-AU"/>
        </w:rPr>
        <w:t>The principal actuarial assumptions used (expressed as weighted averages) were as follows: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mployer contributions as principal actuarial assumptions"/>
        <w:tblDescription w:val="This table outlines the principal actuarial assumptions for the contributions to the Pension Scheme and pre-transfer benefit scheme for employees who transferred to the GSS. "/>
      </w:tblPr>
      <w:tblGrid>
        <w:gridCol w:w="3402"/>
        <w:gridCol w:w="1560"/>
        <w:gridCol w:w="1417"/>
        <w:gridCol w:w="1418"/>
        <w:gridCol w:w="1559"/>
      </w:tblGrid>
      <w:tr w:rsidR="00A36A25" w:rsidRPr="00C5596F" w14:paraId="75F93126" w14:textId="77777777" w:rsidTr="00F11774">
        <w:trPr>
          <w:trHeight w:val="2051"/>
          <w:tblHeader/>
        </w:trPr>
        <w:tc>
          <w:tcPr>
            <w:tcW w:w="3402" w:type="dxa"/>
          </w:tcPr>
          <w:p w14:paraId="1B4E5193" w14:textId="77777777" w:rsidR="00A36A25" w:rsidRDefault="00A36A25" w:rsidP="00121076">
            <w:pPr>
              <w:rPr>
                <w:lang w:val="en-US" w:eastAsia="en-AU"/>
              </w:rPr>
            </w:pPr>
          </w:p>
        </w:tc>
        <w:tc>
          <w:tcPr>
            <w:tcW w:w="2977" w:type="dxa"/>
            <w:gridSpan w:val="2"/>
          </w:tcPr>
          <w:p w14:paraId="269C41CE" w14:textId="77777777" w:rsidR="00A36A25" w:rsidRPr="00A306BB" w:rsidRDefault="00A36A25" w:rsidP="00121076">
            <w:pPr>
              <w:jc w:val="center"/>
              <w:rPr>
                <w:b/>
                <w:lang w:eastAsia="en-AU"/>
              </w:rPr>
            </w:pPr>
            <w:r w:rsidRPr="00A306BB">
              <w:rPr>
                <w:b/>
              </w:rPr>
              <w:t>Pension Scheme</w:t>
            </w:r>
          </w:p>
          <w:p w14:paraId="539547AA" w14:textId="77777777" w:rsidR="00A36A25" w:rsidRPr="00A306BB" w:rsidRDefault="00A36A25" w:rsidP="00121076">
            <w:pPr>
              <w:jc w:val="center"/>
              <w:rPr>
                <w:b/>
                <w:lang w:val="en-US" w:eastAsia="en-AU"/>
              </w:rPr>
            </w:pPr>
          </w:p>
        </w:tc>
        <w:tc>
          <w:tcPr>
            <w:tcW w:w="2977" w:type="dxa"/>
            <w:gridSpan w:val="2"/>
          </w:tcPr>
          <w:p w14:paraId="20EB17B5" w14:textId="77777777" w:rsidR="00A36A25" w:rsidRPr="00C5596F" w:rsidRDefault="00A36A25" w:rsidP="00121076">
            <w:pPr>
              <w:jc w:val="center"/>
              <w:rPr>
                <w:b/>
                <w:lang w:val="en-US" w:eastAsia="en-AU"/>
              </w:rPr>
            </w:pPr>
            <w:r>
              <w:rPr>
                <w:b/>
                <w:lang w:val="en-US" w:eastAsia="en-AU"/>
              </w:rPr>
              <w:t>Pre-transfer benefit –</w:t>
            </w:r>
            <w:r>
              <w:rPr>
                <w:b/>
                <w:lang w:val="en-US" w:eastAsia="en-AU"/>
              </w:rPr>
              <w:br/>
              <w:t>Gold State Superannuation</w:t>
            </w:r>
            <w:r>
              <w:rPr>
                <w:b/>
                <w:lang w:val="en-US" w:eastAsia="en-AU"/>
              </w:rPr>
              <w:br/>
            </w:r>
            <w:r w:rsidRPr="00C5596F">
              <w:rPr>
                <w:b/>
                <w:lang w:val="en-US" w:eastAsia="en-AU"/>
              </w:rPr>
              <w:t>Scheme</w:t>
            </w:r>
          </w:p>
        </w:tc>
      </w:tr>
      <w:tr w:rsidR="00A36A25" w:rsidRPr="00A306BB" w14:paraId="7975E99A" w14:textId="77777777" w:rsidTr="00A36A25">
        <w:trPr>
          <w:trHeight w:val="497"/>
        </w:trPr>
        <w:tc>
          <w:tcPr>
            <w:tcW w:w="3402" w:type="dxa"/>
          </w:tcPr>
          <w:p w14:paraId="73DF7A0F" w14:textId="77777777" w:rsidR="00A36A25" w:rsidRDefault="00A36A25" w:rsidP="00121076">
            <w:pPr>
              <w:rPr>
                <w:lang w:val="en-US" w:eastAsia="en-AU"/>
              </w:rPr>
            </w:pPr>
          </w:p>
        </w:tc>
        <w:tc>
          <w:tcPr>
            <w:tcW w:w="1560" w:type="dxa"/>
            <w:tcBorders>
              <w:bottom w:val="single" w:sz="4" w:space="0" w:color="auto"/>
            </w:tcBorders>
          </w:tcPr>
          <w:p w14:paraId="5F5A8A02" w14:textId="37C24BAE" w:rsidR="00A36A25" w:rsidRPr="00A306BB" w:rsidRDefault="00A36A25" w:rsidP="00A36A25">
            <w:pPr>
              <w:jc w:val="right"/>
              <w:rPr>
                <w:lang w:val="en-US" w:eastAsia="en-AU"/>
              </w:rPr>
            </w:pPr>
            <w:r>
              <w:rPr>
                <w:b/>
                <w:lang w:val="en-US" w:eastAsia="en-AU"/>
              </w:rPr>
              <w:t>2018</w:t>
            </w:r>
          </w:p>
        </w:tc>
        <w:tc>
          <w:tcPr>
            <w:tcW w:w="1417" w:type="dxa"/>
            <w:tcBorders>
              <w:bottom w:val="single" w:sz="4" w:space="0" w:color="auto"/>
            </w:tcBorders>
          </w:tcPr>
          <w:p w14:paraId="2F6D529B" w14:textId="58CDA063" w:rsidR="00A36A25" w:rsidRPr="00A306BB" w:rsidRDefault="00A36A25" w:rsidP="00A36A25">
            <w:pPr>
              <w:jc w:val="right"/>
              <w:rPr>
                <w:lang w:val="en-US" w:eastAsia="en-AU"/>
              </w:rPr>
            </w:pPr>
            <w:r>
              <w:rPr>
                <w:b/>
                <w:lang w:val="en-US" w:eastAsia="en-AU"/>
              </w:rPr>
              <w:t>2017</w:t>
            </w:r>
          </w:p>
        </w:tc>
        <w:tc>
          <w:tcPr>
            <w:tcW w:w="1418" w:type="dxa"/>
            <w:tcBorders>
              <w:bottom w:val="single" w:sz="4" w:space="0" w:color="auto"/>
            </w:tcBorders>
          </w:tcPr>
          <w:p w14:paraId="1006E305" w14:textId="04833C6D" w:rsidR="00A36A25" w:rsidRPr="00A306BB" w:rsidRDefault="00A36A25" w:rsidP="00A36A25">
            <w:pPr>
              <w:jc w:val="right"/>
              <w:rPr>
                <w:lang w:val="en-US" w:eastAsia="en-AU"/>
              </w:rPr>
            </w:pPr>
            <w:r>
              <w:rPr>
                <w:b/>
                <w:lang w:val="en-US" w:eastAsia="en-AU"/>
              </w:rPr>
              <w:t>2018</w:t>
            </w:r>
          </w:p>
        </w:tc>
        <w:tc>
          <w:tcPr>
            <w:tcW w:w="1559" w:type="dxa"/>
            <w:tcBorders>
              <w:bottom w:val="single" w:sz="4" w:space="0" w:color="auto"/>
            </w:tcBorders>
          </w:tcPr>
          <w:p w14:paraId="73400111" w14:textId="77D966BB" w:rsidR="00A36A25" w:rsidRPr="00A306BB" w:rsidRDefault="00A36A25" w:rsidP="00A36A25">
            <w:pPr>
              <w:jc w:val="right"/>
              <w:rPr>
                <w:lang w:val="en-US" w:eastAsia="en-AU"/>
              </w:rPr>
            </w:pPr>
            <w:r>
              <w:rPr>
                <w:b/>
                <w:lang w:val="en-US" w:eastAsia="en-AU"/>
              </w:rPr>
              <w:t>2017</w:t>
            </w:r>
          </w:p>
        </w:tc>
      </w:tr>
      <w:tr w:rsidR="00A36A25" w:rsidRPr="00A306BB" w14:paraId="6A06405C" w14:textId="77777777" w:rsidTr="00A36A25">
        <w:trPr>
          <w:trHeight w:val="553"/>
        </w:trPr>
        <w:tc>
          <w:tcPr>
            <w:tcW w:w="3402" w:type="dxa"/>
            <w:vAlign w:val="bottom"/>
          </w:tcPr>
          <w:p w14:paraId="3B8F9FAC" w14:textId="3C4CCE76" w:rsidR="00A36A25" w:rsidRPr="00A306BB" w:rsidRDefault="00A36A25" w:rsidP="00A36A25">
            <w:pPr>
              <w:rPr>
                <w:lang w:eastAsia="en-AU"/>
              </w:rPr>
            </w:pPr>
            <w:r>
              <w:t>Discount rate</w:t>
            </w:r>
          </w:p>
        </w:tc>
        <w:tc>
          <w:tcPr>
            <w:tcW w:w="1560" w:type="dxa"/>
            <w:tcBorders>
              <w:top w:val="single" w:sz="4" w:space="0" w:color="auto"/>
            </w:tcBorders>
            <w:vAlign w:val="bottom"/>
          </w:tcPr>
          <w:p w14:paraId="0FED6487" w14:textId="04C7F17A" w:rsidR="00A36A25" w:rsidRPr="00A306BB" w:rsidRDefault="00A36A25" w:rsidP="00A36A25">
            <w:pPr>
              <w:jc w:val="right"/>
              <w:rPr>
                <w:b/>
                <w:lang w:val="en-US" w:eastAsia="en-AU"/>
              </w:rPr>
            </w:pPr>
            <w:r>
              <w:t>2.60%</w:t>
            </w:r>
          </w:p>
        </w:tc>
        <w:tc>
          <w:tcPr>
            <w:tcW w:w="1417" w:type="dxa"/>
            <w:tcBorders>
              <w:top w:val="single" w:sz="4" w:space="0" w:color="auto"/>
            </w:tcBorders>
            <w:vAlign w:val="bottom"/>
          </w:tcPr>
          <w:p w14:paraId="213636C2" w14:textId="05879A55" w:rsidR="00A36A25" w:rsidRPr="00A306BB" w:rsidRDefault="00A36A25" w:rsidP="00A36A25">
            <w:pPr>
              <w:jc w:val="right"/>
              <w:rPr>
                <w:b/>
                <w:lang w:val="en-US" w:eastAsia="en-AU"/>
              </w:rPr>
            </w:pPr>
            <w:r>
              <w:t>2.60%</w:t>
            </w:r>
          </w:p>
        </w:tc>
        <w:tc>
          <w:tcPr>
            <w:tcW w:w="1418" w:type="dxa"/>
            <w:tcBorders>
              <w:top w:val="single" w:sz="4" w:space="0" w:color="auto"/>
            </w:tcBorders>
            <w:vAlign w:val="bottom"/>
          </w:tcPr>
          <w:p w14:paraId="37DF6E4B" w14:textId="3E386D85" w:rsidR="00A36A25" w:rsidRPr="00A306BB" w:rsidRDefault="00A36A25" w:rsidP="00A36A25">
            <w:pPr>
              <w:jc w:val="right"/>
              <w:rPr>
                <w:b/>
                <w:lang w:val="en-US" w:eastAsia="en-AU"/>
              </w:rPr>
            </w:pPr>
            <w:r>
              <w:t>2.60%</w:t>
            </w:r>
          </w:p>
        </w:tc>
        <w:tc>
          <w:tcPr>
            <w:tcW w:w="1559" w:type="dxa"/>
            <w:tcBorders>
              <w:top w:val="single" w:sz="4" w:space="0" w:color="auto"/>
            </w:tcBorders>
            <w:vAlign w:val="bottom"/>
          </w:tcPr>
          <w:p w14:paraId="11970778" w14:textId="15CE5B77" w:rsidR="00A36A25" w:rsidRPr="00A306BB" w:rsidRDefault="00A36A25" w:rsidP="00A36A25">
            <w:pPr>
              <w:jc w:val="right"/>
              <w:rPr>
                <w:b/>
                <w:lang w:val="en-US" w:eastAsia="en-AU"/>
              </w:rPr>
            </w:pPr>
            <w:r>
              <w:t>2.60%</w:t>
            </w:r>
          </w:p>
        </w:tc>
      </w:tr>
      <w:tr w:rsidR="00A36A25" w:rsidRPr="00A306BB" w14:paraId="7C655E82" w14:textId="77777777" w:rsidTr="00A36A25">
        <w:trPr>
          <w:trHeight w:val="553"/>
        </w:trPr>
        <w:tc>
          <w:tcPr>
            <w:tcW w:w="3402" w:type="dxa"/>
            <w:vAlign w:val="bottom"/>
          </w:tcPr>
          <w:p w14:paraId="09723D29" w14:textId="699960BA" w:rsidR="00A36A25" w:rsidRPr="00A306BB" w:rsidRDefault="00A36A25" w:rsidP="00A36A25">
            <w:pPr>
              <w:rPr>
                <w:lang w:eastAsia="en-AU"/>
              </w:rPr>
            </w:pPr>
            <w:r>
              <w:t>Pension increases</w:t>
            </w:r>
          </w:p>
        </w:tc>
        <w:tc>
          <w:tcPr>
            <w:tcW w:w="1560" w:type="dxa"/>
            <w:vAlign w:val="bottom"/>
          </w:tcPr>
          <w:p w14:paraId="7EA1100D" w14:textId="28979709" w:rsidR="00A36A25" w:rsidRPr="00A306BB" w:rsidRDefault="00A36A25" w:rsidP="00A36A25">
            <w:pPr>
              <w:jc w:val="right"/>
              <w:rPr>
                <w:b/>
                <w:lang w:val="en-US" w:eastAsia="en-AU"/>
              </w:rPr>
            </w:pPr>
            <w:r>
              <w:t>2.50%</w:t>
            </w:r>
          </w:p>
        </w:tc>
        <w:tc>
          <w:tcPr>
            <w:tcW w:w="1417" w:type="dxa"/>
            <w:vAlign w:val="bottom"/>
          </w:tcPr>
          <w:p w14:paraId="03F1D1D7" w14:textId="5A89ED97" w:rsidR="00A36A25" w:rsidRPr="00A306BB" w:rsidRDefault="00A36A25" w:rsidP="00A36A25">
            <w:pPr>
              <w:jc w:val="right"/>
              <w:rPr>
                <w:b/>
                <w:lang w:val="en-US" w:eastAsia="en-AU"/>
              </w:rPr>
            </w:pPr>
            <w:r>
              <w:t>2.50%</w:t>
            </w:r>
          </w:p>
        </w:tc>
        <w:tc>
          <w:tcPr>
            <w:tcW w:w="1418" w:type="dxa"/>
            <w:vAlign w:val="bottom"/>
          </w:tcPr>
          <w:p w14:paraId="6F0BD62E" w14:textId="764E51A7" w:rsidR="00A36A25" w:rsidRPr="00A306BB" w:rsidRDefault="00A36A25" w:rsidP="00A36A25">
            <w:pPr>
              <w:jc w:val="right"/>
              <w:rPr>
                <w:b/>
                <w:lang w:val="en-US" w:eastAsia="en-AU"/>
              </w:rPr>
            </w:pPr>
          </w:p>
        </w:tc>
        <w:tc>
          <w:tcPr>
            <w:tcW w:w="1559" w:type="dxa"/>
            <w:vAlign w:val="bottom"/>
          </w:tcPr>
          <w:p w14:paraId="3424A1F1" w14:textId="7828C84F" w:rsidR="00A36A25" w:rsidRPr="00A306BB" w:rsidRDefault="00A36A25" w:rsidP="00A36A25">
            <w:pPr>
              <w:jc w:val="right"/>
              <w:rPr>
                <w:b/>
                <w:lang w:val="en-US" w:eastAsia="en-AU"/>
              </w:rPr>
            </w:pPr>
            <w:r>
              <w:t> </w:t>
            </w:r>
          </w:p>
        </w:tc>
      </w:tr>
      <w:tr w:rsidR="00A36A25" w:rsidRPr="00A306BB" w14:paraId="65F474D7" w14:textId="77777777" w:rsidTr="00A36A25">
        <w:trPr>
          <w:trHeight w:val="553"/>
        </w:trPr>
        <w:tc>
          <w:tcPr>
            <w:tcW w:w="3402" w:type="dxa"/>
          </w:tcPr>
          <w:p w14:paraId="4BEEA589" w14:textId="77777777" w:rsidR="00A36A25" w:rsidRPr="00A306BB" w:rsidRDefault="00A36A25" w:rsidP="00A36A25">
            <w:pPr>
              <w:rPr>
                <w:lang w:eastAsia="en-AU"/>
              </w:rPr>
            </w:pPr>
          </w:p>
        </w:tc>
        <w:tc>
          <w:tcPr>
            <w:tcW w:w="1560" w:type="dxa"/>
          </w:tcPr>
          <w:p w14:paraId="1D516678" w14:textId="12494E9C" w:rsidR="00A36A25" w:rsidRPr="00A306BB" w:rsidRDefault="00A36A25" w:rsidP="00A36A25">
            <w:pPr>
              <w:rPr>
                <w:b/>
                <w:lang w:val="en-US" w:eastAsia="en-AU"/>
              </w:rPr>
            </w:pPr>
            <w:r>
              <w:t>1.5% for the first year and 4.2% thereafter</w:t>
            </w:r>
          </w:p>
        </w:tc>
        <w:tc>
          <w:tcPr>
            <w:tcW w:w="1417" w:type="dxa"/>
          </w:tcPr>
          <w:p w14:paraId="56D4BA12" w14:textId="2159770A" w:rsidR="00A36A25" w:rsidRPr="00A306BB" w:rsidRDefault="00A36A25" w:rsidP="00A36A25">
            <w:pPr>
              <w:rPr>
                <w:b/>
                <w:lang w:val="en-US" w:eastAsia="en-AU"/>
              </w:rPr>
            </w:pPr>
            <w:r>
              <w:t>2.0% for the first year, 1.5% for the next 3 years and 4.2% thereafter</w:t>
            </w:r>
          </w:p>
        </w:tc>
        <w:tc>
          <w:tcPr>
            <w:tcW w:w="1418" w:type="dxa"/>
          </w:tcPr>
          <w:p w14:paraId="39F33262" w14:textId="00386F3D" w:rsidR="00A36A25" w:rsidRPr="00A306BB" w:rsidRDefault="00A36A25" w:rsidP="00A36A25">
            <w:pPr>
              <w:rPr>
                <w:b/>
                <w:lang w:val="en-US" w:eastAsia="en-AU"/>
              </w:rPr>
            </w:pPr>
            <w:r>
              <w:t>1.5% for the first year and 4.2% thereafter</w:t>
            </w:r>
          </w:p>
        </w:tc>
        <w:tc>
          <w:tcPr>
            <w:tcW w:w="1559" w:type="dxa"/>
          </w:tcPr>
          <w:p w14:paraId="41E0BE61" w14:textId="101017E8" w:rsidR="00A36A25" w:rsidRPr="00A306BB" w:rsidRDefault="00A36A25" w:rsidP="00A36A25">
            <w:pPr>
              <w:rPr>
                <w:b/>
                <w:lang w:val="en-US" w:eastAsia="en-AU"/>
              </w:rPr>
            </w:pPr>
            <w:r>
              <w:t>2.0% for the first year, 1.5% for the next 3 years and 4.2% thereafter</w:t>
            </w:r>
          </w:p>
        </w:tc>
      </w:tr>
      <w:tr w:rsidR="00A36A25" w:rsidRPr="00A306BB" w14:paraId="2C6F8290" w14:textId="77777777" w:rsidTr="00A36A25">
        <w:trPr>
          <w:trHeight w:val="553"/>
        </w:trPr>
        <w:tc>
          <w:tcPr>
            <w:tcW w:w="3402" w:type="dxa"/>
          </w:tcPr>
          <w:p w14:paraId="4ABAD7A4" w14:textId="77777777" w:rsidR="00A36A25" w:rsidRDefault="00A36A25" w:rsidP="00121076">
            <w:pPr>
              <w:rPr>
                <w:lang w:eastAsia="en-AU"/>
              </w:rPr>
            </w:pPr>
            <w:r>
              <w:rPr>
                <w:lang w:eastAsia="en-AU"/>
              </w:rPr>
              <w:t>Future salary increases</w:t>
            </w:r>
          </w:p>
          <w:p w14:paraId="3FC803DB" w14:textId="7CEF8E42" w:rsidR="00A36A25" w:rsidRPr="00A306BB" w:rsidRDefault="00A36A25" w:rsidP="00121076">
            <w:pPr>
              <w:rPr>
                <w:lang w:eastAsia="en-AU"/>
              </w:rPr>
            </w:pPr>
            <w:r>
              <w:rPr>
                <w:lang w:eastAsia="en-AU"/>
              </w:rPr>
              <w:t>Average longevity at retirement age (65) for current pensioners (years)</w:t>
            </w:r>
          </w:p>
        </w:tc>
        <w:tc>
          <w:tcPr>
            <w:tcW w:w="1560" w:type="dxa"/>
            <w:vAlign w:val="bottom"/>
          </w:tcPr>
          <w:p w14:paraId="7748B3B6" w14:textId="77777777" w:rsidR="00A36A25" w:rsidRPr="00A306BB" w:rsidRDefault="00A36A25" w:rsidP="00121076">
            <w:pPr>
              <w:jc w:val="right"/>
              <w:rPr>
                <w:b/>
                <w:lang w:val="en-US" w:eastAsia="en-AU"/>
              </w:rPr>
            </w:pPr>
          </w:p>
        </w:tc>
        <w:tc>
          <w:tcPr>
            <w:tcW w:w="1417" w:type="dxa"/>
            <w:vAlign w:val="bottom"/>
          </w:tcPr>
          <w:p w14:paraId="3B23398A" w14:textId="77777777" w:rsidR="00A36A25" w:rsidRPr="00A306BB" w:rsidRDefault="00A36A25" w:rsidP="00121076">
            <w:pPr>
              <w:jc w:val="right"/>
              <w:rPr>
                <w:b/>
                <w:lang w:val="en-US" w:eastAsia="en-AU"/>
              </w:rPr>
            </w:pPr>
          </w:p>
        </w:tc>
        <w:tc>
          <w:tcPr>
            <w:tcW w:w="1418" w:type="dxa"/>
            <w:vAlign w:val="bottom"/>
          </w:tcPr>
          <w:p w14:paraId="516336AD" w14:textId="77777777" w:rsidR="00A36A25" w:rsidRPr="00A306BB" w:rsidRDefault="00A36A25" w:rsidP="00121076">
            <w:pPr>
              <w:jc w:val="right"/>
              <w:rPr>
                <w:b/>
                <w:lang w:val="en-US" w:eastAsia="en-AU"/>
              </w:rPr>
            </w:pPr>
          </w:p>
        </w:tc>
        <w:tc>
          <w:tcPr>
            <w:tcW w:w="1559" w:type="dxa"/>
            <w:vAlign w:val="bottom"/>
          </w:tcPr>
          <w:p w14:paraId="663578FE" w14:textId="77777777" w:rsidR="00A36A25" w:rsidRPr="00A306BB" w:rsidRDefault="00A36A25" w:rsidP="00121076">
            <w:pPr>
              <w:jc w:val="right"/>
              <w:rPr>
                <w:b/>
                <w:lang w:val="en-US" w:eastAsia="en-AU"/>
              </w:rPr>
            </w:pPr>
          </w:p>
        </w:tc>
      </w:tr>
      <w:tr w:rsidR="00A36A25" w:rsidRPr="00A306BB" w14:paraId="30F56382" w14:textId="77777777" w:rsidTr="00A36A25">
        <w:trPr>
          <w:trHeight w:val="553"/>
        </w:trPr>
        <w:tc>
          <w:tcPr>
            <w:tcW w:w="3402" w:type="dxa"/>
            <w:vAlign w:val="center"/>
          </w:tcPr>
          <w:p w14:paraId="33FEADF3" w14:textId="551AAB25" w:rsidR="00A36A25" w:rsidRPr="00A306BB" w:rsidRDefault="00A36A25" w:rsidP="00A36A25">
            <w:pPr>
              <w:rPr>
                <w:lang w:eastAsia="en-AU"/>
              </w:rPr>
            </w:pPr>
            <w:r>
              <w:t xml:space="preserve">   Male</w:t>
            </w:r>
          </w:p>
        </w:tc>
        <w:tc>
          <w:tcPr>
            <w:tcW w:w="1560" w:type="dxa"/>
            <w:vAlign w:val="bottom"/>
          </w:tcPr>
          <w:p w14:paraId="4C642416" w14:textId="76FB971E" w:rsidR="00A36A25" w:rsidRPr="00A306BB" w:rsidRDefault="00A36A25" w:rsidP="00A36A25">
            <w:pPr>
              <w:jc w:val="right"/>
              <w:rPr>
                <w:b/>
                <w:lang w:val="en-US" w:eastAsia="en-AU"/>
              </w:rPr>
            </w:pPr>
            <w:r>
              <w:t>23.70</w:t>
            </w:r>
          </w:p>
        </w:tc>
        <w:tc>
          <w:tcPr>
            <w:tcW w:w="1417" w:type="dxa"/>
            <w:vAlign w:val="bottom"/>
          </w:tcPr>
          <w:p w14:paraId="38C92D8B" w14:textId="2CE14785" w:rsidR="00A36A25" w:rsidRPr="00A306BB" w:rsidRDefault="00A36A25" w:rsidP="00A36A25">
            <w:pPr>
              <w:jc w:val="right"/>
              <w:rPr>
                <w:b/>
                <w:lang w:val="en-US" w:eastAsia="en-AU"/>
              </w:rPr>
            </w:pPr>
            <w:r>
              <w:t>23.60</w:t>
            </w:r>
          </w:p>
        </w:tc>
        <w:tc>
          <w:tcPr>
            <w:tcW w:w="1418" w:type="dxa"/>
            <w:vAlign w:val="bottom"/>
          </w:tcPr>
          <w:p w14:paraId="18E50743" w14:textId="59818943" w:rsidR="00A36A25" w:rsidRPr="00A306BB" w:rsidRDefault="00A36A25" w:rsidP="00A36A25">
            <w:pPr>
              <w:jc w:val="right"/>
              <w:rPr>
                <w:b/>
                <w:lang w:val="en-US" w:eastAsia="en-AU"/>
              </w:rPr>
            </w:pPr>
            <w:r>
              <w:t>N/A</w:t>
            </w:r>
          </w:p>
        </w:tc>
        <w:tc>
          <w:tcPr>
            <w:tcW w:w="1559" w:type="dxa"/>
            <w:vAlign w:val="bottom"/>
          </w:tcPr>
          <w:p w14:paraId="2554600C" w14:textId="597BC846" w:rsidR="00A36A25" w:rsidRPr="00A306BB" w:rsidRDefault="00A36A25" w:rsidP="00A36A25">
            <w:pPr>
              <w:jc w:val="right"/>
              <w:rPr>
                <w:b/>
                <w:lang w:val="en-US" w:eastAsia="en-AU"/>
              </w:rPr>
            </w:pPr>
            <w:r>
              <w:t>N/A</w:t>
            </w:r>
          </w:p>
        </w:tc>
      </w:tr>
      <w:tr w:rsidR="00A36A25" w:rsidRPr="00A306BB" w14:paraId="2045FFD4" w14:textId="77777777" w:rsidTr="00A36A25">
        <w:trPr>
          <w:trHeight w:val="553"/>
        </w:trPr>
        <w:tc>
          <w:tcPr>
            <w:tcW w:w="3402" w:type="dxa"/>
            <w:vAlign w:val="center"/>
          </w:tcPr>
          <w:p w14:paraId="32CE0BB7" w14:textId="7B248B52" w:rsidR="00A36A25" w:rsidRPr="00A306BB" w:rsidRDefault="00A36A25" w:rsidP="00A36A25">
            <w:pPr>
              <w:rPr>
                <w:lang w:eastAsia="en-AU"/>
              </w:rPr>
            </w:pPr>
            <w:r>
              <w:t xml:space="preserve">   Female</w:t>
            </w:r>
          </w:p>
        </w:tc>
        <w:tc>
          <w:tcPr>
            <w:tcW w:w="1560" w:type="dxa"/>
            <w:vAlign w:val="bottom"/>
          </w:tcPr>
          <w:p w14:paraId="25A42D32" w14:textId="7CBF05B6" w:rsidR="00A36A25" w:rsidRPr="00A306BB" w:rsidRDefault="00A36A25" w:rsidP="00A36A25">
            <w:pPr>
              <w:jc w:val="right"/>
              <w:rPr>
                <w:b/>
                <w:lang w:val="en-US" w:eastAsia="en-AU"/>
              </w:rPr>
            </w:pPr>
            <w:r>
              <w:t>25.60</w:t>
            </w:r>
          </w:p>
        </w:tc>
        <w:tc>
          <w:tcPr>
            <w:tcW w:w="1417" w:type="dxa"/>
            <w:vAlign w:val="bottom"/>
          </w:tcPr>
          <w:p w14:paraId="2666961B" w14:textId="474B009E" w:rsidR="00A36A25" w:rsidRPr="00A306BB" w:rsidRDefault="00A36A25" w:rsidP="00A36A25">
            <w:pPr>
              <w:jc w:val="right"/>
              <w:rPr>
                <w:b/>
                <w:lang w:val="en-US" w:eastAsia="en-AU"/>
              </w:rPr>
            </w:pPr>
            <w:r>
              <w:t>25.50</w:t>
            </w:r>
          </w:p>
        </w:tc>
        <w:tc>
          <w:tcPr>
            <w:tcW w:w="1418" w:type="dxa"/>
            <w:vAlign w:val="bottom"/>
          </w:tcPr>
          <w:p w14:paraId="48995377" w14:textId="23637DA6" w:rsidR="00A36A25" w:rsidRPr="00A306BB" w:rsidRDefault="00A36A25" w:rsidP="00A36A25">
            <w:pPr>
              <w:jc w:val="right"/>
              <w:rPr>
                <w:b/>
                <w:lang w:val="en-US" w:eastAsia="en-AU"/>
              </w:rPr>
            </w:pPr>
            <w:r>
              <w:t>N/A</w:t>
            </w:r>
          </w:p>
        </w:tc>
        <w:tc>
          <w:tcPr>
            <w:tcW w:w="1559" w:type="dxa"/>
            <w:vAlign w:val="bottom"/>
          </w:tcPr>
          <w:p w14:paraId="3D23C4E9" w14:textId="3AD81163" w:rsidR="00A36A25" w:rsidRPr="00A306BB" w:rsidRDefault="00A36A25" w:rsidP="00A36A25">
            <w:pPr>
              <w:jc w:val="right"/>
              <w:rPr>
                <w:b/>
                <w:lang w:val="en-US" w:eastAsia="en-AU"/>
              </w:rPr>
            </w:pPr>
            <w:r>
              <w:t>N/A</w:t>
            </w:r>
          </w:p>
        </w:tc>
      </w:tr>
      <w:tr w:rsidR="00A36A25" w:rsidRPr="00A306BB" w14:paraId="092D0EA5" w14:textId="77777777" w:rsidTr="00A36A25">
        <w:trPr>
          <w:trHeight w:val="553"/>
        </w:trPr>
        <w:tc>
          <w:tcPr>
            <w:tcW w:w="3402" w:type="dxa"/>
          </w:tcPr>
          <w:p w14:paraId="32EAB27F" w14:textId="52C09960" w:rsidR="00A36A25" w:rsidRPr="00A306BB" w:rsidRDefault="00A36A25" w:rsidP="00A36A25">
            <w:pPr>
              <w:rPr>
                <w:lang w:eastAsia="en-AU"/>
              </w:rPr>
            </w:pPr>
            <w:r>
              <w:rPr>
                <w:lang w:eastAsia="en-AU"/>
              </w:rPr>
              <w:t>Average longevity at retirement age (65) for current employees (years)</w:t>
            </w:r>
          </w:p>
        </w:tc>
        <w:tc>
          <w:tcPr>
            <w:tcW w:w="1560" w:type="dxa"/>
            <w:vAlign w:val="bottom"/>
          </w:tcPr>
          <w:p w14:paraId="70CE7E56" w14:textId="77777777" w:rsidR="00A36A25" w:rsidRPr="00A306BB" w:rsidRDefault="00A36A25" w:rsidP="00121076">
            <w:pPr>
              <w:jc w:val="right"/>
              <w:rPr>
                <w:b/>
                <w:lang w:val="en-US" w:eastAsia="en-AU"/>
              </w:rPr>
            </w:pPr>
          </w:p>
        </w:tc>
        <w:tc>
          <w:tcPr>
            <w:tcW w:w="1417" w:type="dxa"/>
            <w:vAlign w:val="bottom"/>
          </w:tcPr>
          <w:p w14:paraId="3CD19F08" w14:textId="77777777" w:rsidR="00A36A25" w:rsidRPr="00A306BB" w:rsidRDefault="00A36A25" w:rsidP="00121076">
            <w:pPr>
              <w:jc w:val="right"/>
              <w:rPr>
                <w:b/>
                <w:lang w:val="en-US" w:eastAsia="en-AU"/>
              </w:rPr>
            </w:pPr>
          </w:p>
        </w:tc>
        <w:tc>
          <w:tcPr>
            <w:tcW w:w="1418" w:type="dxa"/>
            <w:vAlign w:val="bottom"/>
          </w:tcPr>
          <w:p w14:paraId="50CEBE10" w14:textId="77777777" w:rsidR="00A36A25" w:rsidRPr="00A306BB" w:rsidRDefault="00A36A25" w:rsidP="00121076">
            <w:pPr>
              <w:jc w:val="right"/>
              <w:rPr>
                <w:b/>
                <w:lang w:val="en-US" w:eastAsia="en-AU"/>
              </w:rPr>
            </w:pPr>
          </w:p>
        </w:tc>
        <w:tc>
          <w:tcPr>
            <w:tcW w:w="1559" w:type="dxa"/>
            <w:vAlign w:val="bottom"/>
          </w:tcPr>
          <w:p w14:paraId="265E4295" w14:textId="77777777" w:rsidR="00A36A25" w:rsidRPr="00A306BB" w:rsidRDefault="00A36A25" w:rsidP="00121076">
            <w:pPr>
              <w:jc w:val="right"/>
              <w:rPr>
                <w:b/>
                <w:lang w:val="en-US" w:eastAsia="en-AU"/>
              </w:rPr>
            </w:pPr>
          </w:p>
        </w:tc>
      </w:tr>
      <w:tr w:rsidR="00A36A25" w:rsidRPr="00A306BB" w14:paraId="605B293B" w14:textId="77777777" w:rsidTr="00121076">
        <w:trPr>
          <w:trHeight w:val="553"/>
        </w:trPr>
        <w:tc>
          <w:tcPr>
            <w:tcW w:w="3402" w:type="dxa"/>
            <w:vAlign w:val="bottom"/>
          </w:tcPr>
          <w:p w14:paraId="00B4A60C" w14:textId="68E62D52" w:rsidR="00A36A25" w:rsidRPr="00A306BB" w:rsidRDefault="00A36A25" w:rsidP="00A36A25">
            <w:pPr>
              <w:rPr>
                <w:lang w:eastAsia="en-AU"/>
              </w:rPr>
            </w:pPr>
            <w:r>
              <w:t xml:space="preserve">   Male</w:t>
            </w:r>
          </w:p>
        </w:tc>
        <w:tc>
          <w:tcPr>
            <w:tcW w:w="1560" w:type="dxa"/>
            <w:vAlign w:val="bottom"/>
          </w:tcPr>
          <w:p w14:paraId="2D52C572" w14:textId="5A480165" w:rsidR="00A36A25" w:rsidRPr="00A306BB" w:rsidRDefault="00A36A25" w:rsidP="00A36A25">
            <w:pPr>
              <w:jc w:val="right"/>
              <w:rPr>
                <w:b/>
                <w:lang w:val="en-US" w:eastAsia="en-AU"/>
              </w:rPr>
            </w:pPr>
            <w:r>
              <w:t>23.70</w:t>
            </w:r>
          </w:p>
        </w:tc>
        <w:tc>
          <w:tcPr>
            <w:tcW w:w="1417" w:type="dxa"/>
            <w:vAlign w:val="bottom"/>
          </w:tcPr>
          <w:p w14:paraId="5B6D6AE6" w14:textId="176A56B0" w:rsidR="00A36A25" w:rsidRPr="00A306BB" w:rsidRDefault="00A36A25" w:rsidP="00A36A25">
            <w:pPr>
              <w:jc w:val="right"/>
              <w:rPr>
                <w:b/>
                <w:lang w:val="en-US" w:eastAsia="en-AU"/>
              </w:rPr>
            </w:pPr>
            <w:r>
              <w:t>23.60</w:t>
            </w:r>
          </w:p>
        </w:tc>
        <w:tc>
          <w:tcPr>
            <w:tcW w:w="1418" w:type="dxa"/>
            <w:vAlign w:val="bottom"/>
          </w:tcPr>
          <w:p w14:paraId="0FAADFA6" w14:textId="658C4CFE" w:rsidR="00A36A25" w:rsidRPr="00A306BB" w:rsidRDefault="00A36A25" w:rsidP="00A36A25">
            <w:pPr>
              <w:jc w:val="right"/>
              <w:rPr>
                <w:b/>
                <w:lang w:val="en-US" w:eastAsia="en-AU"/>
              </w:rPr>
            </w:pPr>
            <w:r>
              <w:t>N/A</w:t>
            </w:r>
          </w:p>
        </w:tc>
        <w:tc>
          <w:tcPr>
            <w:tcW w:w="1559" w:type="dxa"/>
            <w:vAlign w:val="bottom"/>
          </w:tcPr>
          <w:p w14:paraId="29529642" w14:textId="527288CF" w:rsidR="00A36A25" w:rsidRPr="00A306BB" w:rsidRDefault="00A36A25" w:rsidP="00A36A25">
            <w:pPr>
              <w:jc w:val="right"/>
              <w:rPr>
                <w:b/>
                <w:lang w:val="en-US" w:eastAsia="en-AU"/>
              </w:rPr>
            </w:pPr>
            <w:r>
              <w:t>N/A</w:t>
            </w:r>
          </w:p>
        </w:tc>
      </w:tr>
      <w:tr w:rsidR="00A36A25" w:rsidRPr="00A306BB" w14:paraId="650B3BE0" w14:textId="77777777" w:rsidTr="00121076">
        <w:trPr>
          <w:trHeight w:val="553"/>
        </w:trPr>
        <w:tc>
          <w:tcPr>
            <w:tcW w:w="3402" w:type="dxa"/>
            <w:vAlign w:val="bottom"/>
          </w:tcPr>
          <w:p w14:paraId="18D0895A" w14:textId="616595E1" w:rsidR="00A36A25" w:rsidRPr="00A306BB" w:rsidRDefault="00A36A25" w:rsidP="00A36A25">
            <w:pPr>
              <w:rPr>
                <w:lang w:eastAsia="en-AU"/>
              </w:rPr>
            </w:pPr>
            <w:r>
              <w:t xml:space="preserve">   Female</w:t>
            </w:r>
          </w:p>
        </w:tc>
        <w:tc>
          <w:tcPr>
            <w:tcW w:w="1560" w:type="dxa"/>
            <w:vAlign w:val="bottom"/>
          </w:tcPr>
          <w:p w14:paraId="13320FA0" w14:textId="0EF7538E" w:rsidR="00A36A25" w:rsidRPr="00A306BB" w:rsidRDefault="00A36A25" w:rsidP="00A36A25">
            <w:pPr>
              <w:jc w:val="right"/>
              <w:rPr>
                <w:b/>
                <w:lang w:val="en-US" w:eastAsia="en-AU"/>
              </w:rPr>
            </w:pPr>
            <w:r>
              <w:t>25.60</w:t>
            </w:r>
          </w:p>
        </w:tc>
        <w:tc>
          <w:tcPr>
            <w:tcW w:w="1417" w:type="dxa"/>
            <w:vAlign w:val="bottom"/>
          </w:tcPr>
          <w:p w14:paraId="028E1D02" w14:textId="414D26B5" w:rsidR="00A36A25" w:rsidRPr="00A306BB" w:rsidRDefault="00A36A25" w:rsidP="00A36A25">
            <w:pPr>
              <w:jc w:val="right"/>
              <w:rPr>
                <w:b/>
                <w:lang w:val="en-US" w:eastAsia="en-AU"/>
              </w:rPr>
            </w:pPr>
            <w:r>
              <w:t>25.50</w:t>
            </w:r>
          </w:p>
        </w:tc>
        <w:tc>
          <w:tcPr>
            <w:tcW w:w="1418" w:type="dxa"/>
            <w:vAlign w:val="bottom"/>
          </w:tcPr>
          <w:p w14:paraId="20FB8BD4" w14:textId="47D2C977" w:rsidR="00A36A25" w:rsidRPr="00A306BB" w:rsidRDefault="00A36A25" w:rsidP="00A36A25">
            <w:pPr>
              <w:jc w:val="right"/>
              <w:rPr>
                <w:b/>
                <w:lang w:val="en-US" w:eastAsia="en-AU"/>
              </w:rPr>
            </w:pPr>
            <w:r>
              <w:t>N/A</w:t>
            </w:r>
          </w:p>
        </w:tc>
        <w:tc>
          <w:tcPr>
            <w:tcW w:w="1559" w:type="dxa"/>
            <w:vAlign w:val="bottom"/>
          </w:tcPr>
          <w:p w14:paraId="6D2FFD09" w14:textId="7C87C0A7" w:rsidR="00A36A25" w:rsidRPr="00A306BB" w:rsidRDefault="00A36A25" w:rsidP="00A36A25">
            <w:pPr>
              <w:jc w:val="right"/>
              <w:rPr>
                <w:b/>
                <w:lang w:val="en-US" w:eastAsia="en-AU"/>
              </w:rPr>
            </w:pPr>
            <w:r>
              <w:t>N/A</w:t>
            </w:r>
          </w:p>
        </w:tc>
      </w:tr>
    </w:tbl>
    <w:p w14:paraId="50558A8C" w14:textId="365A5926" w:rsidR="00A36A25" w:rsidRDefault="00A36A25" w:rsidP="00D81F8F">
      <w:pPr>
        <w:rPr>
          <w:lang w:val="en-US" w:eastAsia="en-AU"/>
        </w:rPr>
      </w:pPr>
    </w:p>
    <w:p w14:paraId="56C57114" w14:textId="36B218B0" w:rsidR="00A36A25" w:rsidRPr="00A36A25" w:rsidRDefault="00A36A25" w:rsidP="00A36A25">
      <w:pPr>
        <w:rPr>
          <w:lang w:val="en-US" w:eastAsia="en-AU"/>
        </w:rPr>
      </w:pPr>
      <w:r w:rsidRPr="00A36A25">
        <w:rPr>
          <w:lang w:val="en-US" w:eastAsia="en-AU"/>
        </w:rPr>
        <w:t>At 30 June 2018, the weighted-average duration of the defined benefit obligation was 12 years for Pension Scheme (2017:12 years) and 4 years for Gold State Superannuati</w:t>
      </w:r>
      <w:r>
        <w:rPr>
          <w:lang w:val="en-US" w:eastAsia="en-AU"/>
        </w:rPr>
        <w:t>on Scheme (2017: 4 years).</w:t>
      </w:r>
    </w:p>
    <w:p w14:paraId="1C3FE114" w14:textId="77777777" w:rsidR="00A36A25" w:rsidRDefault="00A36A25" w:rsidP="00A36A25">
      <w:pPr>
        <w:rPr>
          <w:lang w:val="en-US" w:eastAsia="en-AU"/>
        </w:rPr>
      </w:pPr>
      <w:r w:rsidRPr="00A36A25">
        <w:rPr>
          <w:lang w:val="en-US" w:eastAsia="en-AU"/>
        </w:rPr>
        <w:t>The Pension Scheme and the pre-transfer benefit for the GSS expose the Authority to actuarial risks, such as salary risk, longevity risk and interest rate risk. The sensitivity analyses below have been determined based on reasonably possible changes of the respective assumptions occurring at the end of the reporting period, holding a</w:t>
      </w:r>
      <w:r>
        <w:rPr>
          <w:lang w:val="en-US" w:eastAsia="en-AU"/>
        </w:rPr>
        <w:t>ll other assumptions constant.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fined benefit obligation"/>
        <w:tblDescription w:val="The Pension Scheme and pre-transfer benefit for the GSS expose the Authority to actuarial risks. This table shows the sensitivity analyses based on reasonably possible changes of the respective assumptions occurring at the end of the reporting period. "/>
      </w:tblPr>
      <w:tblGrid>
        <w:gridCol w:w="3005"/>
        <w:gridCol w:w="1502"/>
        <w:gridCol w:w="1503"/>
        <w:gridCol w:w="1503"/>
        <w:gridCol w:w="1503"/>
      </w:tblGrid>
      <w:tr w:rsidR="00A36A25" w14:paraId="1D9111D1" w14:textId="77777777" w:rsidTr="00F11774">
        <w:trPr>
          <w:tblHeader/>
        </w:trPr>
        <w:tc>
          <w:tcPr>
            <w:tcW w:w="3005" w:type="dxa"/>
          </w:tcPr>
          <w:p w14:paraId="01571EEE" w14:textId="77777777" w:rsidR="00A36A25" w:rsidRDefault="00A36A25" w:rsidP="00A36A25">
            <w:pPr>
              <w:rPr>
                <w:lang w:val="en-US" w:eastAsia="en-AU"/>
              </w:rPr>
            </w:pPr>
          </w:p>
        </w:tc>
        <w:tc>
          <w:tcPr>
            <w:tcW w:w="3005" w:type="dxa"/>
            <w:gridSpan w:val="2"/>
          </w:tcPr>
          <w:p w14:paraId="064A4D88" w14:textId="3D83896B" w:rsidR="00A36A25" w:rsidRPr="00772E98" w:rsidRDefault="00772E98" w:rsidP="004930E9">
            <w:pPr>
              <w:jc w:val="center"/>
              <w:rPr>
                <w:b/>
                <w:lang w:val="en-US" w:eastAsia="en-AU"/>
              </w:rPr>
            </w:pPr>
            <w:r>
              <w:rPr>
                <w:b/>
                <w:lang w:val="en-US" w:eastAsia="en-AU"/>
              </w:rPr>
              <w:t>Defined Benefit Obligation</w:t>
            </w:r>
          </w:p>
        </w:tc>
        <w:tc>
          <w:tcPr>
            <w:tcW w:w="3006" w:type="dxa"/>
            <w:gridSpan w:val="2"/>
          </w:tcPr>
          <w:p w14:paraId="6B8D0F4E" w14:textId="77777777" w:rsidR="00A36A25" w:rsidRDefault="00A36A25" w:rsidP="00A36A25">
            <w:pPr>
              <w:rPr>
                <w:lang w:val="en-US" w:eastAsia="en-AU"/>
              </w:rPr>
            </w:pPr>
          </w:p>
        </w:tc>
      </w:tr>
      <w:tr w:rsidR="00772E98" w14:paraId="0BB1FD68" w14:textId="77777777" w:rsidTr="00772E98">
        <w:tc>
          <w:tcPr>
            <w:tcW w:w="3005" w:type="dxa"/>
          </w:tcPr>
          <w:p w14:paraId="6165377F" w14:textId="77777777" w:rsidR="00772E98" w:rsidRDefault="00772E98" w:rsidP="00772E98">
            <w:pPr>
              <w:rPr>
                <w:lang w:val="en-US" w:eastAsia="en-AU"/>
              </w:rPr>
            </w:pPr>
          </w:p>
        </w:tc>
        <w:tc>
          <w:tcPr>
            <w:tcW w:w="3005" w:type="dxa"/>
            <w:gridSpan w:val="2"/>
          </w:tcPr>
          <w:p w14:paraId="5A380602" w14:textId="77777777" w:rsidR="00772E98" w:rsidRPr="00A306BB" w:rsidRDefault="00772E98" w:rsidP="00772E98">
            <w:pPr>
              <w:jc w:val="center"/>
              <w:rPr>
                <w:b/>
                <w:lang w:eastAsia="en-AU"/>
              </w:rPr>
            </w:pPr>
            <w:r w:rsidRPr="00A306BB">
              <w:rPr>
                <w:b/>
              </w:rPr>
              <w:t>Pension Scheme</w:t>
            </w:r>
          </w:p>
          <w:p w14:paraId="030EE24D" w14:textId="77777777" w:rsidR="00772E98" w:rsidRDefault="00772E98" w:rsidP="00772E98">
            <w:pPr>
              <w:jc w:val="center"/>
              <w:rPr>
                <w:lang w:val="en-US" w:eastAsia="en-AU"/>
              </w:rPr>
            </w:pPr>
          </w:p>
        </w:tc>
        <w:tc>
          <w:tcPr>
            <w:tcW w:w="3006" w:type="dxa"/>
            <w:gridSpan w:val="2"/>
          </w:tcPr>
          <w:p w14:paraId="6D0C4B4F" w14:textId="324B510C" w:rsidR="00772E98" w:rsidRDefault="00772E98" w:rsidP="00772E98">
            <w:pPr>
              <w:rPr>
                <w:lang w:val="en-US" w:eastAsia="en-AU"/>
              </w:rPr>
            </w:pPr>
            <w:r>
              <w:rPr>
                <w:b/>
                <w:lang w:val="en-US" w:eastAsia="en-AU"/>
              </w:rPr>
              <w:t>Pre-transfer benefit –</w:t>
            </w:r>
            <w:r>
              <w:rPr>
                <w:b/>
                <w:lang w:val="en-US" w:eastAsia="en-AU"/>
              </w:rPr>
              <w:br/>
              <w:t>Gold State Superannuation</w:t>
            </w:r>
            <w:r>
              <w:rPr>
                <w:b/>
                <w:lang w:val="en-US" w:eastAsia="en-AU"/>
              </w:rPr>
              <w:br/>
            </w:r>
            <w:r w:rsidRPr="00C5596F">
              <w:rPr>
                <w:b/>
                <w:lang w:val="en-US" w:eastAsia="en-AU"/>
              </w:rPr>
              <w:t>Scheme</w:t>
            </w:r>
          </w:p>
        </w:tc>
      </w:tr>
      <w:tr w:rsidR="00772E98" w14:paraId="2C458615" w14:textId="77777777" w:rsidTr="00772E98">
        <w:tc>
          <w:tcPr>
            <w:tcW w:w="3005" w:type="dxa"/>
          </w:tcPr>
          <w:p w14:paraId="465331F5" w14:textId="77777777" w:rsidR="00772E98" w:rsidRDefault="00772E98" w:rsidP="00A36A25">
            <w:pPr>
              <w:rPr>
                <w:lang w:val="en-US" w:eastAsia="en-AU"/>
              </w:rPr>
            </w:pPr>
          </w:p>
        </w:tc>
        <w:tc>
          <w:tcPr>
            <w:tcW w:w="1502" w:type="dxa"/>
            <w:tcBorders>
              <w:bottom w:val="single" w:sz="4" w:space="0" w:color="auto"/>
            </w:tcBorders>
          </w:tcPr>
          <w:p w14:paraId="78FA898E" w14:textId="09C7BA54" w:rsidR="00772E98" w:rsidRPr="00772E98" w:rsidRDefault="00772E98" w:rsidP="00772E98">
            <w:pPr>
              <w:jc w:val="right"/>
              <w:rPr>
                <w:b/>
                <w:lang w:val="en-US" w:eastAsia="en-AU"/>
              </w:rPr>
            </w:pPr>
            <w:r>
              <w:rPr>
                <w:b/>
                <w:lang w:val="en-US" w:eastAsia="en-AU"/>
              </w:rPr>
              <w:t>2018</w:t>
            </w:r>
          </w:p>
        </w:tc>
        <w:tc>
          <w:tcPr>
            <w:tcW w:w="1503" w:type="dxa"/>
            <w:tcBorders>
              <w:bottom w:val="single" w:sz="4" w:space="0" w:color="auto"/>
            </w:tcBorders>
          </w:tcPr>
          <w:p w14:paraId="3E7C1448" w14:textId="4E43DC71" w:rsidR="00772E98" w:rsidRPr="00772E98" w:rsidRDefault="00772E98" w:rsidP="00772E98">
            <w:pPr>
              <w:jc w:val="right"/>
              <w:rPr>
                <w:b/>
                <w:lang w:val="en-US" w:eastAsia="en-AU"/>
              </w:rPr>
            </w:pPr>
            <w:r>
              <w:rPr>
                <w:b/>
                <w:lang w:val="en-US" w:eastAsia="en-AU"/>
              </w:rPr>
              <w:t>2017</w:t>
            </w:r>
          </w:p>
        </w:tc>
        <w:tc>
          <w:tcPr>
            <w:tcW w:w="1503" w:type="dxa"/>
            <w:tcBorders>
              <w:bottom w:val="single" w:sz="4" w:space="0" w:color="auto"/>
            </w:tcBorders>
          </w:tcPr>
          <w:p w14:paraId="3922E633" w14:textId="1C6CB02C" w:rsidR="00772E98" w:rsidRPr="00772E98" w:rsidRDefault="00772E98" w:rsidP="00772E98">
            <w:pPr>
              <w:jc w:val="right"/>
              <w:rPr>
                <w:b/>
                <w:lang w:val="en-US" w:eastAsia="en-AU"/>
              </w:rPr>
            </w:pPr>
            <w:r>
              <w:rPr>
                <w:b/>
                <w:lang w:val="en-US" w:eastAsia="en-AU"/>
              </w:rPr>
              <w:t>2018</w:t>
            </w:r>
          </w:p>
        </w:tc>
        <w:tc>
          <w:tcPr>
            <w:tcW w:w="1503" w:type="dxa"/>
            <w:tcBorders>
              <w:bottom w:val="single" w:sz="4" w:space="0" w:color="auto"/>
            </w:tcBorders>
          </w:tcPr>
          <w:p w14:paraId="09661523" w14:textId="10AF48A7" w:rsidR="00772E98" w:rsidRPr="00772E98" w:rsidRDefault="00772E98" w:rsidP="00772E98">
            <w:pPr>
              <w:jc w:val="right"/>
              <w:rPr>
                <w:b/>
                <w:lang w:val="en-US" w:eastAsia="en-AU"/>
              </w:rPr>
            </w:pPr>
            <w:r>
              <w:rPr>
                <w:b/>
                <w:lang w:val="en-US" w:eastAsia="en-AU"/>
              </w:rPr>
              <w:t>2017</w:t>
            </w:r>
          </w:p>
        </w:tc>
      </w:tr>
      <w:tr w:rsidR="00772E98" w14:paraId="0C492539" w14:textId="77777777" w:rsidTr="00772E98">
        <w:tc>
          <w:tcPr>
            <w:tcW w:w="3005" w:type="dxa"/>
          </w:tcPr>
          <w:p w14:paraId="0235929C" w14:textId="77777777" w:rsidR="00772E98" w:rsidRDefault="00772E98" w:rsidP="00A36A25">
            <w:pPr>
              <w:rPr>
                <w:lang w:val="en-US" w:eastAsia="en-AU"/>
              </w:rPr>
            </w:pPr>
          </w:p>
        </w:tc>
        <w:tc>
          <w:tcPr>
            <w:tcW w:w="1502" w:type="dxa"/>
            <w:tcBorders>
              <w:top w:val="single" w:sz="4" w:space="0" w:color="auto"/>
              <w:bottom w:val="single" w:sz="4" w:space="0" w:color="auto"/>
            </w:tcBorders>
          </w:tcPr>
          <w:p w14:paraId="681538CD" w14:textId="27B70049" w:rsidR="00772E98" w:rsidRDefault="00772E98" w:rsidP="00772E98">
            <w:pPr>
              <w:jc w:val="right"/>
              <w:rPr>
                <w:lang w:val="en-US" w:eastAsia="en-AU"/>
              </w:rPr>
            </w:pPr>
            <w:r>
              <w:rPr>
                <w:lang w:val="en-US" w:eastAsia="en-AU"/>
              </w:rPr>
              <w:t>Increase</w:t>
            </w:r>
            <w:r>
              <w:rPr>
                <w:lang w:val="en-US" w:eastAsia="en-AU"/>
              </w:rPr>
              <w:br/>
              <w:t>$000</w:t>
            </w:r>
          </w:p>
        </w:tc>
        <w:tc>
          <w:tcPr>
            <w:tcW w:w="1503" w:type="dxa"/>
            <w:tcBorders>
              <w:top w:val="single" w:sz="4" w:space="0" w:color="auto"/>
              <w:bottom w:val="single" w:sz="4" w:space="0" w:color="auto"/>
            </w:tcBorders>
          </w:tcPr>
          <w:p w14:paraId="1130FFE5" w14:textId="42369671" w:rsidR="00772E98" w:rsidRDefault="00772E98" w:rsidP="00772E98">
            <w:pPr>
              <w:jc w:val="right"/>
              <w:rPr>
                <w:lang w:val="en-US" w:eastAsia="en-AU"/>
              </w:rPr>
            </w:pPr>
            <w:r>
              <w:rPr>
                <w:lang w:val="en-US" w:eastAsia="en-AU"/>
              </w:rPr>
              <w:t>Increase</w:t>
            </w:r>
            <w:r>
              <w:rPr>
                <w:lang w:val="en-US" w:eastAsia="en-AU"/>
              </w:rPr>
              <w:br/>
              <w:t>$000</w:t>
            </w:r>
          </w:p>
        </w:tc>
        <w:tc>
          <w:tcPr>
            <w:tcW w:w="1503" w:type="dxa"/>
            <w:tcBorders>
              <w:top w:val="single" w:sz="4" w:space="0" w:color="auto"/>
              <w:bottom w:val="single" w:sz="4" w:space="0" w:color="auto"/>
            </w:tcBorders>
          </w:tcPr>
          <w:p w14:paraId="1FD5AB7E" w14:textId="4336488A" w:rsidR="00772E98" w:rsidRDefault="00772E98" w:rsidP="00772E98">
            <w:pPr>
              <w:jc w:val="right"/>
              <w:rPr>
                <w:lang w:val="en-US" w:eastAsia="en-AU"/>
              </w:rPr>
            </w:pPr>
            <w:r>
              <w:rPr>
                <w:lang w:val="en-US" w:eastAsia="en-AU"/>
              </w:rPr>
              <w:t>Increase</w:t>
            </w:r>
            <w:r>
              <w:rPr>
                <w:lang w:val="en-US" w:eastAsia="en-AU"/>
              </w:rPr>
              <w:br/>
              <w:t>$000</w:t>
            </w:r>
          </w:p>
        </w:tc>
        <w:tc>
          <w:tcPr>
            <w:tcW w:w="1503" w:type="dxa"/>
            <w:tcBorders>
              <w:top w:val="single" w:sz="4" w:space="0" w:color="auto"/>
              <w:bottom w:val="single" w:sz="4" w:space="0" w:color="auto"/>
            </w:tcBorders>
          </w:tcPr>
          <w:p w14:paraId="09F80E4C" w14:textId="1489A7A8" w:rsidR="00772E98" w:rsidRDefault="00772E98" w:rsidP="00772E98">
            <w:pPr>
              <w:jc w:val="right"/>
              <w:rPr>
                <w:lang w:val="en-US" w:eastAsia="en-AU"/>
              </w:rPr>
            </w:pPr>
            <w:r>
              <w:rPr>
                <w:lang w:val="en-US" w:eastAsia="en-AU"/>
              </w:rPr>
              <w:t>Increase</w:t>
            </w:r>
            <w:r>
              <w:rPr>
                <w:lang w:val="en-US" w:eastAsia="en-AU"/>
              </w:rPr>
              <w:br/>
              <w:t>$000</w:t>
            </w:r>
          </w:p>
        </w:tc>
      </w:tr>
      <w:tr w:rsidR="00772E98" w14:paraId="1EFDA1EB" w14:textId="77777777" w:rsidTr="00121076">
        <w:tc>
          <w:tcPr>
            <w:tcW w:w="3005" w:type="dxa"/>
            <w:vAlign w:val="bottom"/>
          </w:tcPr>
          <w:p w14:paraId="6D25A43E" w14:textId="1729E0E5" w:rsidR="00772E98" w:rsidRDefault="00772E98" w:rsidP="00772E98">
            <w:pPr>
              <w:rPr>
                <w:lang w:val="en-US" w:eastAsia="en-AU"/>
              </w:rPr>
            </w:pPr>
            <w:r>
              <w:t>Discount rate (1% movement)</w:t>
            </w:r>
          </w:p>
        </w:tc>
        <w:tc>
          <w:tcPr>
            <w:tcW w:w="1502" w:type="dxa"/>
            <w:tcBorders>
              <w:top w:val="single" w:sz="4" w:space="0" w:color="auto"/>
            </w:tcBorders>
            <w:vAlign w:val="bottom"/>
          </w:tcPr>
          <w:p w14:paraId="17BC997C" w14:textId="299AA540" w:rsidR="00772E98" w:rsidRDefault="00772E98" w:rsidP="00772E98">
            <w:pPr>
              <w:jc w:val="right"/>
              <w:rPr>
                <w:lang w:val="en-US" w:eastAsia="en-AU"/>
              </w:rPr>
            </w:pPr>
            <w:r>
              <w:t xml:space="preserve">                      (533)</w:t>
            </w:r>
          </w:p>
        </w:tc>
        <w:tc>
          <w:tcPr>
            <w:tcW w:w="1503" w:type="dxa"/>
            <w:tcBorders>
              <w:top w:val="single" w:sz="4" w:space="0" w:color="auto"/>
            </w:tcBorders>
            <w:vAlign w:val="bottom"/>
          </w:tcPr>
          <w:p w14:paraId="3958F2CE" w14:textId="2CC240D3" w:rsidR="00772E98" w:rsidRDefault="00772E98" w:rsidP="00772E98">
            <w:pPr>
              <w:jc w:val="right"/>
              <w:rPr>
                <w:lang w:val="en-US" w:eastAsia="en-AU"/>
              </w:rPr>
            </w:pPr>
            <w:r>
              <w:t xml:space="preserve">                      (532)</w:t>
            </w:r>
          </w:p>
        </w:tc>
        <w:tc>
          <w:tcPr>
            <w:tcW w:w="1503" w:type="dxa"/>
            <w:tcBorders>
              <w:top w:val="single" w:sz="4" w:space="0" w:color="auto"/>
            </w:tcBorders>
            <w:vAlign w:val="bottom"/>
          </w:tcPr>
          <w:p w14:paraId="24678AA0" w14:textId="333D9773" w:rsidR="00772E98" w:rsidRDefault="00772E98" w:rsidP="00772E98">
            <w:pPr>
              <w:jc w:val="right"/>
              <w:rPr>
                <w:lang w:val="en-US" w:eastAsia="en-AU"/>
              </w:rPr>
            </w:pPr>
            <w:r>
              <w:t xml:space="preserve">                    (18)</w:t>
            </w:r>
          </w:p>
        </w:tc>
        <w:tc>
          <w:tcPr>
            <w:tcW w:w="1503" w:type="dxa"/>
            <w:tcBorders>
              <w:top w:val="single" w:sz="4" w:space="0" w:color="auto"/>
            </w:tcBorders>
            <w:vAlign w:val="bottom"/>
          </w:tcPr>
          <w:p w14:paraId="15A967BE" w14:textId="5CE7E47A" w:rsidR="00772E98" w:rsidRDefault="00772E98" w:rsidP="00772E98">
            <w:pPr>
              <w:jc w:val="right"/>
              <w:rPr>
                <w:lang w:val="en-US" w:eastAsia="en-AU"/>
              </w:rPr>
            </w:pPr>
            <w:r>
              <w:t xml:space="preserve">                                       (19)</w:t>
            </w:r>
          </w:p>
        </w:tc>
      </w:tr>
      <w:tr w:rsidR="00772E98" w14:paraId="3EA6857E" w14:textId="77777777" w:rsidTr="00121076">
        <w:tc>
          <w:tcPr>
            <w:tcW w:w="3005" w:type="dxa"/>
            <w:vAlign w:val="bottom"/>
          </w:tcPr>
          <w:p w14:paraId="03396933" w14:textId="3CA5724E" w:rsidR="00772E98" w:rsidRDefault="00772E98" w:rsidP="00772E98">
            <w:pPr>
              <w:rPr>
                <w:lang w:val="en-US" w:eastAsia="en-AU"/>
              </w:rPr>
            </w:pPr>
            <w:r>
              <w:t>Future salary growth (1% movement)</w:t>
            </w:r>
          </w:p>
        </w:tc>
        <w:tc>
          <w:tcPr>
            <w:tcW w:w="1502" w:type="dxa"/>
            <w:vAlign w:val="bottom"/>
          </w:tcPr>
          <w:p w14:paraId="4A652227" w14:textId="47350405" w:rsidR="00772E98" w:rsidRDefault="00772E98" w:rsidP="00772E98">
            <w:pPr>
              <w:jc w:val="right"/>
              <w:rPr>
                <w:lang w:val="en-US" w:eastAsia="en-AU"/>
              </w:rPr>
            </w:pPr>
            <w:r>
              <w:t xml:space="preserve"> N/A </w:t>
            </w:r>
          </w:p>
        </w:tc>
        <w:tc>
          <w:tcPr>
            <w:tcW w:w="1503" w:type="dxa"/>
            <w:vAlign w:val="bottom"/>
          </w:tcPr>
          <w:p w14:paraId="24DC129A" w14:textId="57E81CA4" w:rsidR="00772E98" w:rsidRDefault="00772E98" w:rsidP="00772E98">
            <w:pPr>
              <w:jc w:val="right"/>
              <w:rPr>
                <w:lang w:val="en-US" w:eastAsia="en-AU"/>
              </w:rPr>
            </w:pPr>
            <w:r>
              <w:t xml:space="preserve"> N/A </w:t>
            </w:r>
          </w:p>
        </w:tc>
        <w:tc>
          <w:tcPr>
            <w:tcW w:w="1503" w:type="dxa"/>
            <w:vAlign w:val="bottom"/>
          </w:tcPr>
          <w:p w14:paraId="29C26F05" w14:textId="7E9F9DD6" w:rsidR="00772E98" w:rsidRDefault="00772E98" w:rsidP="00772E98">
            <w:pPr>
              <w:jc w:val="right"/>
              <w:rPr>
                <w:lang w:val="en-US" w:eastAsia="en-AU"/>
              </w:rPr>
            </w:pPr>
            <w:r>
              <w:t xml:space="preserve">                     16 </w:t>
            </w:r>
          </w:p>
        </w:tc>
        <w:tc>
          <w:tcPr>
            <w:tcW w:w="1503" w:type="dxa"/>
            <w:vAlign w:val="bottom"/>
          </w:tcPr>
          <w:p w14:paraId="386CBD4A" w14:textId="4C7707EA" w:rsidR="00772E98" w:rsidRDefault="00772E98" w:rsidP="00772E98">
            <w:pPr>
              <w:jc w:val="right"/>
              <w:rPr>
                <w:lang w:val="en-US" w:eastAsia="en-AU"/>
              </w:rPr>
            </w:pPr>
            <w:r>
              <w:t xml:space="preserve">                                        19 </w:t>
            </w:r>
          </w:p>
        </w:tc>
      </w:tr>
      <w:tr w:rsidR="00772E98" w14:paraId="3C2E181B" w14:textId="77777777" w:rsidTr="00121076">
        <w:tc>
          <w:tcPr>
            <w:tcW w:w="3005" w:type="dxa"/>
            <w:vAlign w:val="bottom"/>
          </w:tcPr>
          <w:p w14:paraId="155C02CD" w14:textId="321EEE42" w:rsidR="00772E98" w:rsidRDefault="00772E98" w:rsidP="00772E98">
            <w:pPr>
              <w:rPr>
                <w:lang w:val="en-US" w:eastAsia="en-AU"/>
              </w:rPr>
            </w:pPr>
            <w:r>
              <w:t>Pension increases (1% movement)</w:t>
            </w:r>
          </w:p>
        </w:tc>
        <w:tc>
          <w:tcPr>
            <w:tcW w:w="1502" w:type="dxa"/>
            <w:vAlign w:val="bottom"/>
          </w:tcPr>
          <w:p w14:paraId="038671FF" w14:textId="0D776883" w:rsidR="00772E98" w:rsidRDefault="00772E98" w:rsidP="00772E98">
            <w:pPr>
              <w:jc w:val="right"/>
              <w:rPr>
                <w:lang w:val="en-US" w:eastAsia="en-AU"/>
              </w:rPr>
            </w:pPr>
            <w:r>
              <w:t xml:space="preserve">                       639 </w:t>
            </w:r>
          </w:p>
        </w:tc>
        <w:tc>
          <w:tcPr>
            <w:tcW w:w="1503" w:type="dxa"/>
            <w:vAlign w:val="bottom"/>
          </w:tcPr>
          <w:p w14:paraId="57D006FF" w14:textId="38F12E86" w:rsidR="00772E98" w:rsidRDefault="00772E98" w:rsidP="00772E98">
            <w:pPr>
              <w:jc w:val="right"/>
              <w:rPr>
                <w:lang w:val="en-US" w:eastAsia="en-AU"/>
              </w:rPr>
            </w:pPr>
            <w:r>
              <w:t xml:space="preserve">                       639 </w:t>
            </w:r>
          </w:p>
        </w:tc>
        <w:tc>
          <w:tcPr>
            <w:tcW w:w="1503" w:type="dxa"/>
            <w:vAlign w:val="bottom"/>
          </w:tcPr>
          <w:p w14:paraId="62A949CA" w14:textId="1792A8B8" w:rsidR="00772E98" w:rsidRDefault="00772E98" w:rsidP="00772E98">
            <w:pPr>
              <w:jc w:val="right"/>
              <w:rPr>
                <w:lang w:val="en-US" w:eastAsia="en-AU"/>
              </w:rPr>
            </w:pPr>
            <w:r>
              <w:t xml:space="preserve"> N/A </w:t>
            </w:r>
          </w:p>
        </w:tc>
        <w:tc>
          <w:tcPr>
            <w:tcW w:w="1503" w:type="dxa"/>
            <w:vAlign w:val="bottom"/>
          </w:tcPr>
          <w:p w14:paraId="1C852D78" w14:textId="705F4CBE" w:rsidR="00772E98" w:rsidRDefault="00772E98" w:rsidP="00772E98">
            <w:pPr>
              <w:jc w:val="right"/>
              <w:rPr>
                <w:lang w:val="en-US" w:eastAsia="en-AU"/>
              </w:rPr>
            </w:pPr>
            <w:r>
              <w:t xml:space="preserve"> N/A </w:t>
            </w:r>
          </w:p>
        </w:tc>
      </w:tr>
      <w:tr w:rsidR="00772E98" w14:paraId="0CDC2C5D" w14:textId="77777777" w:rsidTr="00121076">
        <w:tc>
          <w:tcPr>
            <w:tcW w:w="3005" w:type="dxa"/>
            <w:vAlign w:val="bottom"/>
          </w:tcPr>
          <w:p w14:paraId="4F5F9089" w14:textId="67A71E3C" w:rsidR="00772E98" w:rsidRDefault="00772E98" w:rsidP="00772E98">
            <w:pPr>
              <w:rPr>
                <w:lang w:val="en-US" w:eastAsia="en-AU"/>
              </w:rPr>
            </w:pPr>
            <w:r>
              <w:t>Future longevity (1 year movement)</w:t>
            </w:r>
          </w:p>
        </w:tc>
        <w:tc>
          <w:tcPr>
            <w:tcW w:w="1502" w:type="dxa"/>
            <w:vAlign w:val="bottom"/>
          </w:tcPr>
          <w:p w14:paraId="398A0159" w14:textId="1310142E" w:rsidR="00772E98" w:rsidRDefault="00772E98" w:rsidP="00772E98">
            <w:pPr>
              <w:jc w:val="right"/>
              <w:rPr>
                <w:lang w:val="en-US" w:eastAsia="en-AU"/>
              </w:rPr>
            </w:pPr>
            <w:r>
              <w:t xml:space="preserve">                       240 </w:t>
            </w:r>
          </w:p>
        </w:tc>
        <w:tc>
          <w:tcPr>
            <w:tcW w:w="1503" w:type="dxa"/>
            <w:vAlign w:val="bottom"/>
          </w:tcPr>
          <w:p w14:paraId="7E628EE4" w14:textId="6AE2E5A0" w:rsidR="00772E98" w:rsidRDefault="00772E98" w:rsidP="00772E98">
            <w:pPr>
              <w:jc w:val="right"/>
              <w:rPr>
                <w:lang w:val="en-US" w:eastAsia="en-AU"/>
              </w:rPr>
            </w:pPr>
            <w:r>
              <w:t xml:space="preserve">                       245 </w:t>
            </w:r>
          </w:p>
        </w:tc>
        <w:tc>
          <w:tcPr>
            <w:tcW w:w="1503" w:type="dxa"/>
            <w:vAlign w:val="bottom"/>
          </w:tcPr>
          <w:p w14:paraId="2610BFAF" w14:textId="1D901ED1" w:rsidR="00772E98" w:rsidRDefault="00772E98" w:rsidP="00772E98">
            <w:pPr>
              <w:jc w:val="right"/>
              <w:rPr>
                <w:lang w:val="en-US" w:eastAsia="en-AU"/>
              </w:rPr>
            </w:pPr>
            <w:r>
              <w:t xml:space="preserve"> N/A </w:t>
            </w:r>
          </w:p>
        </w:tc>
        <w:tc>
          <w:tcPr>
            <w:tcW w:w="1503" w:type="dxa"/>
            <w:vAlign w:val="bottom"/>
          </w:tcPr>
          <w:p w14:paraId="3A027F58" w14:textId="3CFAFCC9" w:rsidR="00772E98" w:rsidRDefault="00772E98" w:rsidP="00772E98">
            <w:pPr>
              <w:jc w:val="right"/>
              <w:rPr>
                <w:lang w:val="en-US" w:eastAsia="en-AU"/>
              </w:rPr>
            </w:pPr>
            <w:r>
              <w:t xml:space="preserve"> N/A </w:t>
            </w:r>
          </w:p>
        </w:tc>
      </w:tr>
    </w:tbl>
    <w:p w14:paraId="5A3629A7" w14:textId="77777777" w:rsidR="00092807" w:rsidRDefault="00A36A25" w:rsidP="00A36A25">
      <w:pPr>
        <w:rPr>
          <w:lang w:val="en-US" w:eastAsia="en-AU"/>
        </w:rPr>
      </w:pPr>
      <w:r w:rsidRPr="00A36A25">
        <w:rPr>
          <w:lang w:val="en-US" w:eastAsia="en-AU"/>
        </w:rPr>
        <w:tab/>
      </w:r>
    </w:p>
    <w:p w14:paraId="431AC4FF" w14:textId="4153A5E7" w:rsidR="00D81F8F" w:rsidRDefault="00092807" w:rsidP="00A36A25">
      <w:pPr>
        <w:rPr>
          <w:u w:val="single"/>
          <w:lang w:val="en-US" w:eastAsia="en-AU"/>
        </w:rPr>
      </w:pPr>
      <w:r w:rsidRPr="00092807">
        <w:rPr>
          <w:u w:val="single"/>
          <w:lang w:val="en-US" w:eastAsia="en-AU"/>
        </w:rPr>
        <w:t>Employer funding arrangements for the defined benefit plans</w:t>
      </w:r>
    </w:p>
    <w:p w14:paraId="109549E1" w14:textId="6944658A" w:rsidR="00092807" w:rsidRPr="00092807" w:rsidRDefault="00092807" w:rsidP="00092807">
      <w:pPr>
        <w:rPr>
          <w:lang w:val="en-US" w:eastAsia="en-AU"/>
        </w:rPr>
      </w:pPr>
      <w:r w:rsidRPr="00092807">
        <w:rPr>
          <w:lang w:val="en-US" w:eastAsia="en-AU"/>
        </w:rPr>
        <w:t>The Pension Scheme and the pre-transfer benefit for the GSS in respect of individual plan participants are settled by the Authority on their retirement. Funding requirements are based on invoices provided to the Authority by GESB that represent the cost of benefits paid to members during the reporting period.</w:t>
      </w:r>
      <w:r w:rsidRPr="00092807">
        <w:rPr>
          <w:lang w:val="en-US" w:eastAsia="en-AU"/>
        </w:rPr>
        <w:tab/>
      </w:r>
      <w:r w:rsidRPr="00092807">
        <w:rPr>
          <w:lang w:val="en-US" w:eastAsia="en-AU"/>
        </w:rPr>
        <w:tab/>
      </w:r>
    </w:p>
    <w:p w14:paraId="14A4007D" w14:textId="7FF84C99" w:rsidR="00092807" w:rsidRPr="00092807" w:rsidRDefault="00092807" w:rsidP="00092807">
      <w:pPr>
        <w:rPr>
          <w:lang w:val="en-US" w:eastAsia="en-AU"/>
        </w:rPr>
      </w:pPr>
      <w:r w:rsidRPr="00092807">
        <w:rPr>
          <w:lang w:val="en-US" w:eastAsia="en-AU"/>
        </w:rPr>
        <w:t>Employer contributions of $408K (2017: $428K) are expected to be paid to the Pension Scheme for the subsequent annual reporting period.</w:t>
      </w:r>
      <w:r w:rsidRPr="00092807">
        <w:rPr>
          <w:lang w:val="en-US" w:eastAsia="en-AU"/>
        </w:rPr>
        <w:tab/>
      </w:r>
    </w:p>
    <w:p w14:paraId="41106E60" w14:textId="5940E13B" w:rsidR="00092807" w:rsidRDefault="00092807" w:rsidP="00092807">
      <w:pPr>
        <w:rPr>
          <w:lang w:val="en-US" w:eastAsia="en-AU"/>
        </w:rPr>
      </w:pPr>
      <w:r w:rsidRPr="00092807">
        <w:rPr>
          <w:lang w:val="en-US" w:eastAsia="en-AU"/>
        </w:rPr>
        <w:t>Employer contributions of $256K (2017: $297K) are expected to be paid to the Gold State Superannuation Scheme for the subs</w:t>
      </w:r>
      <w:r>
        <w:rPr>
          <w:lang w:val="en-US" w:eastAsia="en-AU"/>
        </w:rPr>
        <w:t>equent annual reporting period.</w:t>
      </w:r>
    </w:p>
    <w:p w14:paraId="290D820E" w14:textId="77777777" w:rsidR="00092807" w:rsidRDefault="00092807">
      <w:pPr>
        <w:keepLines w:val="0"/>
        <w:spacing w:after="0" w:line="240" w:lineRule="auto"/>
        <w:rPr>
          <w:lang w:val="en-US" w:eastAsia="en-AU"/>
        </w:rPr>
      </w:pPr>
      <w:r>
        <w:rPr>
          <w:lang w:val="en-US" w:eastAsia="en-AU"/>
        </w:rPr>
        <w:br w:type="page"/>
      </w:r>
    </w:p>
    <w:p w14:paraId="192C72E8" w14:textId="58A102F8" w:rsidR="00092807" w:rsidRDefault="00092807" w:rsidP="00092807">
      <w:pPr>
        <w:pStyle w:val="Heading3nonumber"/>
        <w:rPr>
          <w:lang w:val="en-US" w:eastAsia="en-AU"/>
        </w:rPr>
      </w:pPr>
      <w:bookmarkStart w:id="777" w:name="_Toc525122174"/>
      <w:r>
        <w:rPr>
          <w:lang w:val="en-US" w:eastAsia="en-AU"/>
        </w:rPr>
        <w:t>4.2 Grants and subsidies</w:t>
      </w:r>
      <w:bookmarkEnd w:id="777"/>
      <w:r>
        <w:rPr>
          <w:lang w:val="en-US"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Grants and subsidies"/>
        <w:tblDescription w:val="This table outlines the grants and subsidies received by the Authority in 2017/18. "/>
      </w:tblPr>
      <w:tblGrid>
        <w:gridCol w:w="6374"/>
        <w:gridCol w:w="1276"/>
        <w:gridCol w:w="1366"/>
      </w:tblGrid>
      <w:tr w:rsidR="00092807" w14:paraId="01BAB8C1" w14:textId="77777777" w:rsidTr="00F11774">
        <w:trPr>
          <w:tblHeader/>
        </w:trPr>
        <w:tc>
          <w:tcPr>
            <w:tcW w:w="6374" w:type="dxa"/>
          </w:tcPr>
          <w:p w14:paraId="2B2573FF" w14:textId="77777777" w:rsidR="00092807" w:rsidRDefault="00092807" w:rsidP="00092807">
            <w:pPr>
              <w:rPr>
                <w:lang w:val="en-US" w:eastAsia="en-AU"/>
              </w:rPr>
            </w:pPr>
          </w:p>
        </w:tc>
        <w:tc>
          <w:tcPr>
            <w:tcW w:w="1276" w:type="dxa"/>
            <w:vAlign w:val="center"/>
          </w:tcPr>
          <w:p w14:paraId="56DFCD22" w14:textId="24D91FDE" w:rsidR="00092807" w:rsidRDefault="00092807" w:rsidP="00092807">
            <w:pPr>
              <w:jc w:val="right"/>
              <w:rPr>
                <w:lang w:val="en-US" w:eastAsia="en-AU"/>
              </w:rPr>
            </w:pPr>
            <w:r>
              <w:rPr>
                <w:b/>
              </w:rPr>
              <w:t>2018</w:t>
            </w:r>
            <w:r>
              <w:rPr>
                <w:b/>
              </w:rPr>
              <w:br/>
              <w:t>$000</w:t>
            </w:r>
          </w:p>
        </w:tc>
        <w:tc>
          <w:tcPr>
            <w:tcW w:w="1366" w:type="dxa"/>
            <w:vAlign w:val="center"/>
          </w:tcPr>
          <w:p w14:paraId="62CD86D6" w14:textId="38A8514E" w:rsidR="00092807" w:rsidRDefault="00092807" w:rsidP="00092807">
            <w:pPr>
              <w:jc w:val="right"/>
              <w:rPr>
                <w:lang w:val="en-US" w:eastAsia="en-AU"/>
              </w:rPr>
            </w:pPr>
            <w:r>
              <w:rPr>
                <w:b/>
              </w:rPr>
              <w:t>2017</w:t>
            </w:r>
            <w:r>
              <w:rPr>
                <w:b/>
              </w:rPr>
              <w:br/>
              <w:t>$000</w:t>
            </w:r>
          </w:p>
        </w:tc>
      </w:tr>
      <w:tr w:rsidR="00092807" w14:paraId="5B671624" w14:textId="77777777" w:rsidTr="00F46A0D">
        <w:tc>
          <w:tcPr>
            <w:tcW w:w="6374" w:type="dxa"/>
          </w:tcPr>
          <w:p w14:paraId="2C43E605" w14:textId="43DC08A3" w:rsidR="00092807" w:rsidRDefault="00092807" w:rsidP="00092807">
            <w:pPr>
              <w:rPr>
                <w:u w:val="single"/>
                <w:lang w:val="en-US" w:eastAsia="en-AU"/>
              </w:rPr>
            </w:pPr>
            <w:r>
              <w:rPr>
                <w:u w:val="single"/>
                <w:lang w:val="en-US" w:eastAsia="en-AU"/>
              </w:rPr>
              <w:t>Recurrent</w:t>
            </w:r>
          </w:p>
          <w:p w14:paraId="734E8500" w14:textId="6BEBDBF5" w:rsidR="00092807" w:rsidRPr="00092807" w:rsidRDefault="00092807" w:rsidP="00092807">
            <w:pPr>
              <w:rPr>
                <w:lang w:val="en-US" w:eastAsia="en-AU"/>
              </w:rPr>
            </w:pPr>
            <w:r>
              <w:rPr>
                <w:lang w:val="en-US" w:eastAsia="en-AU"/>
              </w:rPr>
              <w:t>Monash University – GP clinical tools project</w:t>
            </w:r>
          </w:p>
        </w:tc>
        <w:tc>
          <w:tcPr>
            <w:tcW w:w="1276" w:type="dxa"/>
            <w:tcBorders>
              <w:bottom w:val="single" w:sz="4" w:space="0" w:color="auto"/>
            </w:tcBorders>
            <w:vAlign w:val="center"/>
          </w:tcPr>
          <w:p w14:paraId="26513662" w14:textId="790655BE" w:rsidR="00092807" w:rsidRDefault="00092807" w:rsidP="00092807">
            <w:pPr>
              <w:jc w:val="right"/>
              <w:rPr>
                <w:lang w:val="en-US" w:eastAsia="en-AU"/>
              </w:rPr>
            </w:pPr>
            <w:r>
              <w:rPr>
                <w:lang w:val="en-US" w:eastAsia="en-AU"/>
              </w:rPr>
              <w:t>50</w:t>
            </w:r>
          </w:p>
        </w:tc>
        <w:tc>
          <w:tcPr>
            <w:tcW w:w="1366" w:type="dxa"/>
            <w:tcBorders>
              <w:bottom w:val="single" w:sz="4" w:space="0" w:color="auto"/>
            </w:tcBorders>
            <w:vAlign w:val="center"/>
          </w:tcPr>
          <w:p w14:paraId="14A00EDE" w14:textId="03144F71" w:rsidR="00092807" w:rsidRDefault="00092807" w:rsidP="00092807">
            <w:pPr>
              <w:jc w:val="right"/>
              <w:rPr>
                <w:lang w:val="en-US" w:eastAsia="en-AU"/>
              </w:rPr>
            </w:pPr>
            <w:r>
              <w:rPr>
                <w:lang w:val="en-US" w:eastAsia="en-AU"/>
              </w:rPr>
              <w:t>50</w:t>
            </w:r>
          </w:p>
        </w:tc>
      </w:tr>
      <w:tr w:rsidR="00092807" w14:paraId="4F5FBB61" w14:textId="77777777" w:rsidTr="00F46A0D">
        <w:tc>
          <w:tcPr>
            <w:tcW w:w="6374" w:type="dxa"/>
          </w:tcPr>
          <w:p w14:paraId="1CC94576" w14:textId="77777777" w:rsidR="00092807" w:rsidRDefault="00092807" w:rsidP="00092807">
            <w:pPr>
              <w:rPr>
                <w:lang w:val="en-US" w:eastAsia="en-AU"/>
              </w:rPr>
            </w:pPr>
          </w:p>
        </w:tc>
        <w:tc>
          <w:tcPr>
            <w:tcW w:w="1276" w:type="dxa"/>
            <w:tcBorders>
              <w:top w:val="single" w:sz="4" w:space="0" w:color="auto"/>
              <w:bottom w:val="double" w:sz="4" w:space="0" w:color="auto"/>
            </w:tcBorders>
          </w:tcPr>
          <w:p w14:paraId="707A864C" w14:textId="400894BF" w:rsidR="00092807" w:rsidRPr="00F46A0D" w:rsidRDefault="00F46A0D" w:rsidP="00F46A0D">
            <w:pPr>
              <w:jc w:val="right"/>
              <w:rPr>
                <w:b/>
                <w:lang w:val="en-US" w:eastAsia="en-AU"/>
              </w:rPr>
            </w:pPr>
            <w:r w:rsidRPr="00F46A0D">
              <w:rPr>
                <w:b/>
                <w:lang w:val="en-US" w:eastAsia="en-AU"/>
              </w:rPr>
              <w:t>50</w:t>
            </w:r>
          </w:p>
        </w:tc>
        <w:tc>
          <w:tcPr>
            <w:tcW w:w="1366" w:type="dxa"/>
            <w:tcBorders>
              <w:top w:val="single" w:sz="4" w:space="0" w:color="auto"/>
              <w:bottom w:val="double" w:sz="4" w:space="0" w:color="auto"/>
            </w:tcBorders>
          </w:tcPr>
          <w:p w14:paraId="277F07EC" w14:textId="2875F33F" w:rsidR="00092807" w:rsidRDefault="00F46A0D" w:rsidP="00F46A0D">
            <w:pPr>
              <w:jc w:val="right"/>
              <w:rPr>
                <w:lang w:val="en-US" w:eastAsia="en-AU"/>
              </w:rPr>
            </w:pPr>
            <w:r w:rsidRPr="00F46A0D">
              <w:rPr>
                <w:b/>
                <w:lang w:val="en-US" w:eastAsia="en-AU"/>
              </w:rPr>
              <w:t>50</w:t>
            </w:r>
          </w:p>
        </w:tc>
      </w:tr>
    </w:tbl>
    <w:p w14:paraId="35539A5D" w14:textId="77777777" w:rsidR="00092807" w:rsidRDefault="00092807" w:rsidP="00092807">
      <w:pPr>
        <w:rPr>
          <w:lang w:val="en-US" w:eastAsia="en-AU"/>
        </w:rPr>
      </w:pPr>
    </w:p>
    <w:p w14:paraId="0B2D89A6" w14:textId="760A039C" w:rsidR="00F46A0D" w:rsidRPr="00F46A0D" w:rsidRDefault="00F46A0D" w:rsidP="00F46A0D">
      <w:pPr>
        <w:rPr>
          <w:lang w:val="en-US" w:eastAsia="en-AU"/>
        </w:rPr>
      </w:pPr>
      <w:r w:rsidRPr="00F46A0D">
        <w:rPr>
          <w:lang w:val="en-US" w:eastAsia="en-AU"/>
        </w:rPr>
        <w:t>Transactions in which the Authority provides goods, services, assets (or extinguishes a liability) or labour to another party without receiving approximately equal value in return are categorised as ‘Grant expenses’. Grants can either be operating or capit</w:t>
      </w:r>
      <w:r>
        <w:rPr>
          <w:lang w:val="en-US" w:eastAsia="en-AU"/>
        </w:rPr>
        <w:t>al in nature.</w:t>
      </w:r>
    </w:p>
    <w:p w14:paraId="6D0656D4" w14:textId="2A9956A4" w:rsidR="00F46A0D" w:rsidRPr="00F46A0D" w:rsidRDefault="00F46A0D" w:rsidP="00F46A0D">
      <w:pPr>
        <w:rPr>
          <w:lang w:val="en-US" w:eastAsia="en-AU"/>
        </w:rPr>
      </w:pPr>
      <w:r w:rsidRPr="00F46A0D">
        <w:rPr>
          <w:lang w:val="en-US" w:eastAsia="en-AU"/>
        </w:rPr>
        <w:t>Grants can be paid as general purpose grants which refer to grants that are not subject to conditions regarding their use. Alternatively, they may be paid as specific purpose grants which are paid for a particular purpose and/or have conditions</w:t>
      </w:r>
      <w:r>
        <w:rPr>
          <w:lang w:val="en-US" w:eastAsia="en-AU"/>
        </w:rPr>
        <w:t xml:space="preserve"> attached regarding their use.</w:t>
      </w:r>
      <w:r w:rsidRPr="00F46A0D">
        <w:rPr>
          <w:lang w:val="en-US" w:eastAsia="en-AU"/>
        </w:rPr>
        <w:tab/>
      </w:r>
      <w:r w:rsidRPr="00F46A0D">
        <w:rPr>
          <w:lang w:val="en-US" w:eastAsia="en-AU"/>
        </w:rPr>
        <w:tab/>
      </w:r>
      <w:r w:rsidRPr="00F46A0D">
        <w:rPr>
          <w:lang w:val="en-US" w:eastAsia="en-AU"/>
        </w:rPr>
        <w:tab/>
      </w:r>
    </w:p>
    <w:p w14:paraId="1ECF731D" w14:textId="54CC104E" w:rsidR="00092807" w:rsidRDefault="00F46A0D" w:rsidP="00F46A0D">
      <w:pPr>
        <w:rPr>
          <w:lang w:val="en-US" w:eastAsia="en-AU"/>
        </w:rPr>
      </w:pPr>
      <w:r w:rsidRPr="00F46A0D">
        <w:rPr>
          <w:lang w:val="en-US" w:eastAsia="en-AU"/>
        </w:rPr>
        <w:t>Grants and other transfers to third parties (other than contribution to owners) are recognised as an expense in the reporting period in which</w:t>
      </w:r>
      <w:r>
        <w:rPr>
          <w:lang w:val="en-US" w:eastAsia="en-AU"/>
        </w:rPr>
        <w:t xml:space="preserve"> they are paid or payable. </w:t>
      </w:r>
    </w:p>
    <w:p w14:paraId="339A5621" w14:textId="34513D1C" w:rsidR="00F46A0D" w:rsidRDefault="00F46A0D" w:rsidP="00F46A0D">
      <w:pPr>
        <w:pStyle w:val="Heading3nonumber"/>
        <w:rPr>
          <w:lang w:val="en-US" w:eastAsia="en-AU"/>
        </w:rPr>
      </w:pPr>
      <w:bookmarkStart w:id="778" w:name="_Toc525122175"/>
      <w:r>
        <w:rPr>
          <w:lang w:val="en-US" w:eastAsia="en-AU"/>
        </w:rPr>
        <w:t>4.3(a) Claims expense</w:t>
      </w:r>
      <w:bookmarkEnd w:id="7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laims expense"/>
        <w:tblDescription w:val="This table outlines claims expenses from the Employers' Indemnity Supplementation Fund and uninsured claims, and also provides data for the net increase in claim liability. "/>
      </w:tblPr>
      <w:tblGrid>
        <w:gridCol w:w="6374"/>
        <w:gridCol w:w="1276"/>
        <w:gridCol w:w="1366"/>
      </w:tblGrid>
      <w:tr w:rsidR="00F46A0D" w14:paraId="382E0B66" w14:textId="77777777" w:rsidTr="00F11774">
        <w:trPr>
          <w:tblHeader/>
        </w:trPr>
        <w:tc>
          <w:tcPr>
            <w:tcW w:w="6374" w:type="dxa"/>
          </w:tcPr>
          <w:p w14:paraId="5FA14DE9" w14:textId="77777777" w:rsidR="00F46A0D" w:rsidRDefault="00F46A0D" w:rsidP="00F46A0D">
            <w:pPr>
              <w:rPr>
                <w:lang w:val="en-US" w:eastAsia="en-AU"/>
              </w:rPr>
            </w:pPr>
          </w:p>
        </w:tc>
        <w:tc>
          <w:tcPr>
            <w:tcW w:w="1276" w:type="dxa"/>
            <w:vAlign w:val="center"/>
          </w:tcPr>
          <w:p w14:paraId="4A36CDD1" w14:textId="13FC9673" w:rsidR="00F46A0D" w:rsidRDefault="00F46A0D" w:rsidP="00F46A0D">
            <w:pPr>
              <w:jc w:val="right"/>
              <w:rPr>
                <w:lang w:val="en-US" w:eastAsia="en-AU"/>
              </w:rPr>
            </w:pPr>
            <w:r>
              <w:rPr>
                <w:b/>
              </w:rPr>
              <w:t>2018</w:t>
            </w:r>
            <w:r>
              <w:rPr>
                <w:b/>
              </w:rPr>
              <w:br/>
              <w:t>$000</w:t>
            </w:r>
          </w:p>
        </w:tc>
        <w:tc>
          <w:tcPr>
            <w:tcW w:w="1366" w:type="dxa"/>
            <w:vAlign w:val="center"/>
          </w:tcPr>
          <w:p w14:paraId="3382B387" w14:textId="5C24696E" w:rsidR="00F46A0D" w:rsidRDefault="00F46A0D" w:rsidP="00F46A0D">
            <w:pPr>
              <w:jc w:val="right"/>
              <w:rPr>
                <w:lang w:val="en-US" w:eastAsia="en-AU"/>
              </w:rPr>
            </w:pPr>
            <w:r>
              <w:rPr>
                <w:b/>
              </w:rPr>
              <w:t>2017</w:t>
            </w:r>
            <w:r>
              <w:rPr>
                <w:b/>
              </w:rPr>
              <w:br/>
              <w:t>$000</w:t>
            </w:r>
          </w:p>
        </w:tc>
      </w:tr>
      <w:tr w:rsidR="00F46A0D" w14:paraId="7637EB06" w14:textId="77777777" w:rsidTr="00F46A0D">
        <w:tc>
          <w:tcPr>
            <w:tcW w:w="6374" w:type="dxa"/>
            <w:vAlign w:val="bottom"/>
          </w:tcPr>
          <w:p w14:paraId="59781B39" w14:textId="30E6D90C" w:rsidR="00F46A0D" w:rsidRDefault="00F46A0D" w:rsidP="00F46A0D">
            <w:pPr>
              <w:rPr>
                <w:lang w:val="en-US" w:eastAsia="en-AU"/>
              </w:rPr>
            </w:pPr>
            <w:r>
              <w:t>Workers' compensation claims - Employers' Indemnity Supplementation Fund</w:t>
            </w:r>
          </w:p>
        </w:tc>
        <w:tc>
          <w:tcPr>
            <w:tcW w:w="1276" w:type="dxa"/>
            <w:vAlign w:val="bottom"/>
          </w:tcPr>
          <w:p w14:paraId="6FB94B5F" w14:textId="2D9D3EC4" w:rsidR="00F46A0D" w:rsidRDefault="00F46A0D" w:rsidP="00F46A0D">
            <w:pPr>
              <w:jc w:val="right"/>
              <w:rPr>
                <w:lang w:val="en-US" w:eastAsia="en-AU"/>
              </w:rPr>
            </w:pPr>
            <w:r>
              <w:t xml:space="preserve">                   625 </w:t>
            </w:r>
          </w:p>
        </w:tc>
        <w:tc>
          <w:tcPr>
            <w:tcW w:w="1366" w:type="dxa"/>
            <w:vAlign w:val="bottom"/>
          </w:tcPr>
          <w:p w14:paraId="328D6A68" w14:textId="047DA532" w:rsidR="00F46A0D" w:rsidRDefault="00F46A0D" w:rsidP="00F46A0D">
            <w:pPr>
              <w:jc w:val="right"/>
              <w:rPr>
                <w:lang w:val="en-US" w:eastAsia="en-AU"/>
              </w:rPr>
            </w:pPr>
            <w:r>
              <w:t xml:space="preserve">                                   1,297 </w:t>
            </w:r>
          </w:p>
        </w:tc>
      </w:tr>
      <w:tr w:rsidR="00F46A0D" w14:paraId="26DA55F8" w14:textId="77777777" w:rsidTr="00F46A0D">
        <w:tc>
          <w:tcPr>
            <w:tcW w:w="6374" w:type="dxa"/>
            <w:vAlign w:val="bottom"/>
          </w:tcPr>
          <w:p w14:paraId="5A403DD0" w14:textId="2321641F" w:rsidR="00F46A0D" w:rsidRDefault="00F46A0D" w:rsidP="00F46A0D">
            <w:pPr>
              <w:rPr>
                <w:lang w:val="en-US" w:eastAsia="en-AU"/>
              </w:rPr>
            </w:pPr>
            <w:r>
              <w:t>Uninsured claims - General Account</w:t>
            </w:r>
          </w:p>
        </w:tc>
        <w:tc>
          <w:tcPr>
            <w:tcW w:w="1276" w:type="dxa"/>
            <w:vAlign w:val="bottom"/>
          </w:tcPr>
          <w:p w14:paraId="6D903F7C" w14:textId="63372749" w:rsidR="00F46A0D" w:rsidRDefault="00F46A0D" w:rsidP="00F46A0D">
            <w:pPr>
              <w:jc w:val="right"/>
              <w:rPr>
                <w:lang w:val="en-US" w:eastAsia="en-AU"/>
              </w:rPr>
            </w:pPr>
            <w:r>
              <w:t xml:space="preserve">                   413 </w:t>
            </w:r>
          </w:p>
        </w:tc>
        <w:tc>
          <w:tcPr>
            <w:tcW w:w="1366" w:type="dxa"/>
            <w:vAlign w:val="bottom"/>
          </w:tcPr>
          <w:p w14:paraId="51E0599A" w14:textId="55EAF73B" w:rsidR="00F46A0D" w:rsidRDefault="00F46A0D" w:rsidP="00F46A0D">
            <w:pPr>
              <w:jc w:val="right"/>
              <w:rPr>
                <w:lang w:val="en-US" w:eastAsia="en-AU"/>
              </w:rPr>
            </w:pPr>
            <w:r>
              <w:t xml:space="preserve">                                      723 </w:t>
            </w:r>
          </w:p>
        </w:tc>
      </w:tr>
      <w:tr w:rsidR="00F46A0D" w14:paraId="5FDB1242" w14:textId="77777777" w:rsidTr="00F46A0D">
        <w:tc>
          <w:tcPr>
            <w:tcW w:w="6374" w:type="dxa"/>
            <w:vAlign w:val="bottom"/>
          </w:tcPr>
          <w:p w14:paraId="2120C996" w14:textId="530ACD08" w:rsidR="00F46A0D" w:rsidRDefault="00F46A0D" w:rsidP="00F46A0D">
            <w:pPr>
              <w:rPr>
                <w:lang w:val="en-US" w:eastAsia="en-AU"/>
              </w:rPr>
            </w:pPr>
            <w:r>
              <w:t xml:space="preserve">Net increase in claims liability </w:t>
            </w:r>
          </w:p>
        </w:tc>
        <w:tc>
          <w:tcPr>
            <w:tcW w:w="1276" w:type="dxa"/>
            <w:tcBorders>
              <w:bottom w:val="single" w:sz="4" w:space="0" w:color="auto"/>
            </w:tcBorders>
            <w:vAlign w:val="bottom"/>
          </w:tcPr>
          <w:p w14:paraId="01E245B4" w14:textId="321B78DD" w:rsidR="00F46A0D" w:rsidRDefault="00F46A0D" w:rsidP="00F46A0D">
            <w:pPr>
              <w:jc w:val="right"/>
              <w:rPr>
                <w:lang w:val="en-US" w:eastAsia="en-AU"/>
              </w:rPr>
            </w:pPr>
            <w:r>
              <w:t xml:space="preserve">                 2,027 </w:t>
            </w:r>
          </w:p>
        </w:tc>
        <w:tc>
          <w:tcPr>
            <w:tcW w:w="1366" w:type="dxa"/>
            <w:tcBorders>
              <w:bottom w:val="single" w:sz="4" w:space="0" w:color="auto"/>
            </w:tcBorders>
            <w:vAlign w:val="bottom"/>
          </w:tcPr>
          <w:p w14:paraId="6098C56F" w14:textId="62F8755F" w:rsidR="00F46A0D" w:rsidRDefault="00F46A0D" w:rsidP="00F46A0D">
            <w:pPr>
              <w:jc w:val="right"/>
              <w:rPr>
                <w:lang w:val="en-US" w:eastAsia="en-AU"/>
              </w:rPr>
            </w:pPr>
            <w:r>
              <w:t xml:space="preserve">                                        -   </w:t>
            </w:r>
          </w:p>
        </w:tc>
      </w:tr>
      <w:tr w:rsidR="00F46A0D" w14:paraId="7802CDC4" w14:textId="77777777" w:rsidTr="00F46A0D">
        <w:tc>
          <w:tcPr>
            <w:tcW w:w="6374" w:type="dxa"/>
            <w:vAlign w:val="bottom"/>
          </w:tcPr>
          <w:p w14:paraId="0E75F80A" w14:textId="77777777" w:rsidR="00F46A0D" w:rsidRDefault="00F46A0D" w:rsidP="00F46A0D"/>
        </w:tc>
        <w:tc>
          <w:tcPr>
            <w:tcW w:w="1276" w:type="dxa"/>
            <w:tcBorders>
              <w:top w:val="single" w:sz="4" w:space="0" w:color="auto"/>
              <w:bottom w:val="double" w:sz="4" w:space="0" w:color="auto"/>
            </w:tcBorders>
            <w:vAlign w:val="bottom"/>
          </w:tcPr>
          <w:p w14:paraId="5EB950A7" w14:textId="7EDE82CB" w:rsidR="00F46A0D" w:rsidRPr="00F46A0D" w:rsidRDefault="00F46A0D" w:rsidP="00F46A0D">
            <w:pPr>
              <w:jc w:val="right"/>
              <w:rPr>
                <w:b/>
                <w:lang w:val="en-US" w:eastAsia="en-AU"/>
              </w:rPr>
            </w:pPr>
            <w:r w:rsidRPr="00F46A0D">
              <w:rPr>
                <w:b/>
              </w:rPr>
              <w:t xml:space="preserve">                 3,065 </w:t>
            </w:r>
          </w:p>
        </w:tc>
        <w:tc>
          <w:tcPr>
            <w:tcW w:w="1366" w:type="dxa"/>
            <w:tcBorders>
              <w:top w:val="single" w:sz="4" w:space="0" w:color="auto"/>
              <w:bottom w:val="double" w:sz="4" w:space="0" w:color="auto"/>
            </w:tcBorders>
            <w:vAlign w:val="bottom"/>
          </w:tcPr>
          <w:p w14:paraId="0657F947" w14:textId="394C98D6" w:rsidR="00F46A0D" w:rsidRPr="00F46A0D" w:rsidRDefault="00F46A0D" w:rsidP="00F46A0D">
            <w:pPr>
              <w:jc w:val="right"/>
              <w:rPr>
                <w:b/>
                <w:lang w:val="en-US" w:eastAsia="en-AU"/>
              </w:rPr>
            </w:pPr>
            <w:r w:rsidRPr="00F46A0D">
              <w:rPr>
                <w:b/>
              </w:rPr>
              <w:t xml:space="preserve">                                   2,020 </w:t>
            </w:r>
          </w:p>
        </w:tc>
      </w:tr>
    </w:tbl>
    <w:p w14:paraId="42E70901" w14:textId="5A83DD21" w:rsidR="00F46A0D" w:rsidRDefault="00F46A0D" w:rsidP="00F46A0D">
      <w:pPr>
        <w:pStyle w:val="Heading3nonumber"/>
        <w:rPr>
          <w:lang w:val="en-US" w:eastAsia="en-AU"/>
        </w:rPr>
      </w:pPr>
    </w:p>
    <w:p w14:paraId="27A69D03" w14:textId="35D74210" w:rsidR="00F46A0D" w:rsidRPr="00E55366" w:rsidRDefault="00F46A0D" w:rsidP="00E55366">
      <w:pPr>
        <w:pStyle w:val="Heading3nonumber"/>
        <w:rPr>
          <w:lang w:val="en-US" w:eastAsia="en-AU"/>
        </w:rPr>
      </w:pPr>
      <w:r>
        <w:rPr>
          <w:lang w:val="en-US" w:eastAsia="en-AU"/>
        </w:rPr>
        <w:br w:type="page"/>
      </w:r>
      <w:bookmarkStart w:id="779" w:name="_Toc525122176"/>
      <w:r>
        <w:rPr>
          <w:lang w:val="en-US" w:eastAsia="en-AU"/>
        </w:rPr>
        <w:t>4.3(b) Claims provisions</w:t>
      </w:r>
      <w:bookmarkEnd w:id="779"/>
      <w:r>
        <w:rPr>
          <w:lang w:val="en-US" w:eastAsia="en-AU"/>
        </w:rPr>
        <w:t xml:space="preserve"> </w:t>
      </w:r>
    </w:p>
    <w:tbl>
      <w:tblPr>
        <w:tblStyle w:val="TableGrid"/>
        <w:tblpPr w:leftFromText="180" w:rightFromText="180" w:vertAnchor="text" w:tblpY="1"/>
        <w:tblOverlap w:val="never"/>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laims provisions"/>
        <w:tblDescription w:val="This table outlines current and non-current claims provisions for the last financial year. "/>
      </w:tblPr>
      <w:tblGrid>
        <w:gridCol w:w="6663"/>
        <w:gridCol w:w="1149"/>
        <w:gridCol w:w="1340"/>
      </w:tblGrid>
      <w:tr w:rsidR="00BE5237" w14:paraId="5F044F52" w14:textId="77777777" w:rsidTr="00F11774">
        <w:trPr>
          <w:trHeight w:val="547"/>
          <w:tblHeader/>
        </w:trPr>
        <w:tc>
          <w:tcPr>
            <w:tcW w:w="6663" w:type="dxa"/>
          </w:tcPr>
          <w:p w14:paraId="6B4DB96B" w14:textId="6A52B775" w:rsidR="00BE5237" w:rsidRPr="00E55366" w:rsidRDefault="00BE5237" w:rsidP="00BE5237">
            <w:pPr>
              <w:rPr>
                <w:u w:val="single"/>
                <w:lang w:val="en-US" w:eastAsia="en-AU"/>
              </w:rPr>
            </w:pPr>
            <w:r>
              <w:rPr>
                <w:u w:val="single"/>
                <w:lang w:val="en-US" w:eastAsia="en-AU"/>
              </w:rPr>
              <w:t>Current</w:t>
            </w:r>
          </w:p>
        </w:tc>
        <w:tc>
          <w:tcPr>
            <w:tcW w:w="1149" w:type="dxa"/>
            <w:vAlign w:val="center"/>
          </w:tcPr>
          <w:p w14:paraId="1FCF3E9A" w14:textId="77777777" w:rsidR="00BE5237" w:rsidRDefault="00BE5237" w:rsidP="00BE5237">
            <w:pPr>
              <w:jc w:val="right"/>
              <w:rPr>
                <w:b/>
              </w:rPr>
            </w:pPr>
          </w:p>
        </w:tc>
        <w:tc>
          <w:tcPr>
            <w:tcW w:w="1340" w:type="dxa"/>
            <w:vAlign w:val="center"/>
          </w:tcPr>
          <w:p w14:paraId="6CA14FD1" w14:textId="77777777" w:rsidR="00BE5237" w:rsidRDefault="00BE5237" w:rsidP="00BE5237">
            <w:pPr>
              <w:jc w:val="right"/>
              <w:rPr>
                <w:b/>
              </w:rPr>
            </w:pPr>
          </w:p>
        </w:tc>
      </w:tr>
      <w:tr w:rsidR="00BE5237" w14:paraId="1141CBCF" w14:textId="7CA8B0C6" w:rsidTr="00BE5237">
        <w:trPr>
          <w:trHeight w:val="857"/>
        </w:trPr>
        <w:tc>
          <w:tcPr>
            <w:tcW w:w="6663" w:type="dxa"/>
          </w:tcPr>
          <w:p w14:paraId="124DBF6D" w14:textId="77777777" w:rsidR="00BE5237" w:rsidRDefault="00BE5237" w:rsidP="00BE5237">
            <w:pPr>
              <w:rPr>
                <w:lang w:val="en-US" w:eastAsia="en-AU"/>
              </w:rPr>
            </w:pPr>
          </w:p>
        </w:tc>
        <w:tc>
          <w:tcPr>
            <w:tcW w:w="1149" w:type="dxa"/>
            <w:vAlign w:val="center"/>
          </w:tcPr>
          <w:p w14:paraId="4BB5840D" w14:textId="5771CBF9" w:rsidR="00BE5237" w:rsidRDefault="00BE5237" w:rsidP="00BE5237">
            <w:pPr>
              <w:jc w:val="right"/>
              <w:rPr>
                <w:lang w:val="en-US" w:eastAsia="en-AU"/>
              </w:rPr>
            </w:pPr>
            <w:r>
              <w:rPr>
                <w:b/>
              </w:rPr>
              <w:t>2018</w:t>
            </w:r>
            <w:r>
              <w:rPr>
                <w:b/>
              </w:rPr>
              <w:br/>
              <w:t>$000</w:t>
            </w:r>
          </w:p>
        </w:tc>
        <w:tc>
          <w:tcPr>
            <w:tcW w:w="1340" w:type="dxa"/>
            <w:vAlign w:val="center"/>
          </w:tcPr>
          <w:p w14:paraId="0D97BD31" w14:textId="43AB0518" w:rsidR="00BE5237" w:rsidRDefault="00BE5237" w:rsidP="00BE5237">
            <w:pPr>
              <w:jc w:val="right"/>
              <w:rPr>
                <w:lang w:val="en-US" w:eastAsia="en-AU"/>
              </w:rPr>
            </w:pPr>
            <w:r>
              <w:rPr>
                <w:b/>
              </w:rPr>
              <w:t>2017</w:t>
            </w:r>
            <w:r>
              <w:rPr>
                <w:b/>
              </w:rPr>
              <w:br/>
              <w:t>$000</w:t>
            </w:r>
          </w:p>
        </w:tc>
      </w:tr>
      <w:tr w:rsidR="00BE5237" w14:paraId="068DF426" w14:textId="0868A284" w:rsidTr="00BE5237">
        <w:trPr>
          <w:trHeight w:val="561"/>
        </w:trPr>
        <w:tc>
          <w:tcPr>
            <w:tcW w:w="6663" w:type="dxa"/>
            <w:vAlign w:val="center"/>
          </w:tcPr>
          <w:p w14:paraId="2B97A430" w14:textId="52BE8CF1" w:rsidR="00BE5237" w:rsidRDefault="00BE5237" w:rsidP="00BE5237">
            <w:pPr>
              <w:rPr>
                <w:lang w:val="en-US" w:eastAsia="en-AU"/>
              </w:rPr>
            </w:pPr>
            <w:r>
              <w:t xml:space="preserve">Employers' Indemnity Supplementation Fund </w:t>
            </w:r>
            <w:r>
              <w:rPr>
                <w:vertAlign w:val="superscript"/>
              </w:rPr>
              <w:t>(i)</w:t>
            </w:r>
          </w:p>
        </w:tc>
        <w:tc>
          <w:tcPr>
            <w:tcW w:w="1149" w:type="dxa"/>
          </w:tcPr>
          <w:p w14:paraId="7382A112" w14:textId="77777777" w:rsidR="00BE5237" w:rsidRDefault="00BE5237" w:rsidP="00BE5237">
            <w:pPr>
              <w:rPr>
                <w:lang w:val="en-US" w:eastAsia="en-AU"/>
              </w:rPr>
            </w:pPr>
          </w:p>
        </w:tc>
        <w:tc>
          <w:tcPr>
            <w:tcW w:w="1340" w:type="dxa"/>
          </w:tcPr>
          <w:p w14:paraId="756A355C" w14:textId="77777777" w:rsidR="00BE5237" w:rsidRDefault="00BE5237" w:rsidP="00BE5237">
            <w:pPr>
              <w:rPr>
                <w:lang w:val="en-US" w:eastAsia="en-AU"/>
              </w:rPr>
            </w:pPr>
          </w:p>
        </w:tc>
      </w:tr>
      <w:tr w:rsidR="00BE5237" w14:paraId="1C293788" w14:textId="02B60E90" w:rsidTr="00BE5237">
        <w:trPr>
          <w:trHeight w:val="857"/>
        </w:trPr>
        <w:tc>
          <w:tcPr>
            <w:tcW w:w="6663" w:type="dxa"/>
            <w:vAlign w:val="center"/>
          </w:tcPr>
          <w:p w14:paraId="243470DC" w14:textId="58D81CE3" w:rsidR="00BE5237" w:rsidRDefault="00BE5237" w:rsidP="00BE5237">
            <w:pPr>
              <w:rPr>
                <w:lang w:val="en-US" w:eastAsia="en-AU"/>
              </w:rPr>
            </w:pPr>
            <w:r>
              <w:t xml:space="preserve">     Liability for estimated future claim payments</w:t>
            </w:r>
          </w:p>
        </w:tc>
        <w:tc>
          <w:tcPr>
            <w:tcW w:w="1149" w:type="dxa"/>
            <w:vAlign w:val="bottom"/>
          </w:tcPr>
          <w:p w14:paraId="0ADA654B" w14:textId="77FF126E" w:rsidR="00BE5237" w:rsidRDefault="00BE5237" w:rsidP="00BE5237">
            <w:pPr>
              <w:jc w:val="right"/>
              <w:rPr>
                <w:lang w:val="en-US" w:eastAsia="en-AU"/>
              </w:rPr>
            </w:pPr>
            <w:r>
              <w:t xml:space="preserve">                 1,544 </w:t>
            </w:r>
          </w:p>
        </w:tc>
        <w:tc>
          <w:tcPr>
            <w:tcW w:w="1340" w:type="dxa"/>
            <w:vAlign w:val="bottom"/>
          </w:tcPr>
          <w:p w14:paraId="776C98A7" w14:textId="0F731095" w:rsidR="00BE5237" w:rsidRDefault="00BE5237" w:rsidP="00BE5237">
            <w:pPr>
              <w:jc w:val="right"/>
              <w:rPr>
                <w:lang w:val="en-US" w:eastAsia="en-AU"/>
              </w:rPr>
            </w:pPr>
            <w:r>
              <w:t xml:space="preserve">                                   1,090 </w:t>
            </w:r>
          </w:p>
        </w:tc>
      </w:tr>
      <w:tr w:rsidR="00BE5237" w14:paraId="636639DF" w14:textId="0A6F890A" w:rsidTr="00BE5237">
        <w:trPr>
          <w:trHeight w:val="547"/>
        </w:trPr>
        <w:tc>
          <w:tcPr>
            <w:tcW w:w="6663" w:type="dxa"/>
          </w:tcPr>
          <w:p w14:paraId="74440F6E" w14:textId="5FB59F6E" w:rsidR="00BE5237" w:rsidRPr="00F46A0D" w:rsidRDefault="00BE5237" w:rsidP="00BE5237">
            <w:pPr>
              <w:rPr>
                <w:lang w:eastAsia="en-AU"/>
              </w:rPr>
            </w:pPr>
            <w:r>
              <w:t xml:space="preserve">General Account </w:t>
            </w:r>
            <w:r>
              <w:rPr>
                <w:vertAlign w:val="superscript"/>
              </w:rPr>
              <w:t>(ii)</w:t>
            </w:r>
          </w:p>
        </w:tc>
        <w:tc>
          <w:tcPr>
            <w:tcW w:w="1149" w:type="dxa"/>
          </w:tcPr>
          <w:p w14:paraId="7210E38C" w14:textId="77777777" w:rsidR="00BE5237" w:rsidRDefault="00BE5237" w:rsidP="00BE5237">
            <w:pPr>
              <w:rPr>
                <w:lang w:val="en-US" w:eastAsia="en-AU"/>
              </w:rPr>
            </w:pPr>
          </w:p>
        </w:tc>
        <w:tc>
          <w:tcPr>
            <w:tcW w:w="1340" w:type="dxa"/>
          </w:tcPr>
          <w:p w14:paraId="0CF663FB" w14:textId="77777777" w:rsidR="00BE5237" w:rsidRDefault="00BE5237" w:rsidP="00BE5237">
            <w:pPr>
              <w:rPr>
                <w:lang w:val="en-US" w:eastAsia="en-AU"/>
              </w:rPr>
            </w:pPr>
          </w:p>
        </w:tc>
      </w:tr>
      <w:tr w:rsidR="00BE5237" w14:paraId="4BAF02C6" w14:textId="4E321CEF" w:rsidTr="00BE5237">
        <w:trPr>
          <w:trHeight w:val="774"/>
        </w:trPr>
        <w:tc>
          <w:tcPr>
            <w:tcW w:w="6663" w:type="dxa"/>
            <w:vAlign w:val="center"/>
          </w:tcPr>
          <w:p w14:paraId="63C707DC" w14:textId="687F0AC5" w:rsidR="00BE5237" w:rsidRPr="00F46A0D" w:rsidRDefault="00BE5237" w:rsidP="00BE5237">
            <w:pPr>
              <w:rPr>
                <w:lang w:eastAsia="en-AU"/>
              </w:rPr>
            </w:pPr>
            <w:r>
              <w:t xml:space="preserve">     Uninsured workers</w:t>
            </w:r>
          </w:p>
        </w:tc>
        <w:tc>
          <w:tcPr>
            <w:tcW w:w="1149" w:type="dxa"/>
            <w:tcBorders>
              <w:bottom w:val="single" w:sz="4" w:space="0" w:color="auto"/>
            </w:tcBorders>
            <w:vAlign w:val="bottom"/>
          </w:tcPr>
          <w:p w14:paraId="658579AE" w14:textId="7FF49717" w:rsidR="00BE5237" w:rsidRDefault="00BE5237" w:rsidP="00BE5237">
            <w:pPr>
              <w:jc w:val="right"/>
              <w:rPr>
                <w:lang w:val="en-US" w:eastAsia="en-AU"/>
              </w:rPr>
            </w:pPr>
            <w:r>
              <w:t xml:space="preserve">                 2,810 </w:t>
            </w:r>
          </w:p>
        </w:tc>
        <w:tc>
          <w:tcPr>
            <w:tcW w:w="1340" w:type="dxa"/>
            <w:tcBorders>
              <w:bottom w:val="single" w:sz="4" w:space="0" w:color="auto"/>
            </w:tcBorders>
            <w:vAlign w:val="bottom"/>
          </w:tcPr>
          <w:p w14:paraId="4C9A0497" w14:textId="65555B7E" w:rsidR="00BE5237" w:rsidRDefault="00BE5237" w:rsidP="00BE5237">
            <w:pPr>
              <w:jc w:val="right"/>
              <w:rPr>
                <w:lang w:val="en-US" w:eastAsia="en-AU"/>
              </w:rPr>
            </w:pPr>
            <w:r>
              <w:t xml:space="preserve">                                   1,128 </w:t>
            </w:r>
          </w:p>
        </w:tc>
      </w:tr>
      <w:tr w:rsidR="00BE5237" w14:paraId="1BD042E9" w14:textId="7EE5B47A" w:rsidTr="00BE5237">
        <w:trPr>
          <w:trHeight w:val="857"/>
        </w:trPr>
        <w:tc>
          <w:tcPr>
            <w:tcW w:w="6663" w:type="dxa"/>
            <w:vAlign w:val="center"/>
          </w:tcPr>
          <w:p w14:paraId="140A51AE" w14:textId="19D66CC9" w:rsidR="00BE5237" w:rsidRPr="00F46A0D" w:rsidRDefault="00BE5237" w:rsidP="00BE5237">
            <w:pPr>
              <w:rPr>
                <w:b/>
                <w:lang w:eastAsia="en-AU"/>
              </w:rPr>
            </w:pPr>
            <w:r w:rsidRPr="00F46A0D">
              <w:rPr>
                <w:b/>
              </w:rPr>
              <w:t>Total current provisions</w:t>
            </w:r>
          </w:p>
        </w:tc>
        <w:tc>
          <w:tcPr>
            <w:tcW w:w="1149" w:type="dxa"/>
            <w:tcBorders>
              <w:top w:val="single" w:sz="4" w:space="0" w:color="auto"/>
              <w:bottom w:val="double" w:sz="4" w:space="0" w:color="auto"/>
            </w:tcBorders>
            <w:vAlign w:val="bottom"/>
          </w:tcPr>
          <w:p w14:paraId="6AEC3B54" w14:textId="77AC5F5B" w:rsidR="00BE5237" w:rsidRPr="00F46A0D" w:rsidRDefault="00BE5237" w:rsidP="00BE5237">
            <w:pPr>
              <w:jc w:val="right"/>
              <w:rPr>
                <w:b/>
                <w:lang w:val="en-US" w:eastAsia="en-AU"/>
              </w:rPr>
            </w:pPr>
            <w:r w:rsidRPr="00F46A0D">
              <w:rPr>
                <w:b/>
              </w:rPr>
              <w:t xml:space="preserve">                 4,354 </w:t>
            </w:r>
          </w:p>
        </w:tc>
        <w:tc>
          <w:tcPr>
            <w:tcW w:w="1340" w:type="dxa"/>
            <w:tcBorders>
              <w:top w:val="single" w:sz="4" w:space="0" w:color="auto"/>
              <w:bottom w:val="double" w:sz="4" w:space="0" w:color="auto"/>
            </w:tcBorders>
            <w:vAlign w:val="bottom"/>
          </w:tcPr>
          <w:p w14:paraId="03ACEB6C" w14:textId="2AD31E78" w:rsidR="00BE5237" w:rsidRPr="00F46A0D" w:rsidRDefault="00BE5237" w:rsidP="00BE5237">
            <w:pPr>
              <w:jc w:val="right"/>
              <w:rPr>
                <w:b/>
                <w:lang w:val="en-US" w:eastAsia="en-AU"/>
              </w:rPr>
            </w:pPr>
            <w:r w:rsidRPr="00F46A0D">
              <w:rPr>
                <w:b/>
              </w:rPr>
              <w:t xml:space="preserve">                                   2,218 </w:t>
            </w:r>
          </w:p>
        </w:tc>
      </w:tr>
      <w:tr w:rsidR="00BE5237" w14:paraId="5DDACA52" w14:textId="77777777" w:rsidTr="00BE5237">
        <w:trPr>
          <w:trHeight w:val="547"/>
        </w:trPr>
        <w:tc>
          <w:tcPr>
            <w:tcW w:w="6663" w:type="dxa"/>
            <w:vAlign w:val="center"/>
          </w:tcPr>
          <w:p w14:paraId="0488A3C5" w14:textId="6F843A76" w:rsidR="00BE5237" w:rsidRPr="00E55366" w:rsidRDefault="00BE5237" w:rsidP="00BE5237">
            <w:pPr>
              <w:rPr>
                <w:u w:val="single"/>
              </w:rPr>
            </w:pPr>
            <w:r>
              <w:rPr>
                <w:u w:val="single"/>
              </w:rPr>
              <w:t>Non-current</w:t>
            </w:r>
          </w:p>
        </w:tc>
        <w:tc>
          <w:tcPr>
            <w:tcW w:w="1149" w:type="dxa"/>
            <w:tcBorders>
              <w:top w:val="double" w:sz="4" w:space="0" w:color="auto"/>
            </w:tcBorders>
            <w:vAlign w:val="bottom"/>
          </w:tcPr>
          <w:p w14:paraId="08FF785D" w14:textId="77777777" w:rsidR="00BE5237" w:rsidRPr="00F46A0D" w:rsidRDefault="00BE5237" w:rsidP="00BE5237">
            <w:pPr>
              <w:jc w:val="right"/>
              <w:rPr>
                <w:b/>
              </w:rPr>
            </w:pPr>
          </w:p>
        </w:tc>
        <w:tc>
          <w:tcPr>
            <w:tcW w:w="1340" w:type="dxa"/>
            <w:tcBorders>
              <w:top w:val="double" w:sz="4" w:space="0" w:color="auto"/>
            </w:tcBorders>
            <w:vAlign w:val="bottom"/>
          </w:tcPr>
          <w:p w14:paraId="4BB93950" w14:textId="77777777" w:rsidR="00BE5237" w:rsidRPr="00F46A0D" w:rsidRDefault="00BE5237" w:rsidP="00BE5237">
            <w:pPr>
              <w:jc w:val="right"/>
              <w:rPr>
                <w:b/>
              </w:rPr>
            </w:pPr>
          </w:p>
        </w:tc>
      </w:tr>
      <w:tr w:rsidR="00BE5237" w14:paraId="0B351461" w14:textId="77777777" w:rsidTr="00BE5237">
        <w:trPr>
          <w:trHeight w:val="547"/>
        </w:trPr>
        <w:tc>
          <w:tcPr>
            <w:tcW w:w="6663" w:type="dxa"/>
            <w:vAlign w:val="bottom"/>
          </w:tcPr>
          <w:p w14:paraId="5BC0381A" w14:textId="3F231178" w:rsidR="00BE5237" w:rsidRPr="00E55366" w:rsidRDefault="00BE5237" w:rsidP="00BE5237">
            <w:r>
              <w:t xml:space="preserve">Employers' Indemnity Supplementation Fund </w:t>
            </w:r>
            <w:r>
              <w:rPr>
                <w:vertAlign w:val="superscript"/>
              </w:rPr>
              <w:t>(i)</w:t>
            </w:r>
          </w:p>
        </w:tc>
        <w:tc>
          <w:tcPr>
            <w:tcW w:w="1149" w:type="dxa"/>
            <w:vAlign w:val="bottom"/>
          </w:tcPr>
          <w:p w14:paraId="783515EF" w14:textId="77777777" w:rsidR="00BE5237" w:rsidRPr="00F46A0D" w:rsidRDefault="00BE5237" w:rsidP="00BE5237">
            <w:pPr>
              <w:jc w:val="right"/>
              <w:rPr>
                <w:b/>
              </w:rPr>
            </w:pPr>
          </w:p>
        </w:tc>
        <w:tc>
          <w:tcPr>
            <w:tcW w:w="1340" w:type="dxa"/>
            <w:vAlign w:val="bottom"/>
          </w:tcPr>
          <w:p w14:paraId="27975F85" w14:textId="77777777" w:rsidR="00BE5237" w:rsidRPr="00F46A0D" w:rsidRDefault="00BE5237" w:rsidP="00BE5237">
            <w:pPr>
              <w:jc w:val="right"/>
              <w:rPr>
                <w:b/>
              </w:rPr>
            </w:pPr>
          </w:p>
        </w:tc>
      </w:tr>
      <w:tr w:rsidR="00BE5237" w14:paraId="2884F998" w14:textId="77777777" w:rsidTr="00BE5237">
        <w:trPr>
          <w:trHeight w:val="857"/>
        </w:trPr>
        <w:tc>
          <w:tcPr>
            <w:tcW w:w="6663" w:type="dxa"/>
            <w:vAlign w:val="bottom"/>
          </w:tcPr>
          <w:p w14:paraId="192E87B7" w14:textId="2D747477" w:rsidR="00BE5237" w:rsidRPr="00E55366" w:rsidRDefault="00BE5237" w:rsidP="00BE5237">
            <w:r>
              <w:t xml:space="preserve">    Liability for estimated future claim payments</w:t>
            </w:r>
          </w:p>
        </w:tc>
        <w:tc>
          <w:tcPr>
            <w:tcW w:w="1149" w:type="dxa"/>
            <w:vAlign w:val="bottom"/>
          </w:tcPr>
          <w:p w14:paraId="29193094" w14:textId="50BFEF31" w:rsidR="00BE5237" w:rsidRPr="00F46A0D" w:rsidRDefault="00BE5237" w:rsidP="00BE5237">
            <w:pPr>
              <w:jc w:val="right"/>
              <w:rPr>
                <w:b/>
              </w:rPr>
            </w:pPr>
            <w:r>
              <w:t xml:space="preserve">               11,105 </w:t>
            </w:r>
          </w:p>
        </w:tc>
        <w:tc>
          <w:tcPr>
            <w:tcW w:w="1340" w:type="dxa"/>
            <w:vAlign w:val="bottom"/>
          </w:tcPr>
          <w:p w14:paraId="466960FA" w14:textId="6E481007" w:rsidR="00BE5237" w:rsidRPr="00F46A0D" w:rsidRDefault="00BE5237" w:rsidP="00BE5237">
            <w:pPr>
              <w:jc w:val="right"/>
              <w:rPr>
                <w:b/>
              </w:rPr>
            </w:pPr>
            <w:r>
              <w:t xml:space="preserve">                                 12,324 </w:t>
            </w:r>
          </w:p>
        </w:tc>
      </w:tr>
      <w:tr w:rsidR="00BE5237" w14:paraId="3A66C65F" w14:textId="77777777" w:rsidTr="00BE5237">
        <w:trPr>
          <w:trHeight w:val="547"/>
        </w:trPr>
        <w:tc>
          <w:tcPr>
            <w:tcW w:w="6663" w:type="dxa"/>
            <w:vAlign w:val="center"/>
          </w:tcPr>
          <w:p w14:paraId="4081EA59" w14:textId="44BA256B" w:rsidR="00BE5237" w:rsidRPr="00E55366" w:rsidRDefault="00BE5237" w:rsidP="00BE5237">
            <w:pPr>
              <w:rPr>
                <w:lang w:eastAsia="en-AU"/>
              </w:rPr>
            </w:pPr>
            <w:r>
              <w:t xml:space="preserve">General Account </w:t>
            </w:r>
            <w:r>
              <w:rPr>
                <w:vertAlign w:val="superscript"/>
              </w:rPr>
              <w:t>(ii)</w:t>
            </w:r>
          </w:p>
        </w:tc>
        <w:tc>
          <w:tcPr>
            <w:tcW w:w="1149" w:type="dxa"/>
            <w:vAlign w:val="bottom"/>
          </w:tcPr>
          <w:p w14:paraId="53082642" w14:textId="77777777" w:rsidR="00BE5237" w:rsidRPr="00F46A0D" w:rsidRDefault="00BE5237" w:rsidP="00BE5237">
            <w:pPr>
              <w:jc w:val="right"/>
              <w:rPr>
                <w:b/>
              </w:rPr>
            </w:pPr>
          </w:p>
        </w:tc>
        <w:tc>
          <w:tcPr>
            <w:tcW w:w="1340" w:type="dxa"/>
            <w:vAlign w:val="bottom"/>
          </w:tcPr>
          <w:p w14:paraId="7AB08837" w14:textId="77777777" w:rsidR="00BE5237" w:rsidRPr="00F46A0D" w:rsidRDefault="00BE5237" w:rsidP="00BE5237">
            <w:pPr>
              <w:jc w:val="right"/>
              <w:rPr>
                <w:b/>
              </w:rPr>
            </w:pPr>
          </w:p>
        </w:tc>
      </w:tr>
      <w:tr w:rsidR="00BE5237" w14:paraId="2820D548" w14:textId="77777777" w:rsidTr="00BE5237">
        <w:trPr>
          <w:trHeight w:val="872"/>
        </w:trPr>
        <w:tc>
          <w:tcPr>
            <w:tcW w:w="6663" w:type="dxa"/>
            <w:vAlign w:val="center"/>
          </w:tcPr>
          <w:p w14:paraId="44ED3E0E" w14:textId="1E067BBA" w:rsidR="00BE5237" w:rsidRPr="00E55366" w:rsidRDefault="00BE5237" w:rsidP="00BE5237">
            <w:pPr>
              <w:rPr>
                <w:lang w:eastAsia="en-AU"/>
              </w:rPr>
            </w:pPr>
            <w:r>
              <w:t xml:space="preserve">    Uninsured workers</w:t>
            </w:r>
          </w:p>
        </w:tc>
        <w:tc>
          <w:tcPr>
            <w:tcW w:w="1149" w:type="dxa"/>
            <w:tcBorders>
              <w:bottom w:val="single" w:sz="4" w:space="0" w:color="auto"/>
            </w:tcBorders>
            <w:vAlign w:val="bottom"/>
          </w:tcPr>
          <w:p w14:paraId="5C7274E1" w14:textId="570886A8" w:rsidR="00BE5237" w:rsidRPr="00F46A0D" w:rsidRDefault="00BE5237" w:rsidP="00BE5237">
            <w:pPr>
              <w:jc w:val="right"/>
              <w:rPr>
                <w:b/>
              </w:rPr>
            </w:pPr>
            <w:r>
              <w:t xml:space="preserve">                 6,364 </w:t>
            </w:r>
          </w:p>
        </w:tc>
        <w:tc>
          <w:tcPr>
            <w:tcW w:w="1340" w:type="dxa"/>
            <w:tcBorders>
              <w:bottom w:val="single" w:sz="4" w:space="0" w:color="auto"/>
            </w:tcBorders>
            <w:vAlign w:val="bottom"/>
          </w:tcPr>
          <w:p w14:paraId="2DFAB4C1" w14:textId="7D22D10A" w:rsidR="00BE5237" w:rsidRPr="00F46A0D" w:rsidRDefault="00BE5237" w:rsidP="00BE5237">
            <w:pPr>
              <w:jc w:val="right"/>
              <w:rPr>
                <w:b/>
              </w:rPr>
            </w:pPr>
            <w:r>
              <w:t xml:space="preserve">                                   5,254 </w:t>
            </w:r>
          </w:p>
        </w:tc>
      </w:tr>
      <w:tr w:rsidR="00BE5237" w14:paraId="5D7C3DFD" w14:textId="77777777" w:rsidTr="00BE5237">
        <w:trPr>
          <w:trHeight w:val="828"/>
        </w:trPr>
        <w:tc>
          <w:tcPr>
            <w:tcW w:w="6663" w:type="dxa"/>
            <w:vAlign w:val="center"/>
          </w:tcPr>
          <w:p w14:paraId="41DD508B" w14:textId="5228AF00" w:rsidR="00BE5237" w:rsidRPr="00E55366" w:rsidRDefault="00BE5237" w:rsidP="00BE5237">
            <w:pPr>
              <w:rPr>
                <w:b/>
                <w:lang w:eastAsia="en-AU"/>
              </w:rPr>
            </w:pPr>
            <w:r w:rsidRPr="00E55366">
              <w:rPr>
                <w:b/>
              </w:rPr>
              <w:t>Total non-current provisions</w:t>
            </w:r>
          </w:p>
        </w:tc>
        <w:tc>
          <w:tcPr>
            <w:tcW w:w="1149" w:type="dxa"/>
            <w:tcBorders>
              <w:top w:val="single" w:sz="4" w:space="0" w:color="auto"/>
              <w:bottom w:val="double" w:sz="4" w:space="0" w:color="auto"/>
            </w:tcBorders>
            <w:vAlign w:val="bottom"/>
          </w:tcPr>
          <w:p w14:paraId="6267B677" w14:textId="0B1F5870" w:rsidR="00BE5237" w:rsidRPr="00E55366" w:rsidRDefault="00BE5237" w:rsidP="00BE5237">
            <w:pPr>
              <w:jc w:val="right"/>
              <w:rPr>
                <w:b/>
              </w:rPr>
            </w:pPr>
            <w:r w:rsidRPr="00E55366">
              <w:rPr>
                <w:b/>
              </w:rPr>
              <w:t xml:space="preserve">               17,469 </w:t>
            </w:r>
          </w:p>
        </w:tc>
        <w:tc>
          <w:tcPr>
            <w:tcW w:w="1340" w:type="dxa"/>
            <w:tcBorders>
              <w:top w:val="single" w:sz="4" w:space="0" w:color="auto"/>
              <w:bottom w:val="double" w:sz="4" w:space="0" w:color="auto"/>
            </w:tcBorders>
            <w:vAlign w:val="bottom"/>
          </w:tcPr>
          <w:p w14:paraId="3FCFE87E" w14:textId="4C907643" w:rsidR="00BE5237" w:rsidRPr="00E55366" w:rsidRDefault="00BE5237" w:rsidP="00BE5237">
            <w:pPr>
              <w:jc w:val="right"/>
              <w:rPr>
                <w:b/>
              </w:rPr>
            </w:pPr>
            <w:r w:rsidRPr="00E55366">
              <w:rPr>
                <w:b/>
              </w:rPr>
              <w:t xml:space="preserve">                                 17,578 </w:t>
            </w:r>
          </w:p>
        </w:tc>
      </w:tr>
    </w:tbl>
    <w:p w14:paraId="7EC5086A" w14:textId="7468705F" w:rsidR="00E55366" w:rsidRDefault="00BE5237" w:rsidP="00F46A0D">
      <w:pPr>
        <w:rPr>
          <w:lang w:val="en-US" w:eastAsia="en-AU"/>
        </w:rPr>
      </w:pPr>
      <w:r>
        <w:rPr>
          <w:lang w:val="en-US" w:eastAsia="en-AU"/>
        </w:rPr>
        <w:br w:type="textWrapping" w:clear="all"/>
      </w:r>
    </w:p>
    <w:p w14:paraId="67E0D8B8" w14:textId="0AFDD5BE" w:rsidR="00E55366" w:rsidRDefault="00E55366" w:rsidP="00E55366">
      <w:pPr>
        <w:pStyle w:val="Heading3nonumber"/>
        <w:rPr>
          <w:lang w:val="en-US" w:eastAsia="en-AU"/>
        </w:rPr>
      </w:pPr>
      <w:bookmarkStart w:id="780" w:name="_Toc525122177"/>
      <w:r>
        <w:rPr>
          <w:lang w:val="en-US" w:eastAsia="en-AU"/>
        </w:rPr>
        <w:t>4.3(b)(i) Employers’ Indemnity Supplementation Fund (EISF)</w:t>
      </w:r>
      <w:bookmarkEnd w:id="780"/>
    </w:p>
    <w:p w14:paraId="6F5ACC99" w14:textId="190CC831" w:rsidR="00E55366" w:rsidRPr="00E55366" w:rsidRDefault="00E55366" w:rsidP="00E55366">
      <w:pPr>
        <w:rPr>
          <w:lang w:val="en-US" w:eastAsia="en-AU"/>
        </w:rPr>
      </w:pPr>
      <w:r w:rsidRPr="00E55366">
        <w:rPr>
          <w:lang w:val="en-US" w:eastAsia="en-AU"/>
        </w:rPr>
        <w:t xml:space="preserve">The EISF was established by the </w:t>
      </w:r>
      <w:r w:rsidRPr="00F53D86">
        <w:rPr>
          <w:i/>
          <w:lang w:val="en-US" w:eastAsia="en-AU"/>
        </w:rPr>
        <w:t xml:space="preserve">Employers' Indemnity Supplementation Fund Act 1980 (the Act) </w:t>
      </w:r>
      <w:r w:rsidRPr="00E55366">
        <w:rPr>
          <w:lang w:val="en-US" w:eastAsia="en-AU"/>
        </w:rPr>
        <w:t>to provide for payment of workers' compensation claims in Western Australia:</w:t>
      </w:r>
    </w:p>
    <w:p w14:paraId="733E8486" w14:textId="40260D34" w:rsidR="00E55366" w:rsidRPr="00E55366" w:rsidRDefault="00E55366" w:rsidP="00E55366">
      <w:pPr>
        <w:rPr>
          <w:lang w:val="en-US" w:eastAsia="en-AU"/>
        </w:rPr>
      </w:pPr>
      <w:r w:rsidRPr="00E55366">
        <w:rPr>
          <w:lang w:val="en-US" w:eastAsia="en-AU"/>
        </w:rPr>
        <w:t xml:space="preserve"> - in the even</w:t>
      </w:r>
      <w:r>
        <w:rPr>
          <w:lang w:val="en-US" w:eastAsia="en-AU"/>
        </w:rPr>
        <w:t>t an approved insurer collapses</w:t>
      </w:r>
    </w:p>
    <w:p w14:paraId="7F752F41" w14:textId="2DFC098A" w:rsidR="00E55366" w:rsidRPr="00E55366" w:rsidRDefault="00E55366" w:rsidP="00E55366">
      <w:pPr>
        <w:rPr>
          <w:lang w:val="en-US" w:eastAsia="en-AU"/>
        </w:rPr>
      </w:pPr>
      <w:r w:rsidRPr="00E55366">
        <w:rPr>
          <w:lang w:val="en-US" w:eastAsia="en-AU"/>
        </w:rPr>
        <w:t xml:space="preserve"> - to waterfront workers suffering from asbestos related diseases under the </w:t>
      </w:r>
      <w:r w:rsidRPr="00F53D86">
        <w:rPr>
          <w:i/>
          <w:lang w:val="en-US" w:eastAsia="en-AU"/>
        </w:rPr>
        <w:t>Waterfront Workers' (Compensation for Asbestos Related Diseases) Act 1986.</w:t>
      </w:r>
    </w:p>
    <w:p w14:paraId="7B14C987" w14:textId="77777777" w:rsidR="00E55366" w:rsidRPr="00E55366" w:rsidRDefault="00E55366" w:rsidP="00E55366">
      <w:pPr>
        <w:rPr>
          <w:lang w:val="en-US" w:eastAsia="en-AU"/>
        </w:rPr>
      </w:pPr>
      <w:r w:rsidRPr="00E55366">
        <w:rPr>
          <w:lang w:val="en-US" w:eastAsia="en-AU"/>
        </w:rPr>
        <w:t xml:space="preserve">The last insurer collapse was HIH Insurance, which was officially placed into provisional liquidation on 15 March 2001.  </w:t>
      </w:r>
      <w:r w:rsidRPr="00E55366">
        <w:rPr>
          <w:lang w:val="en-US" w:eastAsia="en-AU"/>
        </w:rPr>
        <w:tab/>
      </w:r>
      <w:r w:rsidRPr="00E55366">
        <w:rPr>
          <w:lang w:val="en-US" w:eastAsia="en-AU"/>
        </w:rPr>
        <w:tab/>
      </w:r>
      <w:r w:rsidRPr="00E55366">
        <w:rPr>
          <w:lang w:val="en-US" w:eastAsia="en-AU"/>
        </w:rPr>
        <w:tab/>
      </w:r>
      <w:r w:rsidRPr="00E55366">
        <w:rPr>
          <w:lang w:val="en-US" w:eastAsia="en-AU"/>
        </w:rPr>
        <w:tab/>
      </w:r>
      <w:r w:rsidRPr="00E55366">
        <w:rPr>
          <w:lang w:val="en-US" w:eastAsia="en-AU"/>
        </w:rPr>
        <w:tab/>
      </w:r>
    </w:p>
    <w:p w14:paraId="151ECAFB" w14:textId="77777777" w:rsidR="00F53D86" w:rsidRDefault="00E55366" w:rsidP="00E55366">
      <w:pPr>
        <w:rPr>
          <w:lang w:val="en-US" w:eastAsia="en-AU"/>
        </w:rPr>
      </w:pPr>
      <w:r w:rsidRPr="00E55366">
        <w:rPr>
          <w:lang w:val="en-US" w:eastAsia="en-AU"/>
        </w:rPr>
        <w:t>All claims up to and including that date are required</w:t>
      </w:r>
      <w:r w:rsidR="00F53D86">
        <w:rPr>
          <w:lang w:val="en-US" w:eastAsia="en-AU"/>
        </w:rPr>
        <w:t xml:space="preserve"> to be paid from the EISF.</w:t>
      </w:r>
    </w:p>
    <w:p w14:paraId="0EDBEAA0" w14:textId="5A48BFD0" w:rsidR="00E55366" w:rsidRPr="00E55366" w:rsidRDefault="00E55366" w:rsidP="00E55366">
      <w:pPr>
        <w:rPr>
          <w:lang w:val="en-US" w:eastAsia="en-AU"/>
        </w:rPr>
      </w:pPr>
      <w:r w:rsidRPr="00E55366">
        <w:rPr>
          <w:lang w:val="en-US" w:eastAsia="en-AU"/>
        </w:rPr>
        <w:t>The Authority’s claim costs for the EISF (including HIH Insurance) are actuarially assessed each financial year and the values disclosed in the financial statements. The actuarial estimates are based on inflated and discounted values including a 75% prudential margin. The liability for outstanding claims is measured as the central estimate of the present value of expected future payments against claims incurred at the reporting date under general insurance contracts issued by the company, with an additional risk margin to allow for the inherent uncertainty</w:t>
      </w:r>
      <w:r w:rsidR="00F53D86">
        <w:rPr>
          <w:lang w:val="en-US" w:eastAsia="en-AU"/>
        </w:rPr>
        <w:t xml:space="preserve"> in the central estimate. </w:t>
      </w:r>
      <w:r w:rsidR="00F53D86">
        <w:rPr>
          <w:lang w:val="en-US" w:eastAsia="en-AU"/>
        </w:rPr>
        <w:tab/>
      </w:r>
    </w:p>
    <w:p w14:paraId="1DB368B4" w14:textId="77777777" w:rsidR="00F53D86" w:rsidRDefault="00E55366" w:rsidP="00E55366">
      <w:pPr>
        <w:rPr>
          <w:lang w:val="en-US" w:eastAsia="en-AU"/>
        </w:rPr>
      </w:pPr>
      <w:r w:rsidRPr="00E55366">
        <w:rPr>
          <w:lang w:val="en-US" w:eastAsia="en-AU"/>
        </w:rPr>
        <w:t>The expected future payments include those in relation to claims reported but not yet paid, claims incurred but not reported (IBNR), claims incurred but not enough reported (IBNER) and anticipa</w:t>
      </w:r>
      <w:r w:rsidR="00F53D86">
        <w:rPr>
          <w:lang w:val="en-US" w:eastAsia="en-AU"/>
        </w:rPr>
        <w:t>ted claims handling costs.</w:t>
      </w:r>
    </w:p>
    <w:p w14:paraId="003EF9B2" w14:textId="240063B0" w:rsidR="00E55366" w:rsidRDefault="00E55366" w:rsidP="00E55366">
      <w:pPr>
        <w:rPr>
          <w:lang w:val="en-US" w:eastAsia="en-AU"/>
        </w:rPr>
      </w:pPr>
      <w:r w:rsidRPr="00E55366">
        <w:rPr>
          <w:lang w:val="en-US" w:eastAsia="en-AU"/>
        </w:rPr>
        <w:t>Claims handling costs include costs that can be directly associated with individual claims such as legal and other professional fees, and costs that can only be indirectly associated with individual claims such as cl</w:t>
      </w:r>
      <w:r w:rsidR="00F53D86">
        <w:rPr>
          <w:lang w:val="en-US" w:eastAsia="en-AU"/>
        </w:rPr>
        <w:t xml:space="preserve">aims administration costs. </w:t>
      </w:r>
    </w:p>
    <w:p w14:paraId="3DFD1461" w14:textId="136B04F0" w:rsidR="00F53D86" w:rsidRDefault="00DC7598" w:rsidP="004930E9">
      <w:pPr>
        <w:pStyle w:val="Heading4"/>
        <w:ind w:left="0"/>
      </w:pPr>
      <w:r>
        <w:t xml:space="preserve">EISF Act Liabilities </w:t>
      </w:r>
    </w:p>
    <w:p w14:paraId="08D94CFC" w14:textId="3E019BE5" w:rsidR="00DC7598" w:rsidRDefault="00DC7598" w:rsidP="00DC7598">
      <w:pPr>
        <w:rPr>
          <w:lang w:val="en-US" w:eastAsia="en-AU"/>
        </w:rPr>
      </w:pPr>
      <w:r w:rsidRPr="00DC7598">
        <w:rPr>
          <w:lang w:val="en-US" w:eastAsia="en-AU"/>
        </w:rPr>
        <w:t>The outstanding liabilities for claims in run-off (including clients of the HIH Insurance Group) are assessed by an independent actuary using models applicable to the nature of the incident by which the liability under the fund has been incurred. Claims under the EISF Act are assessed under the categories of Asbestos-Related Claims (which includes incidents of mesothelioma, lung cancer and other diseases of the respiratory system) and Non Asbestos-Related Claims.</w:t>
      </w:r>
    </w:p>
    <w:p w14:paraId="5EC67ED3" w14:textId="443BF96C" w:rsidR="00DC7598" w:rsidRDefault="00DC7598" w:rsidP="004930E9">
      <w:pPr>
        <w:pStyle w:val="Heading4"/>
        <w:ind w:left="0"/>
      </w:pPr>
      <w:r>
        <w:t>Workers’ Compensation – Asbestos-Related Claims</w:t>
      </w:r>
    </w:p>
    <w:p w14:paraId="1F12BDA0" w14:textId="77777777" w:rsidR="00DC7598" w:rsidRDefault="00DC7598" w:rsidP="00DC7598">
      <w:pPr>
        <w:rPr>
          <w:lang w:val="en-US" w:eastAsia="en-AU"/>
        </w:rPr>
      </w:pPr>
      <w:r w:rsidRPr="00DC7598">
        <w:rPr>
          <w:lang w:val="en-US" w:eastAsia="en-AU"/>
        </w:rPr>
        <w:t>Asbestos-Related Claims are assessed using actuarial models based on those developed by Professor Geoffrey Berry utilising ICGF data.</w:t>
      </w:r>
    </w:p>
    <w:p w14:paraId="35075B67" w14:textId="77777777" w:rsidR="00DC7598" w:rsidRDefault="00DC7598" w:rsidP="00DC7598">
      <w:pPr>
        <w:rPr>
          <w:lang w:val="en-US" w:eastAsia="en-AU"/>
        </w:rPr>
      </w:pPr>
      <w:r w:rsidRPr="00DC7598">
        <w:rPr>
          <w:lang w:val="en-US" w:eastAsia="en-AU"/>
        </w:rPr>
        <w:t xml:space="preserve">The models predict the total number of claims likely to emerge over time and also determine </w:t>
      </w:r>
      <w:r>
        <w:rPr>
          <w:lang w:val="en-US" w:eastAsia="en-AU"/>
        </w:rPr>
        <w:t>likely average cost per claim</w:t>
      </w:r>
      <w:r>
        <w:rPr>
          <w:vertAlign w:val="superscript"/>
          <w:lang w:val="en-US" w:eastAsia="en-AU"/>
        </w:rPr>
        <w:t>(1)</w:t>
      </w:r>
      <w:r w:rsidRPr="00DC7598">
        <w:rPr>
          <w:lang w:val="en-US" w:eastAsia="en-AU"/>
        </w:rPr>
        <w:t>.</w:t>
      </w:r>
    </w:p>
    <w:p w14:paraId="766CBA82" w14:textId="68BC2AD2" w:rsidR="00DC7598" w:rsidRDefault="00DC7598" w:rsidP="00DC7598">
      <w:pPr>
        <w:ind w:left="720" w:hanging="720"/>
        <w:rPr>
          <w:sz w:val="20"/>
          <w:lang w:val="en-US" w:eastAsia="en-AU"/>
        </w:rPr>
      </w:pPr>
      <w:r>
        <w:rPr>
          <w:vertAlign w:val="superscript"/>
          <w:lang w:val="en-US" w:eastAsia="en-AU"/>
        </w:rPr>
        <w:t>(1)</w:t>
      </w:r>
      <w:r>
        <w:rPr>
          <w:lang w:val="en-US" w:eastAsia="en-AU"/>
        </w:rPr>
        <w:t xml:space="preserve"> </w:t>
      </w:r>
      <w:r w:rsidRPr="00DC7598">
        <w:rPr>
          <w:lang w:val="en-US" w:eastAsia="en-AU"/>
        </w:rPr>
        <w:tab/>
      </w:r>
      <w:r w:rsidRPr="00DC7598">
        <w:rPr>
          <w:sz w:val="20"/>
          <w:lang w:val="en-US" w:eastAsia="en-AU"/>
        </w:rPr>
        <w:t>Prediction of mesothelioma, lung cancer, and asbestosis in former Wittenoom asbestos workers, British Journal of I</w:t>
      </w:r>
      <w:r>
        <w:rPr>
          <w:sz w:val="20"/>
          <w:lang w:val="en-US" w:eastAsia="en-AU"/>
        </w:rPr>
        <w:t>ndustrial Medicine; 48 793-802.</w:t>
      </w:r>
    </w:p>
    <w:p w14:paraId="7D0198D5" w14:textId="77777777" w:rsidR="00DC7598" w:rsidRDefault="00DC7598" w:rsidP="004930E9">
      <w:pPr>
        <w:pStyle w:val="Heading4"/>
        <w:ind w:left="0"/>
      </w:pPr>
      <w:r>
        <w:t>Workers’ Compensation – Non Asbestos-Related Claims</w:t>
      </w:r>
    </w:p>
    <w:p w14:paraId="7D12B5C1" w14:textId="77777777" w:rsidR="00DC7598" w:rsidRDefault="00DC7598" w:rsidP="004930E9">
      <w:pPr>
        <w:pStyle w:val="Heading4"/>
        <w:ind w:left="0"/>
      </w:pPr>
      <w:r>
        <w:t xml:space="preserve">The majority of these claims are long tail in nature and the actuarial models rely heavily on the case estimates placed on each claim to determine the total outstanding liabilities. </w:t>
      </w:r>
    </w:p>
    <w:p w14:paraId="18F0FBCD" w14:textId="7467A7AC" w:rsidR="00DC7598" w:rsidRPr="00BE5237" w:rsidRDefault="00DC7598" w:rsidP="00BE5237">
      <w:pPr>
        <w:keepLines w:val="0"/>
        <w:spacing w:after="0" w:line="240" w:lineRule="auto"/>
        <w:rPr>
          <w:rFonts w:eastAsiaTheme="majorEastAsia" w:cs="Arial"/>
          <w:b/>
          <w:bCs/>
          <w:szCs w:val="28"/>
          <w:lang w:val="en-US" w:eastAsia="en-AU"/>
        </w:rPr>
      </w:pPr>
      <w:r w:rsidRPr="00BE5237">
        <w:rPr>
          <w:b/>
        </w:rPr>
        <w:t>Actuarial Assumptions</w:t>
      </w:r>
      <w:r w:rsidR="00BE5237" w:rsidRPr="00BE5237">
        <w:rPr>
          <w:b/>
        </w:rPr>
        <w:br/>
      </w:r>
    </w:p>
    <w:p w14:paraId="639442D3" w14:textId="77777777" w:rsidR="00DC7598" w:rsidRDefault="00DC7598" w:rsidP="00DC7598">
      <w:r w:rsidRPr="00DC7598">
        <w:t>The following tables provide key actuarial assumptions made in determining the ou</w:t>
      </w:r>
      <w:r>
        <w:t>tstanding claims liabilities:</w:t>
      </w:r>
    </w:p>
    <w:tbl>
      <w:tblPr>
        <w:tblStyle w:val="TableGrid"/>
        <w:tblW w:w="0" w:type="auto"/>
        <w:tblLook w:val="04A0" w:firstRow="1" w:lastRow="0" w:firstColumn="1" w:lastColumn="0" w:noHBand="0" w:noVBand="1"/>
        <w:tblCaption w:val="Table: Actuarial Assumptions"/>
        <w:tblDescription w:val="This table provides key actuarial assumptions made in determining the outstanding claims liabilities for asbestos-related claims. "/>
      </w:tblPr>
      <w:tblGrid>
        <w:gridCol w:w="3005"/>
        <w:gridCol w:w="1502"/>
        <w:gridCol w:w="1503"/>
        <w:gridCol w:w="1503"/>
        <w:gridCol w:w="1503"/>
      </w:tblGrid>
      <w:tr w:rsidR="00DC7598" w14:paraId="751376C9" w14:textId="77777777" w:rsidTr="00F11774">
        <w:trPr>
          <w:tblHeader/>
        </w:trPr>
        <w:tc>
          <w:tcPr>
            <w:tcW w:w="3005" w:type="dxa"/>
            <w:tcBorders>
              <w:top w:val="single" w:sz="4" w:space="0" w:color="9FBCD0"/>
              <w:left w:val="single" w:sz="4" w:space="0" w:color="9FBCD0"/>
              <w:bottom w:val="single" w:sz="4" w:space="0" w:color="9FBCD0"/>
              <w:right w:val="single" w:sz="4" w:space="0" w:color="9FBCD0"/>
            </w:tcBorders>
          </w:tcPr>
          <w:p w14:paraId="4DB1BEFE" w14:textId="3BCC58D5" w:rsidR="00DC7598" w:rsidRPr="00DC7598" w:rsidRDefault="00DC7598" w:rsidP="00DC7598">
            <w:pPr>
              <w:rPr>
                <w:b/>
                <w:lang w:val="en-US" w:eastAsia="en-AU"/>
              </w:rPr>
            </w:pPr>
            <w:r w:rsidRPr="00DC7598">
              <w:rPr>
                <w:b/>
                <w:lang w:val="en-US" w:eastAsia="en-AU"/>
              </w:rPr>
              <w:t>EISF Act: Asbestos-Related Claims</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36F8FAFA" w14:textId="78834F87" w:rsidR="00DC7598" w:rsidRPr="00F5459A" w:rsidRDefault="00F5459A" w:rsidP="00F5459A">
            <w:pPr>
              <w:jc w:val="center"/>
              <w:rPr>
                <w:b/>
                <w:lang w:val="en-US" w:eastAsia="en-AU"/>
              </w:rPr>
            </w:pPr>
            <w:r>
              <w:rPr>
                <w:b/>
                <w:lang w:val="en-US" w:eastAsia="en-AU"/>
              </w:rPr>
              <w:t>2018</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08C12775" w14:textId="608EEC38" w:rsidR="00DC7598" w:rsidRPr="00F5459A" w:rsidRDefault="00F5459A" w:rsidP="00F5459A">
            <w:pPr>
              <w:jc w:val="center"/>
              <w:rPr>
                <w:b/>
                <w:lang w:val="en-US" w:eastAsia="en-AU"/>
              </w:rPr>
            </w:pPr>
            <w:r w:rsidRPr="00F5459A">
              <w:rPr>
                <w:b/>
                <w:lang w:val="en-US" w:eastAsia="en-AU"/>
              </w:rPr>
              <w:t>2017</w:t>
            </w:r>
          </w:p>
        </w:tc>
      </w:tr>
      <w:tr w:rsidR="00F5459A" w14:paraId="4D524B5D" w14:textId="77777777" w:rsidTr="00F5459A">
        <w:tc>
          <w:tcPr>
            <w:tcW w:w="3005" w:type="dxa"/>
            <w:tcBorders>
              <w:top w:val="single" w:sz="4" w:space="0" w:color="9FBCD0"/>
              <w:left w:val="single" w:sz="4" w:space="0" w:color="9FBCD0"/>
              <w:bottom w:val="single" w:sz="4" w:space="0" w:color="9FBCD0"/>
              <w:right w:val="single" w:sz="4" w:space="0" w:color="9FBCD0"/>
            </w:tcBorders>
          </w:tcPr>
          <w:p w14:paraId="06C10192" w14:textId="4C84CB55" w:rsidR="00F5459A" w:rsidRPr="00F5459A" w:rsidRDefault="00F5459A" w:rsidP="00DC7598">
            <w:pPr>
              <w:rPr>
                <w:b/>
                <w:lang w:val="en-US" w:eastAsia="en-AU"/>
              </w:rPr>
            </w:pPr>
            <w:r>
              <w:rPr>
                <w:b/>
                <w:lang w:val="en-US" w:eastAsia="en-AU"/>
              </w:rPr>
              <w:t>Inflation Rate</w:t>
            </w:r>
          </w:p>
        </w:tc>
        <w:tc>
          <w:tcPr>
            <w:tcW w:w="1502" w:type="dxa"/>
            <w:tcBorders>
              <w:top w:val="single" w:sz="4" w:space="0" w:color="9FBCD0"/>
              <w:left w:val="single" w:sz="4" w:space="0" w:color="9FBCD0"/>
              <w:bottom w:val="single" w:sz="4" w:space="0" w:color="9FBCD0"/>
              <w:right w:val="single" w:sz="4" w:space="0" w:color="9FBCD0"/>
            </w:tcBorders>
          </w:tcPr>
          <w:p w14:paraId="4419F935" w14:textId="77777777" w:rsidR="00F5459A" w:rsidRPr="00F5459A" w:rsidRDefault="00F5459A" w:rsidP="00F5459A">
            <w:pPr>
              <w:rPr>
                <w:lang w:val="en-US" w:eastAsia="en-AU"/>
              </w:rPr>
            </w:pPr>
            <w:r w:rsidRPr="00F5459A">
              <w:rPr>
                <w:lang w:val="en-US" w:eastAsia="en-AU"/>
              </w:rPr>
              <w:t>2019</w:t>
            </w:r>
          </w:p>
          <w:p w14:paraId="337A2D83" w14:textId="77777777" w:rsidR="00F5459A" w:rsidRPr="00F5459A" w:rsidRDefault="00F5459A" w:rsidP="00F5459A">
            <w:pPr>
              <w:rPr>
                <w:lang w:val="en-US" w:eastAsia="en-AU"/>
              </w:rPr>
            </w:pPr>
            <w:r w:rsidRPr="00F5459A">
              <w:rPr>
                <w:lang w:val="en-US" w:eastAsia="en-AU"/>
              </w:rPr>
              <w:t>2020</w:t>
            </w:r>
          </w:p>
          <w:p w14:paraId="7130CA76" w14:textId="77777777" w:rsidR="00F5459A" w:rsidRPr="00F5459A" w:rsidRDefault="00F5459A" w:rsidP="00F5459A">
            <w:pPr>
              <w:rPr>
                <w:lang w:val="en-US" w:eastAsia="en-AU"/>
              </w:rPr>
            </w:pPr>
            <w:r w:rsidRPr="00F5459A">
              <w:rPr>
                <w:lang w:val="en-US" w:eastAsia="en-AU"/>
              </w:rPr>
              <w:t>2021</w:t>
            </w:r>
          </w:p>
          <w:p w14:paraId="77D402D4" w14:textId="77777777" w:rsidR="00F5459A" w:rsidRPr="00F5459A" w:rsidRDefault="00F5459A" w:rsidP="00F5459A">
            <w:pPr>
              <w:rPr>
                <w:lang w:val="en-US" w:eastAsia="en-AU"/>
              </w:rPr>
            </w:pPr>
            <w:r w:rsidRPr="00F5459A">
              <w:rPr>
                <w:lang w:val="en-US" w:eastAsia="en-AU"/>
              </w:rPr>
              <w:t>2022</w:t>
            </w:r>
          </w:p>
          <w:p w14:paraId="1B7D89DC" w14:textId="77777777" w:rsidR="00F5459A" w:rsidRPr="00F5459A" w:rsidRDefault="00F5459A" w:rsidP="00F5459A">
            <w:pPr>
              <w:rPr>
                <w:lang w:val="en-US" w:eastAsia="en-AU"/>
              </w:rPr>
            </w:pPr>
            <w:r w:rsidRPr="00F5459A">
              <w:rPr>
                <w:lang w:val="en-US" w:eastAsia="en-AU"/>
              </w:rPr>
              <w:t>2023</w:t>
            </w:r>
          </w:p>
          <w:p w14:paraId="3A1E86BA" w14:textId="77777777" w:rsidR="00F5459A" w:rsidRPr="00F5459A" w:rsidRDefault="00F5459A" w:rsidP="00F5459A">
            <w:pPr>
              <w:rPr>
                <w:lang w:val="en-US" w:eastAsia="en-AU"/>
              </w:rPr>
            </w:pPr>
            <w:r w:rsidRPr="00F5459A">
              <w:rPr>
                <w:lang w:val="en-US" w:eastAsia="en-AU"/>
              </w:rPr>
              <w:t>2024</w:t>
            </w:r>
          </w:p>
          <w:p w14:paraId="40236430" w14:textId="77777777" w:rsidR="00F5459A" w:rsidRPr="00F5459A" w:rsidRDefault="00F5459A" w:rsidP="00F5459A">
            <w:pPr>
              <w:rPr>
                <w:lang w:val="en-US" w:eastAsia="en-AU"/>
              </w:rPr>
            </w:pPr>
            <w:r w:rsidRPr="00F5459A">
              <w:rPr>
                <w:lang w:val="en-US" w:eastAsia="en-AU"/>
              </w:rPr>
              <w:t>2025</w:t>
            </w:r>
          </w:p>
          <w:p w14:paraId="28C75E61" w14:textId="77777777" w:rsidR="00F5459A" w:rsidRPr="00F5459A" w:rsidRDefault="00F5459A" w:rsidP="00F5459A">
            <w:pPr>
              <w:rPr>
                <w:lang w:val="en-US" w:eastAsia="en-AU"/>
              </w:rPr>
            </w:pPr>
            <w:r w:rsidRPr="00F5459A">
              <w:rPr>
                <w:lang w:val="en-US" w:eastAsia="en-AU"/>
              </w:rPr>
              <w:t>2026</w:t>
            </w:r>
          </w:p>
          <w:p w14:paraId="037C7A05" w14:textId="77777777" w:rsidR="00F5459A" w:rsidRPr="00F5459A" w:rsidRDefault="00F5459A" w:rsidP="00F5459A">
            <w:pPr>
              <w:rPr>
                <w:lang w:val="en-US" w:eastAsia="en-AU"/>
              </w:rPr>
            </w:pPr>
            <w:r w:rsidRPr="00F5459A">
              <w:rPr>
                <w:lang w:val="en-US" w:eastAsia="en-AU"/>
              </w:rPr>
              <w:t>2027</w:t>
            </w:r>
          </w:p>
          <w:p w14:paraId="5961CFEE" w14:textId="77777777" w:rsidR="00F5459A" w:rsidRPr="00F5459A" w:rsidRDefault="00F5459A" w:rsidP="00F5459A">
            <w:pPr>
              <w:rPr>
                <w:lang w:val="en-US" w:eastAsia="en-AU"/>
              </w:rPr>
            </w:pPr>
            <w:r w:rsidRPr="00F5459A">
              <w:rPr>
                <w:lang w:val="en-US" w:eastAsia="en-AU"/>
              </w:rPr>
              <w:t>2028</w:t>
            </w:r>
          </w:p>
          <w:p w14:paraId="1872CD8E" w14:textId="77777777" w:rsidR="00F5459A" w:rsidRPr="00F5459A" w:rsidRDefault="00F5459A" w:rsidP="00F5459A">
            <w:pPr>
              <w:rPr>
                <w:lang w:val="en-US" w:eastAsia="en-AU"/>
              </w:rPr>
            </w:pPr>
            <w:r w:rsidRPr="00F5459A">
              <w:rPr>
                <w:lang w:val="en-US" w:eastAsia="en-AU"/>
              </w:rPr>
              <w:t>2029</w:t>
            </w:r>
          </w:p>
          <w:p w14:paraId="0744903D" w14:textId="77777777" w:rsidR="00F5459A" w:rsidRPr="00F5459A" w:rsidRDefault="00F5459A" w:rsidP="00F5459A">
            <w:pPr>
              <w:rPr>
                <w:lang w:val="en-US" w:eastAsia="en-AU"/>
              </w:rPr>
            </w:pPr>
            <w:r w:rsidRPr="00F5459A">
              <w:rPr>
                <w:lang w:val="en-US" w:eastAsia="en-AU"/>
              </w:rPr>
              <w:t>2030</w:t>
            </w:r>
          </w:p>
          <w:p w14:paraId="6C5E2ADB" w14:textId="77777777" w:rsidR="00F5459A" w:rsidRPr="00F5459A" w:rsidRDefault="00F5459A" w:rsidP="00F5459A">
            <w:pPr>
              <w:rPr>
                <w:lang w:val="en-US" w:eastAsia="en-AU"/>
              </w:rPr>
            </w:pPr>
            <w:r w:rsidRPr="00F5459A">
              <w:rPr>
                <w:lang w:val="en-US" w:eastAsia="en-AU"/>
              </w:rPr>
              <w:t>2031</w:t>
            </w:r>
          </w:p>
          <w:p w14:paraId="739F0453" w14:textId="77777777" w:rsidR="00F5459A" w:rsidRPr="00F5459A" w:rsidRDefault="00F5459A" w:rsidP="00F5459A">
            <w:pPr>
              <w:rPr>
                <w:lang w:val="en-US" w:eastAsia="en-AU"/>
              </w:rPr>
            </w:pPr>
            <w:r w:rsidRPr="00F5459A">
              <w:rPr>
                <w:lang w:val="en-US" w:eastAsia="en-AU"/>
              </w:rPr>
              <w:t>2032</w:t>
            </w:r>
          </w:p>
          <w:p w14:paraId="3675CC3B" w14:textId="77777777" w:rsidR="00F5459A" w:rsidRPr="00F5459A" w:rsidRDefault="00F5459A" w:rsidP="00F5459A">
            <w:pPr>
              <w:rPr>
                <w:lang w:val="en-US" w:eastAsia="en-AU"/>
              </w:rPr>
            </w:pPr>
            <w:r w:rsidRPr="00F5459A">
              <w:rPr>
                <w:lang w:val="en-US" w:eastAsia="en-AU"/>
              </w:rPr>
              <w:t>2033</w:t>
            </w:r>
          </w:p>
          <w:p w14:paraId="3F48FA3E" w14:textId="6028B272" w:rsidR="00F5459A" w:rsidRDefault="00F5459A" w:rsidP="00F5459A">
            <w:pPr>
              <w:rPr>
                <w:lang w:val="en-US" w:eastAsia="en-AU"/>
              </w:rPr>
            </w:pPr>
            <w:r w:rsidRPr="00F5459A">
              <w:rPr>
                <w:lang w:val="en-US" w:eastAsia="en-AU"/>
              </w:rPr>
              <w:t>2034 Onwards</w:t>
            </w:r>
          </w:p>
        </w:tc>
        <w:tc>
          <w:tcPr>
            <w:tcW w:w="1503" w:type="dxa"/>
            <w:tcBorders>
              <w:top w:val="single" w:sz="4" w:space="0" w:color="9FBCD0"/>
              <w:left w:val="single" w:sz="4" w:space="0" w:color="9FBCD0"/>
              <w:bottom w:val="single" w:sz="4" w:space="0" w:color="9FBCD0"/>
              <w:right w:val="single" w:sz="4" w:space="0" w:color="9FBCD0"/>
            </w:tcBorders>
          </w:tcPr>
          <w:p w14:paraId="3AAD1632" w14:textId="77777777" w:rsidR="00F5459A" w:rsidRPr="00F5459A" w:rsidRDefault="00F5459A" w:rsidP="00F5459A">
            <w:pPr>
              <w:rPr>
                <w:lang w:val="en-US" w:eastAsia="en-AU"/>
              </w:rPr>
            </w:pPr>
            <w:r w:rsidRPr="00F5459A">
              <w:rPr>
                <w:lang w:val="en-US" w:eastAsia="en-AU"/>
              </w:rPr>
              <w:t>1.75%</w:t>
            </w:r>
          </w:p>
          <w:p w14:paraId="1D393EA1" w14:textId="77777777" w:rsidR="00F5459A" w:rsidRPr="00F5459A" w:rsidRDefault="00F5459A" w:rsidP="00F5459A">
            <w:pPr>
              <w:rPr>
                <w:lang w:val="en-US" w:eastAsia="en-AU"/>
              </w:rPr>
            </w:pPr>
            <w:r w:rsidRPr="00F5459A">
              <w:rPr>
                <w:lang w:val="en-US" w:eastAsia="en-AU"/>
              </w:rPr>
              <w:t>2.75%</w:t>
            </w:r>
          </w:p>
          <w:p w14:paraId="38245E63" w14:textId="77777777" w:rsidR="00F5459A" w:rsidRPr="00F5459A" w:rsidRDefault="00F5459A" w:rsidP="00F5459A">
            <w:pPr>
              <w:rPr>
                <w:lang w:val="en-US" w:eastAsia="en-AU"/>
              </w:rPr>
            </w:pPr>
            <w:r w:rsidRPr="00F5459A">
              <w:rPr>
                <w:lang w:val="en-US" w:eastAsia="en-AU"/>
              </w:rPr>
              <w:t>3.00%</w:t>
            </w:r>
          </w:p>
          <w:p w14:paraId="6645C2C5" w14:textId="77777777" w:rsidR="00F5459A" w:rsidRPr="00F5459A" w:rsidRDefault="00F5459A" w:rsidP="00F5459A">
            <w:pPr>
              <w:rPr>
                <w:lang w:val="en-US" w:eastAsia="en-AU"/>
              </w:rPr>
            </w:pPr>
            <w:r w:rsidRPr="00F5459A">
              <w:rPr>
                <w:lang w:val="en-US" w:eastAsia="en-AU"/>
              </w:rPr>
              <w:t>3.25%</w:t>
            </w:r>
          </w:p>
          <w:p w14:paraId="1D4DF25C" w14:textId="77777777" w:rsidR="00F5459A" w:rsidRPr="00F5459A" w:rsidRDefault="00F5459A" w:rsidP="00F5459A">
            <w:pPr>
              <w:rPr>
                <w:lang w:val="en-US" w:eastAsia="en-AU"/>
              </w:rPr>
            </w:pPr>
            <w:r w:rsidRPr="00F5459A">
              <w:rPr>
                <w:lang w:val="en-US" w:eastAsia="en-AU"/>
              </w:rPr>
              <w:t>3.12%</w:t>
            </w:r>
          </w:p>
          <w:p w14:paraId="52577163" w14:textId="77777777" w:rsidR="00F5459A" w:rsidRPr="00F5459A" w:rsidRDefault="00F5459A" w:rsidP="00F5459A">
            <w:pPr>
              <w:rPr>
                <w:lang w:val="en-US" w:eastAsia="en-AU"/>
              </w:rPr>
            </w:pPr>
            <w:r w:rsidRPr="00F5459A">
              <w:rPr>
                <w:lang w:val="en-US" w:eastAsia="en-AU"/>
              </w:rPr>
              <w:t>3.00%</w:t>
            </w:r>
          </w:p>
          <w:p w14:paraId="7FA5C51E" w14:textId="77777777" w:rsidR="00F5459A" w:rsidRPr="00F5459A" w:rsidRDefault="00F5459A" w:rsidP="00F5459A">
            <w:pPr>
              <w:rPr>
                <w:lang w:val="en-US" w:eastAsia="en-AU"/>
              </w:rPr>
            </w:pPr>
            <w:r w:rsidRPr="00F5459A">
              <w:rPr>
                <w:lang w:val="en-US" w:eastAsia="en-AU"/>
              </w:rPr>
              <w:t>2.87%</w:t>
            </w:r>
          </w:p>
          <w:p w14:paraId="15880E28" w14:textId="77777777" w:rsidR="00F5459A" w:rsidRPr="00F5459A" w:rsidRDefault="00F5459A" w:rsidP="00F5459A">
            <w:pPr>
              <w:rPr>
                <w:lang w:val="en-US" w:eastAsia="en-AU"/>
              </w:rPr>
            </w:pPr>
            <w:r w:rsidRPr="00F5459A">
              <w:rPr>
                <w:lang w:val="en-US" w:eastAsia="en-AU"/>
              </w:rPr>
              <w:t>2.75%</w:t>
            </w:r>
          </w:p>
          <w:p w14:paraId="1F93CA8F" w14:textId="77777777" w:rsidR="00F5459A" w:rsidRPr="00F5459A" w:rsidRDefault="00F5459A" w:rsidP="00F5459A">
            <w:pPr>
              <w:rPr>
                <w:lang w:val="en-US" w:eastAsia="en-AU"/>
              </w:rPr>
            </w:pPr>
            <w:r w:rsidRPr="00F5459A">
              <w:rPr>
                <w:lang w:val="en-US" w:eastAsia="en-AU"/>
              </w:rPr>
              <w:t>2.62%</w:t>
            </w:r>
          </w:p>
          <w:p w14:paraId="03CE8201" w14:textId="77777777" w:rsidR="00F5459A" w:rsidRPr="00F5459A" w:rsidRDefault="00F5459A" w:rsidP="00F5459A">
            <w:pPr>
              <w:rPr>
                <w:lang w:val="en-US" w:eastAsia="en-AU"/>
              </w:rPr>
            </w:pPr>
            <w:r w:rsidRPr="00F5459A">
              <w:rPr>
                <w:lang w:val="en-US" w:eastAsia="en-AU"/>
              </w:rPr>
              <w:t>2.50%</w:t>
            </w:r>
          </w:p>
          <w:p w14:paraId="245E20BB" w14:textId="77777777" w:rsidR="00F5459A" w:rsidRPr="00F5459A" w:rsidRDefault="00F5459A" w:rsidP="00F5459A">
            <w:pPr>
              <w:rPr>
                <w:lang w:val="en-US" w:eastAsia="en-AU"/>
              </w:rPr>
            </w:pPr>
            <w:r w:rsidRPr="00F5459A">
              <w:rPr>
                <w:lang w:val="en-US" w:eastAsia="en-AU"/>
              </w:rPr>
              <w:t>2.37%</w:t>
            </w:r>
          </w:p>
          <w:p w14:paraId="4A1A5A88" w14:textId="77777777" w:rsidR="00F5459A" w:rsidRPr="00F5459A" w:rsidRDefault="00F5459A" w:rsidP="00F5459A">
            <w:pPr>
              <w:rPr>
                <w:lang w:val="en-US" w:eastAsia="en-AU"/>
              </w:rPr>
            </w:pPr>
            <w:r w:rsidRPr="00F5459A">
              <w:rPr>
                <w:lang w:val="en-US" w:eastAsia="en-AU"/>
              </w:rPr>
              <w:t>2.25%</w:t>
            </w:r>
          </w:p>
          <w:p w14:paraId="701000E0" w14:textId="77777777" w:rsidR="00F5459A" w:rsidRPr="00F5459A" w:rsidRDefault="00F5459A" w:rsidP="00F5459A">
            <w:pPr>
              <w:rPr>
                <w:lang w:val="en-US" w:eastAsia="en-AU"/>
              </w:rPr>
            </w:pPr>
            <w:r w:rsidRPr="00F5459A">
              <w:rPr>
                <w:lang w:val="en-US" w:eastAsia="en-AU"/>
              </w:rPr>
              <w:t>2.12%</w:t>
            </w:r>
          </w:p>
          <w:p w14:paraId="30FE79AD" w14:textId="77777777" w:rsidR="00F5459A" w:rsidRPr="00F5459A" w:rsidRDefault="00F5459A" w:rsidP="00F5459A">
            <w:pPr>
              <w:rPr>
                <w:lang w:val="en-US" w:eastAsia="en-AU"/>
              </w:rPr>
            </w:pPr>
            <w:r w:rsidRPr="00F5459A">
              <w:rPr>
                <w:lang w:val="en-US" w:eastAsia="en-AU"/>
              </w:rPr>
              <w:t>1.99%</w:t>
            </w:r>
          </w:p>
          <w:p w14:paraId="2D8EB5B2" w14:textId="77777777" w:rsidR="00F5459A" w:rsidRPr="00F5459A" w:rsidRDefault="00F5459A" w:rsidP="00F5459A">
            <w:pPr>
              <w:rPr>
                <w:lang w:val="en-US" w:eastAsia="en-AU"/>
              </w:rPr>
            </w:pPr>
            <w:r w:rsidRPr="00F5459A">
              <w:rPr>
                <w:lang w:val="en-US" w:eastAsia="en-AU"/>
              </w:rPr>
              <w:t>1.87%</w:t>
            </w:r>
          </w:p>
          <w:p w14:paraId="6DB50113" w14:textId="56DD2AF4" w:rsidR="00F5459A" w:rsidRDefault="00F5459A" w:rsidP="00F5459A">
            <w:pPr>
              <w:rPr>
                <w:lang w:val="en-US" w:eastAsia="en-AU"/>
              </w:rPr>
            </w:pPr>
            <w:r w:rsidRPr="00F5459A">
              <w:rPr>
                <w:lang w:val="en-US" w:eastAsia="en-AU"/>
              </w:rPr>
              <w:t>1.74%</w:t>
            </w:r>
          </w:p>
        </w:tc>
        <w:tc>
          <w:tcPr>
            <w:tcW w:w="1503" w:type="dxa"/>
            <w:tcBorders>
              <w:top w:val="single" w:sz="4" w:space="0" w:color="9FBCD0"/>
              <w:left w:val="single" w:sz="4" w:space="0" w:color="9FBCD0"/>
              <w:bottom w:val="single" w:sz="4" w:space="0" w:color="9FBCD0"/>
              <w:right w:val="single" w:sz="4" w:space="0" w:color="9FBCD0"/>
            </w:tcBorders>
          </w:tcPr>
          <w:p w14:paraId="7C110EEF" w14:textId="77777777" w:rsidR="00F5459A" w:rsidRPr="00F5459A" w:rsidRDefault="00F5459A" w:rsidP="00F5459A">
            <w:pPr>
              <w:rPr>
                <w:lang w:val="en-US" w:eastAsia="en-AU"/>
              </w:rPr>
            </w:pPr>
            <w:r w:rsidRPr="00F5459A">
              <w:rPr>
                <w:lang w:val="en-US" w:eastAsia="en-AU"/>
              </w:rPr>
              <w:t>2018</w:t>
            </w:r>
          </w:p>
          <w:p w14:paraId="3576CF46" w14:textId="77777777" w:rsidR="00F5459A" w:rsidRPr="00F5459A" w:rsidRDefault="00F5459A" w:rsidP="00F5459A">
            <w:pPr>
              <w:rPr>
                <w:lang w:val="en-US" w:eastAsia="en-AU"/>
              </w:rPr>
            </w:pPr>
            <w:r w:rsidRPr="00F5459A">
              <w:rPr>
                <w:lang w:val="en-US" w:eastAsia="en-AU"/>
              </w:rPr>
              <w:t>2019</w:t>
            </w:r>
          </w:p>
          <w:p w14:paraId="29FA925D" w14:textId="77777777" w:rsidR="00F5459A" w:rsidRPr="00F5459A" w:rsidRDefault="00F5459A" w:rsidP="00F5459A">
            <w:pPr>
              <w:rPr>
                <w:lang w:val="en-US" w:eastAsia="en-AU"/>
              </w:rPr>
            </w:pPr>
            <w:r w:rsidRPr="00F5459A">
              <w:rPr>
                <w:lang w:val="en-US" w:eastAsia="en-AU"/>
              </w:rPr>
              <w:t>2020</w:t>
            </w:r>
          </w:p>
          <w:p w14:paraId="0CCDBCC6" w14:textId="77777777" w:rsidR="00F5459A" w:rsidRPr="00F5459A" w:rsidRDefault="00F5459A" w:rsidP="00F5459A">
            <w:pPr>
              <w:rPr>
                <w:lang w:val="en-US" w:eastAsia="en-AU"/>
              </w:rPr>
            </w:pPr>
            <w:r w:rsidRPr="00F5459A">
              <w:rPr>
                <w:lang w:val="en-US" w:eastAsia="en-AU"/>
              </w:rPr>
              <w:t>2021</w:t>
            </w:r>
          </w:p>
          <w:p w14:paraId="4BCFBA3E" w14:textId="77777777" w:rsidR="00F5459A" w:rsidRPr="00F5459A" w:rsidRDefault="00F5459A" w:rsidP="00F5459A">
            <w:pPr>
              <w:rPr>
                <w:lang w:val="en-US" w:eastAsia="en-AU"/>
              </w:rPr>
            </w:pPr>
            <w:r w:rsidRPr="00F5459A">
              <w:rPr>
                <w:lang w:val="en-US" w:eastAsia="en-AU"/>
              </w:rPr>
              <w:t>2022</w:t>
            </w:r>
          </w:p>
          <w:p w14:paraId="7B28ACD8" w14:textId="77777777" w:rsidR="00F5459A" w:rsidRPr="00F5459A" w:rsidRDefault="00F5459A" w:rsidP="00F5459A">
            <w:pPr>
              <w:rPr>
                <w:lang w:val="en-US" w:eastAsia="en-AU"/>
              </w:rPr>
            </w:pPr>
            <w:r w:rsidRPr="00F5459A">
              <w:rPr>
                <w:lang w:val="en-US" w:eastAsia="en-AU"/>
              </w:rPr>
              <w:t>2023</w:t>
            </w:r>
          </w:p>
          <w:p w14:paraId="627BCFE1" w14:textId="77777777" w:rsidR="00F5459A" w:rsidRPr="00F5459A" w:rsidRDefault="00F5459A" w:rsidP="00F5459A">
            <w:pPr>
              <w:rPr>
                <w:lang w:val="en-US" w:eastAsia="en-AU"/>
              </w:rPr>
            </w:pPr>
            <w:r w:rsidRPr="00F5459A">
              <w:rPr>
                <w:lang w:val="en-US" w:eastAsia="en-AU"/>
              </w:rPr>
              <w:t>2024</w:t>
            </w:r>
          </w:p>
          <w:p w14:paraId="42E2DCDB" w14:textId="77777777" w:rsidR="00F5459A" w:rsidRPr="00F5459A" w:rsidRDefault="00F5459A" w:rsidP="00F5459A">
            <w:pPr>
              <w:rPr>
                <w:lang w:val="en-US" w:eastAsia="en-AU"/>
              </w:rPr>
            </w:pPr>
            <w:r w:rsidRPr="00F5459A">
              <w:rPr>
                <w:lang w:val="en-US" w:eastAsia="en-AU"/>
              </w:rPr>
              <w:t>2025</w:t>
            </w:r>
          </w:p>
          <w:p w14:paraId="143F898A" w14:textId="77777777" w:rsidR="00F5459A" w:rsidRPr="00F5459A" w:rsidRDefault="00F5459A" w:rsidP="00F5459A">
            <w:pPr>
              <w:rPr>
                <w:lang w:val="en-US" w:eastAsia="en-AU"/>
              </w:rPr>
            </w:pPr>
            <w:r w:rsidRPr="00F5459A">
              <w:rPr>
                <w:lang w:val="en-US" w:eastAsia="en-AU"/>
              </w:rPr>
              <w:t>2026</w:t>
            </w:r>
          </w:p>
          <w:p w14:paraId="648C2DA6" w14:textId="77777777" w:rsidR="00F5459A" w:rsidRPr="00F5459A" w:rsidRDefault="00F5459A" w:rsidP="00F5459A">
            <w:pPr>
              <w:rPr>
                <w:lang w:val="en-US" w:eastAsia="en-AU"/>
              </w:rPr>
            </w:pPr>
            <w:r w:rsidRPr="00F5459A">
              <w:rPr>
                <w:lang w:val="en-US" w:eastAsia="en-AU"/>
              </w:rPr>
              <w:t>2027</w:t>
            </w:r>
          </w:p>
          <w:p w14:paraId="70C0342F" w14:textId="77777777" w:rsidR="00F5459A" w:rsidRPr="00F5459A" w:rsidRDefault="00F5459A" w:rsidP="00F5459A">
            <w:pPr>
              <w:rPr>
                <w:lang w:val="en-US" w:eastAsia="en-AU"/>
              </w:rPr>
            </w:pPr>
            <w:r w:rsidRPr="00F5459A">
              <w:rPr>
                <w:lang w:val="en-US" w:eastAsia="en-AU"/>
              </w:rPr>
              <w:t>2028</w:t>
            </w:r>
          </w:p>
          <w:p w14:paraId="189EEB15" w14:textId="77777777" w:rsidR="00F5459A" w:rsidRPr="00F5459A" w:rsidRDefault="00F5459A" w:rsidP="00F5459A">
            <w:pPr>
              <w:rPr>
                <w:lang w:val="en-US" w:eastAsia="en-AU"/>
              </w:rPr>
            </w:pPr>
            <w:r w:rsidRPr="00F5459A">
              <w:rPr>
                <w:lang w:val="en-US" w:eastAsia="en-AU"/>
              </w:rPr>
              <w:t>2029</w:t>
            </w:r>
          </w:p>
          <w:p w14:paraId="23AD4FC9" w14:textId="77777777" w:rsidR="00F5459A" w:rsidRPr="00F5459A" w:rsidRDefault="00F5459A" w:rsidP="00F5459A">
            <w:pPr>
              <w:rPr>
                <w:lang w:val="en-US" w:eastAsia="en-AU"/>
              </w:rPr>
            </w:pPr>
            <w:r w:rsidRPr="00F5459A">
              <w:rPr>
                <w:lang w:val="en-US" w:eastAsia="en-AU"/>
              </w:rPr>
              <w:t>2030</w:t>
            </w:r>
          </w:p>
          <w:p w14:paraId="4ADA8C9D" w14:textId="77777777" w:rsidR="00F5459A" w:rsidRPr="00F5459A" w:rsidRDefault="00F5459A" w:rsidP="00F5459A">
            <w:pPr>
              <w:rPr>
                <w:lang w:val="en-US" w:eastAsia="en-AU"/>
              </w:rPr>
            </w:pPr>
            <w:r w:rsidRPr="00F5459A">
              <w:rPr>
                <w:lang w:val="en-US" w:eastAsia="en-AU"/>
              </w:rPr>
              <w:t>2031</w:t>
            </w:r>
          </w:p>
          <w:p w14:paraId="3D513E86" w14:textId="77777777" w:rsidR="00F5459A" w:rsidRPr="00F5459A" w:rsidRDefault="00F5459A" w:rsidP="00F5459A">
            <w:pPr>
              <w:rPr>
                <w:lang w:val="en-US" w:eastAsia="en-AU"/>
              </w:rPr>
            </w:pPr>
            <w:r w:rsidRPr="00F5459A">
              <w:rPr>
                <w:lang w:val="en-US" w:eastAsia="en-AU"/>
              </w:rPr>
              <w:t>2032</w:t>
            </w:r>
          </w:p>
          <w:p w14:paraId="53F72CF6" w14:textId="70D86C33" w:rsidR="00F5459A" w:rsidRDefault="00F5459A" w:rsidP="00F5459A">
            <w:pPr>
              <w:rPr>
                <w:lang w:val="en-US" w:eastAsia="en-AU"/>
              </w:rPr>
            </w:pPr>
            <w:r w:rsidRPr="00F5459A">
              <w:rPr>
                <w:lang w:val="en-US" w:eastAsia="en-AU"/>
              </w:rPr>
              <w:t>2033 Onwards</w:t>
            </w:r>
          </w:p>
        </w:tc>
        <w:tc>
          <w:tcPr>
            <w:tcW w:w="1503" w:type="dxa"/>
            <w:tcBorders>
              <w:top w:val="single" w:sz="4" w:space="0" w:color="9FBCD0"/>
              <w:left w:val="single" w:sz="4" w:space="0" w:color="9FBCD0"/>
              <w:bottom w:val="single" w:sz="4" w:space="0" w:color="9FBCD0"/>
              <w:right w:val="single" w:sz="4" w:space="0" w:color="9FBCD0"/>
            </w:tcBorders>
          </w:tcPr>
          <w:p w14:paraId="7A6FCE73" w14:textId="77777777" w:rsidR="00F5459A" w:rsidRPr="00F5459A" w:rsidRDefault="00F5459A" w:rsidP="00F5459A">
            <w:pPr>
              <w:rPr>
                <w:lang w:val="en-US" w:eastAsia="en-AU"/>
              </w:rPr>
            </w:pPr>
            <w:r w:rsidRPr="00F5459A">
              <w:rPr>
                <w:lang w:val="en-US" w:eastAsia="en-AU"/>
              </w:rPr>
              <w:t>2.00%</w:t>
            </w:r>
          </w:p>
          <w:p w14:paraId="2E5001F2" w14:textId="77777777" w:rsidR="00F5459A" w:rsidRPr="00F5459A" w:rsidRDefault="00F5459A" w:rsidP="00F5459A">
            <w:pPr>
              <w:rPr>
                <w:lang w:val="en-US" w:eastAsia="en-AU"/>
              </w:rPr>
            </w:pPr>
            <w:r w:rsidRPr="00F5459A">
              <w:rPr>
                <w:lang w:val="en-US" w:eastAsia="en-AU"/>
              </w:rPr>
              <w:t>2.75%</w:t>
            </w:r>
          </w:p>
          <w:p w14:paraId="4E67779B" w14:textId="77777777" w:rsidR="00F5459A" w:rsidRPr="00F5459A" w:rsidRDefault="00F5459A" w:rsidP="00F5459A">
            <w:pPr>
              <w:rPr>
                <w:lang w:val="en-US" w:eastAsia="en-AU"/>
              </w:rPr>
            </w:pPr>
            <w:r w:rsidRPr="00F5459A">
              <w:rPr>
                <w:lang w:val="en-US" w:eastAsia="en-AU"/>
              </w:rPr>
              <w:t>3.25%</w:t>
            </w:r>
          </w:p>
          <w:p w14:paraId="72645537" w14:textId="77777777" w:rsidR="00F5459A" w:rsidRPr="00F5459A" w:rsidRDefault="00F5459A" w:rsidP="00F5459A">
            <w:pPr>
              <w:rPr>
                <w:lang w:val="en-US" w:eastAsia="en-AU"/>
              </w:rPr>
            </w:pPr>
            <w:r w:rsidRPr="00F5459A">
              <w:rPr>
                <w:lang w:val="en-US" w:eastAsia="en-AU"/>
              </w:rPr>
              <w:t>3.20%</w:t>
            </w:r>
          </w:p>
          <w:p w14:paraId="0E260C01" w14:textId="77777777" w:rsidR="00F5459A" w:rsidRPr="00F5459A" w:rsidRDefault="00F5459A" w:rsidP="00F5459A">
            <w:pPr>
              <w:rPr>
                <w:lang w:val="en-US" w:eastAsia="en-AU"/>
              </w:rPr>
            </w:pPr>
            <w:r w:rsidRPr="00F5459A">
              <w:rPr>
                <w:lang w:val="en-US" w:eastAsia="en-AU"/>
              </w:rPr>
              <w:t>3.14%</w:t>
            </w:r>
          </w:p>
          <w:p w14:paraId="64A740ED" w14:textId="77777777" w:rsidR="00F5459A" w:rsidRPr="00F5459A" w:rsidRDefault="00F5459A" w:rsidP="00F5459A">
            <w:pPr>
              <w:rPr>
                <w:lang w:val="en-US" w:eastAsia="en-AU"/>
              </w:rPr>
            </w:pPr>
            <w:r w:rsidRPr="00F5459A">
              <w:rPr>
                <w:lang w:val="en-US" w:eastAsia="en-AU"/>
              </w:rPr>
              <w:t>3.09%</w:t>
            </w:r>
          </w:p>
          <w:p w14:paraId="7F72B7A2" w14:textId="77777777" w:rsidR="00F5459A" w:rsidRPr="00F5459A" w:rsidRDefault="00F5459A" w:rsidP="00F5459A">
            <w:pPr>
              <w:rPr>
                <w:lang w:val="en-US" w:eastAsia="en-AU"/>
              </w:rPr>
            </w:pPr>
            <w:r w:rsidRPr="00F5459A">
              <w:rPr>
                <w:lang w:val="en-US" w:eastAsia="en-AU"/>
              </w:rPr>
              <w:t>3.03%</w:t>
            </w:r>
          </w:p>
          <w:p w14:paraId="6EFBC57F" w14:textId="77777777" w:rsidR="00F5459A" w:rsidRPr="00F5459A" w:rsidRDefault="00F5459A" w:rsidP="00F5459A">
            <w:pPr>
              <w:rPr>
                <w:lang w:val="en-US" w:eastAsia="en-AU"/>
              </w:rPr>
            </w:pPr>
            <w:r w:rsidRPr="00F5459A">
              <w:rPr>
                <w:lang w:val="en-US" w:eastAsia="en-AU"/>
              </w:rPr>
              <w:t>2.98%</w:t>
            </w:r>
          </w:p>
          <w:p w14:paraId="4BD49EE2" w14:textId="77777777" w:rsidR="00F5459A" w:rsidRPr="00F5459A" w:rsidRDefault="00F5459A" w:rsidP="00F5459A">
            <w:pPr>
              <w:rPr>
                <w:lang w:val="en-US" w:eastAsia="en-AU"/>
              </w:rPr>
            </w:pPr>
            <w:r w:rsidRPr="00F5459A">
              <w:rPr>
                <w:lang w:val="en-US" w:eastAsia="en-AU"/>
              </w:rPr>
              <w:t>2.92%</w:t>
            </w:r>
          </w:p>
          <w:p w14:paraId="36E026C8" w14:textId="77777777" w:rsidR="00F5459A" w:rsidRPr="00F5459A" w:rsidRDefault="00F5459A" w:rsidP="00F5459A">
            <w:pPr>
              <w:rPr>
                <w:lang w:val="en-US" w:eastAsia="en-AU"/>
              </w:rPr>
            </w:pPr>
            <w:r w:rsidRPr="00F5459A">
              <w:rPr>
                <w:lang w:val="en-US" w:eastAsia="en-AU"/>
              </w:rPr>
              <w:t>2.87%</w:t>
            </w:r>
          </w:p>
          <w:p w14:paraId="503CA8F6" w14:textId="77777777" w:rsidR="00F5459A" w:rsidRPr="00F5459A" w:rsidRDefault="00F5459A" w:rsidP="00F5459A">
            <w:pPr>
              <w:rPr>
                <w:lang w:val="en-US" w:eastAsia="en-AU"/>
              </w:rPr>
            </w:pPr>
            <w:r w:rsidRPr="00F5459A">
              <w:rPr>
                <w:lang w:val="en-US" w:eastAsia="en-AU"/>
              </w:rPr>
              <w:t>2.82%</w:t>
            </w:r>
          </w:p>
          <w:p w14:paraId="422ACB32" w14:textId="77777777" w:rsidR="00F5459A" w:rsidRPr="00F5459A" w:rsidRDefault="00F5459A" w:rsidP="00F5459A">
            <w:pPr>
              <w:rPr>
                <w:lang w:val="en-US" w:eastAsia="en-AU"/>
              </w:rPr>
            </w:pPr>
            <w:r w:rsidRPr="00F5459A">
              <w:rPr>
                <w:lang w:val="en-US" w:eastAsia="en-AU"/>
              </w:rPr>
              <w:t>2.76%</w:t>
            </w:r>
          </w:p>
          <w:p w14:paraId="7EC2113B" w14:textId="77777777" w:rsidR="00F5459A" w:rsidRPr="00F5459A" w:rsidRDefault="00F5459A" w:rsidP="00F5459A">
            <w:pPr>
              <w:rPr>
                <w:lang w:val="en-US" w:eastAsia="en-AU"/>
              </w:rPr>
            </w:pPr>
            <w:r w:rsidRPr="00F5459A">
              <w:rPr>
                <w:lang w:val="en-US" w:eastAsia="en-AU"/>
              </w:rPr>
              <w:t>2.71%</w:t>
            </w:r>
          </w:p>
          <w:p w14:paraId="761BFCFE" w14:textId="77777777" w:rsidR="00F5459A" w:rsidRPr="00F5459A" w:rsidRDefault="00F5459A" w:rsidP="00F5459A">
            <w:pPr>
              <w:rPr>
                <w:lang w:val="en-US" w:eastAsia="en-AU"/>
              </w:rPr>
            </w:pPr>
            <w:r w:rsidRPr="00F5459A">
              <w:rPr>
                <w:lang w:val="en-US" w:eastAsia="en-AU"/>
              </w:rPr>
              <w:t>2.65%</w:t>
            </w:r>
          </w:p>
          <w:p w14:paraId="2AC58028" w14:textId="77777777" w:rsidR="00F5459A" w:rsidRPr="00F5459A" w:rsidRDefault="00F5459A" w:rsidP="00F5459A">
            <w:pPr>
              <w:rPr>
                <w:lang w:val="en-US" w:eastAsia="en-AU"/>
              </w:rPr>
            </w:pPr>
            <w:r w:rsidRPr="00F5459A">
              <w:rPr>
                <w:lang w:val="en-US" w:eastAsia="en-AU"/>
              </w:rPr>
              <w:t>2.60%</w:t>
            </w:r>
          </w:p>
          <w:p w14:paraId="24CC5129" w14:textId="75D236F3" w:rsidR="00F5459A" w:rsidRDefault="00F5459A" w:rsidP="00F5459A">
            <w:pPr>
              <w:rPr>
                <w:lang w:val="en-US" w:eastAsia="en-AU"/>
              </w:rPr>
            </w:pPr>
            <w:r w:rsidRPr="00F5459A">
              <w:rPr>
                <w:lang w:val="en-US" w:eastAsia="en-AU"/>
              </w:rPr>
              <w:t>2.54%</w:t>
            </w:r>
          </w:p>
        </w:tc>
      </w:tr>
      <w:tr w:rsidR="00F5459A" w14:paraId="355F5CFF" w14:textId="77777777" w:rsidTr="00F5459A">
        <w:tc>
          <w:tcPr>
            <w:tcW w:w="3005" w:type="dxa"/>
            <w:tcBorders>
              <w:top w:val="single" w:sz="4" w:space="0" w:color="9FBCD0"/>
              <w:left w:val="single" w:sz="4" w:space="0" w:color="9FBCD0"/>
              <w:bottom w:val="single" w:sz="4" w:space="0" w:color="9FBCD0"/>
              <w:right w:val="single" w:sz="4" w:space="0" w:color="9FBCD0"/>
            </w:tcBorders>
          </w:tcPr>
          <w:p w14:paraId="42FEDA78" w14:textId="5410C9FA" w:rsidR="00F5459A" w:rsidRPr="00F5459A" w:rsidRDefault="00F5459A" w:rsidP="00DC7598">
            <w:pPr>
              <w:rPr>
                <w:b/>
                <w:lang w:val="en-US" w:eastAsia="en-AU"/>
              </w:rPr>
            </w:pPr>
            <w:r>
              <w:rPr>
                <w:b/>
                <w:lang w:val="en-US" w:eastAsia="en-AU"/>
              </w:rPr>
              <w:t>Discount Rate</w:t>
            </w:r>
          </w:p>
        </w:tc>
        <w:tc>
          <w:tcPr>
            <w:tcW w:w="1502" w:type="dxa"/>
            <w:tcBorders>
              <w:top w:val="single" w:sz="4" w:space="0" w:color="9FBCD0"/>
              <w:left w:val="single" w:sz="4" w:space="0" w:color="9FBCD0"/>
              <w:bottom w:val="single" w:sz="4" w:space="0" w:color="9FBCD0"/>
              <w:right w:val="single" w:sz="4" w:space="0" w:color="9FBCD0"/>
            </w:tcBorders>
          </w:tcPr>
          <w:p w14:paraId="4225D329" w14:textId="77777777" w:rsidR="00F5459A" w:rsidRPr="00F5459A" w:rsidRDefault="00F5459A" w:rsidP="00F5459A">
            <w:pPr>
              <w:rPr>
                <w:lang w:val="en-US" w:eastAsia="en-AU"/>
              </w:rPr>
            </w:pPr>
            <w:r w:rsidRPr="00F5459A">
              <w:rPr>
                <w:lang w:val="en-US" w:eastAsia="en-AU"/>
              </w:rPr>
              <w:t>2019</w:t>
            </w:r>
          </w:p>
          <w:p w14:paraId="4022995F" w14:textId="77777777" w:rsidR="00F5459A" w:rsidRPr="00F5459A" w:rsidRDefault="00F5459A" w:rsidP="00F5459A">
            <w:pPr>
              <w:rPr>
                <w:lang w:val="en-US" w:eastAsia="en-AU"/>
              </w:rPr>
            </w:pPr>
            <w:r w:rsidRPr="00F5459A">
              <w:rPr>
                <w:lang w:val="en-US" w:eastAsia="en-AU"/>
              </w:rPr>
              <w:t>2020</w:t>
            </w:r>
          </w:p>
          <w:p w14:paraId="0A62B1F3" w14:textId="77777777" w:rsidR="00F5459A" w:rsidRPr="00F5459A" w:rsidRDefault="00F5459A" w:rsidP="00F5459A">
            <w:pPr>
              <w:rPr>
                <w:lang w:val="en-US" w:eastAsia="en-AU"/>
              </w:rPr>
            </w:pPr>
            <w:r w:rsidRPr="00F5459A">
              <w:rPr>
                <w:lang w:val="en-US" w:eastAsia="en-AU"/>
              </w:rPr>
              <w:t>2021</w:t>
            </w:r>
          </w:p>
          <w:p w14:paraId="075161FE" w14:textId="77777777" w:rsidR="00F5459A" w:rsidRPr="00F5459A" w:rsidRDefault="00F5459A" w:rsidP="00F5459A">
            <w:pPr>
              <w:rPr>
                <w:lang w:val="en-US" w:eastAsia="en-AU"/>
              </w:rPr>
            </w:pPr>
            <w:r w:rsidRPr="00F5459A">
              <w:rPr>
                <w:lang w:val="en-US" w:eastAsia="en-AU"/>
              </w:rPr>
              <w:t>2022</w:t>
            </w:r>
          </w:p>
          <w:p w14:paraId="5828EEEA" w14:textId="77777777" w:rsidR="00F5459A" w:rsidRPr="00F5459A" w:rsidRDefault="00F5459A" w:rsidP="00F5459A">
            <w:pPr>
              <w:rPr>
                <w:lang w:val="en-US" w:eastAsia="en-AU"/>
              </w:rPr>
            </w:pPr>
            <w:r w:rsidRPr="00F5459A">
              <w:rPr>
                <w:lang w:val="en-US" w:eastAsia="en-AU"/>
              </w:rPr>
              <w:t>2023</w:t>
            </w:r>
          </w:p>
          <w:p w14:paraId="35627634" w14:textId="77777777" w:rsidR="00F5459A" w:rsidRPr="00F5459A" w:rsidRDefault="00F5459A" w:rsidP="00F5459A">
            <w:pPr>
              <w:rPr>
                <w:lang w:val="en-US" w:eastAsia="en-AU"/>
              </w:rPr>
            </w:pPr>
            <w:r w:rsidRPr="00F5459A">
              <w:rPr>
                <w:lang w:val="en-US" w:eastAsia="en-AU"/>
              </w:rPr>
              <w:t>2024</w:t>
            </w:r>
          </w:p>
          <w:p w14:paraId="1D5D71A6" w14:textId="77777777" w:rsidR="00F5459A" w:rsidRPr="00F5459A" w:rsidRDefault="00F5459A" w:rsidP="00F5459A">
            <w:pPr>
              <w:rPr>
                <w:lang w:val="en-US" w:eastAsia="en-AU"/>
              </w:rPr>
            </w:pPr>
            <w:r w:rsidRPr="00F5459A">
              <w:rPr>
                <w:lang w:val="en-US" w:eastAsia="en-AU"/>
              </w:rPr>
              <w:t>2025</w:t>
            </w:r>
          </w:p>
          <w:p w14:paraId="24DDAF18" w14:textId="77777777" w:rsidR="00F5459A" w:rsidRPr="00F5459A" w:rsidRDefault="00F5459A" w:rsidP="00F5459A">
            <w:pPr>
              <w:rPr>
                <w:lang w:val="en-US" w:eastAsia="en-AU"/>
              </w:rPr>
            </w:pPr>
            <w:r w:rsidRPr="00F5459A">
              <w:rPr>
                <w:lang w:val="en-US" w:eastAsia="en-AU"/>
              </w:rPr>
              <w:t>2026</w:t>
            </w:r>
          </w:p>
          <w:p w14:paraId="6792F1A0" w14:textId="77777777" w:rsidR="00F5459A" w:rsidRPr="00F5459A" w:rsidRDefault="00F5459A" w:rsidP="00F5459A">
            <w:pPr>
              <w:rPr>
                <w:lang w:val="en-US" w:eastAsia="en-AU"/>
              </w:rPr>
            </w:pPr>
            <w:r w:rsidRPr="00F5459A">
              <w:rPr>
                <w:lang w:val="en-US" w:eastAsia="en-AU"/>
              </w:rPr>
              <w:t>2027</w:t>
            </w:r>
          </w:p>
          <w:p w14:paraId="0B4C7306" w14:textId="77777777" w:rsidR="00F5459A" w:rsidRPr="00F5459A" w:rsidRDefault="00F5459A" w:rsidP="00F5459A">
            <w:pPr>
              <w:rPr>
                <w:lang w:val="en-US" w:eastAsia="en-AU"/>
              </w:rPr>
            </w:pPr>
            <w:r w:rsidRPr="00F5459A">
              <w:rPr>
                <w:lang w:val="en-US" w:eastAsia="en-AU"/>
              </w:rPr>
              <w:t>2028</w:t>
            </w:r>
          </w:p>
          <w:p w14:paraId="0EE5763D" w14:textId="77777777" w:rsidR="00F5459A" w:rsidRPr="00F5459A" w:rsidRDefault="00F5459A" w:rsidP="00F5459A">
            <w:pPr>
              <w:rPr>
                <w:lang w:val="en-US" w:eastAsia="en-AU"/>
              </w:rPr>
            </w:pPr>
            <w:r w:rsidRPr="00F5459A">
              <w:rPr>
                <w:lang w:val="en-US" w:eastAsia="en-AU"/>
              </w:rPr>
              <w:t>2029</w:t>
            </w:r>
          </w:p>
          <w:p w14:paraId="13F5B976" w14:textId="77777777" w:rsidR="00F5459A" w:rsidRPr="00F5459A" w:rsidRDefault="00F5459A" w:rsidP="00F5459A">
            <w:pPr>
              <w:rPr>
                <w:lang w:val="en-US" w:eastAsia="en-AU"/>
              </w:rPr>
            </w:pPr>
            <w:r w:rsidRPr="00F5459A">
              <w:rPr>
                <w:lang w:val="en-US" w:eastAsia="en-AU"/>
              </w:rPr>
              <w:t>2030</w:t>
            </w:r>
          </w:p>
          <w:p w14:paraId="54D8994A" w14:textId="77777777" w:rsidR="00F5459A" w:rsidRPr="00F5459A" w:rsidRDefault="00F5459A" w:rsidP="00F5459A">
            <w:pPr>
              <w:rPr>
                <w:lang w:val="en-US" w:eastAsia="en-AU"/>
              </w:rPr>
            </w:pPr>
            <w:r w:rsidRPr="00F5459A">
              <w:rPr>
                <w:lang w:val="en-US" w:eastAsia="en-AU"/>
              </w:rPr>
              <w:t>2031</w:t>
            </w:r>
          </w:p>
          <w:p w14:paraId="147D9948" w14:textId="77777777" w:rsidR="00F5459A" w:rsidRPr="00F5459A" w:rsidRDefault="00F5459A" w:rsidP="00F5459A">
            <w:pPr>
              <w:rPr>
                <w:lang w:val="en-US" w:eastAsia="en-AU"/>
              </w:rPr>
            </w:pPr>
            <w:r w:rsidRPr="00F5459A">
              <w:rPr>
                <w:lang w:val="en-US" w:eastAsia="en-AU"/>
              </w:rPr>
              <w:t>2032</w:t>
            </w:r>
          </w:p>
          <w:p w14:paraId="316E1A20" w14:textId="77777777" w:rsidR="00F5459A" w:rsidRPr="00F5459A" w:rsidRDefault="00F5459A" w:rsidP="00F5459A">
            <w:pPr>
              <w:rPr>
                <w:lang w:val="en-US" w:eastAsia="en-AU"/>
              </w:rPr>
            </w:pPr>
            <w:r w:rsidRPr="00F5459A">
              <w:rPr>
                <w:lang w:val="en-US" w:eastAsia="en-AU"/>
              </w:rPr>
              <w:t>2033</w:t>
            </w:r>
          </w:p>
          <w:p w14:paraId="685522BF" w14:textId="67ED1597" w:rsidR="00F5459A" w:rsidRDefault="00F5459A" w:rsidP="00F5459A">
            <w:pPr>
              <w:rPr>
                <w:lang w:val="en-US" w:eastAsia="en-AU"/>
              </w:rPr>
            </w:pPr>
            <w:r w:rsidRPr="00F5459A">
              <w:rPr>
                <w:lang w:val="en-US" w:eastAsia="en-AU"/>
              </w:rPr>
              <w:t>2034 Onwards</w:t>
            </w:r>
          </w:p>
        </w:tc>
        <w:tc>
          <w:tcPr>
            <w:tcW w:w="1503" w:type="dxa"/>
            <w:tcBorders>
              <w:top w:val="single" w:sz="4" w:space="0" w:color="9FBCD0"/>
              <w:left w:val="single" w:sz="4" w:space="0" w:color="9FBCD0"/>
              <w:bottom w:val="single" w:sz="4" w:space="0" w:color="9FBCD0"/>
              <w:right w:val="single" w:sz="4" w:space="0" w:color="9FBCD0"/>
            </w:tcBorders>
          </w:tcPr>
          <w:p w14:paraId="371E08A9" w14:textId="77777777" w:rsidR="00F5459A" w:rsidRPr="00F5459A" w:rsidRDefault="00F5459A" w:rsidP="00F5459A">
            <w:pPr>
              <w:rPr>
                <w:lang w:val="en-US" w:eastAsia="en-AU"/>
              </w:rPr>
            </w:pPr>
            <w:r w:rsidRPr="00F5459A">
              <w:rPr>
                <w:lang w:val="en-US" w:eastAsia="en-AU"/>
              </w:rPr>
              <w:t>1.89%</w:t>
            </w:r>
          </w:p>
          <w:p w14:paraId="163F0C78" w14:textId="77777777" w:rsidR="00F5459A" w:rsidRPr="00F5459A" w:rsidRDefault="00F5459A" w:rsidP="00F5459A">
            <w:pPr>
              <w:rPr>
                <w:lang w:val="en-US" w:eastAsia="en-AU"/>
              </w:rPr>
            </w:pPr>
            <w:r w:rsidRPr="00F5459A">
              <w:rPr>
                <w:lang w:val="en-US" w:eastAsia="en-AU"/>
              </w:rPr>
              <w:t>2.09%</w:t>
            </w:r>
          </w:p>
          <w:p w14:paraId="0BCE1F9A" w14:textId="77777777" w:rsidR="00F5459A" w:rsidRPr="00F5459A" w:rsidRDefault="00F5459A" w:rsidP="00F5459A">
            <w:pPr>
              <w:rPr>
                <w:lang w:val="en-US" w:eastAsia="en-AU"/>
              </w:rPr>
            </w:pPr>
            <w:r w:rsidRPr="00F5459A">
              <w:rPr>
                <w:lang w:val="en-US" w:eastAsia="en-AU"/>
              </w:rPr>
              <w:t>2.37%</w:t>
            </w:r>
          </w:p>
          <w:p w14:paraId="7D9F1FC6" w14:textId="77777777" w:rsidR="00F5459A" w:rsidRPr="00F5459A" w:rsidRDefault="00F5459A" w:rsidP="00F5459A">
            <w:pPr>
              <w:rPr>
                <w:lang w:val="en-US" w:eastAsia="en-AU"/>
              </w:rPr>
            </w:pPr>
            <w:r w:rsidRPr="00F5459A">
              <w:rPr>
                <w:lang w:val="en-US" w:eastAsia="en-AU"/>
              </w:rPr>
              <w:t>2.61%</w:t>
            </w:r>
          </w:p>
          <w:p w14:paraId="5C92DE0C" w14:textId="77777777" w:rsidR="00F5459A" w:rsidRPr="00F5459A" w:rsidRDefault="00F5459A" w:rsidP="00F5459A">
            <w:pPr>
              <w:rPr>
                <w:lang w:val="en-US" w:eastAsia="en-AU"/>
              </w:rPr>
            </w:pPr>
            <w:r w:rsidRPr="00F5459A">
              <w:rPr>
                <w:lang w:val="en-US" w:eastAsia="en-AU"/>
              </w:rPr>
              <w:t>2.79%</w:t>
            </w:r>
          </w:p>
          <w:p w14:paraId="095D5A97" w14:textId="77777777" w:rsidR="00F5459A" w:rsidRPr="00F5459A" w:rsidRDefault="00F5459A" w:rsidP="00F5459A">
            <w:pPr>
              <w:rPr>
                <w:lang w:val="en-US" w:eastAsia="en-AU"/>
              </w:rPr>
            </w:pPr>
            <w:r w:rsidRPr="00F5459A">
              <w:rPr>
                <w:lang w:val="en-US" w:eastAsia="en-AU"/>
              </w:rPr>
              <w:t>2.92%</w:t>
            </w:r>
          </w:p>
          <w:p w14:paraId="5D68F95E" w14:textId="77777777" w:rsidR="00F5459A" w:rsidRPr="00F5459A" w:rsidRDefault="00F5459A" w:rsidP="00F5459A">
            <w:pPr>
              <w:rPr>
                <w:lang w:val="en-US" w:eastAsia="en-AU"/>
              </w:rPr>
            </w:pPr>
            <w:r w:rsidRPr="00F5459A">
              <w:rPr>
                <w:lang w:val="en-US" w:eastAsia="en-AU"/>
              </w:rPr>
              <w:t>2.99%</w:t>
            </w:r>
          </w:p>
          <w:p w14:paraId="1F3372ED" w14:textId="77777777" w:rsidR="00F5459A" w:rsidRPr="00F5459A" w:rsidRDefault="00F5459A" w:rsidP="00F5459A">
            <w:pPr>
              <w:rPr>
                <w:lang w:val="en-US" w:eastAsia="en-AU"/>
              </w:rPr>
            </w:pPr>
            <w:r w:rsidRPr="00F5459A">
              <w:rPr>
                <w:lang w:val="en-US" w:eastAsia="en-AU"/>
              </w:rPr>
              <w:t>3.02%</w:t>
            </w:r>
          </w:p>
          <w:p w14:paraId="13CCB788" w14:textId="77777777" w:rsidR="00F5459A" w:rsidRPr="00F5459A" w:rsidRDefault="00F5459A" w:rsidP="00F5459A">
            <w:pPr>
              <w:rPr>
                <w:lang w:val="en-US" w:eastAsia="en-AU"/>
              </w:rPr>
            </w:pPr>
            <w:r w:rsidRPr="00F5459A">
              <w:rPr>
                <w:lang w:val="en-US" w:eastAsia="en-AU"/>
              </w:rPr>
              <w:t>3.04%</w:t>
            </w:r>
          </w:p>
          <w:p w14:paraId="2FA9902F" w14:textId="77777777" w:rsidR="00F5459A" w:rsidRPr="00F5459A" w:rsidRDefault="00F5459A" w:rsidP="00F5459A">
            <w:pPr>
              <w:rPr>
                <w:lang w:val="en-US" w:eastAsia="en-AU"/>
              </w:rPr>
            </w:pPr>
            <w:r w:rsidRPr="00F5459A">
              <w:rPr>
                <w:lang w:val="en-US" w:eastAsia="en-AU"/>
              </w:rPr>
              <w:t>3.09%</w:t>
            </w:r>
          </w:p>
          <w:p w14:paraId="170D2242" w14:textId="77777777" w:rsidR="00F5459A" w:rsidRPr="00F5459A" w:rsidRDefault="00F5459A" w:rsidP="00F5459A">
            <w:pPr>
              <w:rPr>
                <w:lang w:val="en-US" w:eastAsia="en-AU"/>
              </w:rPr>
            </w:pPr>
            <w:r w:rsidRPr="00F5459A">
              <w:rPr>
                <w:lang w:val="en-US" w:eastAsia="en-AU"/>
              </w:rPr>
              <w:t>3.18%</w:t>
            </w:r>
          </w:p>
          <w:p w14:paraId="6DE806E1" w14:textId="77777777" w:rsidR="00F5459A" w:rsidRPr="00F5459A" w:rsidRDefault="00F5459A" w:rsidP="00F5459A">
            <w:pPr>
              <w:rPr>
                <w:lang w:val="en-US" w:eastAsia="en-AU"/>
              </w:rPr>
            </w:pPr>
            <w:r w:rsidRPr="00F5459A">
              <w:rPr>
                <w:lang w:val="en-US" w:eastAsia="en-AU"/>
              </w:rPr>
              <w:t>3.27%</w:t>
            </w:r>
          </w:p>
          <w:p w14:paraId="795CDBD2" w14:textId="77777777" w:rsidR="00F5459A" w:rsidRPr="00F5459A" w:rsidRDefault="00F5459A" w:rsidP="00F5459A">
            <w:pPr>
              <w:rPr>
                <w:lang w:val="en-US" w:eastAsia="en-AU"/>
              </w:rPr>
            </w:pPr>
            <w:r w:rsidRPr="00F5459A">
              <w:rPr>
                <w:lang w:val="en-US" w:eastAsia="en-AU"/>
              </w:rPr>
              <w:t>3.34%</w:t>
            </w:r>
          </w:p>
          <w:p w14:paraId="7A6A11AE" w14:textId="77777777" w:rsidR="00F5459A" w:rsidRPr="00F5459A" w:rsidRDefault="00F5459A" w:rsidP="00F5459A">
            <w:pPr>
              <w:rPr>
                <w:lang w:val="en-US" w:eastAsia="en-AU"/>
              </w:rPr>
            </w:pPr>
            <w:r w:rsidRPr="00F5459A">
              <w:rPr>
                <w:lang w:val="en-US" w:eastAsia="en-AU"/>
              </w:rPr>
              <w:t>3.41%</w:t>
            </w:r>
          </w:p>
          <w:p w14:paraId="52352CEE" w14:textId="77777777" w:rsidR="00F5459A" w:rsidRPr="00F5459A" w:rsidRDefault="00F5459A" w:rsidP="00F5459A">
            <w:pPr>
              <w:rPr>
                <w:lang w:val="en-US" w:eastAsia="en-AU"/>
              </w:rPr>
            </w:pPr>
            <w:r w:rsidRPr="00F5459A">
              <w:rPr>
                <w:lang w:val="en-US" w:eastAsia="en-AU"/>
              </w:rPr>
              <w:t>3.47%</w:t>
            </w:r>
          </w:p>
          <w:p w14:paraId="2522DAF2" w14:textId="5D0995E1" w:rsidR="00F5459A" w:rsidRDefault="00F5459A" w:rsidP="00F5459A">
            <w:pPr>
              <w:rPr>
                <w:lang w:val="en-US" w:eastAsia="en-AU"/>
              </w:rPr>
            </w:pPr>
            <w:r w:rsidRPr="00F5459A">
              <w:rPr>
                <w:lang w:val="en-US" w:eastAsia="en-AU"/>
              </w:rPr>
              <w:t>3.49%</w:t>
            </w:r>
          </w:p>
        </w:tc>
        <w:tc>
          <w:tcPr>
            <w:tcW w:w="1503" w:type="dxa"/>
            <w:tcBorders>
              <w:top w:val="single" w:sz="4" w:space="0" w:color="9FBCD0"/>
              <w:left w:val="single" w:sz="4" w:space="0" w:color="9FBCD0"/>
              <w:bottom w:val="single" w:sz="4" w:space="0" w:color="9FBCD0"/>
              <w:right w:val="single" w:sz="4" w:space="0" w:color="9FBCD0"/>
            </w:tcBorders>
          </w:tcPr>
          <w:p w14:paraId="5CC5E0CD" w14:textId="77777777" w:rsidR="00F5459A" w:rsidRPr="00F5459A" w:rsidRDefault="00F5459A" w:rsidP="00F5459A">
            <w:pPr>
              <w:rPr>
                <w:lang w:val="en-US" w:eastAsia="en-AU"/>
              </w:rPr>
            </w:pPr>
            <w:r w:rsidRPr="00F5459A">
              <w:rPr>
                <w:lang w:val="en-US" w:eastAsia="en-AU"/>
              </w:rPr>
              <w:t>2018</w:t>
            </w:r>
          </w:p>
          <w:p w14:paraId="2E4DF41D" w14:textId="77777777" w:rsidR="00F5459A" w:rsidRPr="00F5459A" w:rsidRDefault="00F5459A" w:rsidP="00F5459A">
            <w:pPr>
              <w:rPr>
                <w:lang w:val="en-US" w:eastAsia="en-AU"/>
              </w:rPr>
            </w:pPr>
            <w:r w:rsidRPr="00F5459A">
              <w:rPr>
                <w:lang w:val="en-US" w:eastAsia="en-AU"/>
              </w:rPr>
              <w:t>2019</w:t>
            </w:r>
          </w:p>
          <w:p w14:paraId="7F9AB5A1" w14:textId="77777777" w:rsidR="00F5459A" w:rsidRPr="00F5459A" w:rsidRDefault="00F5459A" w:rsidP="00F5459A">
            <w:pPr>
              <w:rPr>
                <w:lang w:val="en-US" w:eastAsia="en-AU"/>
              </w:rPr>
            </w:pPr>
            <w:r w:rsidRPr="00F5459A">
              <w:rPr>
                <w:lang w:val="en-US" w:eastAsia="en-AU"/>
              </w:rPr>
              <w:t>2020</w:t>
            </w:r>
          </w:p>
          <w:p w14:paraId="6D36CB0F" w14:textId="77777777" w:rsidR="00F5459A" w:rsidRPr="00F5459A" w:rsidRDefault="00F5459A" w:rsidP="00F5459A">
            <w:pPr>
              <w:rPr>
                <w:lang w:val="en-US" w:eastAsia="en-AU"/>
              </w:rPr>
            </w:pPr>
            <w:r w:rsidRPr="00F5459A">
              <w:rPr>
                <w:lang w:val="en-US" w:eastAsia="en-AU"/>
              </w:rPr>
              <w:t>2021</w:t>
            </w:r>
          </w:p>
          <w:p w14:paraId="6A18FC1A" w14:textId="77777777" w:rsidR="00F5459A" w:rsidRPr="00F5459A" w:rsidRDefault="00F5459A" w:rsidP="00F5459A">
            <w:pPr>
              <w:rPr>
                <w:lang w:val="en-US" w:eastAsia="en-AU"/>
              </w:rPr>
            </w:pPr>
            <w:r w:rsidRPr="00F5459A">
              <w:rPr>
                <w:lang w:val="en-US" w:eastAsia="en-AU"/>
              </w:rPr>
              <w:t>2022</w:t>
            </w:r>
          </w:p>
          <w:p w14:paraId="5B8C62CF" w14:textId="77777777" w:rsidR="00F5459A" w:rsidRPr="00F5459A" w:rsidRDefault="00F5459A" w:rsidP="00F5459A">
            <w:pPr>
              <w:rPr>
                <w:lang w:val="en-US" w:eastAsia="en-AU"/>
              </w:rPr>
            </w:pPr>
            <w:r w:rsidRPr="00F5459A">
              <w:rPr>
                <w:lang w:val="en-US" w:eastAsia="en-AU"/>
              </w:rPr>
              <w:t>2023</w:t>
            </w:r>
          </w:p>
          <w:p w14:paraId="33B79896" w14:textId="77777777" w:rsidR="00F5459A" w:rsidRPr="00F5459A" w:rsidRDefault="00F5459A" w:rsidP="00F5459A">
            <w:pPr>
              <w:rPr>
                <w:lang w:val="en-US" w:eastAsia="en-AU"/>
              </w:rPr>
            </w:pPr>
            <w:r w:rsidRPr="00F5459A">
              <w:rPr>
                <w:lang w:val="en-US" w:eastAsia="en-AU"/>
              </w:rPr>
              <w:t>2024</w:t>
            </w:r>
          </w:p>
          <w:p w14:paraId="25656FDC" w14:textId="77777777" w:rsidR="00F5459A" w:rsidRPr="00F5459A" w:rsidRDefault="00F5459A" w:rsidP="00F5459A">
            <w:pPr>
              <w:rPr>
                <w:lang w:val="en-US" w:eastAsia="en-AU"/>
              </w:rPr>
            </w:pPr>
            <w:r w:rsidRPr="00F5459A">
              <w:rPr>
                <w:lang w:val="en-US" w:eastAsia="en-AU"/>
              </w:rPr>
              <w:t>2025</w:t>
            </w:r>
          </w:p>
          <w:p w14:paraId="3F811BB2" w14:textId="77777777" w:rsidR="00F5459A" w:rsidRPr="00F5459A" w:rsidRDefault="00F5459A" w:rsidP="00F5459A">
            <w:pPr>
              <w:rPr>
                <w:lang w:val="en-US" w:eastAsia="en-AU"/>
              </w:rPr>
            </w:pPr>
            <w:r w:rsidRPr="00F5459A">
              <w:rPr>
                <w:lang w:val="en-US" w:eastAsia="en-AU"/>
              </w:rPr>
              <w:t>2026</w:t>
            </w:r>
          </w:p>
          <w:p w14:paraId="57104E29" w14:textId="77777777" w:rsidR="00F5459A" w:rsidRPr="00F5459A" w:rsidRDefault="00F5459A" w:rsidP="00F5459A">
            <w:pPr>
              <w:rPr>
                <w:lang w:val="en-US" w:eastAsia="en-AU"/>
              </w:rPr>
            </w:pPr>
            <w:r w:rsidRPr="00F5459A">
              <w:rPr>
                <w:lang w:val="en-US" w:eastAsia="en-AU"/>
              </w:rPr>
              <w:t>2027</w:t>
            </w:r>
          </w:p>
          <w:p w14:paraId="27935436" w14:textId="77777777" w:rsidR="00F5459A" w:rsidRPr="00F5459A" w:rsidRDefault="00F5459A" w:rsidP="00F5459A">
            <w:pPr>
              <w:rPr>
                <w:lang w:val="en-US" w:eastAsia="en-AU"/>
              </w:rPr>
            </w:pPr>
            <w:r w:rsidRPr="00F5459A">
              <w:rPr>
                <w:lang w:val="en-US" w:eastAsia="en-AU"/>
              </w:rPr>
              <w:t>2028</w:t>
            </w:r>
          </w:p>
          <w:p w14:paraId="5A1262DF" w14:textId="77777777" w:rsidR="00F5459A" w:rsidRPr="00F5459A" w:rsidRDefault="00F5459A" w:rsidP="00F5459A">
            <w:pPr>
              <w:rPr>
                <w:lang w:val="en-US" w:eastAsia="en-AU"/>
              </w:rPr>
            </w:pPr>
            <w:r w:rsidRPr="00F5459A">
              <w:rPr>
                <w:lang w:val="en-US" w:eastAsia="en-AU"/>
              </w:rPr>
              <w:t>2029</w:t>
            </w:r>
          </w:p>
          <w:p w14:paraId="0E67FB40" w14:textId="77777777" w:rsidR="00F5459A" w:rsidRPr="00F5459A" w:rsidRDefault="00F5459A" w:rsidP="00F5459A">
            <w:pPr>
              <w:rPr>
                <w:lang w:val="en-US" w:eastAsia="en-AU"/>
              </w:rPr>
            </w:pPr>
            <w:r w:rsidRPr="00F5459A">
              <w:rPr>
                <w:lang w:val="en-US" w:eastAsia="en-AU"/>
              </w:rPr>
              <w:t>2030</w:t>
            </w:r>
          </w:p>
          <w:p w14:paraId="461E91DA" w14:textId="77777777" w:rsidR="00F5459A" w:rsidRPr="00F5459A" w:rsidRDefault="00F5459A" w:rsidP="00F5459A">
            <w:pPr>
              <w:rPr>
                <w:lang w:val="en-US" w:eastAsia="en-AU"/>
              </w:rPr>
            </w:pPr>
            <w:r w:rsidRPr="00F5459A">
              <w:rPr>
                <w:lang w:val="en-US" w:eastAsia="en-AU"/>
              </w:rPr>
              <w:t>2031</w:t>
            </w:r>
          </w:p>
          <w:p w14:paraId="1DCE3C9A" w14:textId="77777777" w:rsidR="00F5459A" w:rsidRPr="00F5459A" w:rsidRDefault="00F5459A" w:rsidP="00F5459A">
            <w:pPr>
              <w:rPr>
                <w:lang w:val="en-US" w:eastAsia="en-AU"/>
              </w:rPr>
            </w:pPr>
            <w:r w:rsidRPr="00F5459A">
              <w:rPr>
                <w:lang w:val="en-US" w:eastAsia="en-AU"/>
              </w:rPr>
              <w:t>2032</w:t>
            </w:r>
          </w:p>
          <w:p w14:paraId="45363C6C" w14:textId="0BF7A2B6" w:rsidR="00F5459A" w:rsidRDefault="00F5459A" w:rsidP="00F5459A">
            <w:pPr>
              <w:rPr>
                <w:lang w:val="en-US" w:eastAsia="en-AU"/>
              </w:rPr>
            </w:pPr>
            <w:r w:rsidRPr="00F5459A">
              <w:rPr>
                <w:lang w:val="en-US" w:eastAsia="en-AU"/>
              </w:rPr>
              <w:t>2033 Onwards</w:t>
            </w:r>
          </w:p>
        </w:tc>
        <w:tc>
          <w:tcPr>
            <w:tcW w:w="1503" w:type="dxa"/>
            <w:tcBorders>
              <w:top w:val="single" w:sz="4" w:space="0" w:color="9FBCD0"/>
              <w:left w:val="single" w:sz="4" w:space="0" w:color="9FBCD0"/>
              <w:bottom w:val="single" w:sz="4" w:space="0" w:color="9FBCD0"/>
              <w:right w:val="single" w:sz="4" w:space="0" w:color="9FBCD0"/>
            </w:tcBorders>
          </w:tcPr>
          <w:p w14:paraId="48DD07CB" w14:textId="77777777" w:rsidR="00F5459A" w:rsidRPr="00F5459A" w:rsidRDefault="00F5459A" w:rsidP="00F5459A">
            <w:pPr>
              <w:rPr>
                <w:lang w:val="en-US" w:eastAsia="en-AU"/>
              </w:rPr>
            </w:pPr>
            <w:r w:rsidRPr="00F5459A">
              <w:rPr>
                <w:lang w:val="en-US" w:eastAsia="en-AU"/>
              </w:rPr>
              <w:t>1.57%</w:t>
            </w:r>
          </w:p>
          <w:p w14:paraId="6280D381" w14:textId="77777777" w:rsidR="00F5459A" w:rsidRPr="00F5459A" w:rsidRDefault="00F5459A" w:rsidP="00F5459A">
            <w:pPr>
              <w:rPr>
                <w:lang w:val="en-US" w:eastAsia="en-AU"/>
              </w:rPr>
            </w:pPr>
            <w:r w:rsidRPr="00F5459A">
              <w:rPr>
                <w:lang w:val="en-US" w:eastAsia="en-AU"/>
              </w:rPr>
              <w:t>1.92%</w:t>
            </w:r>
          </w:p>
          <w:p w14:paraId="033EF720" w14:textId="77777777" w:rsidR="00F5459A" w:rsidRPr="00F5459A" w:rsidRDefault="00F5459A" w:rsidP="00F5459A">
            <w:pPr>
              <w:rPr>
                <w:lang w:val="en-US" w:eastAsia="en-AU"/>
              </w:rPr>
            </w:pPr>
            <w:r w:rsidRPr="00F5459A">
              <w:rPr>
                <w:lang w:val="en-US" w:eastAsia="en-AU"/>
              </w:rPr>
              <w:t>2.29%</w:t>
            </w:r>
          </w:p>
          <w:p w14:paraId="219B3263" w14:textId="77777777" w:rsidR="00F5459A" w:rsidRPr="00F5459A" w:rsidRDefault="00F5459A" w:rsidP="00F5459A">
            <w:pPr>
              <w:rPr>
                <w:lang w:val="en-US" w:eastAsia="en-AU"/>
              </w:rPr>
            </w:pPr>
            <w:r w:rsidRPr="00F5459A">
              <w:rPr>
                <w:lang w:val="en-US" w:eastAsia="en-AU"/>
              </w:rPr>
              <w:t>2.59%</w:t>
            </w:r>
          </w:p>
          <w:p w14:paraId="59E8B670" w14:textId="77777777" w:rsidR="00F5459A" w:rsidRPr="00F5459A" w:rsidRDefault="00F5459A" w:rsidP="00F5459A">
            <w:pPr>
              <w:rPr>
                <w:lang w:val="en-US" w:eastAsia="en-AU"/>
              </w:rPr>
            </w:pPr>
            <w:r w:rsidRPr="00F5459A">
              <w:rPr>
                <w:lang w:val="en-US" w:eastAsia="en-AU"/>
              </w:rPr>
              <w:t>2.84%</w:t>
            </w:r>
          </w:p>
          <w:p w14:paraId="4FABD98D" w14:textId="77777777" w:rsidR="00F5459A" w:rsidRPr="00F5459A" w:rsidRDefault="00F5459A" w:rsidP="00F5459A">
            <w:pPr>
              <w:rPr>
                <w:lang w:val="en-US" w:eastAsia="en-AU"/>
              </w:rPr>
            </w:pPr>
            <w:r w:rsidRPr="00F5459A">
              <w:rPr>
                <w:lang w:val="en-US" w:eastAsia="en-AU"/>
              </w:rPr>
              <w:t>3.02%</w:t>
            </w:r>
          </w:p>
          <w:p w14:paraId="0EC5E186" w14:textId="77777777" w:rsidR="00F5459A" w:rsidRPr="00F5459A" w:rsidRDefault="00F5459A" w:rsidP="00F5459A">
            <w:pPr>
              <w:rPr>
                <w:lang w:val="en-US" w:eastAsia="en-AU"/>
              </w:rPr>
            </w:pPr>
            <w:r w:rsidRPr="00F5459A">
              <w:rPr>
                <w:lang w:val="en-US" w:eastAsia="en-AU"/>
              </w:rPr>
              <w:t>3.13%</w:t>
            </w:r>
          </w:p>
          <w:p w14:paraId="5869895A" w14:textId="77777777" w:rsidR="00F5459A" w:rsidRPr="00F5459A" w:rsidRDefault="00F5459A" w:rsidP="00F5459A">
            <w:pPr>
              <w:rPr>
                <w:lang w:val="en-US" w:eastAsia="en-AU"/>
              </w:rPr>
            </w:pPr>
            <w:r w:rsidRPr="00F5459A">
              <w:rPr>
                <w:lang w:val="en-US" w:eastAsia="en-AU"/>
              </w:rPr>
              <w:t>3.18%</w:t>
            </w:r>
          </w:p>
          <w:p w14:paraId="63C719F5" w14:textId="77777777" w:rsidR="00F5459A" w:rsidRPr="00F5459A" w:rsidRDefault="00F5459A" w:rsidP="00F5459A">
            <w:pPr>
              <w:rPr>
                <w:lang w:val="en-US" w:eastAsia="en-AU"/>
              </w:rPr>
            </w:pPr>
            <w:r w:rsidRPr="00F5459A">
              <w:rPr>
                <w:lang w:val="en-US" w:eastAsia="en-AU"/>
              </w:rPr>
              <w:t>3.21%</w:t>
            </w:r>
          </w:p>
          <w:p w14:paraId="683BCB28" w14:textId="77777777" w:rsidR="00F5459A" w:rsidRPr="00F5459A" w:rsidRDefault="00F5459A" w:rsidP="00F5459A">
            <w:pPr>
              <w:rPr>
                <w:lang w:val="en-US" w:eastAsia="en-AU"/>
              </w:rPr>
            </w:pPr>
            <w:r w:rsidRPr="00F5459A">
              <w:rPr>
                <w:lang w:val="en-US" w:eastAsia="en-AU"/>
              </w:rPr>
              <w:t>3.27%</w:t>
            </w:r>
          </w:p>
          <w:p w14:paraId="58EDA0BC" w14:textId="77777777" w:rsidR="00F5459A" w:rsidRPr="00F5459A" w:rsidRDefault="00F5459A" w:rsidP="00F5459A">
            <w:pPr>
              <w:rPr>
                <w:lang w:val="en-US" w:eastAsia="en-AU"/>
              </w:rPr>
            </w:pPr>
            <w:r w:rsidRPr="00F5459A">
              <w:rPr>
                <w:lang w:val="en-US" w:eastAsia="en-AU"/>
              </w:rPr>
              <w:t>3.37%</w:t>
            </w:r>
          </w:p>
          <w:p w14:paraId="2F3C3905" w14:textId="77777777" w:rsidR="00F5459A" w:rsidRPr="00F5459A" w:rsidRDefault="00F5459A" w:rsidP="00F5459A">
            <w:pPr>
              <w:rPr>
                <w:lang w:val="en-US" w:eastAsia="en-AU"/>
              </w:rPr>
            </w:pPr>
            <w:r w:rsidRPr="00F5459A">
              <w:rPr>
                <w:lang w:val="en-US" w:eastAsia="en-AU"/>
              </w:rPr>
              <w:t>3.51%</w:t>
            </w:r>
          </w:p>
          <w:p w14:paraId="34643DCC" w14:textId="77777777" w:rsidR="00F5459A" w:rsidRPr="00F5459A" w:rsidRDefault="00F5459A" w:rsidP="00F5459A">
            <w:pPr>
              <w:rPr>
                <w:lang w:val="en-US" w:eastAsia="en-AU"/>
              </w:rPr>
            </w:pPr>
            <w:r w:rsidRPr="00F5459A">
              <w:rPr>
                <w:lang w:val="en-US" w:eastAsia="en-AU"/>
              </w:rPr>
              <w:t>3.69%</w:t>
            </w:r>
          </w:p>
          <w:p w14:paraId="04A391CE" w14:textId="77777777" w:rsidR="00F5459A" w:rsidRPr="00F5459A" w:rsidRDefault="00F5459A" w:rsidP="00F5459A">
            <w:pPr>
              <w:rPr>
                <w:lang w:val="en-US" w:eastAsia="en-AU"/>
              </w:rPr>
            </w:pPr>
            <w:r w:rsidRPr="00F5459A">
              <w:rPr>
                <w:lang w:val="en-US" w:eastAsia="en-AU"/>
              </w:rPr>
              <w:t>3.91%</w:t>
            </w:r>
          </w:p>
          <w:p w14:paraId="121D4562" w14:textId="77777777" w:rsidR="00F5459A" w:rsidRPr="00F5459A" w:rsidRDefault="00F5459A" w:rsidP="00F5459A">
            <w:pPr>
              <w:rPr>
                <w:lang w:val="en-US" w:eastAsia="en-AU"/>
              </w:rPr>
            </w:pPr>
            <w:r w:rsidRPr="00F5459A">
              <w:rPr>
                <w:lang w:val="en-US" w:eastAsia="en-AU"/>
              </w:rPr>
              <w:t>4.17%</w:t>
            </w:r>
          </w:p>
          <w:p w14:paraId="707E390B" w14:textId="07FB8743" w:rsidR="00F5459A" w:rsidRDefault="00F5459A" w:rsidP="00F5459A">
            <w:pPr>
              <w:rPr>
                <w:lang w:val="en-US" w:eastAsia="en-AU"/>
              </w:rPr>
            </w:pPr>
            <w:r w:rsidRPr="00F5459A">
              <w:rPr>
                <w:lang w:val="en-US" w:eastAsia="en-AU"/>
              </w:rPr>
              <w:t>4.29%</w:t>
            </w:r>
          </w:p>
        </w:tc>
      </w:tr>
      <w:tr w:rsidR="00F5459A" w14:paraId="7B1FC964"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267F822C" w14:textId="3C7A5C26" w:rsidR="00F5459A" w:rsidRPr="00F5459A" w:rsidRDefault="00F5459A" w:rsidP="00DC7598">
            <w:pPr>
              <w:rPr>
                <w:b/>
                <w:lang w:val="en-US" w:eastAsia="en-AU"/>
              </w:rPr>
            </w:pPr>
            <w:r w:rsidRPr="00F5459A">
              <w:rPr>
                <w:b/>
                <w:lang w:val="en-US" w:eastAsia="en-AU"/>
              </w:rPr>
              <w:t>Claims Managements Expenses</w:t>
            </w:r>
          </w:p>
        </w:tc>
        <w:tc>
          <w:tcPr>
            <w:tcW w:w="3005" w:type="dxa"/>
            <w:gridSpan w:val="2"/>
            <w:tcBorders>
              <w:top w:val="single" w:sz="4" w:space="0" w:color="9FBCD0"/>
              <w:left w:val="single" w:sz="4" w:space="0" w:color="9FBCD0"/>
              <w:bottom w:val="single" w:sz="4" w:space="0" w:color="9FBCD0"/>
              <w:right w:val="single" w:sz="4" w:space="0" w:color="9FBCD0"/>
            </w:tcBorders>
          </w:tcPr>
          <w:p w14:paraId="3900CDFB" w14:textId="10151BC1" w:rsidR="00F5459A" w:rsidRDefault="00F5459A" w:rsidP="00DC7598">
            <w:pPr>
              <w:rPr>
                <w:lang w:val="en-US" w:eastAsia="en-AU"/>
              </w:rPr>
            </w:pPr>
            <w:r w:rsidRPr="00F5459A">
              <w:rPr>
                <w:lang w:val="en-US" w:eastAsia="en-AU"/>
              </w:rPr>
              <w:t>10.5% for claim payments except for HIH Insurance which is 0%</w:t>
            </w:r>
            <w:r w:rsidRPr="00F5459A">
              <w:rPr>
                <w:lang w:val="en-US" w:eastAsia="en-AU"/>
              </w:rPr>
              <w:tab/>
            </w:r>
          </w:p>
        </w:tc>
        <w:tc>
          <w:tcPr>
            <w:tcW w:w="3006" w:type="dxa"/>
            <w:gridSpan w:val="2"/>
            <w:tcBorders>
              <w:top w:val="single" w:sz="4" w:space="0" w:color="9FBCD0"/>
              <w:left w:val="single" w:sz="4" w:space="0" w:color="9FBCD0"/>
              <w:bottom w:val="single" w:sz="4" w:space="0" w:color="9FBCD0"/>
              <w:right w:val="single" w:sz="4" w:space="0" w:color="9FBCD0"/>
            </w:tcBorders>
          </w:tcPr>
          <w:p w14:paraId="2CC0CA5B" w14:textId="01B496C1" w:rsidR="00F5459A" w:rsidRDefault="00F5459A" w:rsidP="00DC7598">
            <w:pPr>
              <w:rPr>
                <w:lang w:val="en-US" w:eastAsia="en-AU"/>
              </w:rPr>
            </w:pPr>
            <w:r w:rsidRPr="00F5459A">
              <w:rPr>
                <w:lang w:val="en-US" w:eastAsia="en-AU"/>
              </w:rPr>
              <w:t>10.5% for claim payments except for HIH Insurance which is 0%</w:t>
            </w:r>
            <w:r w:rsidRPr="00F5459A">
              <w:rPr>
                <w:lang w:val="en-US" w:eastAsia="en-AU"/>
              </w:rPr>
              <w:tab/>
            </w:r>
          </w:p>
        </w:tc>
      </w:tr>
      <w:tr w:rsidR="00E9120A" w14:paraId="57BCC976"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0D7DF459" w14:textId="1D373ABB" w:rsidR="00E9120A" w:rsidRPr="00E9120A" w:rsidRDefault="00E9120A" w:rsidP="00E9120A">
            <w:pPr>
              <w:rPr>
                <w:b/>
                <w:lang w:val="en-US" w:eastAsia="en-AU"/>
              </w:rPr>
            </w:pPr>
            <w:r w:rsidRPr="00E9120A">
              <w:rPr>
                <w:b/>
                <w:lang w:val="en-US" w:eastAsia="en-AU"/>
              </w:rPr>
              <w:t>Superimposed Inflation</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01EB3240" w14:textId="7F137FB2" w:rsidR="00E9120A" w:rsidRDefault="00E9120A" w:rsidP="00E9120A">
            <w:pPr>
              <w:rPr>
                <w:lang w:val="en-US" w:eastAsia="en-AU"/>
              </w:rPr>
            </w:pPr>
            <w:r>
              <w:t>1.50%</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70F73BC4" w14:textId="2A16CF6B" w:rsidR="00E9120A" w:rsidRDefault="00E9120A" w:rsidP="00E9120A">
            <w:pPr>
              <w:rPr>
                <w:lang w:val="en-US" w:eastAsia="en-AU"/>
              </w:rPr>
            </w:pPr>
            <w:r>
              <w:t>1.50%</w:t>
            </w:r>
          </w:p>
        </w:tc>
      </w:tr>
      <w:tr w:rsidR="00F5459A" w14:paraId="47597EEB"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00898611" w14:textId="5696A9C0" w:rsidR="00F5459A" w:rsidRPr="00E9120A" w:rsidRDefault="00E9120A" w:rsidP="00DC7598">
            <w:pPr>
              <w:rPr>
                <w:b/>
                <w:lang w:val="en-US" w:eastAsia="en-AU"/>
              </w:rPr>
            </w:pPr>
            <w:r w:rsidRPr="00E9120A">
              <w:rPr>
                <w:b/>
                <w:lang w:val="en-US" w:eastAsia="en-AU"/>
              </w:rPr>
              <w:t>Risk Margin</w:t>
            </w:r>
          </w:p>
        </w:tc>
        <w:tc>
          <w:tcPr>
            <w:tcW w:w="3005" w:type="dxa"/>
            <w:gridSpan w:val="2"/>
            <w:tcBorders>
              <w:top w:val="single" w:sz="4" w:space="0" w:color="9FBCD0"/>
              <w:left w:val="single" w:sz="4" w:space="0" w:color="9FBCD0"/>
              <w:bottom w:val="single" w:sz="4" w:space="0" w:color="9FBCD0"/>
              <w:right w:val="single" w:sz="4" w:space="0" w:color="9FBCD0"/>
            </w:tcBorders>
          </w:tcPr>
          <w:p w14:paraId="1D10A391" w14:textId="57F0ECB5" w:rsidR="00F5459A" w:rsidRDefault="00E9120A" w:rsidP="00E9120A">
            <w:pPr>
              <w:rPr>
                <w:lang w:val="en-US" w:eastAsia="en-AU"/>
              </w:rPr>
            </w:pPr>
            <w:r w:rsidRPr="00E9120A">
              <w:rPr>
                <w:lang w:val="en-US" w:eastAsia="en-AU"/>
              </w:rPr>
              <w:t>20.4% risk marg</w:t>
            </w:r>
            <w:r>
              <w:rPr>
                <w:lang w:val="en-US" w:eastAsia="en-AU"/>
              </w:rPr>
              <w:t>in at the 75% sufficiency level</w:t>
            </w:r>
          </w:p>
        </w:tc>
        <w:tc>
          <w:tcPr>
            <w:tcW w:w="3006" w:type="dxa"/>
            <w:gridSpan w:val="2"/>
            <w:tcBorders>
              <w:top w:val="single" w:sz="4" w:space="0" w:color="9FBCD0"/>
              <w:left w:val="single" w:sz="4" w:space="0" w:color="9FBCD0"/>
              <w:bottom w:val="single" w:sz="4" w:space="0" w:color="9FBCD0"/>
              <w:right w:val="single" w:sz="4" w:space="0" w:color="9FBCD0"/>
            </w:tcBorders>
          </w:tcPr>
          <w:p w14:paraId="22704025" w14:textId="38DD7EFF" w:rsidR="00F5459A" w:rsidRDefault="00E9120A" w:rsidP="00DC7598">
            <w:pPr>
              <w:rPr>
                <w:lang w:val="en-US" w:eastAsia="en-AU"/>
              </w:rPr>
            </w:pPr>
            <w:r w:rsidRPr="00E9120A">
              <w:rPr>
                <w:lang w:val="en-US" w:eastAsia="en-AU"/>
              </w:rPr>
              <w:t>20.4% risk marg</w:t>
            </w:r>
            <w:r>
              <w:rPr>
                <w:lang w:val="en-US" w:eastAsia="en-AU"/>
              </w:rPr>
              <w:t>in at the 75% sufficiency level</w:t>
            </w:r>
          </w:p>
        </w:tc>
      </w:tr>
    </w:tbl>
    <w:p w14:paraId="55599529" w14:textId="49D4903D" w:rsidR="00DC7598" w:rsidRDefault="00DC7598" w:rsidP="00DC7598">
      <w:pPr>
        <w:rPr>
          <w:lang w:val="en-US" w:eastAsia="en-AU"/>
        </w:rPr>
      </w:pPr>
      <w:r w:rsidRPr="00DC7598">
        <w:rPr>
          <w:lang w:val="en-US" w:eastAsia="en-AU"/>
        </w:rPr>
        <w:tab/>
      </w:r>
    </w:p>
    <w:p w14:paraId="43DDE287" w14:textId="77777777" w:rsidR="00E3290E" w:rsidRPr="00E3290E" w:rsidRDefault="00E3290E" w:rsidP="00E3290E">
      <w:pPr>
        <w:rPr>
          <w:lang w:val="en-US" w:eastAsia="en-AU"/>
        </w:rPr>
      </w:pPr>
      <w:r w:rsidRPr="00E3290E">
        <w:rPr>
          <w:lang w:val="en-US" w:eastAsia="en-AU"/>
        </w:rPr>
        <w:t>The following increases in the average claim size for the removal of age limits as detailed:</w:t>
      </w:r>
      <w:r w:rsidRPr="00E3290E">
        <w:rPr>
          <w:lang w:val="en-US" w:eastAsia="en-AU"/>
        </w:rPr>
        <w:tab/>
      </w:r>
      <w:r w:rsidRPr="00E3290E">
        <w:rPr>
          <w:lang w:val="en-US" w:eastAsia="en-AU"/>
        </w:rPr>
        <w:tab/>
      </w:r>
      <w:r w:rsidRPr="00E3290E">
        <w:rPr>
          <w:lang w:val="en-US" w:eastAsia="en-AU"/>
        </w:rPr>
        <w:tab/>
      </w:r>
      <w:r w:rsidRPr="00E3290E">
        <w:rPr>
          <w:lang w:val="en-US" w:eastAsia="en-AU"/>
        </w:rPr>
        <w:tab/>
      </w:r>
    </w:p>
    <w:p w14:paraId="32483E78" w14:textId="180E7FF6" w:rsidR="00E3290E" w:rsidRPr="00E3290E" w:rsidRDefault="00E3290E" w:rsidP="00E3290E">
      <w:pPr>
        <w:rPr>
          <w:lang w:val="en-US" w:eastAsia="en-AU"/>
        </w:rPr>
      </w:pPr>
      <w:r w:rsidRPr="00E3290E">
        <w:rPr>
          <w:lang w:val="en-US" w:eastAsia="en-AU"/>
        </w:rPr>
        <w:t xml:space="preserve">  - 0.5% increase f</w:t>
      </w:r>
      <w:r>
        <w:rPr>
          <w:lang w:val="en-US" w:eastAsia="en-AU"/>
        </w:rPr>
        <w:t>or claimants aged under 65 year</w:t>
      </w:r>
      <w:r w:rsidRPr="00E3290E">
        <w:rPr>
          <w:lang w:val="en-US" w:eastAsia="en-AU"/>
        </w:rPr>
        <w:t>s old</w:t>
      </w:r>
      <w:r w:rsidRPr="00E3290E">
        <w:rPr>
          <w:lang w:val="en-US" w:eastAsia="en-AU"/>
        </w:rPr>
        <w:tab/>
      </w:r>
      <w:r w:rsidRPr="00E3290E">
        <w:rPr>
          <w:lang w:val="en-US" w:eastAsia="en-AU"/>
        </w:rPr>
        <w:tab/>
      </w:r>
      <w:r w:rsidRPr="00E3290E">
        <w:rPr>
          <w:lang w:val="en-US" w:eastAsia="en-AU"/>
        </w:rPr>
        <w:tab/>
      </w:r>
      <w:r w:rsidRPr="00E3290E">
        <w:rPr>
          <w:lang w:val="en-US" w:eastAsia="en-AU"/>
        </w:rPr>
        <w:tab/>
      </w:r>
    </w:p>
    <w:p w14:paraId="18914AE0" w14:textId="77777777" w:rsidR="00E3290E" w:rsidRPr="00E3290E" w:rsidRDefault="00E3290E" w:rsidP="00E3290E">
      <w:pPr>
        <w:rPr>
          <w:lang w:val="en-US" w:eastAsia="en-AU"/>
        </w:rPr>
      </w:pPr>
      <w:r w:rsidRPr="00E3290E">
        <w:rPr>
          <w:lang w:val="en-US" w:eastAsia="en-AU"/>
        </w:rPr>
        <w:t xml:space="preserve">  - 2.7% increase for claimants aged over 65.</w:t>
      </w:r>
      <w:r w:rsidRPr="00E3290E">
        <w:rPr>
          <w:lang w:val="en-US" w:eastAsia="en-AU"/>
        </w:rPr>
        <w:tab/>
      </w:r>
      <w:r w:rsidRPr="00E3290E">
        <w:rPr>
          <w:lang w:val="en-US" w:eastAsia="en-AU"/>
        </w:rPr>
        <w:tab/>
      </w:r>
      <w:r w:rsidRPr="00E3290E">
        <w:rPr>
          <w:lang w:val="en-US" w:eastAsia="en-AU"/>
        </w:rPr>
        <w:tab/>
      </w:r>
      <w:r w:rsidRPr="00E3290E">
        <w:rPr>
          <w:lang w:val="en-US" w:eastAsia="en-AU"/>
        </w:rPr>
        <w:tab/>
      </w:r>
    </w:p>
    <w:p w14:paraId="245DDB0C" w14:textId="30BFA058" w:rsidR="00E9120A" w:rsidRDefault="00E3290E" w:rsidP="00E3290E">
      <w:pPr>
        <w:rPr>
          <w:lang w:val="en-US" w:eastAsia="en-AU"/>
        </w:rPr>
      </w:pPr>
      <w:r w:rsidRPr="00E3290E">
        <w:rPr>
          <w:lang w:val="en-US" w:eastAsia="en-AU"/>
        </w:rPr>
        <w:t>This has decreased from 0.6% for claimants under 65 and 3.2% for claimants over 65 as it has been adjusted for the portion of the claims experience that is after the 2011 Amendment Act was implemented so already implic</w:t>
      </w:r>
      <w:r>
        <w:rPr>
          <w:lang w:val="en-US" w:eastAsia="en-AU"/>
        </w:rPr>
        <w:t>itly allows for the Act change.</w:t>
      </w:r>
    </w:p>
    <w:tbl>
      <w:tblPr>
        <w:tblStyle w:val="TableGrid"/>
        <w:tblW w:w="0" w:type="auto"/>
        <w:tblLook w:val="04A0" w:firstRow="1" w:lastRow="0" w:firstColumn="1" w:lastColumn="0" w:noHBand="0" w:noVBand="1"/>
        <w:tblCaption w:val="Table: Actuarial Assumptions"/>
        <w:tblDescription w:val="This table provides key actuarial assumptions made in determining the outstanding claims liabilities for non asbestos-related claims. "/>
      </w:tblPr>
      <w:tblGrid>
        <w:gridCol w:w="3005"/>
        <w:gridCol w:w="1502"/>
        <w:gridCol w:w="1503"/>
        <w:gridCol w:w="1503"/>
        <w:gridCol w:w="1503"/>
      </w:tblGrid>
      <w:tr w:rsidR="00E3290E" w14:paraId="3B54DA3A" w14:textId="77777777" w:rsidTr="00121076">
        <w:trPr>
          <w:tblHeader/>
        </w:trPr>
        <w:tc>
          <w:tcPr>
            <w:tcW w:w="3005" w:type="dxa"/>
            <w:tcBorders>
              <w:top w:val="single" w:sz="4" w:space="0" w:color="9FBCD0"/>
              <w:left w:val="single" w:sz="4" w:space="0" w:color="9FBCD0"/>
              <w:bottom w:val="single" w:sz="4" w:space="0" w:color="9FBCD0"/>
              <w:right w:val="single" w:sz="4" w:space="0" w:color="9FBCD0"/>
            </w:tcBorders>
          </w:tcPr>
          <w:p w14:paraId="7EE1F70F" w14:textId="7279B19C" w:rsidR="00E3290E" w:rsidRPr="00DC7598" w:rsidRDefault="00E3290E" w:rsidP="00121076">
            <w:pPr>
              <w:rPr>
                <w:b/>
                <w:lang w:val="en-US" w:eastAsia="en-AU"/>
              </w:rPr>
            </w:pPr>
            <w:r w:rsidRPr="00DC7598">
              <w:rPr>
                <w:b/>
                <w:lang w:val="en-US" w:eastAsia="en-AU"/>
              </w:rPr>
              <w:t xml:space="preserve">EISF Act: </w:t>
            </w:r>
            <w:r>
              <w:rPr>
                <w:b/>
                <w:lang w:val="en-US" w:eastAsia="en-AU"/>
              </w:rPr>
              <w:t xml:space="preserve">Non </w:t>
            </w:r>
            <w:r w:rsidRPr="00DC7598">
              <w:rPr>
                <w:b/>
                <w:lang w:val="en-US" w:eastAsia="en-AU"/>
              </w:rPr>
              <w:t>Asbestos-Related Claims</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3DD005F7" w14:textId="77777777" w:rsidR="00E3290E" w:rsidRPr="00F5459A" w:rsidRDefault="00E3290E" w:rsidP="00121076">
            <w:pPr>
              <w:jc w:val="center"/>
              <w:rPr>
                <w:b/>
                <w:lang w:val="en-US" w:eastAsia="en-AU"/>
              </w:rPr>
            </w:pPr>
            <w:r>
              <w:rPr>
                <w:b/>
                <w:lang w:val="en-US" w:eastAsia="en-AU"/>
              </w:rPr>
              <w:t>2018</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7081B6F5" w14:textId="77777777" w:rsidR="00E3290E" w:rsidRPr="00F5459A" w:rsidRDefault="00E3290E" w:rsidP="00121076">
            <w:pPr>
              <w:jc w:val="center"/>
              <w:rPr>
                <w:b/>
                <w:lang w:val="en-US" w:eastAsia="en-AU"/>
              </w:rPr>
            </w:pPr>
            <w:r w:rsidRPr="00F5459A">
              <w:rPr>
                <w:b/>
                <w:lang w:val="en-US" w:eastAsia="en-AU"/>
              </w:rPr>
              <w:t>2017</w:t>
            </w:r>
          </w:p>
        </w:tc>
      </w:tr>
      <w:tr w:rsidR="00E3290E" w14:paraId="4EEE30BF"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4144BB69" w14:textId="78360F6B" w:rsidR="00E3290E" w:rsidRPr="00E3290E" w:rsidRDefault="00E3290E" w:rsidP="00E3290E">
            <w:pPr>
              <w:rPr>
                <w:b/>
                <w:lang w:val="en-US" w:eastAsia="en-AU"/>
              </w:rPr>
            </w:pPr>
            <w:r>
              <w:rPr>
                <w:b/>
                <w:lang w:val="en-US" w:eastAsia="en-AU"/>
              </w:rPr>
              <w:t>Inflation Rate</w:t>
            </w:r>
          </w:p>
        </w:tc>
        <w:tc>
          <w:tcPr>
            <w:tcW w:w="1502" w:type="dxa"/>
            <w:tcBorders>
              <w:top w:val="single" w:sz="4" w:space="0" w:color="9FBCD0"/>
              <w:left w:val="single" w:sz="4" w:space="0" w:color="9FBCD0"/>
              <w:bottom w:val="single" w:sz="4" w:space="0" w:color="9FBCD0"/>
              <w:right w:val="single" w:sz="4" w:space="0" w:color="9FBCD0"/>
            </w:tcBorders>
          </w:tcPr>
          <w:p w14:paraId="584617B3" w14:textId="77777777" w:rsidR="00E3290E" w:rsidRPr="00E3290E" w:rsidRDefault="00E3290E" w:rsidP="00E3290E">
            <w:pPr>
              <w:rPr>
                <w:lang w:val="en-US" w:eastAsia="en-AU"/>
              </w:rPr>
            </w:pPr>
            <w:r w:rsidRPr="00E3290E">
              <w:rPr>
                <w:lang w:val="en-US" w:eastAsia="en-AU"/>
              </w:rPr>
              <w:t>2019</w:t>
            </w:r>
          </w:p>
          <w:p w14:paraId="14080998" w14:textId="77777777" w:rsidR="00E3290E" w:rsidRPr="00E3290E" w:rsidRDefault="00E3290E" w:rsidP="00E3290E">
            <w:pPr>
              <w:rPr>
                <w:lang w:val="en-US" w:eastAsia="en-AU"/>
              </w:rPr>
            </w:pPr>
            <w:r w:rsidRPr="00E3290E">
              <w:rPr>
                <w:lang w:val="en-US" w:eastAsia="en-AU"/>
              </w:rPr>
              <w:t>2020</w:t>
            </w:r>
          </w:p>
          <w:p w14:paraId="1364BE59" w14:textId="77777777" w:rsidR="00E3290E" w:rsidRPr="00E3290E" w:rsidRDefault="00E3290E" w:rsidP="00E3290E">
            <w:pPr>
              <w:rPr>
                <w:lang w:val="en-US" w:eastAsia="en-AU"/>
              </w:rPr>
            </w:pPr>
            <w:r w:rsidRPr="00E3290E">
              <w:rPr>
                <w:lang w:val="en-US" w:eastAsia="en-AU"/>
              </w:rPr>
              <w:t>2021</w:t>
            </w:r>
          </w:p>
          <w:p w14:paraId="1AE723AB" w14:textId="77777777" w:rsidR="00E3290E" w:rsidRPr="00E3290E" w:rsidRDefault="00E3290E" w:rsidP="00E3290E">
            <w:pPr>
              <w:rPr>
                <w:lang w:val="en-US" w:eastAsia="en-AU"/>
              </w:rPr>
            </w:pPr>
            <w:r w:rsidRPr="00E3290E">
              <w:rPr>
                <w:lang w:val="en-US" w:eastAsia="en-AU"/>
              </w:rPr>
              <w:t>2022</w:t>
            </w:r>
          </w:p>
          <w:p w14:paraId="3050079A" w14:textId="77777777" w:rsidR="00E3290E" w:rsidRPr="00E3290E" w:rsidRDefault="00E3290E" w:rsidP="00E3290E">
            <w:pPr>
              <w:rPr>
                <w:lang w:val="en-US" w:eastAsia="en-AU"/>
              </w:rPr>
            </w:pPr>
            <w:r w:rsidRPr="00E3290E">
              <w:rPr>
                <w:lang w:val="en-US" w:eastAsia="en-AU"/>
              </w:rPr>
              <w:t>2023</w:t>
            </w:r>
          </w:p>
          <w:p w14:paraId="0940666E" w14:textId="77777777" w:rsidR="00E3290E" w:rsidRPr="00E3290E" w:rsidRDefault="00E3290E" w:rsidP="00E3290E">
            <w:pPr>
              <w:rPr>
                <w:lang w:val="en-US" w:eastAsia="en-AU"/>
              </w:rPr>
            </w:pPr>
            <w:r w:rsidRPr="00E3290E">
              <w:rPr>
                <w:lang w:val="en-US" w:eastAsia="en-AU"/>
              </w:rPr>
              <w:t>2024</w:t>
            </w:r>
          </w:p>
          <w:p w14:paraId="06A64861" w14:textId="77777777" w:rsidR="00E3290E" w:rsidRPr="00E3290E" w:rsidRDefault="00E3290E" w:rsidP="00E3290E">
            <w:pPr>
              <w:rPr>
                <w:lang w:val="en-US" w:eastAsia="en-AU"/>
              </w:rPr>
            </w:pPr>
            <w:r w:rsidRPr="00E3290E">
              <w:rPr>
                <w:lang w:val="en-US" w:eastAsia="en-AU"/>
              </w:rPr>
              <w:t>2025</w:t>
            </w:r>
          </w:p>
          <w:p w14:paraId="3433707B" w14:textId="77777777" w:rsidR="00E3290E" w:rsidRPr="00E3290E" w:rsidRDefault="00E3290E" w:rsidP="00E3290E">
            <w:pPr>
              <w:rPr>
                <w:lang w:val="en-US" w:eastAsia="en-AU"/>
              </w:rPr>
            </w:pPr>
            <w:r w:rsidRPr="00E3290E">
              <w:rPr>
                <w:lang w:val="en-US" w:eastAsia="en-AU"/>
              </w:rPr>
              <w:t>2026</w:t>
            </w:r>
          </w:p>
          <w:p w14:paraId="346EDDD9" w14:textId="77777777" w:rsidR="00E3290E" w:rsidRPr="00E3290E" w:rsidRDefault="00E3290E" w:rsidP="00E3290E">
            <w:pPr>
              <w:rPr>
                <w:lang w:val="en-US" w:eastAsia="en-AU"/>
              </w:rPr>
            </w:pPr>
            <w:r w:rsidRPr="00E3290E">
              <w:rPr>
                <w:lang w:val="en-US" w:eastAsia="en-AU"/>
              </w:rPr>
              <w:t>2027</w:t>
            </w:r>
          </w:p>
          <w:p w14:paraId="1C41AC65" w14:textId="77777777" w:rsidR="00E3290E" w:rsidRPr="00E3290E" w:rsidRDefault="00E3290E" w:rsidP="00E3290E">
            <w:pPr>
              <w:rPr>
                <w:lang w:val="en-US" w:eastAsia="en-AU"/>
              </w:rPr>
            </w:pPr>
            <w:r w:rsidRPr="00E3290E">
              <w:rPr>
                <w:lang w:val="en-US" w:eastAsia="en-AU"/>
              </w:rPr>
              <w:t>2028</w:t>
            </w:r>
          </w:p>
          <w:p w14:paraId="1E7F5B03" w14:textId="77777777" w:rsidR="00E3290E" w:rsidRPr="00E3290E" w:rsidRDefault="00E3290E" w:rsidP="00E3290E">
            <w:pPr>
              <w:rPr>
                <w:lang w:val="en-US" w:eastAsia="en-AU"/>
              </w:rPr>
            </w:pPr>
            <w:r w:rsidRPr="00E3290E">
              <w:rPr>
                <w:lang w:val="en-US" w:eastAsia="en-AU"/>
              </w:rPr>
              <w:t>2029</w:t>
            </w:r>
          </w:p>
          <w:p w14:paraId="16D33E09" w14:textId="77777777" w:rsidR="00E3290E" w:rsidRPr="00E3290E" w:rsidRDefault="00E3290E" w:rsidP="00E3290E">
            <w:pPr>
              <w:rPr>
                <w:lang w:val="en-US" w:eastAsia="en-AU"/>
              </w:rPr>
            </w:pPr>
            <w:r w:rsidRPr="00E3290E">
              <w:rPr>
                <w:lang w:val="en-US" w:eastAsia="en-AU"/>
              </w:rPr>
              <w:t>2030</w:t>
            </w:r>
          </w:p>
          <w:p w14:paraId="40FF9EBC" w14:textId="77777777" w:rsidR="00E3290E" w:rsidRPr="00E3290E" w:rsidRDefault="00E3290E" w:rsidP="00E3290E">
            <w:pPr>
              <w:rPr>
                <w:lang w:val="en-US" w:eastAsia="en-AU"/>
              </w:rPr>
            </w:pPr>
            <w:r w:rsidRPr="00E3290E">
              <w:rPr>
                <w:lang w:val="en-US" w:eastAsia="en-AU"/>
              </w:rPr>
              <w:t>2031</w:t>
            </w:r>
          </w:p>
          <w:p w14:paraId="2979665E" w14:textId="77777777" w:rsidR="00E3290E" w:rsidRPr="00E3290E" w:rsidRDefault="00E3290E" w:rsidP="00E3290E">
            <w:pPr>
              <w:rPr>
                <w:lang w:val="en-US" w:eastAsia="en-AU"/>
              </w:rPr>
            </w:pPr>
            <w:r w:rsidRPr="00E3290E">
              <w:rPr>
                <w:lang w:val="en-US" w:eastAsia="en-AU"/>
              </w:rPr>
              <w:t>2032</w:t>
            </w:r>
          </w:p>
          <w:p w14:paraId="3158F659" w14:textId="77777777" w:rsidR="00E3290E" w:rsidRPr="00E3290E" w:rsidRDefault="00E3290E" w:rsidP="00E3290E">
            <w:pPr>
              <w:rPr>
                <w:lang w:val="en-US" w:eastAsia="en-AU"/>
              </w:rPr>
            </w:pPr>
            <w:r w:rsidRPr="00E3290E">
              <w:rPr>
                <w:lang w:val="en-US" w:eastAsia="en-AU"/>
              </w:rPr>
              <w:t>2033</w:t>
            </w:r>
          </w:p>
          <w:p w14:paraId="03A7FC39" w14:textId="3CEF71C6" w:rsidR="00E3290E" w:rsidRDefault="00E3290E" w:rsidP="00E3290E">
            <w:pPr>
              <w:rPr>
                <w:lang w:val="en-US" w:eastAsia="en-AU"/>
              </w:rPr>
            </w:pPr>
            <w:r w:rsidRPr="00E3290E">
              <w:rPr>
                <w:lang w:val="en-US" w:eastAsia="en-AU"/>
              </w:rPr>
              <w:t>2034 Onwards</w:t>
            </w:r>
          </w:p>
        </w:tc>
        <w:tc>
          <w:tcPr>
            <w:tcW w:w="1503" w:type="dxa"/>
            <w:tcBorders>
              <w:top w:val="single" w:sz="4" w:space="0" w:color="9FBCD0"/>
              <w:left w:val="single" w:sz="4" w:space="0" w:color="9FBCD0"/>
              <w:bottom w:val="single" w:sz="4" w:space="0" w:color="9FBCD0"/>
              <w:right w:val="single" w:sz="4" w:space="0" w:color="9FBCD0"/>
            </w:tcBorders>
          </w:tcPr>
          <w:p w14:paraId="0A19EDA8" w14:textId="77777777" w:rsidR="00E3290E" w:rsidRPr="00E3290E" w:rsidRDefault="00E3290E" w:rsidP="00E3290E">
            <w:pPr>
              <w:rPr>
                <w:lang w:val="en-US" w:eastAsia="en-AU"/>
              </w:rPr>
            </w:pPr>
            <w:r w:rsidRPr="00E3290E">
              <w:rPr>
                <w:lang w:val="en-US" w:eastAsia="en-AU"/>
              </w:rPr>
              <w:t>1.75%</w:t>
            </w:r>
          </w:p>
          <w:p w14:paraId="1FBEFB28" w14:textId="77777777" w:rsidR="00E3290E" w:rsidRPr="00E3290E" w:rsidRDefault="00E3290E" w:rsidP="00E3290E">
            <w:pPr>
              <w:rPr>
                <w:lang w:val="en-US" w:eastAsia="en-AU"/>
              </w:rPr>
            </w:pPr>
            <w:r w:rsidRPr="00E3290E">
              <w:rPr>
                <w:lang w:val="en-US" w:eastAsia="en-AU"/>
              </w:rPr>
              <w:t>2.75%</w:t>
            </w:r>
          </w:p>
          <w:p w14:paraId="7CB5FF0D" w14:textId="77777777" w:rsidR="00E3290E" w:rsidRPr="00E3290E" w:rsidRDefault="00E3290E" w:rsidP="00E3290E">
            <w:pPr>
              <w:rPr>
                <w:lang w:val="en-US" w:eastAsia="en-AU"/>
              </w:rPr>
            </w:pPr>
            <w:r w:rsidRPr="00E3290E">
              <w:rPr>
                <w:lang w:val="en-US" w:eastAsia="en-AU"/>
              </w:rPr>
              <w:t>3.00%</w:t>
            </w:r>
          </w:p>
          <w:p w14:paraId="6D068789" w14:textId="77777777" w:rsidR="00E3290E" w:rsidRPr="00E3290E" w:rsidRDefault="00E3290E" w:rsidP="00E3290E">
            <w:pPr>
              <w:rPr>
                <w:lang w:val="en-US" w:eastAsia="en-AU"/>
              </w:rPr>
            </w:pPr>
            <w:r w:rsidRPr="00E3290E">
              <w:rPr>
                <w:lang w:val="en-US" w:eastAsia="en-AU"/>
              </w:rPr>
              <w:t>3.25%</w:t>
            </w:r>
          </w:p>
          <w:p w14:paraId="2E8A8FAD" w14:textId="77777777" w:rsidR="00E3290E" w:rsidRPr="00E3290E" w:rsidRDefault="00E3290E" w:rsidP="00E3290E">
            <w:pPr>
              <w:rPr>
                <w:lang w:val="en-US" w:eastAsia="en-AU"/>
              </w:rPr>
            </w:pPr>
            <w:r w:rsidRPr="00E3290E">
              <w:rPr>
                <w:lang w:val="en-US" w:eastAsia="en-AU"/>
              </w:rPr>
              <w:t>3.12%</w:t>
            </w:r>
          </w:p>
          <w:p w14:paraId="14B6B1E6" w14:textId="77777777" w:rsidR="00E3290E" w:rsidRPr="00E3290E" w:rsidRDefault="00E3290E" w:rsidP="00E3290E">
            <w:pPr>
              <w:rPr>
                <w:lang w:val="en-US" w:eastAsia="en-AU"/>
              </w:rPr>
            </w:pPr>
            <w:r w:rsidRPr="00E3290E">
              <w:rPr>
                <w:lang w:val="en-US" w:eastAsia="en-AU"/>
              </w:rPr>
              <w:t>3.00%</w:t>
            </w:r>
          </w:p>
          <w:p w14:paraId="3FD3740F" w14:textId="77777777" w:rsidR="00E3290E" w:rsidRPr="00E3290E" w:rsidRDefault="00E3290E" w:rsidP="00E3290E">
            <w:pPr>
              <w:rPr>
                <w:lang w:val="en-US" w:eastAsia="en-AU"/>
              </w:rPr>
            </w:pPr>
            <w:r w:rsidRPr="00E3290E">
              <w:rPr>
                <w:lang w:val="en-US" w:eastAsia="en-AU"/>
              </w:rPr>
              <w:t>2.87%</w:t>
            </w:r>
          </w:p>
          <w:p w14:paraId="2E18436F" w14:textId="77777777" w:rsidR="00E3290E" w:rsidRPr="00E3290E" w:rsidRDefault="00E3290E" w:rsidP="00E3290E">
            <w:pPr>
              <w:rPr>
                <w:lang w:val="en-US" w:eastAsia="en-AU"/>
              </w:rPr>
            </w:pPr>
            <w:r w:rsidRPr="00E3290E">
              <w:rPr>
                <w:lang w:val="en-US" w:eastAsia="en-AU"/>
              </w:rPr>
              <w:t>2.75%</w:t>
            </w:r>
          </w:p>
          <w:p w14:paraId="73DFC6F2" w14:textId="77777777" w:rsidR="00E3290E" w:rsidRPr="00E3290E" w:rsidRDefault="00E3290E" w:rsidP="00E3290E">
            <w:pPr>
              <w:rPr>
                <w:lang w:val="en-US" w:eastAsia="en-AU"/>
              </w:rPr>
            </w:pPr>
            <w:r w:rsidRPr="00E3290E">
              <w:rPr>
                <w:lang w:val="en-US" w:eastAsia="en-AU"/>
              </w:rPr>
              <w:t>2.62%</w:t>
            </w:r>
          </w:p>
          <w:p w14:paraId="6AE03902" w14:textId="77777777" w:rsidR="00E3290E" w:rsidRPr="00E3290E" w:rsidRDefault="00E3290E" w:rsidP="00E3290E">
            <w:pPr>
              <w:rPr>
                <w:lang w:val="en-US" w:eastAsia="en-AU"/>
              </w:rPr>
            </w:pPr>
            <w:r w:rsidRPr="00E3290E">
              <w:rPr>
                <w:lang w:val="en-US" w:eastAsia="en-AU"/>
              </w:rPr>
              <w:t>2.50%</w:t>
            </w:r>
          </w:p>
          <w:p w14:paraId="36F7EEC0" w14:textId="77777777" w:rsidR="00E3290E" w:rsidRPr="00E3290E" w:rsidRDefault="00E3290E" w:rsidP="00E3290E">
            <w:pPr>
              <w:rPr>
                <w:lang w:val="en-US" w:eastAsia="en-AU"/>
              </w:rPr>
            </w:pPr>
            <w:r w:rsidRPr="00E3290E">
              <w:rPr>
                <w:lang w:val="en-US" w:eastAsia="en-AU"/>
              </w:rPr>
              <w:t>2.37%</w:t>
            </w:r>
          </w:p>
          <w:p w14:paraId="608EFA50" w14:textId="77777777" w:rsidR="00E3290E" w:rsidRPr="00E3290E" w:rsidRDefault="00E3290E" w:rsidP="00E3290E">
            <w:pPr>
              <w:rPr>
                <w:lang w:val="en-US" w:eastAsia="en-AU"/>
              </w:rPr>
            </w:pPr>
            <w:r w:rsidRPr="00E3290E">
              <w:rPr>
                <w:lang w:val="en-US" w:eastAsia="en-AU"/>
              </w:rPr>
              <w:t>2.25%</w:t>
            </w:r>
          </w:p>
          <w:p w14:paraId="6825C29A" w14:textId="77777777" w:rsidR="00E3290E" w:rsidRPr="00E3290E" w:rsidRDefault="00E3290E" w:rsidP="00E3290E">
            <w:pPr>
              <w:rPr>
                <w:lang w:val="en-US" w:eastAsia="en-AU"/>
              </w:rPr>
            </w:pPr>
            <w:r w:rsidRPr="00E3290E">
              <w:rPr>
                <w:lang w:val="en-US" w:eastAsia="en-AU"/>
              </w:rPr>
              <w:t>2.12%</w:t>
            </w:r>
          </w:p>
          <w:p w14:paraId="0BA76B3C" w14:textId="77777777" w:rsidR="00E3290E" w:rsidRPr="00E3290E" w:rsidRDefault="00E3290E" w:rsidP="00E3290E">
            <w:pPr>
              <w:rPr>
                <w:lang w:val="en-US" w:eastAsia="en-AU"/>
              </w:rPr>
            </w:pPr>
            <w:r w:rsidRPr="00E3290E">
              <w:rPr>
                <w:lang w:val="en-US" w:eastAsia="en-AU"/>
              </w:rPr>
              <w:t>1.99%</w:t>
            </w:r>
          </w:p>
          <w:p w14:paraId="30C995BE" w14:textId="77777777" w:rsidR="00E3290E" w:rsidRPr="00E3290E" w:rsidRDefault="00E3290E" w:rsidP="00E3290E">
            <w:pPr>
              <w:rPr>
                <w:lang w:val="en-US" w:eastAsia="en-AU"/>
              </w:rPr>
            </w:pPr>
            <w:r w:rsidRPr="00E3290E">
              <w:rPr>
                <w:lang w:val="en-US" w:eastAsia="en-AU"/>
              </w:rPr>
              <w:t>1.87%</w:t>
            </w:r>
          </w:p>
          <w:p w14:paraId="7808FA07" w14:textId="408275A9" w:rsidR="00E3290E" w:rsidRDefault="00E3290E" w:rsidP="00E3290E">
            <w:pPr>
              <w:rPr>
                <w:lang w:val="en-US" w:eastAsia="en-AU"/>
              </w:rPr>
            </w:pPr>
            <w:r w:rsidRPr="00E3290E">
              <w:rPr>
                <w:lang w:val="en-US" w:eastAsia="en-AU"/>
              </w:rPr>
              <w:t>1.74%</w:t>
            </w:r>
          </w:p>
        </w:tc>
        <w:tc>
          <w:tcPr>
            <w:tcW w:w="1503" w:type="dxa"/>
            <w:tcBorders>
              <w:top w:val="single" w:sz="4" w:space="0" w:color="9FBCD0"/>
              <w:left w:val="single" w:sz="4" w:space="0" w:color="9FBCD0"/>
              <w:bottom w:val="single" w:sz="4" w:space="0" w:color="9FBCD0"/>
              <w:right w:val="single" w:sz="4" w:space="0" w:color="9FBCD0"/>
            </w:tcBorders>
          </w:tcPr>
          <w:p w14:paraId="65DFD614" w14:textId="77777777" w:rsidR="00E3290E" w:rsidRPr="00E3290E" w:rsidRDefault="00E3290E" w:rsidP="00E3290E">
            <w:pPr>
              <w:rPr>
                <w:lang w:val="en-US" w:eastAsia="en-AU"/>
              </w:rPr>
            </w:pPr>
            <w:r w:rsidRPr="00E3290E">
              <w:rPr>
                <w:lang w:val="en-US" w:eastAsia="en-AU"/>
              </w:rPr>
              <w:t>2018</w:t>
            </w:r>
          </w:p>
          <w:p w14:paraId="57249767" w14:textId="77777777" w:rsidR="00E3290E" w:rsidRPr="00E3290E" w:rsidRDefault="00E3290E" w:rsidP="00E3290E">
            <w:pPr>
              <w:rPr>
                <w:lang w:val="en-US" w:eastAsia="en-AU"/>
              </w:rPr>
            </w:pPr>
            <w:r w:rsidRPr="00E3290E">
              <w:rPr>
                <w:lang w:val="en-US" w:eastAsia="en-AU"/>
              </w:rPr>
              <w:t>2019</w:t>
            </w:r>
          </w:p>
          <w:p w14:paraId="31D137F7" w14:textId="77777777" w:rsidR="00E3290E" w:rsidRPr="00E3290E" w:rsidRDefault="00E3290E" w:rsidP="00E3290E">
            <w:pPr>
              <w:rPr>
                <w:lang w:val="en-US" w:eastAsia="en-AU"/>
              </w:rPr>
            </w:pPr>
            <w:r w:rsidRPr="00E3290E">
              <w:rPr>
                <w:lang w:val="en-US" w:eastAsia="en-AU"/>
              </w:rPr>
              <w:t>2020</w:t>
            </w:r>
          </w:p>
          <w:p w14:paraId="425CC7A3" w14:textId="77777777" w:rsidR="00E3290E" w:rsidRPr="00E3290E" w:rsidRDefault="00E3290E" w:rsidP="00E3290E">
            <w:pPr>
              <w:rPr>
                <w:lang w:val="en-US" w:eastAsia="en-AU"/>
              </w:rPr>
            </w:pPr>
            <w:r w:rsidRPr="00E3290E">
              <w:rPr>
                <w:lang w:val="en-US" w:eastAsia="en-AU"/>
              </w:rPr>
              <w:t>2021</w:t>
            </w:r>
          </w:p>
          <w:p w14:paraId="7C6387EF" w14:textId="77777777" w:rsidR="00E3290E" w:rsidRPr="00E3290E" w:rsidRDefault="00E3290E" w:rsidP="00E3290E">
            <w:pPr>
              <w:rPr>
                <w:lang w:val="en-US" w:eastAsia="en-AU"/>
              </w:rPr>
            </w:pPr>
            <w:r w:rsidRPr="00E3290E">
              <w:rPr>
                <w:lang w:val="en-US" w:eastAsia="en-AU"/>
              </w:rPr>
              <w:t>2022</w:t>
            </w:r>
          </w:p>
          <w:p w14:paraId="1162E638" w14:textId="77777777" w:rsidR="00E3290E" w:rsidRPr="00E3290E" w:rsidRDefault="00E3290E" w:rsidP="00E3290E">
            <w:pPr>
              <w:rPr>
                <w:lang w:val="en-US" w:eastAsia="en-AU"/>
              </w:rPr>
            </w:pPr>
            <w:r w:rsidRPr="00E3290E">
              <w:rPr>
                <w:lang w:val="en-US" w:eastAsia="en-AU"/>
              </w:rPr>
              <w:t>2023</w:t>
            </w:r>
          </w:p>
          <w:p w14:paraId="1A26B8B4" w14:textId="77777777" w:rsidR="00E3290E" w:rsidRPr="00E3290E" w:rsidRDefault="00E3290E" w:rsidP="00E3290E">
            <w:pPr>
              <w:rPr>
                <w:lang w:val="en-US" w:eastAsia="en-AU"/>
              </w:rPr>
            </w:pPr>
            <w:r w:rsidRPr="00E3290E">
              <w:rPr>
                <w:lang w:val="en-US" w:eastAsia="en-AU"/>
              </w:rPr>
              <w:t>2024</w:t>
            </w:r>
          </w:p>
          <w:p w14:paraId="5A889A5F" w14:textId="77777777" w:rsidR="00E3290E" w:rsidRPr="00E3290E" w:rsidRDefault="00E3290E" w:rsidP="00E3290E">
            <w:pPr>
              <w:rPr>
                <w:lang w:val="en-US" w:eastAsia="en-AU"/>
              </w:rPr>
            </w:pPr>
            <w:r w:rsidRPr="00E3290E">
              <w:rPr>
                <w:lang w:val="en-US" w:eastAsia="en-AU"/>
              </w:rPr>
              <w:t>2025</w:t>
            </w:r>
          </w:p>
          <w:p w14:paraId="45970534" w14:textId="77777777" w:rsidR="00E3290E" w:rsidRPr="00E3290E" w:rsidRDefault="00E3290E" w:rsidP="00E3290E">
            <w:pPr>
              <w:rPr>
                <w:lang w:val="en-US" w:eastAsia="en-AU"/>
              </w:rPr>
            </w:pPr>
            <w:r w:rsidRPr="00E3290E">
              <w:rPr>
                <w:lang w:val="en-US" w:eastAsia="en-AU"/>
              </w:rPr>
              <w:t>2026</w:t>
            </w:r>
          </w:p>
          <w:p w14:paraId="4DAF7BCC" w14:textId="77777777" w:rsidR="00E3290E" w:rsidRPr="00E3290E" w:rsidRDefault="00E3290E" w:rsidP="00E3290E">
            <w:pPr>
              <w:rPr>
                <w:lang w:val="en-US" w:eastAsia="en-AU"/>
              </w:rPr>
            </w:pPr>
            <w:r w:rsidRPr="00E3290E">
              <w:rPr>
                <w:lang w:val="en-US" w:eastAsia="en-AU"/>
              </w:rPr>
              <w:t>2027</w:t>
            </w:r>
          </w:p>
          <w:p w14:paraId="602D2E21" w14:textId="77777777" w:rsidR="00E3290E" w:rsidRPr="00E3290E" w:rsidRDefault="00E3290E" w:rsidP="00E3290E">
            <w:pPr>
              <w:rPr>
                <w:lang w:val="en-US" w:eastAsia="en-AU"/>
              </w:rPr>
            </w:pPr>
            <w:r w:rsidRPr="00E3290E">
              <w:rPr>
                <w:lang w:val="en-US" w:eastAsia="en-AU"/>
              </w:rPr>
              <w:t>2028</w:t>
            </w:r>
          </w:p>
          <w:p w14:paraId="404F8CD8" w14:textId="77777777" w:rsidR="00E3290E" w:rsidRPr="00E3290E" w:rsidRDefault="00E3290E" w:rsidP="00E3290E">
            <w:pPr>
              <w:rPr>
                <w:lang w:val="en-US" w:eastAsia="en-AU"/>
              </w:rPr>
            </w:pPr>
            <w:r w:rsidRPr="00E3290E">
              <w:rPr>
                <w:lang w:val="en-US" w:eastAsia="en-AU"/>
              </w:rPr>
              <w:t>2029</w:t>
            </w:r>
          </w:p>
          <w:p w14:paraId="46DB00AD" w14:textId="77777777" w:rsidR="00E3290E" w:rsidRPr="00E3290E" w:rsidRDefault="00E3290E" w:rsidP="00E3290E">
            <w:pPr>
              <w:rPr>
                <w:lang w:val="en-US" w:eastAsia="en-AU"/>
              </w:rPr>
            </w:pPr>
            <w:r w:rsidRPr="00E3290E">
              <w:rPr>
                <w:lang w:val="en-US" w:eastAsia="en-AU"/>
              </w:rPr>
              <w:t>2030</w:t>
            </w:r>
          </w:p>
          <w:p w14:paraId="5AB5CE41" w14:textId="77777777" w:rsidR="00E3290E" w:rsidRPr="00E3290E" w:rsidRDefault="00E3290E" w:rsidP="00E3290E">
            <w:pPr>
              <w:rPr>
                <w:lang w:val="en-US" w:eastAsia="en-AU"/>
              </w:rPr>
            </w:pPr>
            <w:r w:rsidRPr="00E3290E">
              <w:rPr>
                <w:lang w:val="en-US" w:eastAsia="en-AU"/>
              </w:rPr>
              <w:t>2031</w:t>
            </w:r>
          </w:p>
          <w:p w14:paraId="0BB6728D" w14:textId="77777777" w:rsidR="00E3290E" w:rsidRPr="00E3290E" w:rsidRDefault="00E3290E" w:rsidP="00E3290E">
            <w:pPr>
              <w:rPr>
                <w:lang w:val="en-US" w:eastAsia="en-AU"/>
              </w:rPr>
            </w:pPr>
            <w:r w:rsidRPr="00E3290E">
              <w:rPr>
                <w:lang w:val="en-US" w:eastAsia="en-AU"/>
              </w:rPr>
              <w:t>2032</w:t>
            </w:r>
          </w:p>
          <w:p w14:paraId="6F69FB25" w14:textId="71554404" w:rsidR="00E3290E" w:rsidRDefault="00E3290E" w:rsidP="00E3290E">
            <w:pPr>
              <w:rPr>
                <w:lang w:val="en-US" w:eastAsia="en-AU"/>
              </w:rPr>
            </w:pPr>
            <w:r w:rsidRPr="00E3290E">
              <w:rPr>
                <w:lang w:val="en-US" w:eastAsia="en-AU"/>
              </w:rPr>
              <w:t>2033 Onwards</w:t>
            </w:r>
          </w:p>
        </w:tc>
        <w:tc>
          <w:tcPr>
            <w:tcW w:w="1503" w:type="dxa"/>
            <w:tcBorders>
              <w:top w:val="single" w:sz="4" w:space="0" w:color="9FBCD0"/>
              <w:left w:val="single" w:sz="4" w:space="0" w:color="9FBCD0"/>
              <w:bottom w:val="single" w:sz="4" w:space="0" w:color="9FBCD0"/>
              <w:right w:val="single" w:sz="4" w:space="0" w:color="9FBCD0"/>
            </w:tcBorders>
          </w:tcPr>
          <w:p w14:paraId="2DBC3DB7" w14:textId="77777777" w:rsidR="00E3290E" w:rsidRPr="00E3290E" w:rsidRDefault="00E3290E" w:rsidP="00E3290E">
            <w:pPr>
              <w:rPr>
                <w:lang w:val="en-US" w:eastAsia="en-AU"/>
              </w:rPr>
            </w:pPr>
            <w:r w:rsidRPr="00E3290E">
              <w:rPr>
                <w:lang w:val="en-US" w:eastAsia="en-AU"/>
              </w:rPr>
              <w:t>2.00%</w:t>
            </w:r>
          </w:p>
          <w:p w14:paraId="29985073" w14:textId="77777777" w:rsidR="00E3290E" w:rsidRPr="00E3290E" w:rsidRDefault="00E3290E" w:rsidP="00E3290E">
            <w:pPr>
              <w:rPr>
                <w:lang w:val="en-US" w:eastAsia="en-AU"/>
              </w:rPr>
            </w:pPr>
            <w:r w:rsidRPr="00E3290E">
              <w:rPr>
                <w:lang w:val="en-US" w:eastAsia="en-AU"/>
              </w:rPr>
              <w:t>2.75%</w:t>
            </w:r>
          </w:p>
          <w:p w14:paraId="535323BE" w14:textId="77777777" w:rsidR="00E3290E" w:rsidRPr="00E3290E" w:rsidRDefault="00E3290E" w:rsidP="00E3290E">
            <w:pPr>
              <w:rPr>
                <w:lang w:val="en-US" w:eastAsia="en-AU"/>
              </w:rPr>
            </w:pPr>
            <w:r w:rsidRPr="00E3290E">
              <w:rPr>
                <w:lang w:val="en-US" w:eastAsia="en-AU"/>
              </w:rPr>
              <w:t>3.25%</w:t>
            </w:r>
          </w:p>
          <w:p w14:paraId="378F134E" w14:textId="77777777" w:rsidR="00E3290E" w:rsidRPr="00E3290E" w:rsidRDefault="00E3290E" w:rsidP="00E3290E">
            <w:pPr>
              <w:rPr>
                <w:lang w:val="en-US" w:eastAsia="en-AU"/>
              </w:rPr>
            </w:pPr>
            <w:r w:rsidRPr="00E3290E">
              <w:rPr>
                <w:lang w:val="en-US" w:eastAsia="en-AU"/>
              </w:rPr>
              <w:t>3.20%</w:t>
            </w:r>
          </w:p>
          <w:p w14:paraId="06E464AA" w14:textId="77777777" w:rsidR="00E3290E" w:rsidRPr="00E3290E" w:rsidRDefault="00E3290E" w:rsidP="00E3290E">
            <w:pPr>
              <w:rPr>
                <w:lang w:val="en-US" w:eastAsia="en-AU"/>
              </w:rPr>
            </w:pPr>
            <w:r w:rsidRPr="00E3290E">
              <w:rPr>
                <w:lang w:val="en-US" w:eastAsia="en-AU"/>
              </w:rPr>
              <w:t>3.14%</w:t>
            </w:r>
          </w:p>
          <w:p w14:paraId="02F6929F" w14:textId="77777777" w:rsidR="00E3290E" w:rsidRPr="00E3290E" w:rsidRDefault="00E3290E" w:rsidP="00E3290E">
            <w:pPr>
              <w:rPr>
                <w:lang w:val="en-US" w:eastAsia="en-AU"/>
              </w:rPr>
            </w:pPr>
            <w:r w:rsidRPr="00E3290E">
              <w:rPr>
                <w:lang w:val="en-US" w:eastAsia="en-AU"/>
              </w:rPr>
              <w:t>3.09%</w:t>
            </w:r>
          </w:p>
          <w:p w14:paraId="48638E77" w14:textId="77777777" w:rsidR="00E3290E" w:rsidRPr="00E3290E" w:rsidRDefault="00E3290E" w:rsidP="00E3290E">
            <w:pPr>
              <w:rPr>
                <w:lang w:val="en-US" w:eastAsia="en-AU"/>
              </w:rPr>
            </w:pPr>
            <w:r w:rsidRPr="00E3290E">
              <w:rPr>
                <w:lang w:val="en-US" w:eastAsia="en-AU"/>
              </w:rPr>
              <w:t>3.03%</w:t>
            </w:r>
          </w:p>
          <w:p w14:paraId="2E5D479F" w14:textId="77777777" w:rsidR="00E3290E" w:rsidRPr="00E3290E" w:rsidRDefault="00E3290E" w:rsidP="00E3290E">
            <w:pPr>
              <w:rPr>
                <w:lang w:val="en-US" w:eastAsia="en-AU"/>
              </w:rPr>
            </w:pPr>
            <w:r w:rsidRPr="00E3290E">
              <w:rPr>
                <w:lang w:val="en-US" w:eastAsia="en-AU"/>
              </w:rPr>
              <w:t>2.98%</w:t>
            </w:r>
          </w:p>
          <w:p w14:paraId="4B9167D1" w14:textId="77777777" w:rsidR="00E3290E" w:rsidRPr="00E3290E" w:rsidRDefault="00E3290E" w:rsidP="00E3290E">
            <w:pPr>
              <w:rPr>
                <w:lang w:val="en-US" w:eastAsia="en-AU"/>
              </w:rPr>
            </w:pPr>
            <w:r w:rsidRPr="00E3290E">
              <w:rPr>
                <w:lang w:val="en-US" w:eastAsia="en-AU"/>
              </w:rPr>
              <w:t>2.92%</w:t>
            </w:r>
          </w:p>
          <w:p w14:paraId="24489A97" w14:textId="77777777" w:rsidR="00E3290E" w:rsidRPr="00E3290E" w:rsidRDefault="00E3290E" w:rsidP="00E3290E">
            <w:pPr>
              <w:rPr>
                <w:lang w:val="en-US" w:eastAsia="en-AU"/>
              </w:rPr>
            </w:pPr>
            <w:r w:rsidRPr="00E3290E">
              <w:rPr>
                <w:lang w:val="en-US" w:eastAsia="en-AU"/>
              </w:rPr>
              <w:t>2.87%</w:t>
            </w:r>
          </w:p>
          <w:p w14:paraId="105F4848" w14:textId="77777777" w:rsidR="00E3290E" w:rsidRPr="00E3290E" w:rsidRDefault="00E3290E" w:rsidP="00E3290E">
            <w:pPr>
              <w:rPr>
                <w:lang w:val="en-US" w:eastAsia="en-AU"/>
              </w:rPr>
            </w:pPr>
            <w:r w:rsidRPr="00E3290E">
              <w:rPr>
                <w:lang w:val="en-US" w:eastAsia="en-AU"/>
              </w:rPr>
              <w:t>2.82%</w:t>
            </w:r>
          </w:p>
          <w:p w14:paraId="3264B930" w14:textId="77777777" w:rsidR="00E3290E" w:rsidRPr="00E3290E" w:rsidRDefault="00E3290E" w:rsidP="00E3290E">
            <w:pPr>
              <w:rPr>
                <w:lang w:val="en-US" w:eastAsia="en-AU"/>
              </w:rPr>
            </w:pPr>
            <w:r w:rsidRPr="00E3290E">
              <w:rPr>
                <w:lang w:val="en-US" w:eastAsia="en-AU"/>
              </w:rPr>
              <w:t>2.76%</w:t>
            </w:r>
          </w:p>
          <w:p w14:paraId="5D2147C5" w14:textId="77777777" w:rsidR="00E3290E" w:rsidRPr="00E3290E" w:rsidRDefault="00E3290E" w:rsidP="00E3290E">
            <w:pPr>
              <w:rPr>
                <w:lang w:val="en-US" w:eastAsia="en-AU"/>
              </w:rPr>
            </w:pPr>
            <w:r w:rsidRPr="00E3290E">
              <w:rPr>
                <w:lang w:val="en-US" w:eastAsia="en-AU"/>
              </w:rPr>
              <w:t>2.71%</w:t>
            </w:r>
          </w:p>
          <w:p w14:paraId="60CB2888" w14:textId="77777777" w:rsidR="00E3290E" w:rsidRPr="00E3290E" w:rsidRDefault="00E3290E" w:rsidP="00E3290E">
            <w:pPr>
              <w:rPr>
                <w:lang w:val="en-US" w:eastAsia="en-AU"/>
              </w:rPr>
            </w:pPr>
            <w:r w:rsidRPr="00E3290E">
              <w:rPr>
                <w:lang w:val="en-US" w:eastAsia="en-AU"/>
              </w:rPr>
              <w:t>2.65%</w:t>
            </w:r>
          </w:p>
          <w:p w14:paraId="6CDECCAF" w14:textId="77777777" w:rsidR="00E3290E" w:rsidRPr="00E3290E" w:rsidRDefault="00E3290E" w:rsidP="00E3290E">
            <w:pPr>
              <w:rPr>
                <w:lang w:val="en-US" w:eastAsia="en-AU"/>
              </w:rPr>
            </w:pPr>
            <w:r w:rsidRPr="00E3290E">
              <w:rPr>
                <w:lang w:val="en-US" w:eastAsia="en-AU"/>
              </w:rPr>
              <w:t>2.60%</w:t>
            </w:r>
          </w:p>
          <w:p w14:paraId="5BEDDAC2" w14:textId="3A5F4944" w:rsidR="00E3290E" w:rsidRDefault="00E3290E" w:rsidP="00E3290E">
            <w:pPr>
              <w:rPr>
                <w:lang w:val="en-US" w:eastAsia="en-AU"/>
              </w:rPr>
            </w:pPr>
            <w:r w:rsidRPr="00E3290E">
              <w:rPr>
                <w:lang w:val="en-US" w:eastAsia="en-AU"/>
              </w:rPr>
              <w:t>2.54%</w:t>
            </w:r>
          </w:p>
        </w:tc>
      </w:tr>
      <w:tr w:rsidR="00E3290E" w14:paraId="5FC99B57"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22D0FB49" w14:textId="466A2EA1" w:rsidR="00E3290E" w:rsidRPr="00F5459A" w:rsidRDefault="00E3290E" w:rsidP="00121076">
            <w:pPr>
              <w:rPr>
                <w:b/>
                <w:lang w:val="en-US" w:eastAsia="en-AU"/>
              </w:rPr>
            </w:pPr>
            <w:r>
              <w:rPr>
                <w:b/>
                <w:lang w:val="en-US" w:eastAsia="en-AU"/>
              </w:rPr>
              <w:t>Discount Rate</w:t>
            </w:r>
          </w:p>
        </w:tc>
        <w:tc>
          <w:tcPr>
            <w:tcW w:w="1502" w:type="dxa"/>
            <w:tcBorders>
              <w:top w:val="single" w:sz="4" w:space="0" w:color="9FBCD0"/>
              <w:left w:val="single" w:sz="4" w:space="0" w:color="9FBCD0"/>
              <w:bottom w:val="single" w:sz="4" w:space="0" w:color="9FBCD0"/>
              <w:right w:val="single" w:sz="4" w:space="0" w:color="9FBCD0"/>
            </w:tcBorders>
          </w:tcPr>
          <w:p w14:paraId="716BE7C4" w14:textId="77777777" w:rsidR="00E3290E" w:rsidRPr="00E3290E" w:rsidRDefault="00E3290E" w:rsidP="00E3290E">
            <w:pPr>
              <w:rPr>
                <w:lang w:val="en-US" w:eastAsia="en-AU"/>
              </w:rPr>
            </w:pPr>
            <w:r w:rsidRPr="00E3290E">
              <w:rPr>
                <w:lang w:val="en-US" w:eastAsia="en-AU"/>
              </w:rPr>
              <w:t>2019</w:t>
            </w:r>
          </w:p>
          <w:p w14:paraId="53A72DDB" w14:textId="77777777" w:rsidR="00E3290E" w:rsidRPr="00E3290E" w:rsidRDefault="00E3290E" w:rsidP="00E3290E">
            <w:pPr>
              <w:rPr>
                <w:lang w:val="en-US" w:eastAsia="en-AU"/>
              </w:rPr>
            </w:pPr>
            <w:r w:rsidRPr="00E3290E">
              <w:rPr>
                <w:lang w:val="en-US" w:eastAsia="en-AU"/>
              </w:rPr>
              <w:t>2020</w:t>
            </w:r>
          </w:p>
          <w:p w14:paraId="4F971AE0" w14:textId="77777777" w:rsidR="00E3290E" w:rsidRPr="00E3290E" w:rsidRDefault="00E3290E" w:rsidP="00E3290E">
            <w:pPr>
              <w:rPr>
                <w:lang w:val="en-US" w:eastAsia="en-AU"/>
              </w:rPr>
            </w:pPr>
            <w:r w:rsidRPr="00E3290E">
              <w:rPr>
                <w:lang w:val="en-US" w:eastAsia="en-AU"/>
              </w:rPr>
              <w:t>2021</w:t>
            </w:r>
          </w:p>
          <w:p w14:paraId="72EEE7ED" w14:textId="77777777" w:rsidR="00E3290E" w:rsidRPr="00E3290E" w:rsidRDefault="00E3290E" w:rsidP="00E3290E">
            <w:pPr>
              <w:rPr>
                <w:lang w:val="en-US" w:eastAsia="en-AU"/>
              </w:rPr>
            </w:pPr>
            <w:r w:rsidRPr="00E3290E">
              <w:rPr>
                <w:lang w:val="en-US" w:eastAsia="en-AU"/>
              </w:rPr>
              <w:t>2022</w:t>
            </w:r>
          </w:p>
          <w:p w14:paraId="52446628" w14:textId="77777777" w:rsidR="00E3290E" w:rsidRPr="00E3290E" w:rsidRDefault="00E3290E" w:rsidP="00E3290E">
            <w:pPr>
              <w:rPr>
                <w:lang w:val="en-US" w:eastAsia="en-AU"/>
              </w:rPr>
            </w:pPr>
            <w:r w:rsidRPr="00E3290E">
              <w:rPr>
                <w:lang w:val="en-US" w:eastAsia="en-AU"/>
              </w:rPr>
              <w:t>2023</w:t>
            </w:r>
          </w:p>
          <w:p w14:paraId="250FFE80" w14:textId="77777777" w:rsidR="00E3290E" w:rsidRPr="00E3290E" w:rsidRDefault="00E3290E" w:rsidP="00E3290E">
            <w:pPr>
              <w:rPr>
                <w:lang w:val="en-US" w:eastAsia="en-AU"/>
              </w:rPr>
            </w:pPr>
            <w:r w:rsidRPr="00E3290E">
              <w:rPr>
                <w:lang w:val="en-US" w:eastAsia="en-AU"/>
              </w:rPr>
              <w:t>2024</w:t>
            </w:r>
          </w:p>
          <w:p w14:paraId="71A3328A" w14:textId="77777777" w:rsidR="00E3290E" w:rsidRPr="00E3290E" w:rsidRDefault="00E3290E" w:rsidP="00E3290E">
            <w:pPr>
              <w:rPr>
                <w:lang w:val="en-US" w:eastAsia="en-AU"/>
              </w:rPr>
            </w:pPr>
            <w:r w:rsidRPr="00E3290E">
              <w:rPr>
                <w:lang w:val="en-US" w:eastAsia="en-AU"/>
              </w:rPr>
              <w:t>2025</w:t>
            </w:r>
          </w:p>
          <w:p w14:paraId="1CD6C142" w14:textId="77777777" w:rsidR="00E3290E" w:rsidRPr="00E3290E" w:rsidRDefault="00E3290E" w:rsidP="00E3290E">
            <w:pPr>
              <w:rPr>
                <w:lang w:val="en-US" w:eastAsia="en-AU"/>
              </w:rPr>
            </w:pPr>
            <w:r w:rsidRPr="00E3290E">
              <w:rPr>
                <w:lang w:val="en-US" w:eastAsia="en-AU"/>
              </w:rPr>
              <w:t>2026</w:t>
            </w:r>
          </w:p>
          <w:p w14:paraId="75C0D4D2" w14:textId="77777777" w:rsidR="00E3290E" w:rsidRPr="00E3290E" w:rsidRDefault="00E3290E" w:rsidP="00E3290E">
            <w:pPr>
              <w:rPr>
                <w:lang w:val="en-US" w:eastAsia="en-AU"/>
              </w:rPr>
            </w:pPr>
            <w:r w:rsidRPr="00E3290E">
              <w:rPr>
                <w:lang w:val="en-US" w:eastAsia="en-AU"/>
              </w:rPr>
              <w:t>2027</w:t>
            </w:r>
          </w:p>
          <w:p w14:paraId="01B15FF3" w14:textId="77777777" w:rsidR="00E3290E" w:rsidRPr="00E3290E" w:rsidRDefault="00E3290E" w:rsidP="00E3290E">
            <w:pPr>
              <w:rPr>
                <w:lang w:val="en-US" w:eastAsia="en-AU"/>
              </w:rPr>
            </w:pPr>
            <w:r w:rsidRPr="00E3290E">
              <w:rPr>
                <w:lang w:val="en-US" w:eastAsia="en-AU"/>
              </w:rPr>
              <w:t>2028</w:t>
            </w:r>
          </w:p>
          <w:p w14:paraId="0CBA90DF" w14:textId="77777777" w:rsidR="00E3290E" w:rsidRPr="00E3290E" w:rsidRDefault="00E3290E" w:rsidP="00E3290E">
            <w:pPr>
              <w:rPr>
                <w:lang w:val="en-US" w:eastAsia="en-AU"/>
              </w:rPr>
            </w:pPr>
            <w:r w:rsidRPr="00E3290E">
              <w:rPr>
                <w:lang w:val="en-US" w:eastAsia="en-AU"/>
              </w:rPr>
              <w:t>2029</w:t>
            </w:r>
          </w:p>
          <w:p w14:paraId="6C547934" w14:textId="77777777" w:rsidR="00E3290E" w:rsidRPr="00E3290E" w:rsidRDefault="00E3290E" w:rsidP="00E3290E">
            <w:pPr>
              <w:rPr>
                <w:lang w:val="en-US" w:eastAsia="en-AU"/>
              </w:rPr>
            </w:pPr>
            <w:r w:rsidRPr="00E3290E">
              <w:rPr>
                <w:lang w:val="en-US" w:eastAsia="en-AU"/>
              </w:rPr>
              <w:t>2030</w:t>
            </w:r>
          </w:p>
          <w:p w14:paraId="7FBAA794" w14:textId="77777777" w:rsidR="00E3290E" w:rsidRPr="00E3290E" w:rsidRDefault="00E3290E" w:rsidP="00E3290E">
            <w:pPr>
              <w:rPr>
                <w:lang w:val="en-US" w:eastAsia="en-AU"/>
              </w:rPr>
            </w:pPr>
            <w:r w:rsidRPr="00E3290E">
              <w:rPr>
                <w:lang w:val="en-US" w:eastAsia="en-AU"/>
              </w:rPr>
              <w:t>2031</w:t>
            </w:r>
          </w:p>
          <w:p w14:paraId="36BBD8D2" w14:textId="77777777" w:rsidR="00E3290E" w:rsidRPr="00E3290E" w:rsidRDefault="00E3290E" w:rsidP="00E3290E">
            <w:pPr>
              <w:rPr>
                <w:lang w:val="en-US" w:eastAsia="en-AU"/>
              </w:rPr>
            </w:pPr>
            <w:r w:rsidRPr="00E3290E">
              <w:rPr>
                <w:lang w:val="en-US" w:eastAsia="en-AU"/>
              </w:rPr>
              <w:t>2032</w:t>
            </w:r>
          </w:p>
          <w:p w14:paraId="5F79B419" w14:textId="77777777" w:rsidR="00E3290E" w:rsidRPr="00E3290E" w:rsidRDefault="00E3290E" w:rsidP="00E3290E">
            <w:pPr>
              <w:rPr>
                <w:lang w:val="en-US" w:eastAsia="en-AU"/>
              </w:rPr>
            </w:pPr>
            <w:r w:rsidRPr="00E3290E">
              <w:rPr>
                <w:lang w:val="en-US" w:eastAsia="en-AU"/>
              </w:rPr>
              <w:t>2033</w:t>
            </w:r>
          </w:p>
          <w:p w14:paraId="359DDF88" w14:textId="5AFF0BAE" w:rsidR="00E3290E" w:rsidRDefault="00E3290E" w:rsidP="00E3290E">
            <w:pPr>
              <w:rPr>
                <w:lang w:val="en-US" w:eastAsia="en-AU"/>
              </w:rPr>
            </w:pPr>
            <w:r w:rsidRPr="00E3290E">
              <w:rPr>
                <w:lang w:val="en-US" w:eastAsia="en-AU"/>
              </w:rPr>
              <w:t>2034 Onwards</w:t>
            </w:r>
          </w:p>
        </w:tc>
        <w:tc>
          <w:tcPr>
            <w:tcW w:w="1503" w:type="dxa"/>
            <w:tcBorders>
              <w:top w:val="single" w:sz="4" w:space="0" w:color="9FBCD0"/>
              <w:left w:val="single" w:sz="4" w:space="0" w:color="9FBCD0"/>
              <w:bottom w:val="single" w:sz="4" w:space="0" w:color="9FBCD0"/>
              <w:right w:val="single" w:sz="4" w:space="0" w:color="9FBCD0"/>
            </w:tcBorders>
          </w:tcPr>
          <w:p w14:paraId="011975C0" w14:textId="77777777" w:rsidR="00E3290E" w:rsidRPr="00E3290E" w:rsidRDefault="00E3290E" w:rsidP="00E3290E">
            <w:pPr>
              <w:rPr>
                <w:lang w:val="en-US" w:eastAsia="en-AU"/>
              </w:rPr>
            </w:pPr>
            <w:r w:rsidRPr="00E3290E">
              <w:rPr>
                <w:lang w:val="en-US" w:eastAsia="en-AU"/>
              </w:rPr>
              <w:t>1.89%</w:t>
            </w:r>
          </w:p>
          <w:p w14:paraId="48C7052A" w14:textId="77777777" w:rsidR="00E3290E" w:rsidRPr="00E3290E" w:rsidRDefault="00E3290E" w:rsidP="00E3290E">
            <w:pPr>
              <w:rPr>
                <w:lang w:val="en-US" w:eastAsia="en-AU"/>
              </w:rPr>
            </w:pPr>
            <w:r w:rsidRPr="00E3290E">
              <w:rPr>
                <w:lang w:val="en-US" w:eastAsia="en-AU"/>
              </w:rPr>
              <w:t>2.09%</w:t>
            </w:r>
          </w:p>
          <w:p w14:paraId="161E01DD" w14:textId="77777777" w:rsidR="00E3290E" w:rsidRPr="00E3290E" w:rsidRDefault="00E3290E" w:rsidP="00E3290E">
            <w:pPr>
              <w:rPr>
                <w:lang w:val="en-US" w:eastAsia="en-AU"/>
              </w:rPr>
            </w:pPr>
            <w:r w:rsidRPr="00E3290E">
              <w:rPr>
                <w:lang w:val="en-US" w:eastAsia="en-AU"/>
              </w:rPr>
              <w:t>2.37%</w:t>
            </w:r>
          </w:p>
          <w:p w14:paraId="183A45EB" w14:textId="77777777" w:rsidR="00E3290E" w:rsidRPr="00E3290E" w:rsidRDefault="00E3290E" w:rsidP="00E3290E">
            <w:pPr>
              <w:rPr>
                <w:lang w:val="en-US" w:eastAsia="en-AU"/>
              </w:rPr>
            </w:pPr>
            <w:r w:rsidRPr="00E3290E">
              <w:rPr>
                <w:lang w:val="en-US" w:eastAsia="en-AU"/>
              </w:rPr>
              <w:t>2.61%</w:t>
            </w:r>
          </w:p>
          <w:p w14:paraId="0E98F88E" w14:textId="77777777" w:rsidR="00E3290E" w:rsidRPr="00E3290E" w:rsidRDefault="00E3290E" w:rsidP="00E3290E">
            <w:pPr>
              <w:rPr>
                <w:lang w:val="en-US" w:eastAsia="en-AU"/>
              </w:rPr>
            </w:pPr>
            <w:r w:rsidRPr="00E3290E">
              <w:rPr>
                <w:lang w:val="en-US" w:eastAsia="en-AU"/>
              </w:rPr>
              <w:t>2.79%</w:t>
            </w:r>
          </w:p>
          <w:p w14:paraId="1D840B32" w14:textId="77777777" w:rsidR="00E3290E" w:rsidRPr="00E3290E" w:rsidRDefault="00E3290E" w:rsidP="00E3290E">
            <w:pPr>
              <w:rPr>
                <w:lang w:val="en-US" w:eastAsia="en-AU"/>
              </w:rPr>
            </w:pPr>
            <w:r w:rsidRPr="00E3290E">
              <w:rPr>
                <w:lang w:val="en-US" w:eastAsia="en-AU"/>
              </w:rPr>
              <w:t>2.92%</w:t>
            </w:r>
          </w:p>
          <w:p w14:paraId="6DAE4C10" w14:textId="77777777" w:rsidR="00E3290E" w:rsidRPr="00E3290E" w:rsidRDefault="00E3290E" w:rsidP="00E3290E">
            <w:pPr>
              <w:rPr>
                <w:lang w:val="en-US" w:eastAsia="en-AU"/>
              </w:rPr>
            </w:pPr>
            <w:r w:rsidRPr="00E3290E">
              <w:rPr>
                <w:lang w:val="en-US" w:eastAsia="en-AU"/>
              </w:rPr>
              <w:t>2.99%</w:t>
            </w:r>
          </w:p>
          <w:p w14:paraId="52A8E5EA" w14:textId="77777777" w:rsidR="00E3290E" w:rsidRPr="00E3290E" w:rsidRDefault="00E3290E" w:rsidP="00E3290E">
            <w:pPr>
              <w:rPr>
                <w:lang w:val="en-US" w:eastAsia="en-AU"/>
              </w:rPr>
            </w:pPr>
            <w:r w:rsidRPr="00E3290E">
              <w:rPr>
                <w:lang w:val="en-US" w:eastAsia="en-AU"/>
              </w:rPr>
              <w:t>3.02%</w:t>
            </w:r>
          </w:p>
          <w:p w14:paraId="348935A0" w14:textId="77777777" w:rsidR="00E3290E" w:rsidRPr="00E3290E" w:rsidRDefault="00E3290E" w:rsidP="00E3290E">
            <w:pPr>
              <w:rPr>
                <w:lang w:val="en-US" w:eastAsia="en-AU"/>
              </w:rPr>
            </w:pPr>
            <w:r w:rsidRPr="00E3290E">
              <w:rPr>
                <w:lang w:val="en-US" w:eastAsia="en-AU"/>
              </w:rPr>
              <w:t>3.04%</w:t>
            </w:r>
          </w:p>
          <w:p w14:paraId="0EDAF905" w14:textId="77777777" w:rsidR="00E3290E" w:rsidRPr="00E3290E" w:rsidRDefault="00E3290E" w:rsidP="00E3290E">
            <w:pPr>
              <w:rPr>
                <w:lang w:val="en-US" w:eastAsia="en-AU"/>
              </w:rPr>
            </w:pPr>
            <w:r w:rsidRPr="00E3290E">
              <w:rPr>
                <w:lang w:val="en-US" w:eastAsia="en-AU"/>
              </w:rPr>
              <w:t>3.09%</w:t>
            </w:r>
          </w:p>
          <w:p w14:paraId="018FE9A5" w14:textId="77777777" w:rsidR="00E3290E" w:rsidRPr="00E3290E" w:rsidRDefault="00E3290E" w:rsidP="00E3290E">
            <w:pPr>
              <w:rPr>
                <w:lang w:val="en-US" w:eastAsia="en-AU"/>
              </w:rPr>
            </w:pPr>
            <w:r w:rsidRPr="00E3290E">
              <w:rPr>
                <w:lang w:val="en-US" w:eastAsia="en-AU"/>
              </w:rPr>
              <w:t>3.18%</w:t>
            </w:r>
          </w:p>
          <w:p w14:paraId="09031498" w14:textId="77777777" w:rsidR="00E3290E" w:rsidRPr="00E3290E" w:rsidRDefault="00E3290E" w:rsidP="00E3290E">
            <w:pPr>
              <w:rPr>
                <w:lang w:val="en-US" w:eastAsia="en-AU"/>
              </w:rPr>
            </w:pPr>
            <w:r w:rsidRPr="00E3290E">
              <w:rPr>
                <w:lang w:val="en-US" w:eastAsia="en-AU"/>
              </w:rPr>
              <w:t>3.27%</w:t>
            </w:r>
          </w:p>
          <w:p w14:paraId="5639C0CB" w14:textId="77777777" w:rsidR="00E3290E" w:rsidRPr="00E3290E" w:rsidRDefault="00E3290E" w:rsidP="00E3290E">
            <w:pPr>
              <w:rPr>
                <w:lang w:val="en-US" w:eastAsia="en-AU"/>
              </w:rPr>
            </w:pPr>
            <w:r w:rsidRPr="00E3290E">
              <w:rPr>
                <w:lang w:val="en-US" w:eastAsia="en-AU"/>
              </w:rPr>
              <w:t>3.34%</w:t>
            </w:r>
          </w:p>
          <w:p w14:paraId="00A60C38" w14:textId="77777777" w:rsidR="00E3290E" w:rsidRPr="00E3290E" w:rsidRDefault="00E3290E" w:rsidP="00E3290E">
            <w:pPr>
              <w:rPr>
                <w:lang w:val="en-US" w:eastAsia="en-AU"/>
              </w:rPr>
            </w:pPr>
            <w:r w:rsidRPr="00E3290E">
              <w:rPr>
                <w:lang w:val="en-US" w:eastAsia="en-AU"/>
              </w:rPr>
              <w:t>3.41%</w:t>
            </w:r>
          </w:p>
          <w:p w14:paraId="7D2F81AE" w14:textId="77777777" w:rsidR="00E3290E" w:rsidRPr="00E3290E" w:rsidRDefault="00E3290E" w:rsidP="00E3290E">
            <w:pPr>
              <w:rPr>
                <w:lang w:val="en-US" w:eastAsia="en-AU"/>
              </w:rPr>
            </w:pPr>
            <w:r w:rsidRPr="00E3290E">
              <w:rPr>
                <w:lang w:val="en-US" w:eastAsia="en-AU"/>
              </w:rPr>
              <w:t>3.47%</w:t>
            </w:r>
          </w:p>
          <w:p w14:paraId="308F68B4" w14:textId="228ED90A" w:rsidR="00E3290E" w:rsidRDefault="00E3290E" w:rsidP="00E3290E">
            <w:pPr>
              <w:rPr>
                <w:lang w:val="en-US" w:eastAsia="en-AU"/>
              </w:rPr>
            </w:pPr>
            <w:r w:rsidRPr="00E3290E">
              <w:rPr>
                <w:lang w:val="en-US" w:eastAsia="en-AU"/>
              </w:rPr>
              <w:t>3.49%</w:t>
            </w:r>
          </w:p>
        </w:tc>
        <w:tc>
          <w:tcPr>
            <w:tcW w:w="1503" w:type="dxa"/>
            <w:tcBorders>
              <w:top w:val="single" w:sz="4" w:space="0" w:color="9FBCD0"/>
              <w:left w:val="single" w:sz="4" w:space="0" w:color="9FBCD0"/>
              <w:bottom w:val="single" w:sz="4" w:space="0" w:color="9FBCD0"/>
              <w:right w:val="single" w:sz="4" w:space="0" w:color="9FBCD0"/>
            </w:tcBorders>
          </w:tcPr>
          <w:p w14:paraId="0791D7C9" w14:textId="77777777" w:rsidR="00E3290E" w:rsidRPr="00E3290E" w:rsidRDefault="00E3290E" w:rsidP="00E3290E">
            <w:pPr>
              <w:rPr>
                <w:lang w:val="en-US" w:eastAsia="en-AU"/>
              </w:rPr>
            </w:pPr>
            <w:r w:rsidRPr="00E3290E">
              <w:rPr>
                <w:lang w:val="en-US" w:eastAsia="en-AU"/>
              </w:rPr>
              <w:t>2018</w:t>
            </w:r>
          </w:p>
          <w:p w14:paraId="010FFAD6" w14:textId="77777777" w:rsidR="00E3290E" w:rsidRPr="00E3290E" w:rsidRDefault="00E3290E" w:rsidP="00E3290E">
            <w:pPr>
              <w:rPr>
                <w:lang w:val="en-US" w:eastAsia="en-AU"/>
              </w:rPr>
            </w:pPr>
            <w:r w:rsidRPr="00E3290E">
              <w:rPr>
                <w:lang w:val="en-US" w:eastAsia="en-AU"/>
              </w:rPr>
              <w:t>2019</w:t>
            </w:r>
          </w:p>
          <w:p w14:paraId="5D169BC9" w14:textId="77777777" w:rsidR="00E3290E" w:rsidRPr="00E3290E" w:rsidRDefault="00E3290E" w:rsidP="00E3290E">
            <w:pPr>
              <w:rPr>
                <w:lang w:val="en-US" w:eastAsia="en-AU"/>
              </w:rPr>
            </w:pPr>
            <w:r w:rsidRPr="00E3290E">
              <w:rPr>
                <w:lang w:val="en-US" w:eastAsia="en-AU"/>
              </w:rPr>
              <w:t>2020</w:t>
            </w:r>
          </w:p>
          <w:p w14:paraId="47636921" w14:textId="77777777" w:rsidR="00E3290E" w:rsidRPr="00E3290E" w:rsidRDefault="00E3290E" w:rsidP="00E3290E">
            <w:pPr>
              <w:rPr>
                <w:lang w:val="en-US" w:eastAsia="en-AU"/>
              </w:rPr>
            </w:pPr>
            <w:r w:rsidRPr="00E3290E">
              <w:rPr>
                <w:lang w:val="en-US" w:eastAsia="en-AU"/>
              </w:rPr>
              <w:t>2021</w:t>
            </w:r>
          </w:p>
          <w:p w14:paraId="4BC4E6A3" w14:textId="77777777" w:rsidR="00E3290E" w:rsidRPr="00E3290E" w:rsidRDefault="00E3290E" w:rsidP="00E3290E">
            <w:pPr>
              <w:rPr>
                <w:lang w:val="en-US" w:eastAsia="en-AU"/>
              </w:rPr>
            </w:pPr>
            <w:r w:rsidRPr="00E3290E">
              <w:rPr>
                <w:lang w:val="en-US" w:eastAsia="en-AU"/>
              </w:rPr>
              <w:t>2022</w:t>
            </w:r>
          </w:p>
          <w:p w14:paraId="5BD0D846" w14:textId="77777777" w:rsidR="00E3290E" w:rsidRPr="00E3290E" w:rsidRDefault="00E3290E" w:rsidP="00E3290E">
            <w:pPr>
              <w:rPr>
                <w:lang w:val="en-US" w:eastAsia="en-AU"/>
              </w:rPr>
            </w:pPr>
            <w:r w:rsidRPr="00E3290E">
              <w:rPr>
                <w:lang w:val="en-US" w:eastAsia="en-AU"/>
              </w:rPr>
              <w:t>2023</w:t>
            </w:r>
          </w:p>
          <w:p w14:paraId="7605E632" w14:textId="77777777" w:rsidR="00E3290E" w:rsidRPr="00E3290E" w:rsidRDefault="00E3290E" w:rsidP="00E3290E">
            <w:pPr>
              <w:rPr>
                <w:lang w:val="en-US" w:eastAsia="en-AU"/>
              </w:rPr>
            </w:pPr>
            <w:r w:rsidRPr="00E3290E">
              <w:rPr>
                <w:lang w:val="en-US" w:eastAsia="en-AU"/>
              </w:rPr>
              <w:t>2024</w:t>
            </w:r>
          </w:p>
          <w:p w14:paraId="5B5CF42A" w14:textId="77777777" w:rsidR="00E3290E" w:rsidRPr="00E3290E" w:rsidRDefault="00E3290E" w:rsidP="00E3290E">
            <w:pPr>
              <w:rPr>
                <w:lang w:val="en-US" w:eastAsia="en-AU"/>
              </w:rPr>
            </w:pPr>
            <w:r w:rsidRPr="00E3290E">
              <w:rPr>
                <w:lang w:val="en-US" w:eastAsia="en-AU"/>
              </w:rPr>
              <w:t>2025</w:t>
            </w:r>
          </w:p>
          <w:p w14:paraId="180FCD98" w14:textId="77777777" w:rsidR="00E3290E" w:rsidRPr="00E3290E" w:rsidRDefault="00E3290E" w:rsidP="00E3290E">
            <w:pPr>
              <w:rPr>
                <w:lang w:val="en-US" w:eastAsia="en-AU"/>
              </w:rPr>
            </w:pPr>
            <w:r w:rsidRPr="00E3290E">
              <w:rPr>
                <w:lang w:val="en-US" w:eastAsia="en-AU"/>
              </w:rPr>
              <w:t>2026</w:t>
            </w:r>
          </w:p>
          <w:p w14:paraId="314F0DFF" w14:textId="77777777" w:rsidR="00E3290E" w:rsidRPr="00E3290E" w:rsidRDefault="00E3290E" w:rsidP="00E3290E">
            <w:pPr>
              <w:rPr>
                <w:lang w:val="en-US" w:eastAsia="en-AU"/>
              </w:rPr>
            </w:pPr>
            <w:r w:rsidRPr="00E3290E">
              <w:rPr>
                <w:lang w:val="en-US" w:eastAsia="en-AU"/>
              </w:rPr>
              <w:t>2027</w:t>
            </w:r>
          </w:p>
          <w:p w14:paraId="40D8B7F1" w14:textId="77777777" w:rsidR="00E3290E" w:rsidRPr="00E3290E" w:rsidRDefault="00E3290E" w:rsidP="00E3290E">
            <w:pPr>
              <w:rPr>
                <w:lang w:val="en-US" w:eastAsia="en-AU"/>
              </w:rPr>
            </w:pPr>
            <w:r w:rsidRPr="00E3290E">
              <w:rPr>
                <w:lang w:val="en-US" w:eastAsia="en-AU"/>
              </w:rPr>
              <w:t>2028</w:t>
            </w:r>
          </w:p>
          <w:p w14:paraId="55157D41" w14:textId="77777777" w:rsidR="00E3290E" w:rsidRPr="00E3290E" w:rsidRDefault="00E3290E" w:rsidP="00E3290E">
            <w:pPr>
              <w:rPr>
                <w:lang w:val="en-US" w:eastAsia="en-AU"/>
              </w:rPr>
            </w:pPr>
            <w:r w:rsidRPr="00E3290E">
              <w:rPr>
                <w:lang w:val="en-US" w:eastAsia="en-AU"/>
              </w:rPr>
              <w:t>2029</w:t>
            </w:r>
          </w:p>
          <w:p w14:paraId="34730540" w14:textId="77777777" w:rsidR="00E3290E" w:rsidRPr="00E3290E" w:rsidRDefault="00E3290E" w:rsidP="00E3290E">
            <w:pPr>
              <w:rPr>
                <w:lang w:val="en-US" w:eastAsia="en-AU"/>
              </w:rPr>
            </w:pPr>
            <w:r w:rsidRPr="00E3290E">
              <w:rPr>
                <w:lang w:val="en-US" w:eastAsia="en-AU"/>
              </w:rPr>
              <w:t>2030</w:t>
            </w:r>
          </w:p>
          <w:p w14:paraId="3B9D2B89" w14:textId="77777777" w:rsidR="00E3290E" w:rsidRPr="00E3290E" w:rsidRDefault="00E3290E" w:rsidP="00E3290E">
            <w:pPr>
              <w:rPr>
                <w:lang w:val="en-US" w:eastAsia="en-AU"/>
              </w:rPr>
            </w:pPr>
            <w:r w:rsidRPr="00E3290E">
              <w:rPr>
                <w:lang w:val="en-US" w:eastAsia="en-AU"/>
              </w:rPr>
              <w:t>2031</w:t>
            </w:r>
          </w:p>
          <w:p w14:paraId="179C04F5" w14:textId="77777777" w:rsidR="00E3290E" w:rsidRPr="00E3290E" w:rsidRDefault="00E3290E" w:rsidP="00E3290E">
            <w:pPr>
              <w:rPr>
                <w:lang w:val="en-US" w:eastAsia="en-AU"/>
              </w:rPr>
            </w:pPr>
            <w:r w:rsidRPr="00E3290E">
              <w:rPr>
                <w:lang w:val="en-US" w:eastAsia="en-AU"/>
              </w:rPr>
              <w:t>2032</w:t>
            </w:r>
          </w:p>
          <w:p w14:paraId="72BED07D" w14:textId="5776EAD7" w:rsidR="00E3290E" w:rsidRDefault="00E3290E" w:rsidP="00E3290E">
            <w:pPr>
              <w:rPr>
                <w:lang w:val="en-US" w:eastAsia="en-AU"/>
              </w:rPr>
            </w:pPr>
            <w:r w:rsidRPr="00E3290E">
              <w:rPr>
                <w:lang w:val="en-US" w:eastAsia="en-AU"/>
              </w:rPr>
              <w:t>2033 Onwards</w:t>
            </w:r>
          </w:p>
        </w:tc>
        <w:tc>
          <w:tcPr>
            <w:tcW w:w="1503" w:type="dxa"/>
            <w:tcBorders>
              <w:top w:val="single" w:sz="4" w:space="0" w:color="9FBCD0"/>
              <w:left w:val="single" w:sz="4" w:space="0" w:color="9FBCD0"/>
              <w:bottom w:val="single" w:sz="4" w:space="0" w:color="9FBCD0"/>
              <w:right w:val="single" w:sz="4" w:space="0" w:color="9FBCD0"/>
            </w:tcBorders>
          </w:tcPr>
          <w:p w14:paraId="2CE34C0A" w14:textId="77777777" w:rsidR="00E3290E" w:rsidRPr="00E3290E" w:rsidRDefault="00E3290E" w:rsidP="00E3290E">
            <w:pPr>
              <w:rPr>
                <w:lang w:val="en-US" w:eastAsia="en-AU"/>
              </w:rPr>
            </w:pPr>
            <w:r w:rsidRPr="00E3290E">
              <w:rPr>
                <w:lang w:val="en-US" w:eastAsia="en-AU"/>
              </w:rPr>
              <w:t>1.57%</w:t>
            </w:r>
          </w:p>
          <w:p w14:paraId="26E8E4D7" w14:textId="77777777" w:rsidR="00E3290E" w:rsidRPr="00E3290E" w:rsidRDefault="00E3290E" w:rsidP="00E3290E">
            <w:pPr>
              <w:rPr>
                <w:lang w:val="en-US" w:eastAsia="en-AU"/>
              </w:rPr>
            </w:pPr>
            <w:r w:rsidRPr="00E3290E">
              <w:rPr>
                <w:lang w:val="en-US" w:eastAsia="en-AU"/>
              </w:rPr>
              <w:t>1.92%</w:t>
            </w:r>
          </w:p>
          <w:p w14:paraId="4F9FD157" w14:textId="77777777" w:rsidR="00E3290E" w:rsidRPr="00E3290E" w:rsidRDefault="00E3290E" w:rsidP="00E3290E">
            <w:pPr>
              <w:rPr>
                <w:lang w:val="en-US" w:eastAsia="en-AU"/>
              </w:rPr>
            </w:pPr>
            <w:r w:rsidRPr="00E3290E">
              <w:rPr>
                <w:lang w:val="en-US" w:eastAsia="en-AU"/>
              </w:rPr>
              <w:t>2.29%</w:t>
            </w:r>
          </w:p>
          <w:p w14:paraId="412ECA27" w14:textId="77777777" w:rsidR="00E3290E" w:rsidRPr="00E3290E" w:rsidRDefault="00E3290E" w:rsidP="00E3290E">
            <w:pPr>
              <w:rPr>
                <w:lang w:val="en-US" w:eastAsia="en-AU"/>
              </w:rPr>
            </w:pPr>
            <w:r w:rsidRPr="00E3290E">
              <w:rPr>
                <w:lang w:val="en-US" w:eastAsia="en-AU"/>
              </w:rPr>
              <w:t>2.59%</w:t>
            </w:r>
          </w:p>
          <w:p w14:paraId="3B0E01F3" w14:textId="77777777" w:rsidR="00E3290E" w:rsidRPr="00E3290E" w:rsidRDefault="00E3290E" w:rsidP="00E3290E">
            <w:pPr>
              <w:rPr>
                <w:lang w:val="en-US" w:eastAsia="en-AU"/>
              </w:rPr>
            </w:pPr>
            <w:r w:rsidRPr="00E3290E">
              <w:rPr>
                <w:lang w:val="en-US" w:eastAsia="en-AU"/>
              </w:rPr>
              <w:t>2.84%</w:t>
            </w:r>
          </w:p>
          <w:p w14:paraId="236DA191" w14:textId="77777777" w:rsidR="00E3290E" w:rsidRPr="00E3290E" w:rsidRDefault="00E3290E" w:rsidP="00E3290E">
            <w:pPr>
              <w:rPr>
                <w:lang w:val="en-US" w:eastAsia="en-AU"/>
              </w:rPr>
            </w:pPr>
            <w:r w:rsidRPr="00E3290E">
              <w:rPr>
                <w:lang w:val="en-US" w:eastAsia="en-AU"/>
              </w:rPr>
              <w:t>3.02%</w:t>
            </w:r>
          </w:p>
          <w:p w14:paraId="3FDC0CCB" w14:textId="77777777" w:rsidR="00E3290E" w:rsidRPr="00E3290E" w:rsidRDefault="00E3290E" w:rsidP="00E3290E">
            <w:pPr>
              <w:rPr>
                <w:lang w:val="en-US" w:eastAsia="en-AU"/>
              </w:rPr>
            </w:pPr>
            <w:r w:rsidRPr="00E3290E">
              <w:rPr>
                <w:lang w:val="en-US" w:eastAsia="en-AU"/>
              </w:rPr>
              <w:t>3.13%</w:t>
            </w:r>
          </w:p>
          <w:p w14:paraId="77E3AEC5" w14:textId="77777777" w:rsidR="00E3290E" w:rsidRPr="00E3290E" w:rsidRDefault="00E3290E" w:rsidP="00E3290E">
            <w:pPr>
              <w:rPr>
                <w:lang w:val="en-US" w:eastAsia="en-AU"/>
              </w:rPr>
            </w:pPr>
            <w:r w:rsidRPr="00E3290E">
              <w:rPr>
                <w:lang w:val="en-US" w:eastAsia="en-AU"/>
              </w:rPr>
              <w:t>3.18%</w:t>
            </w:r>
          </w:p>
          <w:p w14:paraId="74B4B266" w14:textId="77777777" w:rsidR="00E3290E" w:rsidRPr="00E3290E" w:rsidRDefault="00E3290E" w:rsidP="00E3290E">
            <w:pPr>
              <w:rPr>
                <w:lang w:val="en-US" w:eastAsia="en-AU"/>
              </w:rPr>
            </w:pPr>
            <w:r w:rsidRPr="00E3290E">
              <w:rPr>
                <w:lang w:val="en-US" w:eastAsia="en-AU"/>
              </w:rPr>
              <w:t>3.21%</w:t>
            </w:r>
          </w:p>
          <w:p w14:paraId="532CF68E" w14:textId="77777777" w:rsidR="00E3290E" w:rsidRPr="00E3290E" w:rsidRDefault="00E3290E" w:rsidP="00E3290E">
            <w:pPr>
              <w:rPr>
                <w:lang w:val="en-US" w:eastAsia="en-AU"/>
              </w:rPr>
            </w:pPr>
            <w:r w:rsidRPr="00E3290E">
              <w:rPr>
                <w:lang w:val="en-US" w:eastAsia="en-AU"/>
              </w:rPr>
              <w:t>3.27%</w:t>
            </w:r>
          </w:p>
          <w:p w14:paraId="7EFB7708" w14:textId="77777777" w:rsidR="00E3290E" w:rsidRPr="00E3290E" w:rsidRDefault="00E3290E" w:rsidP="00E3290E">
            <w:pPr>
              <w:rPr>
                <w:lang w:val="en-US" w:eastAsia="en-AU"/>
              </w:rPr>
            </w:pPr>
            <w:r w:rsidRPr="00E3290E">
              <w:rPr>
                <w:lang w:val="en-US" w:eastAsia="en-AU"/>
              </w:rPr>
              <w:t>3.37%</w:t>
            </w:r>
          </w:p>
          <w:p w14:paraId="101258C2" w14:textId="77777777" w:rsidR="00E3290E" w:rsidRPr="00E3290E" w:rsidRDefault="00E3290E" w:rsidP="00E3290E">
            <w:pPr>
              <w:rPr>
                <w:lang w:val="en-US" w:eastAsia="en-AU"/>
              </w:rPr>
            </w:pPr>
            <w:r w:rsidRPr="00E3290E">
              <w:rPr>
                <w:lang w:val="en-US" w:eastAsia="en-AU"/>
              </w:rPr>
              <w:t>3.51%</w:t>
            </w:r>
          </w:p>
          <w:p w14:paraId="2AE3BEDA" w14:textId="77777777" w:rsidR="00E3290E" w:rsidRPr="00E3290E" w:rsidRDefault="00E3290E" w:rsidP="00E3290E">
            <w:pPr>
              <w:rPr>
                <w:lang w:val="en-US" w:eastAsia="en-AU"/>
              </w:rPr>
            </w:pPr>
            <w:r w:rsidRPr="00E3290E">
              <w:rPr>
                <w:lang w:val="en-US" w:eastAsia="en-AU"/>
              </w:rPr>
              <w:t>3.69%</w:t>
            </w:r>
          </w:p>
          <w:p w14:paraId="7E1D89C2" w14:textId="77777777" w:rsidR="00E3290E" w:rsidRPr="00E3290E" w:rsidRDefault="00E3290E" w:rsidP="00E3290E">
            <w:pPr>
              <w:rPr>
                <w:lang w:val="en-US" w:eastAsia="en-AU"/>
              </w:rPr>
            </w:pPr>
            <w:r w:rsidRPr="00E3290E">
              <w:rPr>
                <w:lang w:val="en-US" w:eastAsia="en-AU"/>
              </w:rPr>
              <w:t>3.91%</w:t>
            </w:r>
          </w:p>
          <w:p w14:paraId="4E3ACC24" w14:textId="77777777" w:rsidR="00E3290E" w:rsidRPr="00E3290E" w:rsidRDefault="00E3290E" w:rsidP="00E3290E">
            <w:pPr>
              <w:rPr>
                <w:lang w:val="en-US" w:eastAsia="en-AU"/>
              </w:rPr>
            </w:pPr>
            <w:r w:rsidRPr="00E3290E">
              <w:rPr>
                <w:lang w:val="en-US" w:eastAsia="en-AU"/>
              </w:rPr>
              <w:t>4.17%</w:t>
            </w:r>
          </w:p>
          <w:p w14:paraId="64B0701B" w14:textId="40B653E0" w:rsidR="00E3290E" w:rsidRDefault="00E3290E" w:rsidP="00E3290E">
            <w:pPr>
              <w:rPr>
                <w:lang w:val="en-US" w:eastAsia="en-AU"/>
              </w:rPr>
            </w:pPr>
            <w:r w:rsidRPr="00E3290E">
              <w:rPr>
                <w:lang w:val="en-US" w:eastAsia="en-AU"/>
              </w:rPr>
              <w:t>4.29%</w:t>
            </w:r>
          </w:p>
        </w:tc>
      </w:tr>
      <w:tr w:rsidR="00E3290E" w14:paraId="7E9D3543"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54594926" w14:textId="66950B19" w:rsidR="00E3290E" w:rsidRPr="00F5459A" w:rsidRDefault="00E3290E" w:rsidP="00121076">
            <w:pPr>
              <w:rPr>
                <w:b/>
                <w:lang w:val="en-US" w:eastAsia="en-AU"/>
              </w:rPr>
            </w:pPr>
            <w:r>
              <w:rPr>
                <w:b/>
                <w:lang w:val="en-US" w:eastAsia="en-AU"/>
              </w:rPr>
              <w:t>Claims Managements Expenses</w:t>
            </w:r>
          </w:p>
        </w:tc>
        <w:tc>
          <w:tcPr>
            <w:tcW w:w="3005" w:type="dxa"/>
            <w:gridSpan w:val="2"/>
            <w:tcBorders>
              <w:top w:val="single" w:sz="4" w:space="0" w:color="9FBCD0"/>
              <w:left w:val="single" w:sz="4" w:space="0" w:color="9FBCD0"/>
              <w:bottom w:val="single" w:sz="4" w:space="0" w:color="9FBCD0"/>
              <w:right w:val="single" w:sz="4" w:space="0" w:color="9FBCD0"/>
            </w:tcBorders>
          </w:tcPr>
          <w:p w14:paraId="005809E8" w14:textId="7241528A" w:rsidR="00E3290E" w:rsidRDefault="00E3290E" w:rsidP="00121076">
            <w:pPr>
              <w:rPr>
                <w:lang w:val="en-US" w:eastAsia="en-AU"/>
              </w:rPr>
            </w:pPr>
            <w:r w:rsidRPr="00E3290E">
              <w:rPr>
                <w:lang w:val="en-US" w:eastAsia="en-AU"/>
              </w:rPr>
              <w:t>10.5% for claim payments excep</w:t>
            </w:r>
            <w:r>
              <w:rPr>
                <w:lang w:val="en-US" w:eastAsia="en-AU"/>
              </w:rPr>
              <w:t>t for HIH Insurance which is 0%</w:t>
            </w:r>
          </w:p>
        </w:tc>
        <w:tc>
          <w:tcPr>
            <w:tcW w:w="3006" w:type="dxa"/>
            <w:gridSpan w:val="2"/>
            <w:tcBorders>
              <w:top w:val="single" w:sz="4" w:space="0" w:color="9FBCD0"/>
              <w:left w:val="single" w:sz="4" w:space="0" w:color="9FBCD0"/>
              <w:bottom w:val="single" w:sz="4" w:space="0" w:color="9FBCD0"/>
              <w:right w:val="single" w:sz="4" w:space="0" w:color="9FBCD0"/>
            </w:tcBorders>
          </w:tcPr>
          <w:p w14:paraId="4C80A741" w14:textId="517B8C6F" w:rsidR="00E3290E" w:rsidRDefault="00E3290E" w:rsidP="00121076">
            <w:pPr>
              <w:rPr>
                <w:lang w:val="en-US" w:eastAsia="en-AU"/>
              </w:rPr>
            </w:pPr>
            <w:r w:rsidRPr="00E3290E">
              <w:rPr>
                <w:lang w:val="en-US" w:eastAsia="en-AU"/>
              </w:rPr>
              <w:t>10.5% for claim payments excep</w:t>
            </w:r>
            <w:r>
              <w:rPr>
                <w:lang w:val="en-US" w:eastAsia="en-AU"/>
              </w:rPr>
              <w:t>t for HIH Insurance which is 0%</w:t>
            </w:r>
          </w:p>
        </w:tc>
      </w:tr>
      <w:tr w:rsidR="00E3290E" w14:paraId="742C050A"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701152F5" w14:textId="072E6FAE" w:rsidR="00E3290E" w:rsidRPr="00E9120A" w:rsidRDefault="00E3290E" w:rsidP="00121076">
            <w:pPr>
              <w:rPr>
                <w:b/>
                <w:lang w:val="en-US" w:eastAsia="en-AU"/>
              </w:rPr>
            </w:pPr>
            <w:r>
              <w:rPr>
                <w:b/>
                <w:lang w:val="en-US" w:eastAsia="en-AU"/>
              </w:rPr>
              <w:t>Superimposed Inflation</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63A87883" w14:textId="25ABB858" w:rsidR="00E3290E" w:rsidRDefault="00E3290E" w:rsidP="00121076">
            <w:pPr>
              <w:rPr>
                <w:lang w:val="en-US" w:eastAsia="en-AU"/>
              </w:rPr>
            </w:pPr>
            <w:r w:rsidRPr="00E3290E">
              <w:rPr>
                <w:lang w:val="en-US" w:eastAsia="en-AU"/>
              </w:rPr>
              <w:t>0.00%</w:t>
            </w:r>
            <w:r w:rsidRPr="00E3290E">
              <w:rPr>
                <w:lang w:val="en-US" w:eastAsia="en-AU"/>
              </w:rPr>
              <w:tab/>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51242F00" w14:textId="53B670E3" w:rsidR="00E3290E" w:rsidRDefault="00E3290E" w:rsidP="00121076">
            <w:pPr>
              <w:rPr>
                <w:lang w:val="en-US" w:eastAsia="en-AU"/>
              </w:rPr>
            </w:pPr>
            <w:r w:rsidRPr="00E3290E">
              <w:rPr>
                <w:lang w:val="en-US" w:eastAsia="en-AU"/>
              </w:rPr>
              <w:t>0.00%</w:t>
            </w:r>
            <w:r w:rsidRPr="00E3290E">
              <w:rPr>
                <w:lang w:val="en-US" w:eastAsia="en-AU"/>
              </w:rPr>
              <w:tab/>
            </w:r>
          </w:p>
        </w:tc>
      </w:tr>
      <w:tr w:rsidR="00E3290E" w14:paraId="1E11514E" w14:textId="77777777" w:rsidTr="00121076">
        <w:tc>
          <w:tcPr>
            <w:tcW w:w="3005" w:type="dxa"/>
            <w:tcBorders>
              <w:top w:val="single" w:sz="4" w:space="0" w:color="9FBCD0"/>
              <w:left w:val="single" w:sz="4" w:space="0" w:color="9FBCD0"/>
              <w:bottom w:val="single" w:sz="4" w:space="0" w:color="9FBCD0"/>
              <w:right w:val="single" w:sz="4" w:space="0" w:color="9FBCD0"/>
            </w:tcBorders>
          </w:tcPr>
          <w:p w14:paraId="57CA3C01" w14:textId="6CBEF0E3" w:rsidR="00E3290E" w:rsidRPr="00E9120A" w:rsidRDefault="00E3290E" w:rsidP="00121076">
            <w:pPr>
              <w:rPr>
                <w:b/>
                <w:lang w:val="en-US" w:eastAsia="en-AU"/>
              </w:rPr>
            </w:pPr>
            <w:r>
              <w:rPr>
                <w:b/>
                <w:lang w:val="en-US" w:eastAsia="en-AU"/>
              </w:rPr>
              <w:t>Risk Margin</w:t>
            </w:r>
          </w:p>
        </w:tc>
        <w:tc>
          <w:tcPr>
            <w:tcW w:w="3005" w:type="dxa"/>
            <w:gridSpan w:val="2"/>
            <w:tcBorders>
              <w:top w:val="single" w:sz="4" w:space="0" w:color="9FBCD0"/>
              <w:left w:val="single" w:sz="4" w:space="0" w:color="9FBCD0"/>
              <w:bottom w:val="single" w:sz="4" w:space="0" w:color="9FBCD0"/>
              <w:right w:val="single" w:sz="4" w:space="0" w:color="9FBCD0"/>
            </w:tcBorders>
          </w:tcPr>
          <w:p w14:paraId="046CD772" w14:textId="0B1F8FEE" w:rsidR="00E3290E" w:rsidRDefault="00E3290E" w:rsidP="00121076">
            <w:pPr>
              <w:rPr>
                <w:lang w:val="en-US" w:eastAsia="en-AU"/>
              </w:rPr>
            </w:pPr>
            <w:r w:rsidRPr="00E3290E">
              <w:rPr>
                <w:lang w:val="en-US" w:eastAsia="en-AU"/>
              </w:rPr>
              <w:t>16.76% risk marg</w:t>
            </w:r>
            <w:r>
              <w:rPr>
                <w:lang w:val="en-US" w:eastAsia="en-AU"/>
              </w:rPr>
              <w:t>in at the 75% sufficiency level</w:t>
            </w:r>
          </w:p>
        </w:tc>
        <w:tc>
          <w:tcPr>
            <w:tcW w:w="3006" w:type="dxa"/>
            <w:gridSpan w:val="2"/>
            <w:tcBorders>
              <w:top w:val="single" w:sz="4" w:space="0" w:color="9FBCD0"/>
              <w:left w:val="single" w:sz="4" w:space="0" w:color="9FBCD0"/>
              <w:bottom w:val="single" w:sz="4" w:space="0" w:color="9FBCD0"/>
              <w:right w:val="single" w:sz="4" w:space="0" w:color="9FBCD0"/>
            </w:tcBorders>
          </w:tcPr>
          <w:p w14:paraId="5E91E529" w14:textId="37C6921E" w:rsidR="00E3290E" w:rsidRDefault="00E3290E" w:rsidP="00121076">
            <w:pPr>
              <w:rPr>
                <w:lang w:val="en-US" w:eastAsia="en-AU"/>
              </w:rPr>
            </w:pPr>
            <w:r w:rsidRPr="00E3290E">
              <w:rPr>
                <w:lang w:val="en-US" w:eastAsia="en-AU"/>
              </w:rPr>
              <w:t>16.76% risk marg</w:t>
            </w:r>
            <w:r>
              <w:rPr>
                <w:lang w:val="en-US" w:eastAsia="en-AU"/>
              </w:rPr>
              <w:t>in at the 75% sufficiency level</w:t>
            </w:r>
          </w:p>
        </w:tc>
      </w:tr>
    </w:tbl>
    <w:p w14:paraId="42771042" w14:textId="77777777" w:rsidR="00E3290E" w:rsidRDefault="00E3290E" w:rsidP="00E3290E">
      <w:pPr>
        <w:rPr>
          <w:lang w:val="en-US" w:eastAsia="en-AU"/>
        </w:rPr>
      </w:pPr>
    </w:p>
    <w:p w14:paraId="03EF0060" w14:textId="633FE60B" w:rsidR="00121076" w:rsidRDefault="00121076" w:rsidP="00121076">
      <w:pPr>
        <w:rPr>
          <w:lang w:val="en-US" w:eastAsia="en-AU"/>
        </w:rPr>
      </w:pPr>
      <w:r w:rsidRPr="00121076">
        <w:rPr>
          <w:lang w:val="en-US" w:eastAsia="en-AU"/>
        </w:rPr>
        <w:t>The EISF non-ARD valuation no longer includes an explicit allowance for the 2011 Amendment Act. This is because the average claim size uses an average of 2013 to 2017 lodgement years. The removal of age limits is assumed to be fully incorporated into the experience therefore no explicit allowance is required. Thi</w:t>
      </w:r>
      <w:r>
        <w:rPr>
          <w:lang w:val="en-US" w:eastAsia="en-AU"/>
        </w:rPr>
        <w:t>s is the same as last year.</w:t>
      </w:r>
    </w:p>
    <w:p w14:paraId="256917BA" w14:textId="479877AE" w:rsidR="00121076" w:rsidRDefault="00121076" w:rsidP="00BE5237">
      <w:pPr>
        <w:keepLines w:val="0"/>
        <w:spacing w:after="0" w:line="240" w:lineRule="auto"/>
        <w:rPr>
          <w:lang w:val="en-US" w:eastAsia="en-AU"/>
        </w:rPr>
      </w:pPr>
      <w:r>
        <w:rPr>
          <w:lang w:val="en-US" w:eastAsia="en-AU"/>
        </w:rPr>
        <w:br w:type="page"/>
      </w:r>
      <w:r w:rsidRPr="00121076">
        <w:rPr>
          <w:lang w:val="en-US" w:eastAsia="en-AU"/>
        </w:rPr>
        <w:t>The actuarial estimates from June 2001 are as follows: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ctuarial estimates"/>
        <w:tblDescription w:val="This table outlines the actuarial estimates from June 2001. "/>
      </w:tblPr>
      <w:tblGrid>
        <w:gridCol w:w="2670"/>
        <w:gridCol w:w="2575"/>
      </w:tblGrid>
      <w:tr w:rsidR="00121076" w14:paraId="53C32894" w14:textId="77777777" w:rsidTr="00F11774">
        <w:trPr>
          <w:tblHeader/>
        </w:trPr>
        <w:tc>
          <w:tcPr>
            <w:tcW w:w="2670" w:type="dxa"/>
          </w:tcPr>
          <w:p w14:paraId="066D7BD9" w14:textId="21CC637F" w:rsidR="00121076" w:rsidRPr="00121076" w:rsidRDefault="00121076" w:rsidP="00121076">
            <w:pPr>
              <w:jc w:val="center"/>
              <w:rPr>
                <w:b/>
                <w:lang w:val="en-US" w:eastAsia="en-AU"/>
              </w:rPr>
            </w:pPr>
            <w:r>
              <w:rPr>
                <w:b/>
                <w:lang w:val="en-US" w:eastAsia="en-AU"/>
              </w:rPr>
              <w:t>Year</w:t>
            </w:r>
          </w:p>
        </w:tc>
        <w:tc>
          <w:tcPr>
            <w:tcW w:w="2575" w:type="dxa"/>
          </w:tcPr>
          <w:p w14:paraId="3134DB05" w14:textId="11E87C49" w:rsidR="00121076" w:rsidRPr="00121076" w:rsidRDefault="00121076" w:rsidP="00121076">
            <w:pPr>
              <w:jc w:val="center"/>
              <w:rPr>
                <w:b/>
                <w:lang w:val="en-US" w:eastAsia="en-AU"/>
              </w:rPr>
            </w:pPr>
            <w:r>
              <w:rPr>
                <w:b/>
                <w:lang w:val="en-US" w:eastAsia="en-AU"/>
              </w:rPr>
              <w:t>$’000</w:t>
            </w:r>
          </w:p>
        </w:tc>
      </w:tr>
      <w:tr w:rsidR="00121076" w14:paraId="4FEBF6AE" w14:textId="77777777" w:rsidTr="00121076">
        <w:tc>
          <w:tcPr>
            <w:tcW w:w="2670" w:type="dxa"/>
            <w:vAlign w:val="bottom"/>
          </w:tcPr>
          <w:p w14:paraId="00F8A6D6" w14:textId="49858377" w:rsidR="00121076" w:rsidRDefault="00121076" w:rsidP="00121076">
            <w:pPr>
              <w:jc w:val="center"/>
              <w:rPr>
                <w:lang w:val="en-US" w:eastAsia="en-AU"/>
              </w:rPr>
            </w:pPr>
            <w:r>
              <w:t>2001</w:t>
            </w:r>
          </w:p>
        </w:tc>
        <w:tc>
          <w:tcPr>
            <w:tcW w:w="2575" w:type="dxa"/>
            <w:vAlign w:val="bottom"/>
          </w:tcPr>
          <w:p w14:paraId="5E2516E3" w14:textId="719BAE2B" w:rsidR="00121076" w:rsidRDefault="00121076" w:rsidP="00121076">
            <w:pPr>
              <w:jc w:val="center"/>
              <w:rPr>
                <w:lang w:val="en-US" w:eastAsia="en-AU"/>
              </w:rPr>
            </w:pPr>
            <w:r>
              <w:t>122,312</w:t>
            </w:r>
          </w:p>
        </w:tc>
      </w:tr>
      <w:tr w:rsidR="00121076" w14:paraId="573309C5" w14:textId="77777777" w:rsidTr="00121076">
        <w:tc>
          <w:tcPr>
            <w:tcW w:w="2670" w:type="dxa"/>
            <w:vAlign w:val="bottom"/>
          </w:tcPr>
          <w:p w14:paraId="2A634BF3" w14:textId="221143F9" w:rsidR="00121076" w:rsidRDefault="00121076" w:rsidP="00121076">
            <w:pPr>
              <w:jc w:val="center"/>
              <w:rPr>
                <w:lang w:val="en-US" w:eastAsia="en-AU"/>
              </w:rPr>
            </w:pPr>
            <w:r>
              <w:t>2002</w:t>
            </w:r>
          </w:p>
        </w:tc>
        <w:tc>
          <w:tcPr>
            <w:tcW w:w="2575" w:type="dxa"/>
            <w:vAlign w:val="bottom"/>
          </w:tcPr>
          <w:p w14:paraId="3E6581D8" w14:textId="7C75A1C0" w:rsidR="00121076" w:rsidRDefault="00121076" w:rsidP="00121076">
            <w:pPr>
              <w:jc w:val="center"/>
              <w:rPr>
                <w:lang w:val="en-US" w:eastAsia="en-AU"/>
              </w:rPr>
            </w:pPr>
            <w:r>
              <w:t>49,923</w:t>
            </w:r>
          </w:p>
        </w:tc>
      </w:tr>
      <w:tr w:rsidR="00121076" w14:paraId="3B071EEB" w14:textId="77777777" w:rsidTr="00121076">
        <w:tc>
          <w:tcPr>
            <w:tcW w:w="2670" w:type="dxa"/>
            <w:vAlign w:val="bottom"/>
          </w:tcPr>
          <w:p w14:paraId="5C0A9D49" w14:textId="0B6975D6" w:rsidR="00121076" w:rsidRDefault="00121076" w:rsidP="00121076">
            <w:pPr>
              <w:jc w:val="center"/>
              <w:rPr>
                <w:lang w:val="en-US" w:eastAsia="en-AU"/>
              </w:rPr>
            </w:pPr>
            <w:r>
              <w:t>2003</w:t>
            </w:r>
          </w:p>
        </w:tc>
        <w:tc>
          <w:tcPr>
            <w:tcW w:w="2575" w:type="dxa"/>
            <w:vAlign w:val="bottom"/>
          </w:tcPr>
          <w:p w14:paraId="1E40E7BE" w14:textId="47CB45F3" w:rsidR="00121076" w:rsidRDefault="00121076" w:rsidP="00121076">
            <w:pPr>
              <w:jc w:val="center"/>
              <w:rPr>
                <w:lang w:val="en-US" w:eastAsia="en-AU"/>
              </w:rPr>
            </w:pPr>
            <w:r>
              <w:t>31,717</w:t>
            </w:r>
          </w:p>
        </w:tc>
      </w:tr>
      <w:tr w:rsidR="00121076" w14:paraId="2CAFB52D" w14:textId="77777777" w:rsidTr="00121076">
        <w:tc>
          <w:tcPr>
            <w:tcW w:w="2670" w:type="dxa"/>
            <w:vAlign w:val="bottom"/>
          </w:tcPr>
          <w:p w14:paraId="1B39EE5F" w14:textId="67DA4611" w:rsidR="00121076" w:rsidRDefault="00121076" w:rsidP="00121076">
            <w:pPr>
              <w:jc w:val="center"/>
              <w:rPr>
                <w:lang w:val="en-US" w:eastAsia="en-AU"/>
              </w:rPr>
            </w:pPr>
            <w:r>
              <w:t>2004</w:t>
            </w:r>
          </w:p>
        </w:tc>
        <w:tc>
          <w:tcPr>
            <w:tcW w:w="2575" w:type="dxa"/>
            <w:vAlign w:val="bottom"/>
          </w:tcPr>
          <w:p w14:paraId="187A738D" w14:textId="5C475737" w:rsidR="00121076" w:rsidRDefault="00121076" w:rsidP="00121076">
            <w:pPr>
              <w:jc w:val="center"/>
              <w:rPr>
                <w:lang w:val="en-US" w:eastAsia="en-AU"/>
              </w:rPr>
            </w:pPr>
            <w:r>
              <w:t>24,090</w:t>
            </w:r>
          </w:p>
        </w:tc>
      </w:tr>
      <w:tr w:rsidR="00121076" w14:paraId="0122A31E" w14:textId="77777777" w:rsidTr="00121076">
        <w:tc>
          <w:tcPr>
            <w:tcW w:w="2670" w:type="dxa"/>
            <w:vAlign w:val="bottom"/>
          </w:tcPr>
          <w:p w14:paraId="6BC647BA" w14:textId="3BBEE446" w:rsidR="00121076" w:rsidRDefault="00121076" w:rsidP="00121076">
            <w:pPr>
              <w:jc w:val="center"/>
              <w:rPr>
                <w:lang w:val="en-US" w:eastAsia="en-AU"/>
              </w:rPr>
            </w:pPr>
            <w:r>
              <w:t>2005</w:t>
            </w:r>
          </w:p>
        </w:tc>
        <w:tc>
          <w:tcPr>
            <w:tcW w:w="2575" w:type="dxa"/>
            <w:vAlign w:val="bottom"/>
          </w:tcPr>
          <w:p w14:paraId="30BA963E" w14:textId="37E9ADF3" w:rsidR="00121076" w:rsidRDefault="00121076" w:rsidP="00121076">
            <w:pPr>
              <w:jc w:val="center"/>
              <w:rPr>
                <w:lang w:val="en-US" w:eastAsia="en-AU"/>
              </w:rPr>
            </w:pPr>
            <w:r>
              <w:t>23,421</w:t>
            </w:r>
          </w:p>
        </w:tc>
      </w:tr>
      <w:tr w:rsidR="00121076" w14:paraId="3A553CF2" w14:textId="77777777" w:rsidTr="00121076">
        <w:tc>
          <w:tcPr>
            <w:tcW w:w="2670" w:type="dxa"/>
            <w:vAlign w:val="bottom"/>
          </w:tcPr>
          <w:p w14:paraId="28D85A2A" w14:textId="25483310" w:rsidR="00121076" w:rsidRDefault="00121076" w:rsidP="00121076">
            <w:pPr>
              <w:jc w:val="center"/>
              <w:rPr>
                <w:lang w:val="en-US" w:eastAsia="en-AU"/>
              </w:rPr>
            </w:pPr>
            <w:r>
              <w:t>2006</w:t>
            </w:r>
          </w:p>
        </w:tc>
        <w:tc>
          <w:tcPr>
            <w:tcW w:w="2575" w:type="dxa"/>
            <w:vAlign w:val="bottom"/>
          </w:tcPr>
          <w:p w14:paraId="0F07D3CE" w14:textId="1AC31C5F" w:rsidR="00121076" w:rsidRDefault="00121076" w:rsidP="00121076">
            <w:pPr>
              <w:jc w:val="center"/>
              <w:rPr>
                <w:lang w:val="en-US" w:eastAsia="en-AU"/>
              </w:rPr>
            </w:pPr>
            <w:r>
              <w:t>17,239</w:t>
            </w:r>
          </w:p>
        </w:tc>
      </w:tr>
      <w:tr w:rsidR="00121076" w14:paraId="6B847C14" w14:textId="77777777" w:rsidTr="00121076">
        <w:tc>
          <w:tcPr>
            <w:tcW w:w="2670" w:type="dxa"/>
            <w:vAlign w:val="bottom"/>
          </w:tcPr>
          <w:p w14:paraId="730FED76" w14:textId="5DDBBA49" w:rsidR="00121076" w:rsidRDefault="00121076" w:rsidP="00121076">
            <w:pPr>
              <w:jc w:val="center"/>
              <w:rPr>
                <w:lang w:val="en-US" w:eastAsia="en-AU"/>
              </w:rPr>
            </w:pPr>
            <w:r>
              <w:t>2007</w:t>
            </w:r>
          </w:p>
        </w:tc>
        <w:tc>
          <w:tcPr>
            <w:tcW w:w="2575" w:type="dxa"/>
            <w:vAlign w:val="bottom"/>
          </w:tcPr>
          <w:p w14:paraId="4515AC6C" w14:textId="4A241ADD" w:rsidR="00121076" w:rsidRDefault="00121076" w:rsidP="00121076">
            <w:pPr>
              <w:jc w:val="center"/>
              <w:rPr>
                <w:lang w:val="en-US" w:eastAsia="en-AU"/>
              </w:rPr>
            </w:pPr>
            <w:r>
              <w:t>15,883</w:t>
            </w:r>
          </w:p>
        </w:tc>
      </w:tr>
      <w:tr w:rsidR="00121076" w14:paraId="7EA3D461" w14:textId="77777777" w:rsidTr="00121076">
        <w:tc>
          <w:tcPr>
            <w:tcW w:w="2670" w:type="dxa"/>
            <w:vAlign w:val="bottom"/>
          </w:tcPr>
          <w:p w14:paraId="54990B18" w14:textId="51867BAE" w:rsidR="00121076" w:rsidRDefault="00121076" w:rsidP="00121076">
            <w:pPr>
              <w:jc w:val="center"/>
              <w:rPr>
                <w:lang w:val="en-US" w:eastAsia="en-AU"/>
              </w:rPr>
            </w:pPr>
            <w:r>
              <w:t>2008</w:t>
            </w:r>
          </w:p>
        </w:tc>
        <w:tc>
          <w:tcPr>
            <w:tcW w:w="2575" w:type="dxa"/>
            <w:vAlign w:val="bottom"/>
          </w:tcPr>
          <w:p w14:paraId="0E4B6D11" w14:textId="66276C85" w:rsidR="00121076" w:rsidRDefault="00121076" w:rsidP="00121076">
            <w:pPr>
              <w:jc w:val="center"/>
              <w:rPr>
                <w:lang w:val="en-US" w:eastAsia="en-AU"/>
              </w:rPr>
            </w:pPr>
            <w:r>
              <w:t>16,647</w:t>
            </w:r>
          </w:p>
        </w:tc>
      </w:tr>
      <w:tr w:rsidR="00121076" w14:paraId="7A4CF33F" w14:textId="77777777" w:rsidTr="00121076">
        <w:tc>
          <w:tcPr>
            <w:tcW w:w="2670" w:type="dxa"/>
            <w:vAlign w:val="bottom"/>
          </w:tcPr>
          <w:p w14:paraId="6E1777B5" w14:textId="2F439109" w:rsidR="00121076" w:rsidRDefault="00121076" w:rsidP="00121076">
            <w:pPr>
              <w:jc w:val="center"/>
              <w:rPr>
                <w:lang w:val="en-US" w:eastAsia="en-AU"/>
              </w:rPr>
            </w:pPr>
            <w:r>
              <w:t>2009</w:t>
            </w:r>
          </w:p>
        </w:tc>
        <w:tc>
          <w:tcPr>
            <w:tcW w:w="2575" w:type="dxa"/>
            <w:vAlign w:val="bottom"/>
          </w:tcPr>
          <w:p w14:paraId="15585F4E" w14:textId="117B1B29" w:rsidR="00121076" w:rsidRDefault="00121076" w:rsidP="00121076">
            <w:pPr>
              <w:jc w:val="center"/>
              <w:rPr>
                <w:lang w:val="en-US" w:eastAsia="en-AU"/>
              </w:rPr>
            </w:pPr>
            <w:r>
              <w:t>29,419</w:t>
            </w:r>
          </w:p>
        </w:tc>
      </w:tr>
      <w:tr w:rsidR="00121076" w14:paraId="6EEC3F65" w14:textId="77777777" w:rsidTr="00121076">
        <w:tc>
          <w:tcPr>
            <w:tcW w:w="2670" w:type="dxa"/>
            <w:vAlign w:val="bottom"/>
          </w:tcPr>
          <w:p w14:paraId="751CB5C3" w14:textId="4E1FE368" w:rsidR="00121076" w:rsidRDefault="00121076" w:rsidP="00121076">
            <w:pPr>
              <w:jc w:val="center"/>
              <w:rPr>
                <w:lang w:val="en-US" w:eastAsia="en-AU"/>
              </w:rPr>
            </w:pPr>
            <w:r>
              <w:t>2010</w:t>
            </w:r>
          </w:p>
        </w:tc>
        <w:tc>
          <w:tcPr>
            <w:tcW w:w="2575" w:type="dxa"/>
            <w:vAlign w:val="bottom"/>
          </w:tcPr>
          <w:p w14:paraId="69760009" w14:textId="3ACDBC80" w:rsidR="00121076" w:rsidRDefault="00121076" w:rsidP="00121076">
            <w:pPr>
              <w:jc w:val="center"/>
              <w:rPr>
                <w:lang w:val="en-US" w:eastAsia="en-AU"/>
              </w:rPr>
            </w:pPr>
            <w:r>
              <w:t>23,866</w:t>
            </w:r>
          </w:p>
        </w:tc>
      </w:tr>
      <w:tr w:rsidR="00121076" w14:paraId="15B53C38" w14:textId="77777777" w:rsidTr="00121076">
        <w:tc>
          <w:tcPr>
            <w:tcW w:w="2670" w:type="dxa"/>
            <w:vAlign w:val="bottom"/>
          </w:tcPr>
          <w:p w14:paraId="7848F5A2" w14:textId="3863DE27" w:rsidR="00121076" w:rsidRDefault="00121076" w:rsidP="00121076">
            <w:pPr>
              <w:jc w:val="center"/>
              <w:rPr>
                <w:lang w:val="en-US" w:eastAsia="en-AU"/>
              </w:rPr>
            </w:pPr>
            <w:r>
              <w:t>2011</w:t>
            </w:r>
          </w:p>
        </w:tc>
        <w:tc>
          <w:tcPr>
            <w:tcW w:w="2575" w:type="dxa"/>
            <w:vAlign w:val="bottom"/>
          </w:tcPr>
          <w:p w14:paraId="22043014" w14:textId="01C554B8" w:rsidR="00121076" w:rsidRDefault="00121076" w:rsidP="00121076">
            <w:pPr>
              <w:jc w:val="center"/>
              <w:rPr>
                <w:lang w:val="en-US" w:eastAsia="en-AU"/>
              </w:rPr>
            </w:pPr>
            <w:r>
              <w:t>20,871</w:t>
            </w:r>
          </w:p>
        </w:tc>
      </w:tr>
      <w:tr w:rsidR="00121076" w14:paraId="31CFDE41" w14:textId="77777777" w:rsidTr="00121076">
        <w:tc>
          <w:tcPr>
            <w:tcW w:w="2670" w:type="dxa"/>
            <w:vAlign w:val="bottom"/>
          </w:tcPr>
          <w:p w14:paraId="64D3F8B9" w14:textId="6A4E620C" w:rsidR="00121076" w:rsidRDefault="00121076" w:rsidP="00121076">
            <w:pPr>
              <w:jc w:val="center"/>
              <w:rPr>
                <w:lang w:val="en-US" w:eastAsia="en-AU"/>
              </w:rPr>
            </w:pPr>
            <w:r>
              <w:t>2012</w:t>
            </w:r>
          </w:p>
        </w:tc>
        <w:tc>
          <w:tcPr>
            <w:tcW w:w="2575" w:type="dxa"/>
            <w:vAlign w:val="bottom"/>
          </w:tcPr>
          <w:p w14:paraId="32F9BCE1" w14:textId="0A4FBEA2" w:rsidR="00121076" w:rsidRDefault="00121076" w:rsidP="00121076">
            <w:pPr>
              <w:jc w:val="center"/>
              <w:rPr>
                <w:lang w:val="en-US" w:eastAsia="en-AU"/>
              </w:rPr>
            </w:pPr>
            <w:r>
              <w:t>18,526</w:t>
            </w:r>
          </w:p>
        </w:tc>
      </w:tr>
      <w:tr w:rsidR="00121076" w14:paraId="63030150" w14:textId="77777777" w:rsidTr="00121076">
        <w:tc>
          <w:tcPr>
            <w:tcW w:w="2670" w:type="dxa"/>
            <w:vAlign w:val="bottom"/>
          </w:tcPr>
          <w:p w14:paraId="0E8E2747" w14:textId="5C144511" w:rsidR="00121076" w:rsidRDefault="00121076" w:rsidP="00121076">
            <w:pPr>
              <w:jc w:val="center"/>
              <w:rPr>
                <w:lang w:val="en-US" w:eastAsia="en-AU"/>
              </w:rPr>
            </w:pPr>
            <w:r>
              <w:t>2013</w:t>
            </w:r>
          </w:p>
        </w:tc>
        <w:tc>
          <w:tcPr>
            <w:tcW w:w="2575" w:type="dxa"/>
            <w:vAlign w:val="bottom"/>
          </w:tcPr>
          <w:p w14:paraId="7E858317" w14:textId="305111A4" w:rsidR="00121076" w:rsidRDefault="00121076" w:rsidP="00121076">
            <w:pPr>
              <w:jc w:val="center"/>
              <w:rPr>
                <w:lang w:val="en-US" w:eastAsia="en-AU"/>
              </w:rPr>
            </w:pPr>
            <w:r>
              <w:t>16,724</w:t>
            </w:r>
          </w:p>
        </w:tc>
      </w:tr>
      <w:tr w:rsidR="00121076" w14:paraId="3D0D16FB" w14:textId="77777777" w:rsidTr="00121076">
        <w:tc>
          <w:tcPr>
            <w:tcW w:w="2670" w:type="dxa"/>
            <w:vAlign w:val="bottom"/>
          </w:tcPr>
          <w:p w14:paraId="055652ED" w14:textId="10AA8DCC" w:rsidR="00121076" w:rsidRDefault="00121076" w:rsidP="00121076">
            <w:pPr>
              <w:jc w:val="center"/>
              <w:rPr>
                <w:lang w:val="en-US" w:eastAsia="en-AU"/>
              </w:rPr>
            </w:pPr>
            <w:r>
              <w:t>2014</w:t>
            </w:r>
          </w:p>
        </w:tc>
        <w:tc>
          <w:tcPr>
            <w:tcW w:w="2575" w:type="dxa"/>
            <w:vAlign w:val="bottom"/>
          </w:tcPr>
          <w:p w14:paraId="5BB8010C" w14:textId="311E814F" w:rsidR="00121076" w:rsidRDefault="00121076" w:rsidP="00121076">
            <w:pPr>
              <w:jc w:val="center"/>
              <w:rPr>
                <w:lang w:val="en-US" w:eastAsia="en-AU"/>
              </w:rPr>
            </w:pPr>
            <w:r>
              <w:t>21,274</w:t>
            </w:r>
          </w:p>
        </w:tc>
      </w:tr>
      <w:tr w:rsidR="00121076" w14:paraId="1FA9D921" w14:textId="77777777" w:rsidTr="00121076">
        <w:tc>
          <w:tcPr>
            <w:tcW w:w="2670" w:type="dxa"/>
            <w:vAlign w:val="bottom"/>
          </w:tcPr>
          <w:p w14:paraId="3A376B0F" w14:textId="7A0E7ECF" w:rsidR="00121076" w:rsidRDefault="00121076" w:rsidP="00121076">
            <w:pPr>
              <w:jc w:val="center"/>
              <w:rPr>
                <w:lang w:val="en-US" w:eastAsia="en-AU"/>
              </w:rPr>
            </w:pPr>
            <w:r>
              <w:t>2015</w:t>
            </w:r>
          </w:p>
        </w:tc>
        <w:tc>
          <w:tcPr>
            <w:tcW w:w="2575" w:type="dxa"/>
            <w:vAlign w:val="bottom"/>
          </w:tcPr>
          <w:p w14:paraId="7B12EA0C" w14:textId="7A537BE4" w:rsidR="00121076" w:rsidRDefault="00121076" w:rsidP="00121076">
            <w:pPr>
              <w:jc w:val="center"/>
              <w:rPr>
                <w:lang w:val="en-US" w:eastAsia="en-AU"/>
              </w:rPr>
            </w:pPr>
            <w:r>
              <w:t>18,002</w:t>
            </w:r>
          </w:p>
        </w:tc>
      </w:tr>
      <w:tr w:rsidR="00121076" w14:paraId="6F96F100" w14:textId="77777777" w:rsidTr="00121076">
        <w:tc>
          <w:tcPr>
            <w:tcW w:w="2670" w:type="dxa"/>
            <w:vAlign w:val="bottom"/>
          </w:tcPr>
          <w:p w14:paraId="51FB89C0" w14:textId="1923B1C7" w:rsidR="00121076" w:rsidRDefault="00121076" w:rsidP="00121076">
            <w:pPr>
              <w:jc w:val="center"/>
              <w:rPr>
                <w:lang w:val="en-US" w:eastAsia="en-AU"/>
              </w:rPr>
            </w:pPr>
            <w:r>
              <w:t>2016</w:t>
            </w:r>
          </w:p>
        </w:tc>
        <w:tc>
          <w:tcPr>
            <w:tcW w:w="2575" w:type="dxa"/>
            <w:vAlign w:val="bottom"/>
          </w:tcPr>
          <w:p w14:paraId="39E05E85" w14:textId="6FC4C742" w:rsidR="00121076" w:rsidRDefault="00121076" w:rsidP="00121076">
            <w:pPr>
              <w:jc w:val="center"/>
              <w:rPr>
                <w:lang w:val="en-US" w:eastAsia="en-AU"/>
              </w:rPr>
            </w:pPr>
            <w:r>
              <w:t>16,945</w:t>
            </w:r>
          </w:p>
        </w:tc>
      </w:tr>
      <w:tr w:rsidR="00121076" w14:paraId="167B0A17" w14:textId="77777777" w:rsidTr="00121076">
        <w:tc>
          <w:tcPr>
            <w:tcW w:w="2670" w:type="dxa"/>
            <w:vAlign w:val="bottom"/>
          </w:tcPr>
          <w:p w14:paraId="0CA8814B" w14:textId="0967EC66" w:rsidR="00121076" w:rsidRDefault="00121076" w:rsidP="00121076">
            <w:pPr>
              <w:jc w:val="center"/>
              <w:rPr>
                <w:lang w:val="en-US" w:eastAsia="en-AU"/>
              </w:rPr>
            </w:pPr>
            <w:r>
              <w:t>2017</w:t>
            </w:r>
          </w:p>
        </w:tc>
        <w:tc>
          <w:tcPr>
            <w:tcW w:w="2575" w:type="dxa"/>
            <w:vAlign w:val="bottom"/>
          </w:tcPr>
          <w:p w14:paraId="3774CA20" w14:textId="6B1D2716" w:rsidR="00121076" w:rsidRDefault="00121076" w:rsidP="00121076">
            <w:pPr>
              <w:jc w:val="center"/>
              <w:rPr>
                <w:lang w:val="en-US" w:eastAsia="en-AU"/>
              </w:rPr>
            </w:pPr>
            <w:r>
              <w:t>13,414</w:t>
            </w:r>
          </w:p>
        </w:tc>
      </w:tr>
      <w:tr w:rsidR="00121076" w14:paraId="12ED5006" w14:textId="77777777" w:rsidTr="00121076">
        <w:tc>
          <w:tcPr>
            <w:tcW w:w="2670" w:type="dxa"/>
            <w:vAlign w:val="bottom"/>
          </w:tcPr>
          <w:p w14:paraId="093ECD61" w14:textId="72E4B502" w:rsidR="00121076" w:rsidRDefault="00121076" w:rsidP="00121076">
            <w:pPr>
              <w:jc w:val="center"/>
              <w:rPr>
                <w:lang w:val="en-US" w:eastAsia="en-AU"/>
              </w:rPr>
            </w:pPr>
            <w:r>
              <w:t>2018</w:t>
            </w:r>
          </w:p>
        </w:tc>
        <w:tc>
          <w:tcPr>
            <w:tcW w:w="2575" w:type="dxa"/>
            <w:vAlign w:val="bottom"/>
          </w:tcPr>
          <w:p w14:paraId="4959BE7B" w14:textId="5871576C" w:rsidR="00121076" w:rsidRDefault="00121076" w:rsidP="00121076">
            <w:pPr>
              <w:jc w:val="center"/>
              <w:rPr>
                <w:lang w:val="en-US" w:eastAsia="en-AU"/>
              </w:rPr>
            </w:pPr>
            <w:r>
              <w:t>12,649</w:t>
            </w:r>
          </w:p>
        </w:tc>
      </w:tr>
    </w:tbl>
    <w:p w14:paraId="24B17B45" w14:textId="7C7ED9FC" w:rsidR="00121076" w:rsidRPr="00121076" w:rsidRDefault="00121076" w:rsidP="00121076">
      <w:pPr>
        <w:rPr>
          <w:lang w:val="en-US" w:eastAsia="en-AU"/>
        </w:rPr>
      </w:pPr>
      <w:r w:rsidRPr="00121076">
        <w:rPr>
          <w:lang w:val="en-US" w:eastAsia="en-AU"/>
        </w:rPr>
        <w:t>The actuarial estimates from 2001 to 2005 provide for current known asbestos related claims.</w:t>
      </w:r>
    </w:p>
    <w:p w14:paraId="3D6EC05D" w14:textId="23F223FD" w:rsidR="00121076" w:rsidRPr="00121076" w:rsidRDefault="00121076" w:rsidP="00121076">
      <w:pPr>
        <w:rPr>
          <w:lang w:val="en-US" w:eastAsia="en-AU"/>
        </w:rPr>
      </w:pPr>
      <w:r w:rsidRPr="00121076">
        <w:rPr>
          <w:lang w:val="en-US" w:eastAsia="en-AU"/>
        </w:rPr>
        <w:t>From 2005 the actuarial assessment makes allowance for current known asbestos related claims and for cla</w:t>
      </w:r>
      <w:r>
        <w:rPr>
          <w:lang w:val="en-US" w:eastAsia="en-AU"/>
        </w:rPr>
        <w:t xml:space="preserve">ims incurred but not reported. </w:t>
      </w:r>
      <w:r w:rsidRPr="00121076">
        <w:rPr>
          <w:lang w:val="en-US" w:eastAsia="en-AU"/>
        </w:rPr>
        <w:t>Prior to 2007 the estimates did not include provision for Non-HIH liabilities.</w:t>
      </w:r>
      <w:r w:rsidRPr="00121076">
        <w:rPr>
          <w:lang w:val="en-US" w:eastAsia="en-AU"/>
        </w:rPr>
        <w:tab/>
      </w:r>
    </w:p>
    <w:p w14:paraId="708BF80D" w14:textId="7A992582" w:rsidR="00121076" w:rsidRPr="00121076" w:rsidRDefault="00121076" w:rsidP="00121076">
      <w:pPr>
        <w:rPr>
          <w:lang w:val="en-US" w:eastAsia="en-AU"/>
        </w:rPr>
      </w:pPr>
      <w:r w:rsidRPr="00121076">
        <w:rPr>
          <w:lang w:val="en-US" w:eastAsia="en-AU"/>
        </w:rPr>
        <w:t xml:space="preserve">In accordance with Accounting Standard </w:t>
      </w:r>
      <w:r w:rsidRPr="00121076">
        <w:rPr>
          <w:i/>
          <w:lang w:val="en-US" w:eastAsia="en-AU"/>
        </w:rPr>
        <w:t>AASB 1023 General Insurance Contracts</w:t>
      </w:r>
      <w:r w:rsidRPr="00121076">
        <w:rPr>
          <w:lang w:val="en-US" w:eastAsia="en-AU"/>
        </w:rPr>
        <w:t xml:space="preserve"> the outstanding claims liability at 30 June 2018 was assessed at $12.649 million and a provision for this amount has been included in the financial statements.</w:t>
      </w:r>
    </w:p>
    <w:p w14:paraId="62BBE0F3" w14:textId="6040D799" w:rsidR="00121076" w:rsidRPr="00121076" w:rsidRDefault="00121076" w:rsidP="00121076">
      <w:pPr>
        <w:rPr>
          <w:lang w:val="en-US" w:eastAsia="en-AU"/>
        </w:rPr>
      </w:pPr>
      <w:r w:rsidRPr="00121076">
        <w:rPr>
          <w:lang w:val="en-US" w:eastAsia="en-AU"/>
        </w:rPr>
        <w:t>The actuary's assessment of outstanding claims liability does not recognise that money may be recovered from HIH's liquidator.</w:t>
      </w:r>
      <w:r w:rsidRPr="00121076">
        <w:rPr>
          <w:lang w:val="en-US" w:eastAsia="en-AU"/>
        </w:rPr>
        <w:tab/>
      </w:r>
    </w:p>
    <w:p w14:paraId="5CB1BBB8" w14:textId="329BEDA9" w:rsidR="00121076" w:rsidRPr="00121076" w:rsidRDefault="00121076" w:rsidP="00121076">
      <w:pPr>
        <w:rPr>
          <w:lang w:val="en-US" w:eastAsia="en-AU"/>
        </w:rPr>
      </w:pPr>
      <w:r w:rsidRPr="00121076">
        <w:rPr>
          <w:lang w:val="en-US" w:eastAsia="en-AU"/>
        </w:rPr>
        <w:t xml:space="preserve">For the purpose of addressing the outstanding claims liability, a surcharge was imposed on employers' insurance policies on previous years.  </w:t>
      </w:r>
    </w:p>
    <w:p w14:paraId="6325BB44" w14:textId="22F94782" w:rsidR="00121076" w:rsidRDefault="00121076" w:rsidP="00121076">
      <w:pPr>
        <w:rPr>
          <w:lang w:val="en-US" w:eastAsia="en-AU"/>
        </w:rPr>
      </w:pPr>
      <w:r w:rsidRPr="00121076">
        <w:rPr>
          <w:lang w:val="en-US" w:eastAsia="en-AU"/>
        </w:rPr>
        <w:t xml:space="preserve">From the 25 June 2008 the surcharge was discontinued. The revenue collected previously from the surcharge will be used to pay this liability.  </w:t>
      </w:r>
    </w:p>
    <w:p w14:paraId="50391B45" w14:textId="15487BF7" w:rsidR="00121076" w:rsidRDefault="00121076" w:rsidP="004930E9">
      <w:pPr>
        <w:pStyle w:val="Heading4"/>
        <w:ind w:left="0"/>
      </w:pPr>
      <w:r>
        <w:t>Movement in provisions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Movement in provisions"/>
        <w:tblDescription w:val="This table outlines movements in provisions for 2017/18 under the Employers' Indemnity Supplementation Fund. "/>
      </w:tblPr>
      <w:tblGrid>
        <w:gridCol w:w="6096"/>
        <w:gridCol w:w="1417"/>
        <w:gridCol w:w="1503"/>
      </w:tblGrid>
      <w:tr w:rsidR="00C85B1C" w14:paraId="5FF0525B" w14:textId="77777777" w:rsidTr="00F11774">
        <w:trPr>
          <w:tblHeader/>
        </w:trPr>
        <w:tc>
          <w:tcPr>
            <w:tcW w:w="6096" w:type="dxa"/>
          </w:tcPr>
          <w:p w14:paraId="0C081510" w14:textId="77777777" w:rsidR="00C85B1C" w:rsidRDefault="00C85B1C" w:rsidP="00121076">
            <w:pPr>
              <w:rPr>
                <w:lang w:val="en-US" w:eastAsia="en-AU"/>
              </w:rPr>
            </w:pPr>
          </w:p>
        </w:tc>
        <w:tc>
          <w:tcPr>
            <w:tcW w:w="1417" w:type="dxa"/>
          </w:tcPr>
          <w:p w14:paraId="2D1CC5AE" w14:textId="57280C88" w:rsidR="00C85B1C" w:rsidRPr="00C85B1C" w:rsidRDefault="00C85B1C" w:rsidP="00C85B1C">
            <w:pPr>
              <w:jc w:val="right"/>
              <w:rPr>
                <w:b/>
                <w:lang w:val="en-US" w:eastAsia="en-AU"/>
              </w:rPr>
            </w:pPr>
            <w:r>
              <w:rPr>
                <w:b/>
                <w:lang w:val="en-US" w:eastAsia="en-AU"/>
              </w:rPr>
              <w:t>2018</w:t>
            </w:r>
            <w:r>
              <w:rPr>
                <w:b/>
                <w:lang w:val="en-US" w:eastAsia="en-AU"/>
              </w:rPr>
              <w:br/>
              <w:t>$000</w:t>
            </w:r>
          </w:p>
        </w:tc>
        <w:tc>
          <w:tcPr>
            <w:tcW w:w="1503" w:type="dxa"/>
          </w:tcPr>
          <w:p w14:paraId="43D866E6" w14:textId="36759D64" w:rsidR="00C85B1C" w:rsidRPr="00C85B1C" w:rsidRDefault="00C85B1C" w:rsidP="00C85B1C">
            <w:pPr>
              <w:jc w:val="right"/>
              <w:rPr>
                <w:b/>
                <w:lang w:val="en-US" w:eastAsia="en-AU"/>
              </w:rPr>
            </w:pPr>
            <w:r>
              <w:rPr>
                <w:b/>
                <w:lang w:val="en-US" w:eastAsia="en-AU"/>
              </w:rPr>
              <w:t>2017</w:t>
            </w:r>
            <w:r>
              <w:rPr>
                <w:b/>
                <w:lang w:val="en-US" w:eastAsia="en-AU"/>
              </w:rPr>
              <w:br/>
              <w:t>$000</w:t>
            </w:r>
          </w:p>
        </w:tc>
      </w:tr>
      <w:tr w:rsidR="00C85B1C" w14:paraId="3FC170F3" w14:textId="77777777" w:rsidTr="00C85B1C">
        <w:tc>
          <w:tcPr>
            <w:tcW w:w="6096" w:type="dxa"/>
            <w:vAlign w:val="center"/>
          </w:tcPr>
          <w:p w14:paraId="21944DDE" w14:textId="4DF2172C" w:rsidR="00C85B1C" w:rsidRPr="00C85B1C" w:rsidRDefault="00C85B1C" w:rsidP="00C85B1C">
            <w:pPr>
              <w:rPr>
                <w:u w:val="single"/>
                <w:lang w:val="en-US" w:eastAsia="en-AU"/>
              </w:rPr>
            </w:pPr>
            <w:r>
              <w:rPr>
                <w:u w:val="single"/>
                <w:lang w:val="en-US" w:eastAsia="en-AU"/>
              </w:rPr>
              <w:t>Employers’ Indemnity Supplementation Funds</w:t>
            </w:r>
          </w:p>
        </w:tc>
        <w:tc>
          <w:tcPr>
            <w:tcW w:w="1417" w:type="dxa"/>
          </w:tcPr>
          <w:p w14:paraId="517C0B33" w14:textId="77777777" w:rsidR="00C85B1C" w:rsidRDefault="00C85B1C" w:rsidP="00121076">
            <w:pPr>
              <w:rPr>
                <w:lang w:val="en-US" w:eastAsia="en-AU"/>
              </w:rPr>
            </w:pPr>
          </w:p>
        </w:tc>
        <w:tc>
          <w:tcPr>
            <w:tcW w:w="1503" w:type="dxa"/>
          </w:tcPr>
          <w:p w14:paraId="1EC67D4B" w14:textId="77777777" w:rsidR="00C85B1C" w:rsidRDefault="00C85B1C" w:rsidP="00121076">
            <w:pPr>
              <w:rPr>
                <w:lang w:val="en-US" w:eastAsia="en-AU"/>
              </w:rPr>
            </w:pPr>
          </w:p>
        </w:tc>
      </w:tr>
      <w:tr w:rsidR="00C85B1C" w14:paraId="6AAFA9FD" w14:textId="77777777" w:rsidTr="00C85B1C">
        <w:tc>
          <w:tcPr>
            <w:tcW w:w="6096" w:type="dxa"/>
            <w:vAlign w:val="center"/>
          </w:tcPr>
          <w:p w14:paraId="7B16F7C9" w14:textId="1EF79953" w:rsidR="00C85B1C" w:rsidRDefault="00C85B1C" w:rsidP="00C85B1C">
            <w:pPr>
              <w:rPr>
                <w:lang w:val="en-US" w:eastAsia="en-AU"/>
              </w:rPr>
            </w:pPr>
            <w:r>
              <w:t>Liability for estimated future claim payments</w:t>
            </w:r>
          </w:p>
        </w:tc>
        <w:tc>
          <w:tcPr>
            <w:tcW w:w="1417" w:type="dxa"/>
          </w:tcPr>
          <w:p w14:paraId="3B2CCE3C" w14:textId="77777777" w:rsidR="00C85B1C" w:rsidRDefault="00C85B1C" w:rsidP="00C85B1C">
            <w:pPr>
              <w:rPr>
                <w:lang w:val="en-US" w:eastAsia="en-AU"/>
              </w:rPr>
            </w:pPr>
          </w:p>
        </w:tc>
        <w:tc>
          <w:tcPr>
            <w:tcW w:w="1503" w:type="dxa"/>
          </w:tcPr>
          <w:p w14:paraId="40F0A325" w14:textId="77777777" w:rsidR="00C85B1C" w:rsidRDefault="00C85B1C" w:rsidP="00C85B1C">
            <w:pPr>
              <w:rPr>
                <w:lang w:val="en-US" w:eastAsia="en-AU"/>
              </w:rPr>
            </w:pPr>
          </w:p>
        </w:tc>
      </w:tr>
      <w:tr w:rsidR="00C85B1C" w14:paraId="0B8DD202" w14:textId="77777777" w:rsidTr="00C85B1C">
        <w:tc>
          <w:tcPr>
            <w:tcW w:w="6096" w:type="dxa"/>
            <w:vAlign w:val="center"/>
          </w:tcPr>
          <w:p w14:paraId="70195029" w14:textId="1BC1B4CF" w:rsidR="00C85B1C" w:rsidRDefault="00C85B1C" w:rsidP="00C85B1C">
            <w:pPr>
              <w:rPr>
                <w:lang w:val="en-US" w:eastAsia="en-AU"/>
              </w:rPr>
            </w:pPr>
            <w:r>
              <w:t>Carrying amount at start of period</w:t>
            </w:r>
          </w:p>
        </w:tc>
        <w:tc>
          <w:tcPr>
            <w:tcW w:w="1417" w:type="dxa"/>
            <w:vAlign w:val="bottom"/>
          </w:tcPr>
          <w:p w14:paraId="16251B66" w14:textId="120624E1" w:rsidR="00C85B1C" w:rsidRDefault="00C85B1C" w:rsidP="00C85B1C">
            <w:pPr>
              <w:jc w:val="right"/>
              <w:rPr>
                <w:lang w:val="en-US" w:eastAsia="en-AU"/>
              </w:rPr>
            </w:pPr>
            <w:r>
              <w:t xml:space="preserve">               13,414 </w:t>
            </w:r>
          </w:p>
        </w:tc>
        <w:tc>
          <w:tcPr>
            <w:tcW w:w="1503" w:type="dxa"/>
            <w:vAlign w:val="bottom"/>
          </w:tcPr>
          <w:p w14:paraId="2898DE1D" w14:textId="10C18D87" w:rsidR="00C85B1C" w:rsidRDefault="00C85B1C" w:rsidP="00C85B1C">
            <w:pPr>
              <w:jc w:val="right"/>
              <w:rPr>
                <w:lang w:val="en-US" w:eastAsia="en-AU"/>
              </w:rPr>
            </w:pPr>
            <w:r>
              <w:t xml:space="preserve">                                 16,945 </w:t>
            </w:r>
          </w:p>
        </w:tc>
      </w:tr>
      <w:tr w:rsidR="00C85B1C" w14:paraId="29C912B6" w14:textId="77777777" w:rsidTr="00C85B1C">
        <w:tc>
          <w:tcPr>
            <w:tcW w:w="6096" w:type="dxa"/>
            <w:vAlign w:val="center"/>
          </w:tcPr>
          <w:p w14:paraId="5ABE578A" w14:textId="714230C1" w:rsidR="00C85B1C" w:rsidRDefault="00C85B1C" w:rsidP="00C85B1C">
            <w:pPr>
              <w:rPr>
                <w:lang w:val="en-US" w:eastAsia="en-AU"/>
              </w:rPr>
            </w:pPr>
            <w:r>
              <w:t>Additional increase/(decrease) in provisions recognised</w:t>
            </w:r>
          </w:p>
        </w:tc>
        <w:tc>
          <w:tcPr>
            <w:tcW w:w="1417" w:type="dxa"/>
            <w:vAlign w:val="bottom"/>
          </w:tcPr>
          <w:p w14:paraId="5331278B" w14:textId="6C5F39F3" w:rsidR="00C85B1C" w:rsidRDefault="00C85B1C" w:rsidP="00C85B1C">
            <w:pPr>
              <w:jc w:val="right"/>
              <w:rPr>
                <w:lang w:val="en-US" w:eastAsia="en-AU"/>
              </w:rPr>
            </w:pPr>
            <w:r>
              <w:t xml:space="preserve">                  (346)</w:t>
            </w:r>
          </w:p>
        </w:tc>
        <w:tc>
          <w:tcPr>
            <w:tcW w:w="1503" w:type="dxa"/>
            <w:vAlign w:val="bottom"/>
          </w:tcPr>
          <w:p w14:paraId="1FC6D43E" w14:textId="1C3F0B2D" w:rsidR="00C85B1C" w:rsidRDefault="00C85B1C" w:rsidP="00C85B1C">
            <w:pPr>
              <w:jc w:val="right"/>
              <w:rPr>
                <w:lang w:val="en-US" w:eastAsia="en-AU"/>
              </w:rPr>
            </w:pPr>
            <w:r>
              <w:t xml:space="preserve">                                  (2,504)</w:t>
            </w:r>
          </w:p>
        </w:tc>
      </w:tr>
      <w:tr w:rsidR="00C85B1C" w14:paraId="23588BFC" w14:textId="77777777" w:rsidTr="00C85B1C">
        <w:tc>
          <w:tcPr>
            <w:tcW w:w="6096" w:type="dxa"/>
            <w:vAlign w:val="center"/>
          </w:tcPr>
          <w:p w14:paraId="21DF8ED6" w14:textId="135547DD" w:rsidR="00C85B1C" w:rsidRDefault="00C85B1C" w:rsidP="00C85B1C">
            <w:pPr>
              <w:rPr>
                <w:lang w:val="en-US" w:eastAsia="en-AU"/>
              </w:rPr>
            </w:pPr>
            <w:r>
              <w:t>Unwinding of the discount</w:t>
            </w:r>
          </w:p>
        </w:tc>
        <w:tc>
          <w:tcPr>
            <w:tcW w:w="1417" w:type="dxa"/>
            <w:vAlign w:val="bottom"/>
          </w:tcPr>
          <w:p w14:paraId="18775C7F" w14:textId="399C8667" w:rsidR="00C85B1C" w:rsidRDefault="00C85B1C" w:rsidP="00C85B1C">
            <w:pPr>
              <w:jc w:val="right"/>
              <w:rPr>
                <w:lang w:val="en-US" w:eastAsia="en-AU"/>
              </w:rPr>
            </w:pPr>
            <w:r>
              <w:t xml:space="preserve">                   206 </w:t>
            </w:r>
          </w:p>
        </w:tc>
        <w:tc>
          <w:tcPr>
            <w:tcW w:w="1503" w:type="dxa"/>
            <w:vAlign w:val="bottom"/>
          </w:tcPr>
          <w:p w14:paraId="362422D1" w14:textId="44DCFB14" w:rsidR="00C85B1C" w:rsidRDefault="00C85B1C" w:rsidP="00C85B1C">
            <w:pPr>
              <w:jc w:val="right"/>
              <w:rPr>
                <w:lang w:val="en-US" w:eastAsia="en-AU"/>
              </w:rPr>
            </w:pPr>
            <w:r>
              <w:t xml:space="preserve">                                      266 </w:t>
            </w:r>
          </w:p>
        </w:tc>
      </w:tr>
      <w:tr w:rsidR="00C85B1C" w14:paraId="3A113357" w14:textId="77777777" w:rsidTr="00C85B1C">
        <w:tc>
          <w:tcPr>
            <w:tcW w:w="6096" w:type="dxa"/>
            <w:vAlign w:val="center"/>
          </w:tcPr>
          <w:p w14:paraId="16FF1725" w14:textId="49B2A48E" w:rsidR="00C85B1C" w:rsidRDefault="00C85B1C" w:rsidP="00C85B1C">
            <w:pPr>
              <w:rPr>
                <w:lang w:val="en-US" w:eastAsia="en-AU"/>
              </w:rPr>
            </w:pPr>
            <w:r>
              <w:t>Payments/other sacrifices of economic benefits</w:t>
            </w:r>
          </w:p>
        </w:tc>
        <w:tc>
          <w:tcPr>
            <w:tcW w:w="1417" w:type="dxa"/>
            <w:tcBorders>
              <w:bottom w:val="single" w:sz="4" w:space="0" w:color="auto"/>
            </w:tcBorders>
            <w:vAlign w:val="bottom"/>
          </w:tcPr>
          <w:p w14:paraId="53279CB0" w14:textId="6C990A0D" w:rsidR="00C85B1C" w:rsidRDefault="00C85B1C" w:rsidP="00C85B1C">
            <w:pPr>
              <w:jc w:val="right"/>
              <w:rPr>
                <w:lang w:val="en-US" w:eastAsia="en-AU"/>
              </w:rPr>
            </w:pPr>
            <w:r>
              <w:t xml:space="preserve">                  (625)</w:t>
            </w:r>
          </w:p>
        </w:tc>
        <w:tc>
          <w:tcPr>
            <w:tcW w:w="1503" w:type="dxa"/>
            <w:tcBorders>
              <w:bottom w:val="single" w:sz="4" w:space="0" w:color="auto"/>
            </w:tcBorders>
            <w:vAlign w:val="bottom"/>
          </w:tcPr>
          <w:p w14:paraId="31B2F942" w14:textId="4623821E" w:rsidR="00C85B1C" w:rsidRDefault="00C85B1C" w:rsidP="00C85B1C">
            <w:pPr>
              <w:jc w:val="right"/>
              <w:rPr>
                <w:lang w:val="en-US" w:eastAsia="en-AU"/>
              </w:rPr>
            </w:pPr>
            <w:r>
              <w:t xml:space="preserve">                                  (1,293)</w:t>
            </w:r>
          </w:p>
        </w:tc>
      </w:tr>
      <w:tr w:rsidR="00C85B1C" w14:paraId="7CD6C5E8" w14:textId="77777777" w:rsidTr="00C85B1C">
        <w:tc>
          <w:tcPr>
            <w:tcW w:w="6096" w:type="dxa"/>
            <w:vAlign w:val="center"/>
          </w:tcPr>
          <w:p w14:paraId="40EB6CB1" w14:textId="655FA90F" w:rsidR="00C85B1C" w:rsidRDefault="00C85B1C" w:rsidP="00C85B1C">
            <w:pPr>
              <w:rPr>
                <w:lang w:val="en-US" w:eastAsia="en-AU"/>
              </w:rPr>
            </w:pPr>
            <w:r>
              <w:t>Carrying amount at end of period</w:t>
            </w:r>
          </w:p>
        </w:tc>
        <w:tc>
          <w:tcPr>
            <w:tcW w:w="1417" w:type="dxa"/>
            <w:tcBorders>
              <w:top w:val="single" w:sz="4" w:space="0" w:color="auto"/>
              <w:bottom w:val="double" w:sz="4" w:space="0" w:color="auto"/>
            </w:tcBorders>
            <w:vAlign w:val="bottom"/>
          </w:tcPr>
          <w:p w14:paraId="22B5A535" w14:textId="64386B0E" w:rsidR="00C85B1C" w:rsidRPr="00C85B1C" w:rsidRDefault="00C85B1C" w:rsidP="00C85B1C">
            <w:pPr>
              <w:jc w:val="right"/>
              <w:rPr>
                <w:b/>
                <w:lang w:val="en-US" w:eastAsia="en-AU"/>
              </w:rPr>
            </w:pPr>
            <w:r w:rsidRPr="00C85B1C">
              <w:rPr>
                <w:b/>
              </w:rPr>
              <w:t xml:space="preserve">               12,649 </w:t>
            </w:r>
          </w:p>
        </w:tc>
        <w:tc>
          <w:tcPr>
            <w:tcW w:w="1503" w:type="dxa"/>
            <w:tcBorders>
              <w:top w:val="single" w:sz="4" w:space="0" w:color="auto"/>
              <w:bottom w:val="double" w:sz="4" w:space="0" w:color="auto"/>
            </w:tcBorders>
            <w:vAlign w:val="bottom"/>
          </w:tcPr>
          <w:p w14:paraId="2D8FB31A" w14:textId="636FDDD6" w:rsidR="00C85B1C" w:rsidRPr="00C85B1C" w:rsidRDefault="00C85B1C" w:rsidP="00C85B1C">
            <w:pPr>
              <w:jc w:val="right"/>
              <w:rPr>
                <w:b/>
                <w:lang w:val="en-US" w:eastAsia="en-AU"/>
              </w:rPr>
            </w:pPr>
            <w:r w:rsidRPr="00C85B1C">
              <w:rPr>
                <w:b/>
              </w:rPr>
              <w:t xml:space="preserve">                                 13,414 </w:t>
            </w:r>
          </w:p>
        </w:tc>
      </w:tr>
    </w:tbl>
    <w:p w14:paraId="5DA4E78A" w14:textId="204BDF34" w:rsidR="00C85B1C" w:rsidRDefault="00C85B1C" w:rsidP="00C85B1C">
      <w:pPr>
        <w:pStyle w:val="Heading3nonumber"/>
        <w:rPr>
          <w:u w:val="single"/>
          <w:lang w:val="en-US" w:eastAsia="en-AU"/>
        </w:rPr>
      </w:pPr>
      <w:bookmarkStart w:id="781" w:name="_Toc525122178"/>
      <w:r>
        <w:rPr>
          <w:lang w:val="en-US" w:eastAsia="en-AU"/>
        </w:rPr>
        <w:t xml:space="preserve">4.3(b)(ii) </w:t>
      </w:r>
      <w:r>
        <w:rPr>
          <w:u w:val="single"/>
          <w:lang w:val="en-US" w:eastAsia="en-AU"/>
        </w:rPr>
        <w:t>General Account</w:t>
      </w:r>
      <w:bookmarkEnd w:id="781"/>
      <w:r>
        <w:rPr>
          <w:u w:val="single"/>
          <w:lang w:val="en-US" w:eastAsia="en-AU"/>
        </w:rPr>
        <w:t xml:space="preserve"> </w:t>
      </w:r>
    </w:p>
    <w:p w14:paraId="20957C55" w14:textId="4081330D" w:rsidR="00C85B1C" w:rsidRPr="00024979" w:rsidRDefault="00C85B1C" w:rsidP="004930E9">
      <w:pPr>
        <w:pStyle w:val="Heading4colour"/>
        <w:ind w:left="0"/>
        <w:rPr>
          <w:color w:val="auto"/>
        </w:rPr>
      </w:pPr>
      <w:r w:rsidRPr="00024979">
        <w:rPr>
          <w:color w:val="auto"/>
        </w:rPr>
        <w:t>Uninsured workers</w:t>
      </w:r>
    </w:p>
    <w:p w14:paraId="408289B1" w14:textId="752B7C48" w:rsidR="00C85B1C" w:rsidRDefault="00C85B1C" w:rsidP="00C85B1C">
      <w:r>
        <w:t xml:space="preserve">Provision is made to meet payments required under Section 174 of the </w:t>
      </w:r>
      <w:r w:rsidRPr="00C85B1C">
        <w:rPr>
          <w:i/>
        </w:rPr>
        <w:t xml:space="preserve">Workers’ Compensation and Injury Management Act 1981 </w:t>
      </w:r>
      <w:r>
        <w:t>where Conciliation and Arbitration Services has made an order and the worker has not received the compensation due from the General Account at the end of the reporting period.</w:t>
      </w:r>
      <w:r>
        <w:tab/>
      </w:r>
      <w:r>
        <w:tab/>
      </w:r>
      <w:r>
        <w:tab/>
      </w:r>
      <w:r>
        <w:tab/>
      </w:r>
      <w:r>
        <w:tab/>
      </w:r>
    </w:p>
    <w:p w14:paraId="036B313D" w14:textId="02ABFAF2" w:rsidR="00C85B1C" w:rsidRDefault="00C85B1C" w:rsidP="00C85B1C">
      <w:r>
        <w:t xml:space="preserve">Part of the General Account's obligations are for the provision of workers' compensation benefits to injured employees whose current or former employer has failed to maintain compulsory workers' compensation insurance or if the former employer no longer exists and cannot be found and therefore the insurer is unknown. </w:t>
      </w:r>
    </w:p>
    <w:p w14:paraId="3260A405" w14:textId="4BD698AD" w:rsidR="00C85B1C" w:rsidRDefault="00C85B1C" w:rsidP="00C85B1C">
      <w:r>
        <w:t>The actuarial assessed valuation includes both asbestos related diseases (ARD) and non-asbestos related diseases (non-ARD). The approach adopted is to analyse the claim and financial data for the General Account and make projections of future claim payments based on actuarial assumptions, knowledge and experience of similar portfolios.</w:t>
      </w:r>
    </w:p>
    <w:p w14:paraId="1AC6BE14" w14:textId="09C6D236" w:rsidR="00C85B1C" w:rsidRDefault="00C85B1C" w:rsidP="00C85B1C">
      <w:pPr>
        <w:rPr>
          <w:b/>
          <w:i/>
          <w:u w:val="single"/>
        </w:rPr>
      </w:pPr>
      <w:r w:rsidRPr="00C85B1C">
        <w:rPr>
          <w:b/>
          <w:i/>
          <w:u w:val="single"/>
        </w:rPr>
        <w:t>(ARD) Actuarial methods and assumptions</w:t>
      </w:r>
    </w:p>
    <w:p w14:paraId="64CF99CA" w14:textId="42544310" w:rsidR="00C85B1C" w:rsidRDefault="00C85B1C" w:rsidP="00C85B1C">
      <w:r>
        <w:t>As most of the asbestos-related disease liability is for future lodgement of latent claims, projected future claim notifications are combined with average claim sizes and the assumed payment patterns 'to produce':</w:t>
      </w:r>
      <w:r>
        <w:tab/>
      </w:r>
      <w:r>
        <w:tab/>
      </w:r>
    </w:p>
    <w:p w14:paraId="0B4BBDBE" w14:textId="77777777" w:rsidR="00C85B1C" w:rsidRDefault="00C85B1C" w:rsidP="00C85B1C">
      <w:r>
        <w:t>(a) total projected cost of claims for each future year</w:t>
      </w:r>
      <w:r>
        <w:tab/>
      </w:r>
      <w:r>
        <w:tab/>
      </w:r>
      <w:r>
        <w:tab/>
      </w:r>
      <w:r>
        <w:tab/>
      </w:r>
      <w:r>
        <w:tab/>
      </w:r>
    </w:p>
    <w:p w14:paraId="73BACFF4" w14:textId="77777777" w:rsidR="00C85B1C" w:rsidRDefault="00C85B1C" w:rsidP="00C85B1C">
      <w:r>
        <w:t>(b) claim payments</w:t>
      </w:r>
      <w:r>
        <w:tab/>
      </w:r>
      <w:r>
        <w:tab/>
      </w:r>
      <w:r>
        <w:tab/>
      </w:r>
      <w:r>
        <w:tab/>
      </w:r>
      <w:r>
        <w:tab/>
      </w:r>
    </w:p>
    <w:p w14:paraId="0D4B1278" w14:textId="02269E3B" w:rsidR="00C85B1C" w:rsidRDefault="00C85B1C" w:rsidP="00C85B1C">
      <w:r>
        <w:t>(c) gross and net provisions.</w:t>
      </w:r>
      <w:r>
        <w:tab/>
      </w:r>
      <w:r>
        <w:tab/>
      </w:r>
    </w:p>
    <w:p w14:paraId="1E0A5651" w14:textId="035DCCF1" w:rsidR="00C85B1C" w:rsidRDefault="00C85B1C" w:rsidP="00C85B1C">
      <w:r>
        <w:t>The future lodgement patterns are calibrated to closely follow recent claim experience and the future patterns use the research of Professor Berry (University of Sydney) combined with actuarial's research and examination of the reports of the Institute of Actuaries of Australia Asbestos Taskforce and the independent advice to the James Hardie Special Commission of Inquiry.</w:t>
      </w:r>
      <w:r>
        <w:tab/>
      </w:r>
      <w:r>
        <w:tab/>
      </w:r>
    </w:p>
    <w:p w14:paraId="0D9E3499" w14:textId="77777777" w:rsidR="00C85B1C" w:rsidRPr="00C85B1C" w:rsidRDefault="00C85B1C" w:rsidP="00C85B1C">
      <w:pPr>
        <w:rPr>
          <w:i/>
        </w:rPr>
      </w:pPr>
      <w:r w:rsidRPr="00C85B1C">
        <w:rPr>
          <w:i/>
        </w:rPr>
        <w:t>Average weighted term to settlement</w:t>
      </w:r>
      <w:r w:rsidRPr="00C85B1C">
        <w:rPr>
          <w:i/>
        </w:rPr>
        <w:tab/>
      </w:r>
      <w:r w:rsidRPr="00C85B1C">
        <w:rPr>
          <w:i/>
        </w:rPr>
        <w:tab/>
      </w:r>
      <w:r w:rsidRPr="00C85B1C">
        <w:rPr>
          <w:i/>
        </w:rPr>
        <w:tab/>
      </w:r>
      <w:r w:rsidRPr="00C85B1C">
        <w:rPr>
          <w:i/>
        </w:rPr>
        <w:tab/>
      </w:r>
      <w:r w:rsidRPr="00C85B1C">
        <w:rPr>
          <w:i/>
        </w:rPr>
        <w:tab/>
      </w:r>
    </w:p>
    <w:p w14:paraId="09549CE3" w14:textId="77777777" w:rsidR="00C85B1C" w:rsidRDefault="00C85B1C" w:rsidP="00C85B1C">
      <w:r>
        <w:t>The average term to settlement is calculated separately by class of business based on historic payment patterns.</w:t>
      </w:r>
      <w:r>
        <w:tab/>
      </w:r>
      <w:r>
        <w:tab/>
      </w:r>
      <w:r>
        <w:tab/>
      </w:r>
      <w:r>
        <w:tab/>
      </w:r>
      <w:r>
        <w:tab/>
      </w:r>
    </w:p>
    <w:p w14:paraId="1C15A1E2" w14:textId="50BDF1FC" w:rsidR="00C85B1C" w:rsidRPr="00C85B1C" w:rsidRDefault="00C85B1C" w:rsidP="00C85B1C">
      <w:pPr>
        <w:rPr>
          <w:i/>
        </w:rPr>
      </w:pPr>
      <w:r w:rsidRPr="00C85B1C">
        <w:rPr>
          <w:i/>
        </w:rPr>
        <w:t>Future claim lodgements</w:t>
      </w:r>
      <w:r w:rsidRPr="00C85B1C">
        <w:rPr>
          <w:i/>
        </w:rPr>
        <w:tab/>
      </w:r>
      <w:r w:rsidRPr="00C85B1C">
        <w:rPr>
          <w:i/>
        </w:rPr>
        <w:tab/>
      </w:r>
      <w:r w:rsidRPr="00C85B1C">
        <w:rPr>
          <w:i/>
        </w:rPr>
        <w:tab/>
      </w:r>
      <w:r w:rsidRPr="00C85B1C">
        <w:rPr>
          <w:i/>
        </w:rPr>
        <w:tab/>
      </w:r>
      <w:r w:rsidRPr="00C85B1C">
        <w:rPr>
          <w:i/>
        </w:rPr>
        <w:tab/>
      </w:r>
    </w:p>
    <w:p w14:paraId="7930A9AF" w14:textId="77777777" w:rsidR="00C85B1C" w:rsidRDefault="00C85B1C" w:rsidP="00C85B1C">
      <w:r>
        <w:t>Future claim lodgements are calculated from the recent lodgement experience and calibrated according to the relevant research studies on latency claims.</w:t>
      </w:r>
    </w:p>
    <w:p w14:paraId="39C1E7D4" w14:textId="5AEAA226" w:rsidR="00C85B1C" w:rsidRPr="00C85B1C" w:rsidRDefault="00C85B1C" w:rsidP="00C85B1C">
      <w:pPr>
        <w:rPr>
          <w:i/>
        </w:rPr>
      </w:pPr>
      <w:r w:rsidRPr="00C85B1C">
        <w:rPr>
          <w:i/>
        </w:rPr>
        <w:t>Average claim size</w:t>
      </w:r>
      <w:r w:rsidRPr="00C85B1C">
        <w:rPr>
          <w:i/>
        </w:rPr>
        <w:tab/>
      </w:r>
      <w:r w:rsidRPr="00C85B1C">
        <w:rPr>
          <w:i/>
        </w:rPr>
        <w:tab/>
      </w:r>
      <w:r w:rsidRPr="00C85B1C">
        <w:rPr>
          <w:i/>
        </w:rPr>
        <w:tab/>
      </w:r>
      <w:r w:rsidRPr="00C85B1C">
        <w:rPr>
          <w:i/>
        </w:rPr>
        <w:tab/>
      </w:r>
      <w:r w:rsidRPr="00C85B1C">
        <w:rPr>
          <w:i/>
        </w:rPr>
        <w:tab/>
      </w:r>
    </w:p>
    <w:p w14:paraId="5EE7862E" w14:textId="77777777" w:rsidR="00C85B1C" w:rsidRDefault="00C85B1C" w:rsidP="00C85B1C">
      <w:r>
        <w:t>Average claim size is based on current actuarial research taking the WA mining experience into account.</w:t>
      </w:r>
      <w:r>
        <w:tab/>
      </w:r>
      <w:r>
        <w:tab/>
      </w:r>
      <w:r>
        <w:tab/>
      </w:r>
      <w:r>
        <w:tab/>
      </w:r>
      <w:r>
        <w:tab/>
      </w:r>
    </w:p>
    <w:p w14:paraId="6638B607" w14:textId="77777777" w:rsidR="004A2B10" w:rsidRDefault="004A2B10">
      <w:pPr>
        <w:keepLines w:val="0"/>
        <w:spacing w:after="0" w:line="240" w:lineRule="auto"/>
        <w:rPr>
          <w:i/>
        </w:rPr>
      </w:pPr>
      <w:r>
        <w:rPr>
          <w:i/>
        </w:rPr>
        <w:br w:type="page"/>
      </w:r>
    </w:p>
    <w:p w14:paraId="28AC23B4" w14:textId="77777777" w:rsidR="004A2B10" w:rsidRDefault="00C85B1C" w:rsidP="00C85B1C">
      <w:pPr>
        <w:rPr>
          <w:i/>
        </w:rPr>
      </w:pPr>
      <w:r w:rsidRPr="00C85B1C">
        <w:rPr>
          <w:i/>
        </w:rPr>
        <w:t>Assumptions</w:t>
      </w:r>
      <w:r w:rsidRPr="00C85B1C">
        <w:rPr>
          <w:i/>
        </w:rPr>
        <w:tab/>
      </w:r>
      <w:r w:rsidRPr="00C85B1C">
        <w:rPr>
          <w:i/>
        </w:rPr>
        <w:tab/>
      </w:r>
    </w:p>
    <w:tbl>
      <w:tblPr>
        <w:tblStyle w:val="TableGrid"/>
        <w:tblW w:w="0" w:type="auto"/>
        <w:tblLook w:val="04A0" w:firstRow="1" w:lastRow="0" w:firstColumn="1" w:lastColumn="0" w:noHBand="0" w:noVBand="1"/>
        <w:tblCaption w:val="Table: Assumptions "/>
        <w:tblDescription w:val="This table outlines assumptions for uninsured workers with asbestos-related claims. The assumptions include inflation rate, discount rate, claims managements expenses, superimposed inflation and risk margin. "/>
      </w:tblPr>
      <w:tblGrid>
        <w:gridCol w:w="3005"/>
        <w:gridCol w:w="1502"/>
        <w:gridCol w:w="1503"/>
        <w:gridCol w:w="1503"/>
        <w:gridCol w:w="1503"/>
      </w:tblGrid>
      <w:tr w:rsidR="004A2B10" w14:paraId="7C4FD2A2" w14:textId="77777777" w:rsidTr="00F11774">
        <w:trPr>
          <w:tblHeader/>
        </w:trPr>
        <w:tc>
          <w:tcPr>
            <w:tcW w:w="3005" w:type="dxa"/>
            <w:tcBorders>
              <w:top w:val="single" w:sz="4" w:space="0" w:color="9FBCD0"/>
              <w:left w:val="single" w:sz="4" w:space="0" w:color="9FBCD0"/>
              <w:bottom w:val="single" w:sz="4" w:space="0" w:color="9FBCD0"/>
              <w:right w:val="single" w:sz="4" w:space="0" w:color="9FBCD0"/>
            </w:tcBorders>
          </w:tcPr>
          <w:p w14:paraId="3C2A7954" w14:textId="0D4F8623" w:rsidR="004A2B10" w:rsidRPr="00EC73EA" w:rsidRDefault="00EC73EA" w:rsidP="00C85B1C">
            <w:pPr>
              <w:rPr>
                <w:b/>
              </w:rPr>
            </w:pPr>
            <w:r>
              <w:rPr>
                <w:b/>
              </w:rPr>
              <w:t xml:space="preserve">Uninsured Workers: Asbestos-Related Claims (ARD) </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447D6940" w14:textId="3ED9B41F" w:rsidR="004A2B10" w:rsidRPr="00EC73EA" w:rsidRDefault="00EC73EA" w:rsidP="00EC73EA">
            <w:pPr>
              <w:jc w:val="center"/>
              <w:rPr>
                <w:b/>
              </w:rPr>
            </w:pPr>
            <w:r>
              <w:rPr>
                <w:b/>
              </w:rPr>
              <w:t>2018</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1A3B9F02" w14:textId="40DFE712" w:rsidR="004A2B10" w:rsidRPr="00EC73EA" w:rsidRDefault="00EC73EA" w:rsidP="00EC73EA">
            <w:pPr>
              <w:jc w:val="center"/>
              <w:rPr>
                <w:b/>
              </w:rPr>
            </w:pPr>
            <w:r>
              <w:rPr>
                <w:b/>
              </w:rPr>
              <w:t>2017</w:t>
            </w:r>
          </w:p>
        </w:tc>
      </w:tr>
      <w:tr w:rsidR="00EC73EA" w14:paraId="6AE9E629" w14:textId="77777777" w:rsidTr="006E67C4">
        <w:tc>
          <w:tcPr>
            <w:tcW w:w="3005" w:type="dxa"/>
            <w:tcBorders>
              <w:top w:val="single" w:sz="4" w:space="0" w:color="9FBCD0"/>
              <w:left w:val="single" w:sz="4" w:space="0" w:color="9FBCD0"/>
              <w:bottom w:val="single" w:sz="4" w:space="0" w:color="9FBCD0"/>
              <w:right w:val="single" w:sz="4" w:space="0" w:color="9FBCD0"/>
            </w:tcBorders>
          </w:tcPr>
          <w:p w14:paraId="1D5098EC" w14:textId="3E78834A" w:rsidR="00EC73EA" w:rsidRPr="00EC73EA" w:rsidRDefault="00EC73EA" w:rsidP="00C85B1C">
            <w:pPr>
              <w:rPr>
                <w:b/>
              </w:rPr>
            </w:pPr>
            <w:r>
              <w:rPr>
                <w:b/>
              </w:rPr>
              <w:t xml:space="preserve">Inflation Rate </w:t>
            </w:r>
          </w:p>
        </w:tc>
        <w:tc>
          <w:tcPr>
            <w:tcW w:w="1502" w:type="dxa"/>
            <w:tcBorders>
              <w:top w:val="single" w:sz="4" w:space="0" w:color="9FBCD0"/>
              <w:left w:val="single" w:sz="4" w:space="0" w:color="9FBCD0"/>
              <w:bottom w:val="single" w:sz="4" w:space="0" w:color="9FBCD0"/>
              <w:right w:val="single" w:sz="4" w:space="0" w:color="9FBCD0"/>
            </w:tcBorders>
          </w:tcPr>
          <w:p w14:paraId="24452778" w14:textId="77777777" w:rsidR="00EC73EA" w:rsidRDefault="00EC73EA" w:rsidP="00EC73EA">
            <w:r>
              <w:t>2019</w:t>
            </w:r>
          </w:p>
          <w:p w14:paraId="0C07F51F" w14:textId="77777777" w:rsidR="00EC73EA" w:rsidRDefault="00EC73EA" w:rsidP="00EC73EA">
            <w:r>
              <w:t>2020</w:t>
            </w:r>
          </w:p>
          <w:p w14:paraId="28536787" w14:textId="77777777" w:rsidR="00EC73EA" w:rsidRDefault="00EC73EA" w:rsidP="00EC73EA">
            <w:r>
              <w:t>2021</w:t>
            </w:r>
          </w:p>
          <w:p w14:paraId="22B7618A" w14:textId="77777777" w:rsidR="00EC73EA" w:rsidRDefault="00EC73EA" w:rsidP="00EC73EA">
            <w:r>
              <w:t>2022</w:t>
            </w:r>
          </w:p>
          <w:p w14:paraId="7025A726" w14:textId="77777777" w:rsidR="00EC73EA" w:rsidRDefault="00EC73EA" w:rsidP="00EC73EA">
            <w:r>
              <w:t>2023</w:t>
            </w:r>
          </w:p>
          <w:p w14:paraId="6F8A4999" w14:textId="77777777" w:rsidR="00EC73EA" w:rsidRDefault="00EC73EA" w:rsidP="00EC73EA">
            <w:r>
              <w:t>2024</w:t>
            </w:r>
          </w:p>
          <w:p w14:paraId="273668E5" w14:textId="77777777" w:rsidR="00EC73EA" w:rsidRDefault="00EC73EA" w:rsidP="00EC73EA">
            <w:r>
              <w:t>2025</w:t>
            </w:r>
          </w:p>
          <w:p w14:paraId="6D62EBD6" w14:textId="77777777" w:rsidR="00EC73EA" w:rsidRDefault="00EC73EA" w:rsidP="00EC73EA">
            <w:r>
              <w:t>2026</w:t>
            </w:r>
          </w:p>
          <w:p w14:paraId="06FE57FF" w14:textId="77777777" w:rsidR="00EC73EA" w:rsidRDefault="00EC73EA" w:rsidP="00EC73EA">
            <w:r>
              <w:t>2027</w:t>
            </w:r>
          </w:p>
          <w:p w14:paraId="668290CD" w14:textId="77777777" w:rsidR="00EC73EA" w:rsidRDefault="00EC73EA" w:rsidP="00EC73EA">
            <w:r>
              <w:t>2028</w:t>
            </w:r>
          </w:p>
          <w:p w14:paraId="39F9E708" w14:textId="77777777" w:rsidR="00EC73EA" w:rsidRDefault="00EC73EA" w:rsidP="00EC73EA">
            <w:r>
              <w:t>2029</w:t>
            </w:r>
          </w:p>
          <w:p w14:paraId="43210096" w14:textId="77777777" w:rsidR="00EC73EA" w:rsidRDefault="00EC73EA" w:rsidP="00EC73EA">
            <w:r>
              <w:t>2030</w:t>
            </w:r>
          </w:p>
          <w:p w14:paraId="64205CCC" w14:textId="77777777" w:rsidR="00EC73EA" w:rsidRDefault="00EC73EA" w:rsidP="00EC73EA">
            <w:r>
              <w:t>2031</w:t>
            </w:r>
          </w:p>
          <w:p w14:paraId="4894E3F0" w14:textId="77777777" w:rsidR="00EC73EA" w:rsidRDefault="00EC73EA" w:rsidP="00EC73EA">
            <w:r>
              <w:t>2032</w:t>
            </w:r>
          </w:p>
          <w:p w14:paraId="12F94243" w14:textId="77777777" w:rsidR="00EC73EA" w:rsidRDefault="00EC73EA" w:rsidP="00EC73EA">
            <w:r>
              <w:t>2033</w:t>
            </w:r>
          </w:p>
          <w:p w14:paraId="76B51B7F" w14:textId="7F6FB02B" w:rsidR="00EC73EA" w:rsidRPr="00EC73EA" w:rsidRDefault="00EC73EA" w:rsidP="00EC73EA">
            <w:r>
              <w:t>2034 Onwards</w:t>
            </w:r>
          </w:p>
        </w:tc>
        <w:tc>
          <w:tcPr>
            <w:tcW w:w="1503" w:type="dxa"/>
            <w:tcBorders>
              <w:top w:val="single" w:sz="4" w:space="0" w:color="9FBCD0"/>
              <w:left w:val="single" w:sz="4" w:space="0" w:color="9FBCD0"/>
              <w:bottom w:val="single" w:sz="4" w:space="0" w:color="9FBCD0"/>
              <w:right w:val="single" w:sz="4" w:space="0" w:color="9FBCD0"/>
            </w:tcBorders>
          </w:tcPr>
          <w:p w14:paraId="443EEF1F" w14:textId="77777777" w:rsidR="00EC73EA" w:rsidRDefault="00EC73EA" w:rsidP="00EC73EA">
            <w:r>
              <w:t>1.75%</w:t>
            </w:r>
          </w:p>
          <w:p w14:paraId="3D68589F" w14:textId="77777777" w:rsidR="00EC73EA" w:rsidRDefault="00EC73EA" w:rsidP="00EC73EA">
            <w:r>
              <w:t>2.75%</w:t>
            </w:r>
          </w:p>
          <w:p w14:paraId="671C95DD" w14:textId="77777777" w:rsidR="00EC73EA" w:rsidRDefault="00EC73EA" w:rsidP="00EC73EA">
            <w:r>
              <w:t>3.00%</w:t>
            </w:r>
          </w:p>
          <w:p w14:paraId="4EAE31C6" w14:textId="77777777" w:rsidR="00EC73EA" w:rsidRDefault="00EC73EA" w:rsidP="00EC73EA">
            <w:r>
              <w:t>3.25%</w:t>
            </w:r>
          </w:p>
          <w:p w14:paraId="0BB867C1" w14:textId="77777777" w:rsidR="00EC73EA" w:rsidRDefault="00EC73EA" w:rsidP="00EC73EA">
            <w:r>
              <w:t>3.12%</w:t>
            </w:r>
          </w:p>
          <w:p w14:paraId="3C70FD07" w14:textId="77777777" w:rsidR="00EC73EA" w:rsidRDefault="00EC73EA" w:rsidP="00EC73EA">
            <w:r>
              <w:t>3.00%</w:t>
            </w:r>
          </w:p>
          <w:p w14:paraId="55A7CBEF" w14:textId="77777777" w:rsidR="00EC73EA" w:rsidRDefault="00EC73EA" w:rsidP="00EC73EA">
            <w:r>
              <w:t>2.87%</w:t>
            </w:r>
          </w:p>
          <w:p w14:paraId="21477A39" w14:textId="77777777" w:rsidR="00EC73EA" w:rsidRDefault="00EC73EA" w:rsidP="00EC73EA">
            <w:r>
              <w:t>2.75%</w:t>
            </w:r>
          </w:p>
          <w:p w14:paraId="4E28B3D9" w14:textId="77777777" w:rsidR="00EC73EA" w:rsidRDefault="00EC73EA" w:rsidP="00EC73EA">
            <w:r>
              <w:t>2.62%</w:t>
            </w:r>
          </w:p>
          <w:p w14:paraId="0A886F31" w14:textId="77777777" w:rsidR="00EC73EA" w:rsidRDefault="00EC73EA" w:rsidP="00EC73EA">
            <w:r>
              <w:t>2.50%</w:t>
            </w:r>
          </w:p>
          <w:p w14:paraId="2F1E58BC" w14:textId="77777777" w:rsidR="00EC73EA" w:rsidRDefault="00EC73EA" w:rsidP="00EC73EA">
            <w:r>
              <w:t>2.37%</w:t>
            </w:r>
          </w:p>
          <w:p w14:paraId="3A3EE509" w14:textId="77777777" w:rsidR="00EC73EA" w:rsidRDefault="00EC73EA" w:rsidP="00EC73EA">
            <w:r>
              <w:t>2.25%</w:t>
            </w:r>
          </w:p>
          <w:p w14:paraId="19E561B7" w14:textId="77777777" w:rsidR="00EC73EA" w:rsidRDefault="00EC73EA" w:rsidP="00EC73EA">
            <w:r>
              <w:t>2.12%</w:t>
            </w:r>
          </w:p>
          <w:p w14:paraId="0FE25BFC" w14:textId="77777777" w:rsidR="00EC73EA" w:rsidRDefault="00EC73EA" w:rsidP="00EC73EA">
            <w:r>
              <w:t>1.99%</w:t>
            </w:r>
          </w:p>
          <w:p w14:paraId="79EF965B" w14:textId="77777777" w:rsidR="00EC73EA" w:rsidRDefault="00EC73EA" w:rsidP="00EC73EA">
            <w:r>
              <w:t>1.87%</w:t>
            </w:r>
          </w:p>
          <w:p w14:paraId="1CECBBC5" w14:textId="776809A8" w:rsidR="00EC73EA" w:rsidRPr="00EC73EA" w:rsidRDefault="00EC73EA" w:rsidP="00EC73EA">
            <w:r>
              <w:t>1.74%</w:t>
            </w:r>
          </w:p>
        </w:tc>
        <w:tc>
          <w:tcPr>
            <w:tcW w:w="1503" w:type="dxa"/>
            <w:tcBorders>
              <w:top w:val="single" w:sz="4" w:space="0" w:color="9FBCD0"/>
              <w:left w:val="single" w:sz="4" w:space="0" w:color="9FBCD0"/>
              <w:bottom w:val="single" w:sz="4" w:space="0" w:color="9FBCD0"/>
              <w:right w:val="single" w:sz="4" w:space="0" w:color="9FBCD0"/>
            </w:tcBorders>
          </w:tcPr>
          <w:p w14:paraId="073F506B" w14:textId="77777777" w:rsidR="00EC73EA" w:rsidRDefault="00EC73EA" w:rsidP="00EC73EA">
            <w:r>
              <w:t>2018</w:t>
            </w:r>
          </w:p>
          <w:p w14:paraId="22FCC6F4" w14:textId="77777777" w:rsidR="00EC73EA" w:rsidRDefault="00EC73EA" w:rsidP="00EC73EA">
            <w:r>
              <w:t>2019</w:t>
            </w:r>
          </w:p>
          <w:p w14:paraId="56694D50" w14:textId="77777777" w:rsidR="00EC73EA" w:rsidRDefault="00EC73EA" w:rsidP="00EC73EA">
            <w:r>
              <w:t>2020</w:t>
            </w:r>
          </w:p>
          <w:p w14:paraId="20C7EBA1" w14:textId="77777777" w:rsidR="00EC73EA" w:rsidRDefault="00EC73EA" w:rsidP="00EC73EA">
            <w:r>
              <w:t>2021</w:t>
            </w:r>
          </w:p>
          <w:p w14:paraId="30A732BE" w14:textId="77777777" w:rsidR="00EC73EA" w:rsidRDefault="00EC73EA" w:rsidP="00EC73EA">
            <w:r>
              <w:t>2022</w:t>
            </w:r>
          </w:p>
          <w:p w14:paraId="19525FCB" w14:textId="77777777" w:rsidR="00EC73EA" w:rsidRDefault="00EC73EA" w:rsidP="00EC73EA">
            <w:r>
              <w:t>2023</w:t>
            </w:r>
          </w:p>
          <w:p w14:paraId="0831AE24" w14:textId="77777777" w:rsidR="00EC73EA" w:rsidRDefault="00EC73EA" w:rsidP="00EC73EA">
            <w:r>
              <w:t>2024</w:t>
            </w:r>
          </w:p>
          <w:p w14:paraId="74F241D0" w14:textId="77777777" w:rsidR="00EC73EA" w:rsidRDefault="00EC73EA" w:rsidP="00EC73EA">
            <w:r>
              <w:t>2025</w:t>
            </w:r>
          </w:p>
          <w:p w14:paraId="0CD3C53F" w14:textId="77777777" w:rsidR="00EC73EA" w:rsidRDefault="00EC73EA" w:rsidP="00EC73EA">
            <w:r>
              <w:t>2026</w:t>
            </w:r>
          </w:p>
          <w:p w14:paraId="3342BEF4" w14:textId="77777777" w:rsidR="00EC73EA" w:rsidRDefault="00EC73EA" w:rsidP="00EC73EA">
            <w:r>
              <w:t>2027</w:t>
            </w:r>
          </w:p>
          <w:p w14:paraId="22A471E8" w14:textId="77777777" w:rsidR="00EC73EA" w:rsidRDefault="00EC73EA" w:rsidP="00EC73EA">
            <w:r>
              <w:t>2028</w:t>
            </w:r>
          </w:p>
          <w:p w14:paraId="19B28DE7" w14:textId="77777777" w:rsidR="00EC73EA" w:rsidRDefault="00EC73EA" w:rsidP="00EC73EA">
            <w:r>
              <w:t>2029</w:t>
            </w:r>
          </w:p>
          <w:p w14:paraId="71FA885E" w14:textId="77777777" w:rsidR="00EC73EA" w:rsidRDefault="00EC73EA" w:rsidP="00EC73EA">
            <w:r>
              <w:t>2030</w:t>
            </w:r>
          </w:p>
          <w:p w14:paraId="334E79DB" w14:textId="77777777" w:rsidR="00EC73EA" w:rsidRDefault="00EC73EA" w:rsidP="00EC73EA">
            <w:r>
              <w:t>2031</w:t>
            </w:r>
          </w:p>
          <w:p w14:paraId="64A59C33" w14:textId="77777777" w:rsidR="00EC73EA" w:rsidRDefault="00EC73EA" w:rsidP="00EC73EA">
            <w:r>
              <w:t>2032</w:t>
            </w:r>
          </w:p>
          <w:p w14:paraId="40EC25F2" w14:textId="42C9696D" w:rsidR="00EC73EA" w:rsidRPr="00EC73EA" w:rsidRDefault="00EC73EA" w:rsidP="00EC73EA">
            <w:r>
              <w:t>2033 Onwards</w:t>
            </w:r>
          </w:p>
        </w:tc>
        <w:tc>
          <w:tcPr>
            <w:tcW w:w="1503" w:type="dxa"/>
            <w:tcBorders>
              <w:top w:val="single" w:sz="4" w:space="0" w:color="9FBCD0"/>
              <w:left w:val="single" w:sz="4" w:space="0" w:color="9FBCD0"/>
              <w:bottom w:val="single" w:sz="4" w:space="0" w:color="9FBCD0"/>
              <w:right w:val="single" w:sz="4" w:space="0" w:color="9FBCD0"/>
            </w:tcBorders>
          </w:tcPr>
          <w:p w14:paraId="35A57A1D" w14:textId="77777777" w:rsidR="00EC73EA" w:rsidRDefault="00EC73EA" w:rsidP="00EC73EA">
            <w:r>
              <w:t>2.00%</w:t>
            </w:r>
          </w:p>
          <w:p w14:paraId="284A80DB" w14:textId="77777777" w:rsidR="00EC73EA" w:rsidRDefault="00EC73EA" w:rsidP="00EC73EA">
            <w:r>
              <w:t>2.75%</w:t>
            </w:r>
          </w:p>
          <w:p w14:paraId="4D3E0EA0" w14:textId="77777777" w:rsidR="00EC73EA" w:rsidRDefault="00EC73EA" w:rsidP="00EC73EA">
            <w:r>
              <w:t>3.25%</w:t>
            </w:r>
          </w:p>
          <w:p w14:paraId="60C3EB63" w14:textId="77777777" w:rsidR="00EC73EA" w:rsidRDefault="00EC73EA" w:rsidP="00EC73EA">
            <w:r>
              <w:t>3.20%</w:t>
            </w:r>
          </w:p>
          <w:p w14:paraId="572A17F2" w14:textId="77777777" w:rsidR="00EC73EA" w:rsidRDefault="00EC73EA" w:rsidP="00EC73EA">
            <w:r>
              <w:t>3.14%</w:t>
            </w:r>
          </w:p>
          <w:p w14:paraId="04E576BC" w14:textId="77777777" w:rsidR="00EC73EA" w:rsidRDefault="00EC73EA" w:rsidP="00EC73EA">
            <w:r>
              <w:t>3.09%</w:t>
            </w:r>
          </w:p>
          <w:p w14:paraId="7208B946" w14:textId="77777777" w:rsidR="00EC73EA" w:rsidRDefault="00EC73EA" w:rsidP="00EC73EA">
            <w:r>
              <w:t>3.03%</w:t>
            </w:r>
          </w:p>
          <w:p w14:paraId="53B8AE5C" w14:textId="77777777" w:rsidR="00EC73EA" w:rsidRDefault="00EC73EA" w:rsidP="00EC73EA">
            <w:r>
              <w:t>2.98%</w:t>
            </w:r>
          </w:p>
          <w:p w14:paraId="6F05EA0B" w14:textId="77777777" w:rsidR="00EC73EA" w:rsidRDefault="00EC73EA" w:rsidP="00EC73EA">
            <w:r>
              <w:t>2.92%</w:t>
            </w:r>
          </w:p>
          <w:p w14:paraId="50F0940B" w14:textId="77777777" w:rsidR="00EC73EA" w:rsidRDefault="00EC73EA" w:rsidP="00EC73EA">
            <w:r>
              <w:t>2.87%</w:t>
            </w:r>
          </w:p>
          <w:p w14:paraId="386C4123" w14:textId="77777777" w:rsidR="00EC73EA" w:rsidRDefault="00EC73EA" w:rsidP="00EC73EA">
            <w:r>
              <w:t>2.82%</w:t>
            </w:r>
          </w:p>
          <w:p w14:paraId="2C0BBF12" w14:textId="77777777" w:rsidR="00EC73EA" w:rsidRDefault="00EC73EA" w:rsidP="00EC73EA">
            <w:r>
              <w:t>2.76%</w:t>
            </w:r>
          </w:p>
          <w:p w14:paraId="59ADE9D5" w14:textId="77777777" w:rsidR="00EC73EA" w:rsidRDefault="00EC73EA" w:rsidP="00EC73EA">
            <w:r>
              <w:t>2.71%</w:t>
            </w:r>
          </w:p>
          <w:p w14:paraId="7FF0777A" w14:textId="77777777" w:rsidR="00EC73EA" w:rsidRDefault="00EC73EA" w:rsidP="00EC73EA">
            <w:r>
              <w:t>2.65%</w:t>
            </w:r>
          </w:p>
          <w:p w14:paraId="47248120" w14:textId="77777777" w:rsidR="00EC73EA" w:rsidRDefault="00EC73EA" w:rsidP="00EC73EA">
            <w:r>
              <w:t>2.60%</w:t>
            </w:r>
          </w:p>
          <w:p w14:paraId="0F813564" w14:textId="5E7A8190" w:rsidR="00EC73EA" w:rsidRPr="00EC73EA" w:rsidRDefault="00EC73EA" w:rsidP="00EC73EA">
            <w:r>
              <w:t>2.54%</w:t>
            </w:r>
          </w:p>
        </w:tc>
      </w:tr>
      <w:tr w:rsidR="00EC73EA" w14:paraId="2CBD527C" w14:textId="77777777" w:rsidTr="00255F22">
        <w:tc>
          <w:tcPr>
            <w:tcW w:w="3005" w:type="dxa"/>
            <w:tcBorders>
              <w:top w:val="single" w:sz="4" w:space="0" w:color="9FBCD0"/>
              <w:left w:val="single" w:sz="4" w:space="0" w:color="9FBCD0"/>
              <w:bottom w:val="single" w:sz="4" w:space="0" w:color="9FBCD0"/>
              <w:right w:val="single" w:sz="4" w:space="0" w:color="9FBCD0"/>
            </w:tcBorders>
          </w:tcPr>
          <w:p w14:paraId="2A2FB2E0" w14:textId="2351B8BD" w:rsidR="00EC73EA" w:rsidRPr="00EC73EA" w:rsidRDefault="00EC73EA" w:rsidP="00C85B1C">
            <w:pPr>
              <w:rPr>
                <w:b/>
              </w:rPr>
            </w:pPr>
            <w:r w:rsidRPr="00EC73EA">
              <w:rPr>
                <w:b/>
              </w:rPr>
              <w:t>Discount Rate</w:t>
            </w:r>
          </w:p>
        </w:tc>
        <w:tc>
          <w:tcPr>
            <w:tcW w:w="1502" w:type="dxa"/>
            <w:tcBorders>
              <w:top w:val="single" w:sz="4" w:space="0" w:color="9FBCD0"/>
              <w:left w:val="single" w:sz="4" w:space="0" w:color="9FBCD0"/>
              <w:bottom w:val="single" w:sz="4" w:space="0" w:color="9FBCD0"/>
              <w:right w:val="single" w:sz="4" w:space="0" w:color="9FBCD0"/>
            </w:tcBorders>
          </w:tcPr>
          <w:p w14:paraId="1623B6D7" w14:textId="77777777" w:rsidR="00EC73EA" w:rsidRDefault="00EC73EA" w:rsidP="00EC73EA">
            <w:r>
              <w:t>2019</w:t>
            </w:r>
          </w:p>
          <w:p w14:paraId="732A1CD6" w14:textId="77777777" w:rsidR="00EC73EA" w:rsidRDefault="00EC73EA" w:rsidP="00EC73EA">
            <w:r>
              <w:t>2020</w:t>
            </w:r>
          </w:p>
          <w:p w14:paraId="31A12991" w14:textId="77777777" w:rsidR="00EC73EA" w:rsidRDefault="00EC73EA" w:rsidP="00EC73EA">
            <w:r>
              <w:t>2021</w:t>
            </w:r>
          </w:p>
          <w:p w14:paraId="0EC461D7" w14:textId="77777777" w:rsidR="00EC73EA" w:rsidRDefault="00EC73EA" w:rsidP="00EC73EA">
            <w:r>
              <w:t>2022</w:t>
            </w:r>
          </w:p>
          <w:p w14:paraId="1EEA377F" w14:textId="77777777" w:rsidR="00EC73EA" w:rsidRDefault="00EC73EA" w:rsidP="00EC73EA">
            <w:r>
              <w:t>2023</w:t>
            </w:r>
          </w:p>
          <w:p w14:paraId="1A5FB411" w14:textId="77777777" w:rsidR="00EC73EA" w:rsidRDefault="00EC73EA" w:rsidP="00EC73EA">
            <w:r>
              <w:t>2024</w:t>
            </w:r>
          </w:p>
          <w:p w14:paraId="648BBB1A" w14:textId="77777777" w:rsidR="00EC73EA" w:rsidRDefault="00EC73EA" w:rsidP="00EC73EA">
            <w:r>
              <w:t>2025</w:t>
            </w:r>
          </w:p>
          <w:p w14:paraId="5F95C6DC" w14:textId="77777777" w:rsidR="00EC73EA" w:rsidRDefault="00EC73EA" w:rsidP="00EC73EA">
            <w:r>
              <w:t>2026</w:t>
            </w:r>
          </w:p>
          <w:p w14:paraId="0FFACDC7" w14:textId="77777777" w:rsidR="00EC73EA" w:rsidRDefault="00EC73EA" w:rsidP="00EC73EA">
            <w:r>
              <w:t>2027</w:t>
            </w:r>
          </w:p>
          <w:p w14:paraId="23B4F554" w14:textId="77777777" w:rsidR="00EC73EA" w:rsidRDefault="00EC73EA" w:rsidP="00EC73EA">
            <w:r>
              <w:t>2028</w:t>
            </w:r>
          </w:p>
          <w:p w14:paraId="70346D88" w14:textId="77777777" w:rsidR="00EC73EA" w:rsidRDefault="00EC73EA" w:rsidP="00EC73EA">
            <w:r>
              <w:t>2029</w:t>
            </w:r>
          </w:p>
          <w:p w14:paraId="265AE854" w14:textId="77777777" w:rsidR="00EC73EA" w:rsidRDefault="00EC73EA" w:rsidP="00EC73EA">
            <w:r>
              <w:t>2030</w:t>
            </w:r>
          </w:p>
          <w:p w14:paraId="088FA3FA" w14:textId="77777777" w:rsidR="00EC73EA" w:rsidRDefault="00EC73EA" w:rsidP="00EC73EA">
            <w:r>
              <w:t>2031</w:t>
            </w:r>
          </w:p>
          <w:p w14:paraId="09926FE9" w14:textId="77777777" w:rsidR="00EC73EA" w:rsidRDefault="00EC73EA" w:rsidP="00EC73EA">
            <w:r>
              <w:t>2032</w:t>
            </w:r>
          </w:p>
          <w:p w14:paraId="51DBF910" w14:textId="77777777" w:rsidR="00EC73EA" w:rsidRDefault="00EC73EA" w:rsidP="00EC73EA">
            <w:r>
              <w:t>2033</w:t>
            </w:r>
          </w:p>
          <w:p w14:paraId="4CDE60B8" w14:textId="7EEEB639" w:rsidR="00EC73EA" w:rsidRPr="00EC73EA" w:rsidRDefault="00EC73EA" w:rsidP="00EC73EA">
            <w:r>
              <w:t>2034 Onwards</w:t>
            </w:r>
          </w:p>
        </w:tc>
        <w:tc>
          <w:tcPr>
            <w:tcW w:w="1503" w:type="dxa"/>
            <w:tcBorders>
              <w:top w:val="single" w:sz="4" w:space="0" w:color="9FBCD0"/>
              <w:left w:val="single" w:sz="4" w:space="0" w:color="9FBCD0"/>
              <w:bottom w:val="single" w:sz="4" w:space="0" w:color="9FBCD0"/>
              <w:right w:val="single" w:sz="4" w:space="0" w:color="9FBCD0"/>
            </w:tcBorders>
          </w:tcPr>
          <w:p w14:paraId="2FA9AA71" w14:textId="77777777" w:rsidR="00EC73EA" w:rsidRDefault="00EC73EA" w:rsidP="00EC73EA">
            <w:r>
              <w:t>1.89%</w:t>
            </w:r>
          </w:p>
          <w:p w14:paraId="1AFC7C35" w14:textId="77777777" w:rsidR="00EC73EA" w:rsidRDefault="00EC73EA" w:rsidP="00EC73EA">
            <w:r>
              <w:t>2.09%</w:t>
            </w:r>
          </w:p>
          <w:p w14:paraId="6335B7D9" w14:textId="77777777" w:rsidR="00EC73EA" w:rsidRDefault="00EC73EA" w:rsidP="00EC73EA">
            <w:r>
              <w:t>2.37%</w:t>
            </w:r>
          </w:p>
          <w:p w14:paraId="1EDADB52" w14:textId="77777777" w:rsidR="00EC73EA" w:rsidRDefault="00EC73EA" w:rsidP="00EC73EA">
            <w:r>
              <w:t>2.61%</w:t>
            </w:r>
          </w:p>
          <w:p w14:paraId="4D1CAA50" w14:textId="77777777" w:rsidR="00EC73EA" w:rsidRDefault="00EC73EA" w:rsidP="00EC73EA">
            <w:r>
              <w:t>2.79%</w:t>
            </w:r>
          </w:p>
          <w:p w14:paraId="5FBE8A84" w14:textId="77777777" w:rsidR="00EC73EA" w:rsidRDefault="00EC73EA" w:rsidP="00EC73EA">
            <w:r>
              <w:t>2.92%</w:t>
            </w:r>
          </w:p>
          <w:p w14:paraId="2BD4C06C" w14:textId="77777777" w:rsidR="00EC73EA" w:rsidRDefault="00EC73EA" w:rsidP="00EC73EA">
            <w:r>
              <w:t>2.99%</w:t>
            </w:r>
          </w:p>
          <w:p w14:paraId="1BE6BA3D" w14:textId="77777777" w:rsidR="00EC73EA" w:rsidRDefault="00EC73EA" w:rsidP="00EC73EA">
            <w:r>
              <w:t>3.02%</w:t>
            </w:r>
          </w:p>
          <w:p w14:paraId="7D83892D" w14:textId="77777777" w:rsidR="00EC73EA" w:rsidRDefault="00EC73EA" w:rsidP="00EC73EA">
            <w:r>
              <w:t>3.04%</w:t>
            </w:r>
          </w:p>
          <w:p w14:paraId="3A328D71" w14:textId="77777777" w:rsidR="00EC73EA" w:rsidRDefault="00EC73EA" w:rsidP="00EC73EA">
            <w:r>
              <w:t>3.09%</w:t>
            </w:r>
          </w:p>
          <w:p w14:paraId="4068F8E6" w14:textId="77777777" w:rsidR="00EC73EA" w:rsidRDefault="00EC73EA" w:rsidP="00EC73EA">
            <w:r>
              <w:t>3.18%</w:t>
            </w:r>
          </w:p>
          <w:p w14:paraId="16216906" w14:textId="77777777" w:rsidR="00EC73EA" w:rsidRDefault="00EC73EA" w:rsidP="00EC73EA">
            <w:r>
              <w:t>3.27%</w:t>
            </w:r>
          </w:p>
          <w:p w14:paraId="1AC6BA03" w14:textId="77777777" w:rsidR="00EC73EA" w:rsidRDefault="00EC73EA" w:rsidP="00EC73EA">
            <w:r>
              <w:t>3.34%</w:t>
            </w:r>
          </w:p>
          <w:p w14:paraId="54DACCB8" w14:textId="77777777" w:rsidR="00EC73EA" w:rsidRDefault="00EC73EA" w:rsidP="00EC73EA">
            <w:r>
              <w:t>3.41%</w:t>
            </w:r>
          </w:p>
          <w:p w14:paraId="68ECA18F" w14:textId="77777777" w:rsidR="00EC73EA" w:rsidRDefault="00EC73EA" w:rsidP="00EC73EA">
            <w:r>
              <w:t>3.47%</w:t>
            </w:r>
          </w:p>
          <w:p w14:paraId="0A3143FF" w14:textId="58FEC84F" w:rsidR="00EC73EA" w:rsidRPr="00EC73EA" w:rsidRDefault="00EC73EA" w:rsidP="00EC73EA">
            <w:r>
              <w:t>3.49%</w:t>
            </w:r>
          </w:p>
        </w:tc>
        <w:tc>
          <w:tcPr>
            <w:tcW w:w="1503" w:type="dxa"/>
            <w:tcBorders>
              <w:top w:val="single" w:sz="4" w:space="0" w:color="9FBCD0"/>
              <w:left w:val="single" w:sz="4" w:space="0" w:color="9FBCD0"/>
              <w:bottom w:val="single" w:sz="4" w:space="0" w:color="9FBCD0"/>
              <w:right w:val="single" w:sz="4" w:space="0" w:color="9FBCD0"/>
            </w:tcBorders>
          </w:tcPr>
          <w:p w14:paraId="66FD16FF" w14:textId="77777777" w:rsidR="00EC73EA" w:rsidRDefault="00EC73EA" w:rsidP="00EC73EA">
            <w:r>
              <w:t>2018</w:t>
            </w:r>
          </w:p>
          <w:p w14:paraId="16683345" w14:textId="77777777" w:rsidR="00EC73EA" w:rsidRDefault="00EC73EA" w:rsidP="00EC73EA">
            <w:r>
              <w:t>2019</w:t>
            </w:r>
          </w:p>
          <w:p w14:paraId="3683907E" w14:textId="77777777" w:rsidR="00EC73EA" w:rsidRDefault="00EC73EA" w:rsidP="00EC73EA">
            <w:r>
              <w:t>2020</w:t>
            </w:r>
          </w:p>
          <w:p w14:paraId="704B14FA" w14:textId="77777777" w:rsidR="00EC73EA" w:rsidRDefault="00EC73EA" w:rsidP="00EC73EA">
            <w:r>
              <w:t>2021</w:t>
            </w:r>
          </w:p>
          <w:p w14:paraId="0B70A78B" w14:textId="77777777" w:rsidR="00EC73EA" w:rsidRDefault="00EC73EA" w:rsidP="00EC73EA">
            <w:r>
              <w:t>2022</w:t>
            </w:r>
          </w:p>
          <w:p w14:paraId="7BD8488C" w14:textId="77777777" w:rsidR="00EC73EA" w:rsidRDefault="00EC73EA" w:rsidP="00EC73EA">
            <w:r>
              <w:t>2023</w:t>
            </w:r>
          </w:p>
          <w:p w14:paraId="336426E2" w14:textId="77777777" w:rsidR="00EC73EA" w:rsidRDefault="00EC73EA" w:rsidP="00EC73EA">
            <w:r>
              <w:t>2024</w:t>
            </w:r>
          </w:p>
          <w:p w14:paraId="2434880A" w14:textId="77777777" w:rsidR="00EC73EA" w:rsidRDefault="00EC73EA" w:rsidP="00EC73EA">
            <w:r>
              <w:t>2025</w:t>
            </w:r>
          </w:p>
          <w:p w14:paraId="0E53BC9B" w14:textId="77777777" w:rsidR="00EC73EA" w:rsidRDefault="00EC73EA" w:rsidP="00EC73EA">
            <w:r>
              <w:t>2026</w:t>
            </w:r>
          </w:p>
          <w:p w14:paraId="3D773909" w14:textId="77777777" w:rsidR="00EC73EA" w:rsidRDefault="00EC73EA" w:rsidP="00EC73EA">
            <w:r>
              <w:t>2027</w:t>
            </w:r>
          </w:p>
          <w:p w14:paraId="21D3E6FD" w14:textId="77777777" w:rsidR="00EC73EA" w:rsidRDefault="00EC73EA" w:rsidP="00EC73EA">
            <w:r>
              <w:t>2028</w:t>
            </w:r>
          </w:p>
          <w:p w14:paraId="59512DC8" w14:textId="77777777" w:rsidR="00EC73EA" w:rsidRDefault="00EC73EA" w:rsidP="00EC73EA">
            <w:r>
              <w:t>2029</w:t>
            </w:r>
          </w:p>
          <w:p w14:paraId="1A564280" w14:textId="77777777" w:rsidR="00EC73EA" w:rsidRDefault="00EC73EA" w:rsidP="00EC73EA">
            <w:r>
              <w:t>2030</w:t>
            </w:r>
          </w:p>
          <w:p w14:paraId="7A41F11A" w14:textId="77777777" w:rsidR="00EC73EA" w:rsidRDefault="00EC73EA" w:rsidP="00EC73EA">
            <w:r>
              <w:t>2031</w:t>
            </w:r>
          </w:p>
          <w:p w14:paraId="4ECB7306" w14:textId="77777777" w:rsidR="00EC73EA" w:rsidRDefault="00EC73EA" w:rsidP="00EC73EA">
            <w:r>
              <w:t>2032</w:t>
            </w:r>
          </w:p>
          <w:p w14:paraId="1F0A3640" w14:textId="250049CE" w:rsidR="00EC73EA" w:rsidRPr="00EC73EA" w:rsidRDefault="00EC73EA" w:rsidP="00EC73EA">
            <w:r>
              <w:t>2033</w:t>
            </w:r>
            <w:r>
              <w:br/>
              <w:t>Onwards</w:t>
            </w:r>
          </w:p>
        </w:tc>
        <w:tc>
          <w:tcPr>
            <w:tcW w:w="1503" w:type="dxa"/>
            <w:tcBorders>
              <w:top w:val="single" w:sz="4" w:space="0" w:color="9FBCD0"/>
              <w:left w:val="single" w:sz="4" w:space="0" w:color="9FBCD0"/>
              <w:bottom w:val="single" w:sz="4" w:space="0" w:color="9FBCD0"/>
              <w:right w:val="single" w:sz="4" w:space="0" w:color="9FBCD0"/>
            </w:tcBorders>
          </w:tcPr>
          <w:p w14:paraId="0FC6E072" w14:textId="77777777" w:rsidR="00EC73EA" w:rsidRDefault="00EC73EA" w:rsidP="00EC73EA">
            <w:r>
              <w:t>1.57%</w:t>
            </w:r>
          </w:p>
          <w:p w14:paraId="5B9D3FD1" w14:textId="77777777" w:rsidR="00EC73EA" w:rsidRDefault="00EC73EA" w:rsidP="00EC73EA">
            <w:r>
              <w:t>1.92%</w:t>
            </w:r>
          </w:p>
          <w:p w14:paraId="3AA61CED" w14:textId="77777777" w:rsidR="00EC73EA" w:rsidRDefault="00EC73EA" w:rsidP="00EC73EA">
            <w:r>
              <w:t>2.29%</w:t>
            </w:r>
          </w:p>
          <w:p w14:paraId="11B08E6F" w14:textId="77777777" w:rsidR="00EC73EA" w:rsidRDefault="00EC73EA" w:rsidP="00EC73EA">
            <w:r>
              <w:t>2.59%</w:t>
            </w:r>
          </w:p>
          <w:p w14:paraId="3D55061A" w14:textId="77777777" w:rsidR="00EC73EA" w:rsidRDefault="00EC73EA" w:rsidP="00EC73EA">
            <w:r>
              <w:t>2.84%</w:t>
            </w:r>
          </w:p>
          <w:p w14:paraId="01D7DBC1" w14:textId="77777777" w:rsidR="00EC73EA" w:rsidRDefault="00EC73EA" w:rsidP="00EC73EA">
            <w:r>
              <w:t>3.02%</w:t>
            </w:r>
          </w:p>
          <w:p w14:paraId="51163974" w14:textId="77777777" w:rsidR="00EC73EA" w:rsidRDefault="00EC73EA" w:rsidP="00EC73EA">
            <w:r>
              <w:t>3.13%</w:t>
            </w:r>
          </w:p>
          <w:p w14:paraId="5CA6F5C7" w14:textId="77777777" w:rsidR="00EC73EA" w:rsidRDefault="00EC73EA" w:rsidP="00EC73EA">
            <w:r>
              <w:t>3.18%</w:t>
            </w:r>
          </w:p>
          <w:p w14:paraId="0C2FAD96" w14:textId="77777777" w:rsidR="00EC73EA" w:rsidRDefault="00EC73EA" w:rsidP="00EC73EA">
            <w:r>
              <w:t>3.21%</w:t>
            </w:r>
          </w:p>
          <w:p w14:paraId="1C230240" w14:textId="77777777" w:rsidR="00EC73EA" w:rsidRDefault="00EC73EA" w:rsidP="00EC73EA">
            <w:r>
              <w:t>3.27%</w:t>
            </w:r>
          </w:p>
          <w:p w14:paraId="061A11EB" w14:textId="77777777" w:rsidR="00EC73EA" w:rsidRDefault="00EC73EA" w:rsidP="00EC73EA">
            <w:r>
              <w:t>3.37%</w:t>
            </w:r>
          </w:p>
          <w:p w14:paraId="312E0E7B" w14:textId="77777777" w:rsidR="00EC73EA" w:rsidRDefault="00EC73EA" w:rsidP="00EC73EA">
            <w:r>
              <w:t>3.51%</w:t>
            </w:r>
          </w:p>
          <w:p w14:paraId="4EEE61AB" w14:textId="77777777" w:rsidR="00EC73EA" w:rsidRDefault="00EC73EA" w:rsidP="00EC73EA">
            <w:r>
              <w:t>3.69%</w:t>
            </w:r>
          </w:p>
          <w:p w14:paraId="2A25C6EC" w14:textId="77777777" w:rsidR="00EC73EA" w:rsidRDefault="00EC73EA" w:rsidP="00EC73EA">
            <w:r>
              <w:t>3.91%</w:t>
            </w:r>
          </w:p>
          <w:p w14:paraId="064D117F" w14:textId="77777777" w:rsidR="00EC73EA" w:rsidRDefault="00EC73EA" w:rsidP="00EC73EA">
            <w:r>
              <w:t>4.17%</w:t>
            </w:r>
          </w:p>
          <w:p w14:paraId="7E5562D4" w14:textId="55A4ECBC" w:rsidR="00EC73EA" w:rsidRPr="00EC73EA" w:rsidRDefault="00EC73EA" w:rsidP="00EC73EA">
            <w:r>
              <w:t>4.29%</w:t>
            </w:r>
          </w:p>
        </w:tc>
      </w:tr>
      <w:tr w:rsidR="006E67C4" w14:paraId="22DB3238" w14:textId="77777777" w:rsidTr="006E67C4">
        <w:trPr>
          <w:trHeight w:val="748"/>
        </w:trPr>
        <w:tc>
          <w:tcPr>
            <w:tcW w:w="3005" w:type="dxa"/>
            <w:tcBorders>
              <w:top w:val="single" w:sz="4" w:space="0" w:color="9FBCD0"/>
              <w:left w:val="single" w:sz="4" w:space="0" w:color="9FBCD0"/>
              <w:bottom w:val="single" w:sz="4" w:space="0" w:color="9FBCD0"/>
              <w:right w:val="single" w:sz="4" w:space="0" w:color="9FBCD0"/>
            </w:tcBorders>
            <w:vAlign w:val="bottom"/>
          </w:tcPr>
          <w:p w14:paraId="0630E7D2" w14:textId="7BC56074" w:rsidR="006E67C4" w:rsidRPr="006E67C4" w:rsidRDefault="006E67C4" w:rsidP="006E67C4">
            <w:pPr>
              <w:rPr>
                <w:b/>
              </w:rPr>
            </w:pPr>
            <w:r w:rsidRPr="006E67C4">
              <w:rPr>
                <w:b/>
              </w:rPr>
              <w:t>Claims Managements Expenses</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1D3A1724" w14:textId="74890B5D" w:rsidR="006E67C4" w:rsidRPr="00EC73EA" w:rsidRDefault="006E67C4" w:rsidP="006E67C4">
            <w:pPr>
              <w:rPr>
                <w:lang w:eastAsia="en-AU"/>
              </w:rPr>
            </w:pPr>
            <w:r>
              <w:t>10.5% for claim payments</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58968E3A" w14:textId="0C3D9D39" w:rsidR="006E67C4" w:rsidRPr="00EC73EA" w:rsidRDefault="006E67C4" w:rsidP="006E67C4">
            <w:pPr>
              <w:rPr>
                <w:lang w:eastAsia="en-AU"/>
              </w:rPr>
            </w:pPr>
            <w:r>
              <w:t>10.5% for claim payments</w:t>
            </w:r>
          </w:p>
        </w:tc>
      </w:tr>
      <w:tr w:rsidR="006E67C4" w14:paraId="243A4229" w14:textId="77777777" w:rsidTr="006E67C4">
        <w:tc>
          <w:tcPr>
            <w:tcW w:w="3005" w:type="dxa"/>
            <w:tcBorders>
              <w:top w:val="single" w:sz="4" w:space="0" w:color="9FBCD0"/>
              <w:left w:val="single" w:sz="4" w:space="0" w:color="9FBCD0"/>
              <w:bottom w:val="single" w:sz="4" w:space="0" w:color="9FBCD0"/>
              <w:right w:val="single" w:sz="4" w:space="0" w:color="9FBCD0"/>
            </w:tcBorders>
            <w:vAlign w:val="bottom"/>
          </w:tcPr>
          <w:p w14:paraId="4E225E71" w14:textId="5E122DF6" w:rsidR="006E67C4" w:rsidRPr="006E67C4" w:rsidRDefault="006E67C4" w:rsidP="006E67C4">
            <w:pPr>
              <w:rPr>
                <w:b/>
              </w:rPr>
            </w:pPr>
            <w:r w:rsidRPr="006E67C4">
              <w:rPr>
                <w:b/>
              </w:rPr>
              <w:t>Superimposed Inflation</w:t>
            </w:r>
          </w:p>
        </w:tc>
        <w:tc>
          <w:tcPr>
            <w:tcW w:w="3005" w:type="dxa"/>
            <w:gridSpan w:val="2"/>
            <w:tcBorders>
              <w:top w:val="single" w:sz="4" w:space="0" w:color="9FBCD0"/>
              <w:left w:val="single" w:sz="4" w:space="0" w:color="9FBCD0"/>
              <w:bottom w:val="single" w:sz="4" w:space="0" w:color="9FBCD0"/>
              <w:right w:val="single" w:sz="4" w:space="0" w:color="9FBCD0"/>
            </w:tcBorders>
          </w:tcPr>
          <w:p w14:paraId="178DF590" w14:textId="02BF00A9" w:rsidR="006E67C4" w:rsidRPr="00EC73EA" w:rsidRDefault="006E67C4" w:rsidP="006E67C4">
            <w:pPr>
              <w:rPr>
                <w:lang w:eastAsia="en-AU"/>
              </w:rPr>
            </w:pPr>
            <w:r>
              <w:t>1.5%</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3C1246FE" w14:textId="511CBCE6" w:rsidR="006E67C4" w:rsidRPr="006E67C4" w:rsidRDefault="006E67C4" w:rsidP="006E67C4">
            <w:pPr>
              <w:rPr>
                <w:lang w:eastAsia="en-AU"/>
              </w:rPr>
            </w:pPr>
            <w:r>
              <w:t>1.5%</w:t>
            </w:r>
          </w:p>
        </w:tc>
      </w:tr>
      <w:tr w:rsidR="006E67C4" w14:paraId="61736A55" w14:textId="77777777" w:rsidTr="006E67C4">
        <w:tc>
          <w:tcPr>
            <w:tcW w:w="3005" w:type="dxa"/>
            <w:tcBorders>
              <w:top w:val="single" w:sz="4" w:space="0" w:color="9FBCD0"/>
              <w:left w:val="single" w:sz="4" w:space="0" w:color="9FBCD0"/>
              <w:bottom w:val="single" w:sz="4" w:space="0" w:color="9FBCD0"/>
              <w:right w:val="single" w:sz="4" w:space="0" w:color="9FBCD0"/>
            </w:tcBorders>
            <w:vAlign w:val="center"/>
          </w:tcPr>
          <w:p w14:paraId="6A08E819" w14:textId="7A7A1EE4" w:rsidR="006E67C4" w:rsidRPr="006E67C4" w:rsidRDefault="006E67C4" w:rsidP="006E67C4">
            <w:pPr>
              <w:rPr>
                <w:b/>
              </w:rPr>
            </w:pPr>
            <w:r w:rsidRPr="006E67C4">
              <w:rPr>
                <w:b/>
              </w:rPr>
              <w:t>Risk Margin</w:t>
            </w:r>
          </w:p>
        </w:tc>
        <w:tc>
          <w:tcPr>
            <w:tcW w:w="3005" w:type="dxa"/>
            <w:gridSpan w:val="2"/>
            <w:tcBorders>
              <w:top w:val="single" w:sz="4" w:space="0" w:color="9FBCD0"/>
              <w:left w:val="single" w:sz="4" w:space="0" w:color="9FBCD0"/>
              <w:bottom w:val="single" w:sz="4" w:space="0" w:color="9FBCD0"/>
              <w:right w:val="single" w:sz="4" w:space="0" w:color="9FBCD0"/>
            </w:tcBorders>
          </w:tcPr>
          <w:p w14:paraId="72BCF2AD" w14:textId="254A7451" w:rsidR="006E67C4" w:rsidRPr="00EC73EA" w:rsidRDefault="006E67C4" w:rsidP="006E67C4">
            <w:pPr>
              <w:rPr>
                <w:lang w:eastAsia="en-AU"/>
              </w:rPr>
            </w:pPr>
            <w:r>
              <w:t>20.4% risk margin at the 75% sufficiency level</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55B6D0C1" w14:textId="340DFF20" w:rsidR="006E67C4" w:rsidRPr="006E67C4" w:rsidRDefault="006E67C4" w:rsidP="006E67C4">
            <w:pPr>
              <w:rPr>
                <w:lang w:eastAsia="en-AU"/>
              </w:rPr>
            </w:pPr>
            <w:r>
              <w:t>20.4% risk margin at the 75% sufficiency level</w:t>
            </w:r>
          </w:p>
        </w:tc>
      </w:tr>
    </w:tbl>
    <w:p w14:paraId="6E347F8F" w14:textId="77777777" w:rsidR="006E67C4" w:rsidRDefault="006E67C4" w:rsidP="00C85B1C">
      <w:pPr>
        <w:rPr>
          <w:i/>
        </w:rPr>
      </w:pPr>
    </w:p>
    <w:p w14:paraId="6F0E7D11" w14:textId="77777777" w:rsidR="006E67C4" w:rsidRDefault="006E67C4" w:rsidP="00C85B1C">
      <w:pPr>
        <w:rPr>
          <w:i/>
        </w:rPr>
      </w:pPr>
      <w:r>
        <w:rPr>
          <w:i/>
        </w:rPr>
        <w:t xml:space="preserve">Expense rate </w:t>
      </w:r>
    </w:p>
    <w:p w14:paraId="35BE3355" w14:textId="77777777" w:rsidR="006E67C4" w:rsidRDefault="006E67C4" w:rsidP="006E67C4">
      <w:pPr>
        <w:rPr>
          <w:lang w:eastAsia="en-AU"/>
        </w:rPr>
      </w:pPr>
      <w:r w:rsidRPr="006E67C4">
        <w:rPr>
          <w:lang w:eastAsia="en-AU"/>
        </w:rPr>
        <w:t>Claims handling expenses are based on the current arrangements in place with ICWA for claims management of the General Account.</w:t>
      </w:r>
    </w:p>
    <w:p w14:paraId="5CC4128D" w14:textId="0B0D18A3" w:rsidR="006E67C4" w:rsidRDefault="006E67C4" w:rsidP="006E67C4">
      <w:pPr>
        <w:rPr>
          <w:i/>
          <w:lang w:eastAsia="en-AU"/>
        </w:rPr>
      </w:pPr>
      <w:r>
        <w:rPr>
          <w:i/>
          <w:lang w:eastAsia="en-AU"/>
        </w:rPr>
        <w:t xml:space="preserve">Discount rates </w:t>
      </w:r>
    </w:p>
    <w:p w14:paraId="7B9E7A4B" w14:textId="77777777" w:rsidR="006E67C4" w:rsidRDefault="006E67C4" w:rsidP="006E67C4">
      <w:pPr>
        <w:rPr>
          <w:lang w:eastAsia="en-AU"/>
        </w:rPr>
      </w:pPr>
      <w:r w:rsidRPr="006E67C4">
        <w:rPr>
          <w:lang w:eastAsia="en-AU"/>
        </w:rPr>
        <w:t>Discount rates are derived as the one-year forward rates implied by the Commonwealth Government yield curve as at the balance date.</w:t>
      </w:r>
    </w:p>
    <w:p w14:paraId="09C68B1B" w14:textId="647EF761" w:rsidR="006E67C4" w:rsidRDefault="006E67C4" w:rsidP="006E67C4">
      <w:pPr>
        <w:rPr>
          <w:i/>
          <w:lang w:eastAsia="en-AU"/>
        </w:rPr>
      </w:pPr>
      <w:r>
        <w:rPr>
          <w:i/>
          <w:lang w:eastAsia="en-AU"/>
        </w:rPr>
        <w:t xml:space="preserve">Inflation rates </w:t>
      </w:r>
    </w:p>
    <w:p w14:paraId="0B33A720" w14:textId="77777777" w:rsidR="006E67C4" w:rsidRDefault="006E67C4" w:rsidP="006E67C4">
      <w:pPr>
        <w:rPr>
          <w:lang w:eastAsia="en-AU"/>
        </w:rPr>
      </w:pPr>
      <w:r w:rsidRPr="006E67C4">
        <w:rPr>
          <w:lang w:eastAsia="en-AU"/>
        </w:rPr>
        <w:t>Economic inflation assumptions have been set by reference to current economic indicators.</w:t>
      </w:r>
    </w:p>
    <w:p w14:paraId="416103C4" w14:textId="77777777" w:rsidR="006E67C4" w:rsidRDefault="006E67C4">
      <w:pPr>
        <w:keepLines w:val="0"/>
        <w:spacing w:after="0" w:line="240" w:lineRule="auto"/>
        <w:rPr>
          <w:i/>
          <w:lang w:eastAsia="en-AU"/>
        </w:rPr>
      </w:pPr>
      <w:r>
        <w:rPr>
          <w:i/>
          <w:lang w:eastAsia="en-AU"/>
        </w:rPr>
        <w:br w:type="page"/>
      </w:r>
    </w:p>
    <w:p w14:paraId="579F30C5" w14:textId="76234027" w:rsidR="006E67C4" w:rsidRDefault="006E67C4" w:rsidP="006E67C4">
      <w:pPr>
        <w:rPr>
          <w:i/>
          <w:lang w:eastAsia="en-AU"/>
        </w:rPr>
      </w:pPr>
      <w:r>
        <w:rPr>
          <w:i/>
          <w:lang w:eastAsia="en-AU"/>
        </w:rPr>
        <w:t>Superimposed inflation</w:t>
      </w:r>
    </w:p>
    <w:p w14:paraId="2F369189" w14:textId="730B39CD" w:rsidR="006E67C4" w:rsidRPr="006E67C4" w:rsidRDefault="006E67C4" w:rsidP="006E67C4">
      <w:pPr>
        <w:rPr>
          <w:lang w:eastAsia="en-AU"/>
        </w:rPr>
      </w:pPr>
      <w:r w:rsidRPr="006E67C4">
        <w:rPr>
          <w:lang w:eastAsia="en-AU"/>
        </w:rPr>
        <w:t>Superimposed inflation being the real increase after adjusting for normal inflation, usually due to non-e</w:t>
      </w:r>
      <w:r>
        <w:rPr>
          <w:lang w:eastAsia="en-AU"/>
        </w:rPr>
        <w:t>conomic effects e.g. changes in</w:t>
      </w:r>
      <w:r w:rsidRPr="006E67C4">
        <w:rPr>
          <w:lang w:eastAsia="en-AU"/>
        </w:rPr>
        <w:t xml:space="preserve"> legislation, court settlement precedents. The superimposed inflation rates assumed considered both the portfolio's own real cost increases and industry superimposed inflation trends.</w:t>
      </w:r>
    </w:p>
    <w:p w14:paraId="198CFBF5" w14:textId="77777777" w:rsidR="006E67C4" w:rsidRDefault="006E67C4" w:rsidP="006E67C4">
      <w:pPr>
        <w:rPr>
          <w:lang w:eastAsia="en-AU"/>
        </w:rPr>
      </w:pPr>
      <w:r>
        <w:rPr>
          <w:lang w:eastAsia="en-AU"/>
        </w:rPr>
        <w:t>In addition to the above assumptions the following allowances have been made for the Act changes promulgated on 1 October 2011.</w:t>
      </w:r>
      <w:r>
        <w:rPr>
          <w:lang w:eastAsia="en-AU"/>
        </w:rPr>
        <w:tab/>
      </w:r>
      <w:r>
        <w:rPr>
          <w:lang w:eastAsia="en-AU"/>
        </w:rPr>
        <w:tab/>
      </w:r>
      <w:r>
        <w:rPr>
          <w:lang w:eastAsia="en-AU"/>
        </w:rPr>
        <w:tab/>
      </w:r>
      <w:r>
        <w:rPr>
          <w:lang w:eastAsia="en-AU"/>
        </w:rPr>
        <w:tab/>
      </w:r>
      <w:r>
        <w:rPr>
          <w:lang w:eastAsia="en-AU"/>
        </w:rPr>
        <w:tab/>
      </w:r>
    </w:p>
    <w:p w14:paraId="50AA9B21" w14:textId="340FCDD8" w:rsidR="006E67C4" w:rsidRDefault="006E67C4" w:rsidP="006E67C4">
      <w:pPr>
        <w:rPr>
          <w:lang w:eastAsia="en-AU"/>
        </w:rPr>
      </w:pPr>
      <w:r>
        <w:rPr>
          <w:lang w:eastAsia="en-AU"/>
        </w:rPr>
        <w:t>The following allowances were made due to the legislative changes:</w:t>
      </w:r>
    </w:p>
    <w:p w14:paraId="02E8F70C" w14:textId="158D549B" w:rsidR="006E67C4" w:rsidRDefault="006E67C4" w:rsidP="00026A6F">
      <w:pPr>
        <w:pStyle w:val="ListParagraph"/>
        <w:numPr>
          <w:ilvl w:val="0"/>
          <w:numId w:val="52"/>
        </w:numPr>
        <w:spacing w:line="360" w:lineRule="auto"/>
        <w:ind w:left="714" w:hanging="357"/>
        <w:rPr>
          <w:lang w:eastAsia="en-AU"/>
        </w:rPr>
      </w:pPr>
      <w:r>
        <w:rPr>
          <w:lang w:eastAsia="en-AU"/>
        </w:rPr>
        <w:t>0.5% increase in average claim size for claimants aged under 65 years old</w:t>
      </w:r>
      <w:r>
        <w:rPr>
          <w:lang w:eastAsia="en-AU"/>
        </w:rPr>
        <w:tab/>
      </w:r>
    </w:p>
    <w:p w14:paraId="260E9B3D" w14:textId="03EB687A" w:rsidR="006E67C4" w:rsidRDefault="006E67C4" w:rsidP="00026A6F">
      <w:pPr>
        <w:pStyle w:val="ListParagraph"/>
        <w:numPr>
          <w:ilvl w:val="0"/>
          <w:numId w:val="52"/>
        </w:numPr>
        <w:spacing w:line="360" w:lineRule="auto"/>
        <w:ind w:left="714" w:hanging="357"/>
        <w:rPr>
          <w:lang w:eastAsia="en-AU"/>
        </w:rPr>
      </w:pPr>
      <w:r>
        <w:rPr>
          <w:lang w:eastAsia="en-AU"/>
        </w:rPr>
        <w:t>2.7% increase in average claim size for claimants aged over 65. This has decreased from 0.6% for claimants under 65 and 3.2% for claimants over 65. It has been adjusted for the portion of the claims experience after the 2011 Amendment Act was implemented which already implicitly allows for the Act change.</w:t>
      </w:r>
    </w:p>
    <w:p w14:paraId="3F95923D" w14:textId="347DC3DD" w:rsidR="006E67C4" w:rsidRDefault="006E67C4" w:rsidP="00026A6F">
      <w:pPr>
        <w:pStyle w:val="ListParagraph"/>
        <w:numPr>
          <w:ilvl w:val="0"/>
          <w:numId w:val="52"/>
        </w:numPr>
        <w:spacing w:line="360" w:lineRule="auto"/>
        <w:ind w:left="714" w:hanging="357"/>
        <w:rPr>
          <w:lang w:eastAsia="en-AU"/>
        </w:rPr>
      </w:pPr>
      <w:r>
        <w:rPr>
          <w:lang w:eastAsia="en-AU"/>
        </w:rPr>
        <w:t>30% of ARD claims will be lodged as common law claims, with an average claim size 406% greater than the statutory average claim size.</w:t>
      </w:r>
      <w:r w:rsidR="007268CC">
        <w:rPr>
          <w:lang w:eastAsia="en-AU"/>
        </w:rPr>
        <w:t xml:space="preserve"> </w:t>
      </w:r>
      <w:r>
        <w:rPr>
          <w:lang w:eastAsia="en-AU"/>
        </w:rPr>
        <w:t>This has decreased from 70% of ARD claims based on experience to date.</w:t>
      </w:r>
    </w:p>
    <w:p w14:paraId="2317ADEA" w14:textId="4650281C" w:rsidR="006E67C4" w:rsidRDefault="006E67C4" w:rsidP="00026A6F">
      <w:pPr>
        <w:pStyle w:val="ListParagraph"/>
        <w:numPr>
          <w:ilvl w:val="0"/>
          <w:numId w:val="52"/>
        </w:numPr>
        <w:spacing w:line="360" w:lineRule="auto"/>
        <w:ind w:left="714" w:hanging="357"/>
        <w:rPr>
          <w:lang w:eastAsia="en-AU"/>
        </w:rPr>
      </w:pPr>
      <w:r>
        <w:rPr>
          <w:lang w:eastAsia="en-AU"/>
        </w:rPr>
        <w:t>0.2% increase in the ARD average claim size to allow for common law claims made by employed contractors. This has reduced from 0.9% last year as the average includes a proportion of experience after the 2011 Amen</w:t>
      </w:r>
      <w:r w:rsidR="007268CC">
        <w:rPr>
          <w:lang w:eastAsia="en-AU"/>
        </w:rPr>
        <w:t xml:space="preserve">dment </w:t>
      </w:r>
      <w:r w:rsidR="007268CC">
        <w:rPr>
          <w:lang w:eastAsia="en-AU"/>
        </w:rPr>
        <w:br/>
        <w:t>Act</w:t>
      </w:r>
      <w:r>
        <w:rPr>
          <w:lang w:eastAsia="en-AU"/>
        </w:rPr>
        <w:tab/>
      </w:r>
    </w:p>
    <w:p w14:paraId="20D34807" w14:textId="228D959D" w:rsidR="007268CC" w:rsidRDefault="006E67C4" w:rsidP="00026A6F">
      <w:pPr>
        <w:pStyle w:val="ListParagraph"/>
        <w:numPr>
          <w:ilvl w:val="0"/>
          <w:numId w:val="52"/>
        </w:numPr>
        <w:spacing w:line="360" w:lineRule="auto"/>
        <w:ind w:left="714" w:hanging="357"/>
        <w:rPr>
          <w:lang w:eastAsia="en-AU"/>
        </w:rPr>
      </w:pPr>
      <w:r>
        <w:rPr>
          <w:lang w:eastAsia="en-AU"/>
        </w:rPr>
        <w:t xml:space="preserve">0.8% increase in the number of mesothelioma and non-mesothelioma claims due to behavioural change and </w:t>
      </w:r>
      <w:r w:rsidR="007268CC">
        <w:rPr>
          <w:lang w:eastAsia="en-AU"/>
        </w:rPr>
        <w:t xml:space="preserve">the availability of common law </w:t>
      </w:r>
      <w:r>
        <w:rPr>
          <w:lang w:eastAsia="en-AU"/>
        </w:rPr>
        <w:t>access for the General Account. This has reduced from 6% last year for mesothelioma claims but increas</w:t>
      </w:r>
      <w:r w:rsidR="007268CC">
        <w:rPr>
          <w:lang w:eastAsia="en-AU"/>
        </w:rPr>
        <w:t xml:space="preserve">ed from 0% for non-mesothelioma </w:t>
      </w:r>
      <w:r>
        <w:rPr>
          <w:lang w:eastAsia="en-AU"/>
        </w:rPr>
        <w:t xml:space="preserve">as the average includes a proportion of experience </w:t>
      </w:r>
      <w:r w:rsidR="007268CC">
        <w:rPr>
          <w:lang w:eastAsia="en-AU"/>
        </w:rPr>
        <w:t>after the 2011 Amendment Act.</w:t>
      </w:r>
      <w:r>
        <w:rPr>
          <w:lang w:eastAsia="en-AU"/>
        </w:rPr>
        <w:tab/>
      </w:r>
      <w:r>
        <w:rPr>
          <w:lang w:eastAsia="en-AU"/>
        </w:rPr>
        <w:tab/>
      </w:r>
      <w:r>
        <w:rPr>
          <w:lang w:eastAsia="en-AU"/>
        </w:rPr>
        <w:tab/>
      </w:r>
      <w:r w:rsidR="007268CC">
        <w:rPr>
          <w:lang w:eastAsia="en-AU"/>
        </w:rPr>
        <w:br/>
      </w:r>
    </w:p>
    <w:p w14:paraId="1C812C4F" w14:textId="7C57A225" w:rsidR="006E67C4" w:rsidRPr="007268CC" w:rsidRDefault="007268CC" w:rsidP="007268CC">
      <w:pPr>
        <w:keepLines w:val="0"/>
        <w:spacing w:after="0" w:line="240" w:lineRule="auto"/>
        <w:rPr>
          <w:bCs/>
          <w:lang w:eastAsia="en-AU"/>
        </w:rPr>
      </w:pPr>
      <w:r>
        <w:rPr>
          <w:lang w:eastAsia="en-AU"/>
        </w:rPr>
        <w:br w:type="page"/>
      </w:r>
    </w:p>
    <w:p w14:paraId="15BAC456" w14:textId="77777777" w:rsidR="007268CC" w:rsidRPr="007268CC" w:rsidRDefault="007268CC" w:rsidP="007268CC">
      <w:pPr>
        <w:rPr>
          <w:i/>
          <w:u w:val="single"/>
          <w:lang w:eastAsia="en-AU"/>
        </w:rPr>
      </w:pPr>
      <w:r w:rsidRPr="007268CC">
        <w:rPr>
          <w:i/>
          <w:u w:val="single"/>
          <w:lang w:eastAsia="en-AU"/>
        </w:rPr>
        <w:t>(Non-ARD) Actuarial methods and assumptions</w:t>
      </w:r>
    </w:p>
    <w:p w14:paraId="221F3EBA" w14:textId="77777777" w:rsidR="007268CC" w:rsidRPr="007268CC" w:rsidRDefault="007268CC" w:rsidP="007268CC">
      <w:pPr>
        <w:rPr>
          <w:lang w:eastAsia="en-AU"/>
        </w:rPr>
      </w:pPr>
      <w:r w:rsidRPr="007268CC">
        <w:rPr>
          <w:lang w:eastAsia="en-AU"/>
        </w:rPr>
        <w:t>Claims estimates for the workers' compensation business are derived from an analysis of several different actuarial models. Ultimate number of claims incurred are projected based on past reporting patterns. Payments experience is analysed based on average paid per claim incurred, average paid per claim finalised, projected case estimates and Bornheutter Ferguson. Historic case estimates development is also used to form a model of future payments. The resulting projected payments from these models are analysed along with benchmarks for average claim size and ratio to case estimates and other statistics, in order to determine the final estimate of outstanding claims.</w:t>
      </w:r>
    </w:p>
    <w:p w14:paraId="11BD131B" w14:textId="25601D05" w:rsidR="007268CC" w:rsidRDefault="007268CC" w:rsidP="007268CC">
      <w:pPr>
        <w:rPr>
          <w:lang w:eastAsia="en-AU"/>
        </w:rPr>
      </w:pPr>
      <w:r>
        <w:rPr>
          <w:lang w:eastAsia="en-AU"/>
        </w:rPr>
        <w:t>Claims inflation is built into the resulting projected payments, to allow for both general economic inflation and superimposed inflation detected in the modelling of payment experience. Superimposed inflation arises from non-economic factors such as developments of legal precedent and changes in claimant behaviour.</w:t>
      </w:r>
    </w:p>
    <w:p w14:paraId="06079F1B" w14:textId="73460AD4" w:rsidR="007268CC" w:rsidRPr="007268CC" w:rsidRDefault="007268CC" w:rsidP="007268CC">
      <w:pPr>
        <w:rPr>
          <w:lang w:eastAsia="en-AU"/>
        </w:rPr>
      </w:pPr>
      <w:r>
        <w:rPr>
          <w:lang w:eastAsia="en-AU"/>
        </w:rPr>
        <w:t>Projected payments are discounted to allow for the time value of money.</w:t>
      </w:r>
    </w:p>
    <w:p w14:paraId="2B7B0D4D" w14:textId="77BF64B4" w:rsidR="00C85B1C" w:rsidRDefault="007268CC" w:rsidP="00C85B1C">
      <w:pPr>
        <w:rPr>
          <w:i/>
          <w:lang w:eastAsia="en-AU"/>
        </w:rPr>
      </w:pPr>
      <w:r>
        <w:rPr>
          <w:i/>
          <w:lang w:eastAsia="en-AU"/>
        </w:rPr>
        <w:t>Average weighted term to settlement</w:t>
      </w:r>
    </w:p>
    <w:p w14:paraId="4ACEB9EC" w14:textId="5414E4D9" w:rsidR="007268CC" w:rsidRDefault="007268CC" w:rsidP="00C85B1C">
      <w:pPr>
        <w:rPr>
          <w:lang w:eastAsia="en-AU"/>
        </w:rPr>
      </w:pPr>
      <w:r>
        <w:rPr>
          <w:lang w:eastAsia="en-AU"/>
        </w:rPr>
        <w:t xml:space="preserve">The average term to settlement is calculated separately by class of business based on historic payment patterns. </w:t>
      </w:r>
    </w:p>
    <w:p w14:paraId="048742A8" w14:textId="42792BDB" w:rsidR="007268CC" w:rsidRDefault="007268CC" w:rsidP="00C85B1C">
      <w:pPr>
        <w:rPr>
          <w:i/>
          <w:lang w:eastAsia="en-AU"/>
        </w:rPr>
      </w:pPr>
      <w:r>
        <w:rPr>
          <w:i/>
          <w:lang w:eastAsia="en-AU"/>
        </w:rPr>
        <w:t xml:space="preserve">Future claim reports (IBNR) </w:t>
      </w:r>
    </w:p>
    <w:p w14:paraId="409C2D0D" w14:textId="7D475F8D" w:rsidR="007268CC" w:rsidRDefault="007268CC" w:rsidP="00C85B1C">
      <w:pPr>
        <w:rPr>
          <w:lang w:eastAsia="en-AU"/>
        </w:rPr>
      </w:pPr>
      <w:r>
        <w:rPr>
          <w:lang w:eastAsia="en-AU"/>
        </w:rPr>
        <w:t xml:space="preserve">Future claim reports are analysed using the ratio of late reported claims to reported claims over future development periods. </w:t>
      </w:r>
    </w:p>
    <w:p w14:paraId="2488EF4B" w14:textId="1ABBF302" w:rsidR="00267894" w:rsidRDefault="00267894" w:rsidP="00C85B1C">
      <w:pPr>
        <w:rPr>
          <w:i/>
          <w:lang w:eastAsia="en-AU"/>
        </w:rPr>
      </w:pPr>
      <w:r>
        <w:rPr>
          <w:i/>
          <w:lang w:eastAsia="en-AU"/>
        </w:rPr>
        <w:t xml:space="preserve">Average claim size </w:t>
      </w:r>
    </w:p>
    <w:p w14:paraId="37665F8E" w14:textId="442C52CA" w:rsidR="00267894" w:rsidRDefault="00267894" w:rsidP="00C85B1C">
      <w:pPr>
        <w:rPr>
          <w:lang w:eastAsia="en-AU"/>
        </w:rPr>
      </w:pPr>
      <w:r w:rsidRPr="00267894">
        <w:rPr>
          <w:lang w:eastAsia="en-AU"/>
        </w:rPr>
        <w:t>Average claim size is a benchmark being the outcome of the accident year blend of actuarial methods described above.</w:t>
      </w:r>
    </w:p>
    <w:p w14:paraId="60EC0469" w14:textId="77777777" w:rsidR="00267894" w:rsidRPr="00267894" w:rsidRDefault="00267894" w:rsidP="00267894">
      <w:pPr>
        <w:rPr>
          <w:i/>
          <w:lang w:eastAsia="en-AU"/>
        </w:rPr>
      </w:pPr>
      <w:r w:rsidRPr="00267894">
        <w:rPr>
          <w:i/>
          <w:lang w:eastAsia="en-AU"/>
        </w:rPr>
        <w:t>Assumptions</w:t>
      </w:r>
    </w:p>
    <w:tbl>
      <w:tblPr>
        <w:tblStyle w:val="TableGrid"/>
        <w:tblW w:w="0" w:type="auto"/>
        <w:tblLook w:val="04A0" w:firstRow="1" w:lastRow="0" w:firstColumn="1" w:lastColumn="0" w:noHBand="0" w:noVBand="1"/>
        <w:tblCaption w:val="Table: Assumptions "/>
        <w:tblDescription w:val="This table outlines assumptions for uninsured workers for non asbestos-related claims. The assumptions include inflation rate, discount rate, claims managements expenses, superimposed inflation and risk margin. "/>
      </w:tblPr>
      <w:tblGrid>
        <w:gridCol w:w="3005"/>
        <w:gridCol w:w="1502"/>
        <w:gridCol w:w="1503"/>
        <w:gridCol w:w="1503"/>
        <w:gridCol w:w="1503"/>
      </w:tblGrid>
      <w:tr w:rsidR="00255F22" w14:paraId="39DB8E10" w14:textId="77777777" w:rsidTr="00313CBD">
        <w:trPr>
          <w:tblHeader/>
        </w:trPr>
        <w:tc>
          <w:tcPr>
            <w:tcW w:w="3005" w:type="dxa"/>
            <w:tcBorders>
              <w:top w:val="single" w:sz="4" w:space="0" w:color="9FBCD0"/>
              <w:left w:val="single" w:sz="4" w:space="0" w:color="9FBCD0"/>
              <w:bottom w:val="single" w:sz="4" w:space="0" w:color="9FBCD0"/>
              <w:right w:val="single" w:sz="4" w:space="0" w:color="9FBCD0"/>
            </w:tcBorders>
          </w:tcPr>
          <w:p w14:paraId="0885E1F0" w14:textId="353D8101" w:rsidR="00255F22" w:rsidRPr="00EC73EA" w:rsidRDefault="00255F22" w:rsidP="009F57E2">
            <w:pPr>
              <w:rPr>
                <w:b/>
              </w:rPr>
            </w:pPr>
            <w:r>
              <w:rPr>
                <w:b/>
              </w:rPr>
              <w:t xml:space="preserve">Uninsured Workers: Non Asbestos-Related Claims (ARD) </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133977A0" w14:textId="77777777" w:rsidR="00255F22" w:rsidRPr="00EC73EA" w:rsidRDefault="00255F22" w:rsidP="009F57E2">
            <w:pPr>
              <w:jc w:val="center"/>
              <w:rPr>
                <w:b/>
              </w:rPr>
            </w:pPr>
            <w:r>
              <w:rPr>
                <w:b/>
              </w:rPr>
              <w:t>2018</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1EAEFAE3" w14:textId="77777777" w:rsidR="00255F22" w:rsidRPr="00EC73EA" w:rsidRDefault="00255F22" w:rsidP="009F57E2">
            <w:pPr>
              <w:jc w:val="center"/>
              <w:rPr>
                <w:b/>
              </w:rPr>
            </w:pPr>
            <w:r>
              <w:rPr>
                <w:b/>
              </w:rPr>
              <w:t>2017</w:t>
            </w:r>
          </w:p>
        </w:tc>
      </w:tr>
      <w:tr w:rsidR="00255F22" w14:paraId="25DC03E7" w14:textId="77777777" w:rsidTr="009F57E2">
        <w:tc>
          <w:tcPr>
            <w:tcW w:w="3005" w:type="dxa"/>
            <w:tcBorders>
              <w:top w:val="single" w:sz="4" w:space="0" w:color="9FBCD0"/>
              <w:left w:val="single" w:sz="4" w:space="0" w:color="9FBCD0"/>
              <w:bottom w:val="single" w:sz="4" w:space="0" w:color="9FBCD0"/>
              <w:right w:val="single" w:sz="4" w:space="0" w:color="9FBCD0"/>
            </w:tcBorders>
          </w:tcPr>
          <w:p w14:paraId="36E5CD1C" w14:textId="77777777" w:rsidR="00255F22" w:rsidRPr="00EC73EA" w:rsidRDefault="00255F22" w:rsidP="009F57E2">
            <w:pPr>
              <w:rPr>
                <w:b/>
              </w:rPr>
            </w:pPr>
            <w:r>
              <w:rPr>
                <w:b/>
              </w:rPr>
              <w:t xml:space="preserve">Inflation Rate </w:t>
            </w:r>
          </w:p>
        </w:tc>
        <w:tc>
          <w:tcPr>
            <w:tcW w:w="1502" w:type="dxa"/>
            <w:tcBorders>
              <w:top w:val="single" w:sz="4" w:space="0" w:color="9FBCD0"/>
              <w:left w:val="single" w:sz="4" w:space="0" w:color="9FBCD0"/>
              <w:bottom w:val="single" w:sz="4" w:space="0" w:color="9FBCD0"/>
              <w:right w:val="single" w:sz="4" w:space="0" w:color="9FBCD0"/>
            </w:tcBorders>
          </w:tcPr>
          <w:p w14:paraId="62F987BB" w14:textId="77777777" w:rsidR="00255F22" w:rsidRDefault="00255F22" w:rsidP="00255F22">
            <w:r>
              <w:t>2019</w:t>
            </w:r>
          </w:p>
          <w:p w14:paraId="19D90274" w14:textId="77777777" w:rsidR="00255F22" w:rsidRDefault="00255F22" w:rsidP="00255F22">
            <w:r>
              <w:t>2020</w:t>
            </w:r>
          </w:p>
          <w:p w14:paraId="353FD6BC" w14:textId="77777777" w:rsidR="00255F22" w:rsidRDefault="00255F22" w:rsidP="00255F22">
            <w:r>
              <w:t>2021</w:t>
            </w:r>
          </w:p>
          <w:p w14:paraId="6D1DC5C8" w14:textId="77777777" w:rsidR="00255F22" w:rsidRDefault="00255F22" w:rsidP="00255F22">
            <w:r>
              <w:t>2022</w:t>
            </w:r>
          </w:p>
          <w:p w14:paraId="2A39818B" w14:textId="77777777" w:rsidR="00255F22" w:rsidRDefault="00255F22" w:rsidP="00255F22">
            <w:r>
              <w:t>2023</w:t>
            </w:r>
          </w:p>
          <w:p w14:paraId="7B2B7CF2" w14:textId="77777777" w:rsidR="00255F22" w:rsidRDefault="00255F22" w:rsidP="00255F22">
            <w:r>
              <w:t>2024</w:t>
            </w:r>
          </w:p>
          <w:p w14:paraId="4E654CBE" w14:textId="77777777" w:rsidR="00255F22" w:rsidRDefault="00255F22" w:rsidP="00255F22">
            <w:r>
              <w:t>2025</w:t>
            </w:r>
          </w:p>
          <w:p w14:paraId="1F3E068B" w14:textId="77777777" w:rsidR="00255F22" w:rsidRDefault="00255F22" w:rsidP="00255F22">
            <w:r>
              <w:t>2026</w:t>
            </w:r>
          </w:p>
          <w:p w14:paraId="298DBD17" w14:textId="77777777" w:rsidR="00255F22" w:rsidRDefault="00255F22" w:rsidP="00255F22">
            <w:r>
              <w:t>2027</w:t>
            </w:r>
          </w:p>
          <w:p w14:paraId="3D9BF6D8" w14:textId="77777777" w:rsidR="00255F22" w:rsidRDefault="00255F22" w:rsidP="00255F22">
            <w:r>
              <w:t>2028</w:t>
            </w:r>
          </w:p>
          <w:p w14:paraId="23598DFE" w14:textId="77777777" w:rsidR="00255F22" w:rsidRDefault="00255F22" w:rsidP="00255F22">
            <w:r>
              <w:t>2029</w:t>
            </w:r>
          </w:p>
          <w:p w14:paraId="3DA914BA" w14:textId="77777777" w:rsidR="00255F22" w:rsidRDefault="00255F22" w:rsidP="00255F22">
            <w:r>
              <w:t>2030</w:t>
            </w:r>
          </w:p>
          <w:p w14:paraId="1A8CFA0A" w14:textId="77777777" w:rsidR="00255F22" w:rsidRDefault="00255F22" w:rsidP="00255F22">
            <w:r>
              <w:t>2031</w:t>
            </w:r>
          </w:p>
          <w:p w14:paraId="2D611CA3" w14:textId="77777777" w:rsidR="00255F22" w:rsidRDefault="00255F22" w:rsidP="00255F22">
            <w:r>
              <w:t>2032</w:t>
            </w:r>
          </w:p>
          <w:p w14:paraId="01946C3D" w14:textId="77777777" w:rsidR="00255F22" w:rsidRDefault="00255F22" w:rsidP="00255F22">
            <w:r>
              <w:t>2033</w:t>
            </w:r>
          </w:p>
          <w:p w14:paraId="6E4A2165" w14:textId="36091D87" w:rsidR="00255F22" w:rsidRPr="00EC73EA" w:rsidRDefault="00255F22" w:rsidP="00255F22">
            <w:r>
              <w:t>2034 Onwards</w:t>
            </w:r>
          </w:p>
        </w:tc>
        <w:tc>
          <w:tcPr>
            <w:tcW w:w="1503" w:type="dxa"/>
            <w:tcBorders>
              <w:top w:val="single" w:sz="4" w:space="0" w:color="9FBCD0"/>
              <w:left w:val="single" w:sz="4" w:space="0" w:color="9FBCD0"/>
              <w:bottom w:val="single" w:sz="4" w:space="0" w:color="9FBCD0"/>
              <w:right w:val="single" w:sz="4" w:space="0" w:color="9FBCD0"/>
            </w:tcBorders>
          </w:tcPr>
          <w:p w14:paraId="04948849" w14:textId="77777777" w:rsidR="00255F22" w:rsidRDefault="00255F22" w:rsidP="00255F22">
            <w:r>
              <w:t>1.75%</w:t>
            </w:r>
          </w:p>
          <w:p w14:paraId="513D1D61" w14:textId="77777777" w:rsidR="00255F22" w:rsidRDefault="00255F22" w:rsidP="00255F22">
            <w:r>
              <w:t>2.75%</w:t>
            </w:r>
          </w:p>
          <w:p w14:paraId="309CE94E" w14:textId="77777777" w:rsidR="00255F22" w:rsidRDefault="00255F22" w:rsidP="00255F22">
            <w:r>
              <w:t>3.00%</w:t>
            </w:r>
          </w:p>
          <w:p w14:paraId="0EAF31BA" w14:textId="77777777" w:rsidR="00255F22" w:rsidRDefault="00255F22" w:rsidP="00255F22">
            <w:r>
              <w:t>3.25%</w:t>
            </w:r>
          </w:p>
          <w:p w14:paraId="72135E9F" w14:textId="77777777" w:rsidR="00255F22" w:rsidRDefault="00255F22" w:rsidP="00255F22">
            <w:r>
              <w:t>3.12%</w:t>
            </w:r>
          </w:p>
          <w:p w14:paraId="6C21E07C" w14:textId="77777777" w:rsidR="00255F22" w:rsidRDefault="00255F22" w:rsidP="00255F22">
            <w:r>
              <w:t>3.00%</w:t>
            </w:r>
          </w:p>
          <w:p w14:paraId="6AADF672" w14:textId="77777777" w:rsidR="00255F22" w:rsidRDefault="00255F22" w:rsidP="00255F22">
            <w:r>
              <w:t>2.87%</w:t>
            </w:r>
          </w:p>
          <w:p w14:paraId="2ED467EE" w14:textId="77777777" w:rsidR="00255F22" w:rsidRDefault="00255F22" w:rsidP="00255F22">
            <w:r>
              <w:t>2.75%</w:t>
            </w:r>
          </w:p>
          <w:p w14:paraId="25A3DA3F" w14:textId="77777777" w:rsidR="00255F22" w:rsidRDefault="00255F22" w:rsidP="00255F22">
            <w:r>
              <w:t>2.62%</w:t>
            </w:r>
          </w:p>
          <w:p w14:paraId="19F872FD" w14:textId="77777777" w:rsidR="00255F22" w:rsidRDefault="00255F22" w:rsidP="00255F22">
            <w:r>
              <w:t>2.50%</w:t>
            </w:r>
          </w:p>
          <w:p w14:paraId="6B600E0D" w14:textId="77777777" w:rsidR="00255F22" w:rsidRDefault="00255F22" w:rsidP="00255F22">
            <w:r>
              <w:t>2.37%</w:t>
            </w:r>
          </w:p>
          <w:p w14:paraId="5F080720" w14:textId="77777777" w:rsidR="00255F22" w:rsidRDefault="00255F22" w:rsidP="00255F22">
            <w:r>
              <w:t>2.25%</w:t>
            </w:r>
          </w:p>
          <w:p w14:paraId="520640F3" w14:textId="77777777" w:rsidR="00255F22" w:rsidRDefault="00255F22" w:rsidP="00255F22">
            <w:r>
              <w:t>2.12%</w:t>
            </w:r>
          </w:p>
          <w:p w14:paraId="54F67A73" w14:textId="77777777" w:rsidR="00255F22" w:rsidRDefault="00255F22" w:rsidP="00255F22">
            <w:r>
              <w:t>1.99%</w:t>
            </w:r>
          </w:p>
          <w:p w14:paraId="0EC47542" w14:textId="77777777" w:rsidR="00255F22" w:rsidRDefault="00255F22" w:rsidP="00255F22">
            <w:r>
              <w:t>1.87%</w:t>
            </w:r>
          </w:p>
          <w:p w14:paraId="3DAA9369" w14:textId="21D31289" w:rsidR="00255F22" w:rsidRPr="00EC73EA" w:rsidRDefault="00255F22" w:rsidP="00255F22">
            <w:r>
              <w:t>1.74%</w:t>
            </w:r>
          </w:p>
        </w:tc>
        <w:tc>
          <w:tcPr>
            <w:tcW w:w="1503" w:type="dxa"/>
            <w:tcBorders>
              <w:top w:val="single" w:sz="4" w:space="0" w:color="9FBCD0"/>
              <w:left w:val="single" w:sz="4" w:space="0" w:color="9FBCD0"/>
              <w:bottom w:val="single" w:sz="4" w:space="0" w:color="9FBCD0"/>
              <w:right w:val="single" w:sz="4" w:space="0" w:color="9FBCD0"/>
            </w:tcBorders>
          </w:tcPr>
          <w:p w14:paraId="6BCB0CAA" w14:textId="77777777" w:rsidR="00255F22" w:rsidRDefault="00255F22" w:rsidP="00255F22">
            <w:r>
              <w:t>2018</w:t>
            </w:r>
          </w:p>
          <w:p w14:paraId="67B1C34D" w14:textId="77777777" w:rsidR="00255F22" w:rsidRDefault="00255F22" w:rsidP="00255F22">
            <w:r>
              <w:t>2019</w:t>
            </w:r>
          </w:p>
          <w:p w14:paraId="299E5065" w14:textId="77777777" w:rsidR="00255F22" w:rsidRDefault="00255F22" w:rsidP="00255F22">
            <w:r>
              <w:t>2020</w:t>
            </w:r>
          </w:p>
          <w:p w14:paraId="397EE9FD" w14:textId="77777777" w:rsidR="00255F22" w:rsidRDefault="00255F22" w:rsidP="00255F22">
            <w:r>
              <w:t>2021</w:t>
            </w:r>
          </w:p>
          <w:p w14:paraId="54E36AB2" w14:textId="77777777" w:rsidR="00255F22" w:rsidRDefault="00255F22" w:rsidP="00255F22">
            <w:r>
              <w:t>2022</w:t>
            </w:r>
          </w:p>
          <w:p w14:paraId="33811C0F" w14:textId="77777777" w:rsidR="00255F22" w:rsidRDefault="00255F22" w:rsidP="00255F22">
            <w:r>
              <w:t>2023</w:t>
            </w:r>
          </w:p>
          <w:p w14:paraId="7B1E4CC7" w14:textId="77777777" w:rsidR="00255F22" w:rsidRDefault="00255F22" w:rsidP="00255F22">
            <w:r>
              <w:t>2024</w:t>
            </w:r>
          </w:p>
          <w:p w14:paraId="54746C9F" w14:textId="77777777" w:rsidR="00255F22" w:rsidRDefault="00255F22" w:rsidP="00255F22">
            <w:r>
              <w:t>2025</w:t>
            </w:r>
          </w:p>
          <w:p w14:paraId="1177F332" w14:textId="77777777" w:rsidR="00255F22" w:rsidRDefault="00255F22" w:rsidP="00255F22">
            <w:r>
              <w:t>2026</w:t>
            </w:r>
          </w:p>
          <w:p w14:paraId="41B97A10" w14:textId="77777777" w:rsidR="00255F22" w:rsidRDefault="00255F22" w:rsidP="00255F22">
            <w:r>
              <w:t>2027</w:t>
            </w:r>
          </w:p>
          <w:p w14:paraId="038C9ACC" w14:textId="77777777" w:rsidR="00255F22" w:rsidRDefault="00255F22" w:rsidP="00255F22">
            <w:r>
              <w:t>2028</w:t>
            </w:r>
          </w:p>
          <w:p w14:paraId="441B3590" w14:textId="77777777" w:rsidR="00255F22" w:rsidRDefault="00255F22" w:rsidP="00255F22">
            <w:r>
              <w:t>2029</w:t>
            </w:r>
          </w:p>
          <w:p w14:paraId="62E2AAA7" w14:textId="77777777" w:rsidR="00255F22" w:rsidRDefault="00255F22" w:rsidP="00255F22">
            <w:r>
              <w:t>2030</w:t>
            </w:r>
          </w:p>
          <w:p w14:paraId="2CB9C49A" w14:textId="77777777" w:rsidR="00255F22" w:rsidRDefault="00255F22" w:rsidP="00255F22">
            <w:r>
              <w:t>2031</w:t>
            </w:r>
          </w:p>
          <w:p w14:paraId="6DB80C0D" w14:textId="77777777" w:rsidR="00255F22" w:rsidRDefault="00255F22" w:rsidP="00255F22">
            <w:r>
              <w:t>2032</w:t>
            </w:r>
          </w:p>
          <w:p w14:paraId="6387E248" w14:textId="1F49B14B" w:rsidR="00255F22" w:rsidRPr="00EC73EA" w:rsidRDefault="00255F22" w:rsidP="00255F22">
            <w:r>
              <w:t>2033</w:t>
            </w:r>
            <w:r>
              <w:br/>
              <w:t>Onwards</w:t>
            </w:r>
          </w:p>
        </w:tc>
        <w:tc>
          <w:tcPr>
            <w:tcW w:w="1503" w:type="dxa"/>
            <w:tcBorders>
              <w:top w:val="single" w:sz="4" w:space="0" w:color="9FBCD0"/>
              <w:left w:val="single" w:sz="4" w:space="0" w:color="9FBCD0"/>
              <w:bottom w:val="single" w:sz="4" w:space="0" w:color="9FBCD0"/>
              <w:right w:val="single" w:sz="4" w:space="0" w:color="9FBCD0"/>
            </w:tcBorders>
          </w:tcPr>
          <w:p w14:paraId="7FEF712A" w14:textId="77777777" w:rsidR="00255F22" w:rsidRDefault="00255F22" w:rsidP="00255F22">
            <w:r>
              <w:t>2.00%</w:t>
            </w:r>
          </w:p>
          <w:p w14:paraId="1FD54C2D" w14:textId="77777777" w:rsidR="00255F22" w:rsidRDefault="00255F22" w:rsidP="00255F22">
            <w:r>
              <w:t>2.75%</w:t>
            </w:r>
          </w:p>
          <w:p w14:paraId="54D80DD3" w14:textId="77777777" w:rsidR="00255F22" w:rsidRDefault="00255F22" w:rsidP="00255F22">
            <w:r>
              <w:t>3.25%</w:t>
            </w:r>
          </w:p>
          <w:p w14:paraId="7F972952" w14:textId="77777777" w:rsidR="00255F22" w:rsidRDefault="00255F22" w:rsidP="00255F22">
            <w:r>
              <w:t>3.20%</w:t>
            </w:r>
          </w:p>
          <w:p w14:paraId="65192E8A" w14:textId="77777777" w:rsidR="00255F22" w:rsidRDefault="00255F22" w:rsidP="00255F22">
            <w:r>
              <w:t>3.14%</w:t>
            </w:r>
          </w:p>
          <w:p w14:paraId="121B58CD" w14:textId="77777777" w:rsidR="00255F22" w:rsidRDefault="00255F22" w:rsidP="00255F22">
            <w:r>
              <w:t>3.09%</w:t>
            </w:r>
          </w:p>
          <w:p w14:paraId="3E2A5CD5" w14:textId="77777777" w:rsidR="00255F22" w:rsidRDefault="00255F22" w:rsidP="00255F22">
            <w:r>
              <w:t>3.03%</w:t>
            </w:r>
          </w:p>
          <w:p w14:paraId="7A381F3B" w14:textId="77777777" w:rsidR="00255F22" w:rsidRDefault="00255F22" w:rsidP="00255F22">
            <w:r>
              <w:t>2.98%</w:t>
            </w:r>
          </w:p>
          <w:p w14:paraId="5613220E" w14:textId="77777777" w:rsidR="00255F22" w:rsidRDefault="00255F22" w:rsidP="00255F22">
            <w:r>
              <w:t>2.92%</w:t>
            </w:r>
          </w:p>
          <w:p w14:paraId="370E443C" w14:textId="77777777" w:rsidR="00255F22" w:rsidRDefault="00255F22" w:rsidP="00255F22">
            <w:r>
              <w:t>2.87%</w:t>
            </w:r>
          </w:p>
          <w:p w14:paraId="395C80C6" w14:textId="77777777" w:rsidR="00255F22" w:rsidRDefault="00255F22" w:rsidP="00255F22">
            <w:r>
              <w:t>2.82%</w:t>
            </w:r>
          </w:p>
          <w:p w14:paraId="2CC4F0A4" w14:textId="77777777" w:rsidR="00255F22" w:rsidRDefault="00255F22" w:rsidP="00255F22">
            <w:r>
              <w:t>2.76%</w:t>
            </w:r>
          </w:p>
          <w:p w14:paraId="1A508CB6" w14:textId="77777777" w:rsidR="00255F22" w:rsidRDefault="00255F22" w:rsidP="00255F22">
            <w:r>
              <w:t>2.71%</w:t>
            </w:r>
          </w:p>
          <w:p w14:paraId="1F32E063" w14:textId="77777777" w:rsidR="00255F22" w:rsidRDefault="00255F22" w:rsidP="00255F22">
            <w:r>
              <w:t>2.65%</w:t>
            </w:r>
          </w:p>
          <w:p w14:paraId="7DD6E744" w14:textId="77777777" w:rsidR="00255F22" w:rsidRDefault="00255F22" w:rsidP="00255F22">
            <w:r>
              <w:t>2.60%</w:t>
            </w:r>
          </w:p>
          <w:p w14:paraId="5A591087" w14:textId="38730979" w:rsidR="00255F22" w:rsidRPr="00EC73EA" w:rsidRDefault="00255F22" w:rsidP="00255F22">
            <w:r>
              <w:t>2.54%</w:t>
            </w:r>
          </w:p>
        </w:tc>
      </w:tr>
      <w:tr w:rsidR="00255F22" w14:paraId="17049506" w14:textId="77777777" w:rsidTr="009F57E2">
        <w:tc>
          <w:tcPr>
            <w:tcW w:w="3005" w:type="dxa"/>
            <w:tcBorders>
              <w:top w:val="single" w:sz="4" w:space="0" w:color="9FBCD0"/>
              <w:left w:val="single" w:sz="4" w:space="0" w:color="9FBCD0"/>
              <w:bottom w:val="single" w:sz="4" w:space="0" w:color="9FBCD0"/>
              <w:right w:val="single" w:sz="4" w:space="0" w:color="9FBCD0"/>
            </w:tcBorders>
          </w:tcPr>
          <w:p w14:paraId="048E8E3D" w14:textId="77777777" w:rsidR="00255F22" w:rsidRPr="00EC73EA" w:rsidRDefault="00255F22" w:rsidP="009F57E2">
            <w:pPr>
              <w:rPr>
                <w:b/>
              </w:rPr>
            </w:pPr>
            <w:r w:rsidRPr="00EC73EA">
              <w:rPr>
                <w:b/>
              </w:rPr>
              <w:t>Discount Rate</w:t>
            </w:r>
          </w:p>
        </w:tc>
        <w:tc>
          <w:tcPr>
            <w:tcW w:w="1502" w:type="dxa"/>
            <w:tcBorders>
              <w:top w:val="single" w:sz="4" w:space="0" w:color="9FBCD0"/>
              <w:left w:val="single" w:sz="4" w:space="0" w:color="9FBCD0"/>
              <w:bottom w:val="single" w:sz="4" w:space="0" w:color="9FBCD0"/>
              <w:right w:val="single" w:sz="4" w:space="0" w:color="9FBCD0"/>
            </w:tcBorders>
          </w:tcPr>
          <w:p w14:paraId="445F4D88" w14:textId="77777777" w:rsidR="00255F22" w:rsidRDefault="00255F22" w:rsidP="00255F22">
            <w:r>
              <w:t>2019</w:t>
            </w:r>
          </w:p>
          <w:p w14:paraId="172E3AFE" w14:textId="77777777" w:rsidR="00255F22" w:rsidRDefault="00255F22" w:rsidP="00255F22">
            <w:r>
              <w:t>2020</w:t>
            </w:r>
          </w:p>
          <w:p w14:paraId="6399DAEB" w14:textId="77777777" w:rsidR="00255F22" w:rsidRDefault="00255F22" w:rsidP="00255F22">
            <w:r>
              <w:t>2021</w:t>
            </w:r>
          </w:p>
          <w:p w14:paraId="20704F80" w14:textId="77777777" w:rsidR="00255F22" w:rsidRDefault="00255F22" w:rsidP="00255F22">
            <w:r>
              <w:t>2022</w:t>
            </w:r>
          </w:p>
          <w:p w14:paraId="0FA6AB15" w14:textId="77777777" w:rsidR="00255F22" w:rsidRDefault="00255F22" w:rsidP="00255F22">
            <w:r>
              <w:t>2023</w:t>
            </w:r>
          </w:p>
          <w:p w14:paraId="07FE0658" w14:textId="77777777" w:rsidR="00255F22" w:rsidRDefault="00255F22" w:rsidP="00255F22">
            <w:r>
              <w:t>2024</w:t>
            </w:r>
          </w:p>
          <w:p w14:paraId="37461CE9" w14:textId="77777777" w:rsidR="00255F22" w:rsidRDefault="00255F22" w:rsidP="00255F22">
            <w:r>
              <w:t>2025</w:t>
            </w:r>
          </w:p>
          <w:p w14:paraId="17CFE04D" w14:textId="77777777" w:rsidR="00255F22" w:rsidRDefault="00255F22" w:rsidP="00255F22">
            <w:r>
              <w:t>2026</w:t>
            </w:r>
          </w:p>
          <w:p w14:paraId="1CDCB2A8" w14:textId="77777777" w:rsidR="00255F22" w:rsidRDefault="00255F22" w:rsidP="00255F22">
            <w:r>
              <w:t>2027</w:t>
            </w:r>
          </w:p>
          <w:p w14:paraId="59BE91D9" w14:textId="77777777" w:rsidR="00255F22" w:rsidRDefault="00255F22" w:rsidP="00255F22">
            <w:r>
              <w:t>2028</w:t>
            </w:r>
          </w:p>
          <w:p w14:paraId="7EEE2239" w14:textId="77777777" w:rsidR="00255F22" w:rsidRDefault="00255F22" w:rsidP="00255F22">
            <w:r>
              <w:t>2029</w:t>
            </w:r>
          </w:p>
          <w:p w14:paraId="10A3D03B" w14:textId="77777777" w:rsidR="00255F22" w:rsidRDefault="00255F22" w:rsidP="00255F22">
            <w:r>
              <w:t>2030</w:t>
            </w:r>
          </w:p>
          <w:p w14:paraId="77783415" w14:textId="77777777" w:rsidR="00255F22" w:rsidRDefault="00255F22" w:rsidP="00255F22">
            <w:r>
              <w:t>2031</w:t>
            </w:r>
          </w:p>
          <w:p w14:paraId="597302DD" w14:textId="77777777" w:rsidR="00255F22" w:rsidRDefault="00255F22" w:rsidP="00255F22">
            <w:r>
              <w:t>2032</w:t>
            </w:r>
          </w:p>
          <w:p w14:paraId="2C41AE3B" w14:textId="77777777" w:rsidR="00255F22" w:rsidRDefault="00255F22" w:rsidP="00255F22">
            <w:r>
              <w:t>2033</w:t>
            </w:r>
          </w:p>
          <w:p w14:paraId="1DA169DE" w14:textId="6EC5CE05" w:rsidR="00255F22" w:rsidRPr="00EC73EA" w:rsidRDefault="00255F22" w:rsidP="00255F22">
            <w:r>
              <w:t>2034 Onwards</w:t>
            </w:r>
          </w:p>
        </w:tc>
        <w:tc>
          <w:tcPr>
            <w:tcW w:w="1503" w:type="dxa"/>
            <w:tcBorders>
              <w:top w:val="single" w:sz="4" w:space="0" w:color="9FBCD0"/>
              <w:left w:val="single" w:sz="4" w:space="0" w:color="9FBCD0"/>
              <w:bottom w:val="single" w:sz="4" w:space="0" w:color="9FBCD0"/>
              <w:right w:val="single" w:sz="4" w:space="0" w:color="9FBCD0"/>
            </w:tcBorders>
          </w:tcPr>
          <w:p w14:paraId="6EE987F2" w14:textId="77777777" w:rsidR="00255F22" w:rsidRDefault="00255F22" w:rsidP="00255F22">
            <w:r>
              <w:t>1.89%</w:t>
            </w:r>
          </w:p>
          <w:p w14:paraId="10114FCB" w14:textId="77777777" w:rsidR="00255F22" w:rsidRDefault="00255F22" w:rsidP="00255F22">
            <w:r>
              <w:t>2.09%</w:t>
            </w:r>
          </w:p>
          <w:p w14:paraId="032EE269" w14:textId="77777777" w:rsidR="00255F22" w:rsidRDefault="00255F22" w:rsidP="00255F22">
            <w:r>
              <w:t>2.37%</w:t>
            </w:r>
          </w:p>
          <w:p w14:paraId="38B08A72" w14:textId="77777777" w:rsidR="00255F22" w:rsidRDefault="00255F22" w:rsidP="00255F22">
            <w:r>
              <w:t>2.61%</w:t>
            </w:r>
          </w:p>
          <w:p w14:paraId="67BC0903" w14:textId="77777777" w:rsidR="00255F22" w:rsidRDefault="00255F22" w:rsidP="00255F22">
            <w:r>
              <w:t>2.79%</w:t>
            </w:r>
          </w:p>
          <w:p w14:paraId="33B2A184" w14:textId="77777777" w:rsidR="00255F22" w:rsidRDefault="00255F22" w:rsidP="00255F22">
            <w:r>
              <w:t>2.92%</w:t>
            </w:r>
          </w:p>
          <w:p w14:paraId="66EB0E3B" w14:textId="77777777" w:rsidR="00255F22" w:rsidRDefault="00255F22" w:rsidP="00255F22">
            <w:r>
              <w:t>2.99%</w:t>
            </w:r>
          </w:p>
          <w:p w14:paraId="628DDFFF" w14:textId="77777777" w:rsidR="00255F22" w:rsidRDefault="00255F22" w:rsidP="00255F22">
            <w:r>
              <w:t>3.02%</w:t>
            </w:r>
          </w:p>
          <w:p w14:paraId="77D72F6C" w14:textId="77777777" w:rsidR="00255F22" w:rsidRDefault="00255F22" w:rsidP="00255F22">
            <w:r>
              <w:t>3.04%</w:t>
            </w:r>
          </w:p>
          <w:p w14:paraId="154330C2" w14:textId="77777777" w:rsidR="00255F22" w:rsidRDefault="00255F22" w:rsidP="00255F22">
            <w:r>
              <w:t>3.09%</w:t>
            </w:r>
          </w:p>
          <w:p w14:paraId="4DB232F4" w14:textId="77777777" w:rsidR="00255F22" w:rsidRDefault="00255F22" w:rsidP="00255F22">
            <w:r>
              <w:t>3.18%</w:t>
            </w:r>
          </w:p>
          <w:p w14:paraId="4859A87C" w14:textId="77777777" w:rsidR="00255F22" w:rsidRDefault="00255F22" w:rsidP="00255F22">
            <w:r>
              <w:t>3.27%</w:t>
            </w:r>
          </w:p>
          <w:p w14:paraId="32A181D4" w14:textId="77777777" w:rsidR="00255F22" w:rsidRDefault="00255F22" w:rsidP="00255F22">
            <w:r>
              <w:t>3.34%</w:t>
            </w:r>
          </w:p>
          <w:p w14:paraId="78FE6141" w14:textId="77777777" w:rsidR="00255F22" w:rsidRDefault="00255F22" w:rsidP="00255F22">
            <w:r>
              <w:t>3.41%</w:t>
            </w:r>
          </w:p>
          <w:p w14:paraId="51E5E024" w14:textId="77777777" w:rsidR="00255F22" w:rsidRDefault="00255F22" w:rsidP="00255F22">
            <w:r>
              <w:t>3.47%</w:t>
            </w:r>
          </w:p>
          <w:p w14:paraId="0628C8FD" w14:textId="7AD4A3B6" w:rsidR="00255F22" w:rsidRPr="00EC73EA" w:rsidRDefault="00255F22" w:rsidP="00255F22">
            <w:r>
              <w:t>3.49%</w:t>
            </w:r>
          </w:p>
        </w:tc>
        <w:tc>
          <w:tcPr>
            <w:tcW w:w="1503" w:type="dxa"/>
            <w:tcBorders>
              <w:top w:val="single" w:sz="4" w:space="0" w:color="9FBCD0"/>
              <w:left w:val="single" w:sz="4" w:space="0" w:color="9FBCD0"/>
              <w:bottom w:val="single" w:sz="4" w:space="0" w:color="9FBCD0"/>
              <w:right w:val="single" w:sz="4" w:space="0" w:color="9FBCD0"/>
            </w:tcBorders>
          </w:tcPr>
          <w:p w14:paraId="35905645" w14:textId="77777777" w:rsidR="00255F22" w:rsidRDefault="00255F22" w:rsidP="00255F22">
            <w:r>
              <w:t>2018</w:t>
            </w:r>
          </w:p>
          <w:p w14:paraId="7D4A780B" w14:textId="77777777" w:rsidR="00255F22" w:rsidRDefault="00255F22" w:rsidP="00255F22">
            <w:r>
              <w:t>2019</w:t>
            </w:r>
          </w:p>
          <w:p w14:paraId="2CEC3C2D" w14:textId="77777777" w:rsidR="00255F22" w:rsidRDefault="00255F22" w:rsidP="00255F22">
            <w:r>
              <w:t>2020</w:t>
            </w:r>
          </w:p>
          <w:p w14:paraId="7DCD5FB0" w14:textId="77777777" w:rsidR="00255F22" w:rsidRDefault="00255F22" w:rsidP="00255F22">
            <w:r>
              <w:t>2021</w:t>
            </w:r>
          </w:p>
          <w:p w14:paraId="4ADCDEDE" w14:textId="77777777" w:rsidR="00255F22" w:rsidRDefault="00255F22" w:rsidP="00255F22">
            <w:r>
              <w:t>2022</w:t>
            </w:r>
          </w:p>
          <w:p w14:paraId="165ED546" w14:textId="77777777" w:rsidR="00255F22" w:rsidRDefault="00255F22" w:rsidP="00255F22">
            <w:r>
              <w:t>2023</w:t>
            </w:r>
          </w:p>
          <w:p w14:paraId="4F28A41D" w14:textId="77777777" w:rsidR="00255F22" w:rsidRDefault="00255F22" w:rsidP="00255F22">
            <w:r>
              <w:t>2024</w:t>
            </w:r>
          </w:p>
          <w:p w14:paraId="652CC386" w14:textId="77777777" w:rsidR="00255F22" w:rsidRDefault="00255F22" w:rsidP="00255F22">
            <w:r>
              <w:t>2025</w:t>
            </w:r>
          </w:p>
          <w:p w14:paraId="0155E777" w14:textId="77777777" w:rsidR="00255F22" w:rsidRDefault="00255F22" w:rsidP="00255F22">
            <w:r>
              <w:t>2026</w:t>
            </w:r>
          </w:p>
          <w:p w14:paraId="579D7667" w14:textId="77777777" w:rsidR="00255F22" w:rsidRDefault="00255F22" w:rsidP="00255F22">
            <w:r>
              <w:t>2027</w:t>
            </w:r>
          </w:p>
          <w:p w14:paraId="4ED433C5" w14:textId="77777777" w:rsidR="00255F22" w:rsidRDefault="00255F22" w:rsidP="00255F22">
            <w:r>
              <w:t>2028</w:t>
            </w:r>
          </w:p>
          <w:p w14:paraId="3DD2F684" w14:textId="77777777" w:rsidR="00255F22" w:rsidRDefault="00255F22" w:rsidP="00255F22">
            <w:r>
              <w:t>2029</w:t>
            </w:r>
          </w:p>
          <w:p w14:paraId="6147F9A5" w14:textId="77777777" w:rsidR="00255F22" w:rsidRDefault="00255F22" w:rsidP="00255F22">
            <w:r>
              <w:t>2030</w:t>
            </w:r>
          </w:p>
          <w:p w14:paraId="21412B06" w14:textId="77777777" w:rsidR="00255F22" w:rsidRDefault="00255F22" w:rsidP="00255F22">
            <w:r>
              <w:t>2031</w:t>
            </w:r>
          </w:p>
          <w:p w14:paraId="5C1C573A" w14:textId="77777777" w:rsidR="00255F22" w:rsidRDefault="00255F22" w:rsidP="00255F22">
            <w:r>
              <w:t>2032</w:t>
            </w:r>
          </w:p>
          <w:p w14:paraId="3EEDE306" w14:textId="21C644E4" w:rsidR="00255F22" w:rsidRPr="00EC73EA" w:rsidRDefault="00255F22" w:rsidP="00255F22">
            <w:r>
              <w:t>2033</w:t>
            </w:r>
            <w:r>
              <w:br/>
              <w:t>Onwards</w:t>
            </w:r>
          </w:p>
        </w:tc>
        <w:tc>
          <w:tcPr>
            <w:tcW w:w="1503" w:type="dxa"/>
            <w:tcBorders>
              <w:top w:val="single" w:sz="4" w:space="0" w:color="9FBCD0"/>
              <w:left w:val="single" w:sz="4" w:space="0" w:color="9FBCD0"/>
              <w:bottom w:val="single" w:sz="4" w:space="0" w:color="9FBCD0"/>
              <w:right w:val="single" w:sz="4" w:space="0" w:color="9FBCD0"/>
            </w:tcBorders>
          </w:tcPr>
          <w:p w14:paraId="6B354F38" w14:textId="77777777" w:rsidR="00255F22" w:rsidRDefault="00255F22" w:rsidP="00255F22">
            <w:r>
              <w:t>1.57%</w:t>
            </w:r>
          </w:p>
          <w:p w14:paraId="772D099C" w14:textId="77777777" w:rsidR="00255F22" w:rsidRDefault="00255F22" w:rsidP="00255F22">
            <w:r>
              <w:t>1.92%</w:t>
            </w:r>
          </w:p>
          <w:p w14:paraId="15D68B34" w14:textId="77777777" w:rsidR="00255F22" w:rsidRDefault="00255F22" w:rsidP="00255F22">
            <w:r>
              <w:t>2.29%</w:t>
            </w:r>
          </w:p>
          <w:p w14:paraId="62A70229" w14:textId="77777777" w:rsidR="00255F22" w:rsidRDefault="00255F22" w:rsidP="00255F22">
            <w:r>
              <w:t>2.59%</w:t>
            </w:r>
          </w:p>
          <w:p w14:paraId="3C0AC88B" w14:textId="77777777" w:rsidR="00255F22" w:rsidRDefault="00255F22" w:rsidP="00255F22">
            <w:r>
              <w:t>2.84%</w:t>
            </w:r>
          </w:p>
          <w:p w14:paraId="04BC5AAF" w14:textId="77777777" w:rsidR="00255F22" w:rsidRDefault="00255F22" w:rsidP="00255F22">
            <w:r>
              <w:t>3.02%</w:t>
            </w:r>
          </w:p>
          <w:p w14:paraId="48EFAB6A" w14:textId="77777777" w:rsidR="00255F22" w:rsidRDefault="00255F22" w:rsidP="00255F22">
            <w:r>
              <w:t>3.13%</w:t>
            </w:r>
          </w:p>
          <w:p w14:paraId="2D8FD20F" w14:textId="77777777" w:rsidR="00255F22" w:rsidRDefault="00255F22" w:rsidP="00255F22">
            <w:r>
              <w:t>3.18%</w:t>
            </w:r>
          </w:p>
          <w:p w14:paraId="017A470B" w14:textId="77777777" w:rsidR="00255F22" w:rsidRDefault="00255F22" w:rsidP="00255F22">
            <w:r>
              <w:t>3.21%</w:t>
            </w:r>
          </w:p>
          <w:p w14:paraId="4B04304F" w14:textId="77777777" w:rsidR="00255F22" w:rsidRDefault="00255F22" w:rsidP="00255F22">
            <w:r>
              <w:t>3.27%</w:t>
            </w:r>
          </w:p>
          <w:p w14:paraId="7ABE3331" w14:textId="77777777" w:rsidR="00255F22" w:rsidRDefault="00255F22" w:rsidP="00255F22">
            <w:r>
              <w:t>3.37%</w:t>
            </w:r>
          </w:p>
          <w:p w14:paraId="6DBEEB10" w14:textId="77777777" w:rsidR="00255F22" w:rsidRDefault="00255F22" w:rsidP="00255F22">
            <w:r>
              <w:t>3.51%</w:t>
            </w:r>
          </w:p>
          <w:p w14:paraId="504CC637" w14:textId="77777777" w:rsidR="00255F22" w:rsidRDefault="00255F22" w:rsidP="00255F22">
            <w:r>
              <w:t>3.69%</w:t>
            </w:r>
          </w:p>
          <w:p w14:paraId="2C5CFA22" w14:textId="77777777" w:rsidR="00255F22" w:rsidRDefault="00255F22" w:rsidP="00255F22">
            <w:r>
              <w:t>3.91%</w:t>
            </w:r>
          </w:p>
          <w:p w14:paraId="05F4AF24" w14:textId="77777777" w:rsidR="00255F22" w:rsidRDefault="00255F22" w:rsidP="00255F22">
            <w:r>
              <w:t>4.17%</w:t>
            </w:r>
          </w:p>
          <w:p w14:paraId="1C3421E2" w14:textId="16EFA1D1" w:rsidR="00255F22" w:rsidRPr="00EC73EA" w:rsidRDefault="00255F22" w:rsidP="00255F22">
            <w:r>
              <w:t>4.29%</w:t>
            </w:r>
          </w:p>
        </w:tc>
      </w:tr>
      <w:tr w:rsidR="00255F22" w14:paraId="76F29B42" w14:textId="77777777" w:rsidTr="00255F22">
        <w:trPr>
          <w:trHeight w:val="748"/>
        </w:trPr>
        <w:tc>
          <w:tcPr>
            <w:tcW w:w="3005" w:type="dxa"/>
            <w:tcBorders>
              <w:top w:val="single" w:sz="4" w:space="0" w:color="9FBCD0"/>
              <w:left w:val="single" w:sz="4" w:space="0" w:color="9FBCD0"/>
              <w:bottom w:val="single" w:sz="4" w:space="0" w:color="9FBCD0"/>
              <w:right w:val="single" w:sz="4" w:space="0" w:color="9FBCD0"/>
            </w:tcBorders>
            <w:vAlign w:val="bottom"/>
          </w:tcPr>
          <w:p w14:paraId="25D5CA51" w14:textId="77777777" w:rsidR="00255F22" w:rsidRPr="006E67C4" w:rsidRDefault="00255F22" w:rsidP="009F57E2">
            <w:pPr>
              <w:rPr>
                <w:b/>
              </w:rPr>
            </w:pPr>
            <w:r w:rsidRPr="006E67C4">
              <w:rPr>
                <w:b/>
              </w:rPr>
              <w:t>Claims Managements Expenses</w:t>
            </w:r>
          </w:p>
        </w:tc>
        <w:tc>
          <w:tcPr>
            <w:tcW w:w="3005" w:type="dxa"/>
            <w:gridSpan w:val="2"/>
            <w:tcBorders>
              <w:top w:val="single" w:sz="4" w:space="0" w:color="9FBCD0"/>
              <w:left w:val="single" w:sz="4" w:space="0" w:color="9FBCD0"/>
              <w:bottom w:val="single" w:sz="4" w:space="0" w:color="9FBCD0"/>
              <w:right w:val="single" w:sz="4" w:space="0" w:color="9FBCD0"/>
            </w:tcBorders>
            <w:vAlign w:val="center"/>
          </w:tcPr>
          <w:p w14:paraId="15BF55AD" w14:textId="10F77F4E" w:rsidR="00255F22" w:rsidRPr="00EC73EA" w:rsidRDefault="00255F22" w:rsidP="00255F22">
            <w:pPr>
              <w:rPr>
                <w:lang w:eastAsia="en-AU"/>
              </w:rPr>
            </w:pPr>
            <w:r w:rsidRPr="00255F22">
              <w:rPr>
                <w:lang w:eastAsia="en-AU"/>
              </w:rPr>
              <w:t>10.5% for claim payments</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684695ED" w14:textId="1E0CCDD2" w:rsidR="00255F22" w:rsidRPr="00EC73EA" w:rsidRDefault="00255F22" w:rsidP="009F57E2">
            <w:pPr>
              <w:rPr>
                <w:lang w:eastAsia="en-AU"/>
              </w:rPr>
            </w:pPr>
            <w:r w:rsidRPr="00255F22">
              <w:rPr>
                <w:lang w:eastAsia="en-AU"/>
              </w:rPr>
              <w:t>10.5% for claim payments</w:t>
            </w:r>
          </w:p>
        </w:tc>
      </w:tr>
      <w:tr w:rsidR="00255F22" w14:paraId="6CDE8243" w14:textId="77777777" w:rsidTr="00255F22">
        <w:tc>
          <w:tcPr>
            <w:tcW w:w="3005" w:type="dxa"/>
            <w:tcBorders>
              <w:top w:val="single" w:sz="4" w:space="0" w:color="9FBCD0"/>
              <w:left w:val="single" w:sz="4" w:space="0" w:color="9FBCD0"/>
              <w:bottom w:val="single" w:sz="4" w:space="0" w:color="9FBCD0"/>
              <w:right w:val="single" w:sz="4" w:space="0" w:color="9FBCD0"/>
            </w:tcBorders>
            <w:vAlign w:val="center"/>
          </w:tcPr>
          <w:p w14:paraId="543B1DF9" w14:textId="77777777" w:rsidR="00255F22" w:rsidRPr="006E67C4" w:rsidRDefault="00255F22" w:rsidP="00255F22">
            <w:pPr>
              <w:rPr>
                <w:b/>
              </w:rPr>
            </w:pPr>
            <w:r w:rsidRPr="006E67C4">
              <w:rPr>
                <w:b/>
              </w:rPr>
              <w:t>Superimposed Inflation</w:t>
            </w:r>
          </w:p>
        </w:tc>
        <w:tc>
          <w:tcPr>
            <w:tcW w:w="3005" w:type="dxa"/>
            <w:gridSpan w:val="2"/>
            <w:tcBorders>
              <w:top w:val="single" w:sz="4" w:space="0" w:color="9FBCD0"/>
              <w:left w:val="single" w:sz="4" w:space="0" w:color="9FBCD0"/>
              <w:bottom w:val="single" w:sz="4" w:space="0" w:color="9FBCD0"/>
              <w:right w:val="single" w:sz="4" w:space="0" w:color="9FBCD0"/>
            </w:tcBorders>
          </w:tcPr>
          <w:p w14:paraId="7AF9C1FB" w14:textId="733F8B34" w:rsidR="00255F22" w:rsidRPr="00EC73EA" w:rsidRDefault="00255F22" w:rsidP="009F57E2">
            <w:pPr>
              <w:rPr>
                <w:lang w:eastAsia="en-AU"/>
              </w:rPr>
            </w:pPr>
            <w:r w:rsidRPr="00255F22">
              <w:rPr>
                <w:lang w:eastAsia="en-AU"/>
              </w:rPr>
              <w:t>2.5% for Payment Per Claim Incurred (PPCI) and Payment Per</w:t>
            </w:r>
            <w:r>
              <w:rPr>
                <w:lang w:eastAsia="en-AU"/>
              </w:rPr>
              <w:t xml:space="preserve"> Claim Finalised (PPCF) methods</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5A93A2EF" w14:textId="61EFE53C" w:rsidR="00255F22" w:rsidRPr="006E67C4" w:rsidRDefault="00255F22" w:rsidP="009F57E2">
            <w:pPr>
              <w:rPr>
                <w:lang w:eastAsia="en-AU"/>
              </w:rPr>
            </w:pPr>
            <w:r w:rsidRPr="00255F22">
              <w:rPr>
                <w:lang w:eastAsia="en-AU"/>
              </w:rPr>
              <w:t>2.5% for Payment Per Claim Incurred (PPCI) and Payment Per</w:t>
            </w:r>
            <w:r>
              <w:rPr>
                <w:lang w:eastAsia="en-AU"/>
              </w:rPr>
              <w:t xml:space="preserve"> Claim Finalised (PPCF) methods</w:t>
            </w:r>
          </w:p>
        </w:tc>
      </w:tr>
      <w:tr w:rsidR="00255F22" w14:paraId="6C10EB75" w14:textId="77777777" w:rsidTr="009F57E2">
        <w:tc>
          <w:tcPr>
            <w:tcW w:w="3005" w:type="dxa"/>
            <w:tcBorders>
              <w:top w:val="single" w:sz="4" w:space="0" w:color="9FBCD0"/>
              <w:left w:val="single" w:sz="4" w:space="0" w:color="9FBCD0"/>
              <w:bottom w:val="single" w:sz="4" w:space="0" w:color="9FBCD0"/>
              <w:right w:val="single" w:sz="4" w:space="0" w:color="9FBCD0"/>
            </w:tcBorders>
            <w:vAlign w:val="center"/>
          </w:tcPr>
          <w:p w14:paraId="2F384392" w14:textId="77777777" w:rsidR="00255F22" w:rsidRPr="006E67C4" w:rsidRDefault="00255F22" w:rsidP="009F57E2">
            <w:pPr>
              <w:rPr>
                <w:b/>
              </w:rPr>
            </w:pPr>
            <w:r w:rsidRPr="006E67C4">
              <w:rPr>
                <w:b/>
              </w:rPr>
              <w:t>Risk Margin</w:t>
            </w:r>
          </w:p>
        </w:tc>
        <w:tc>
          <w:tcPr>
            <w:tcW w:w="3005" w:type="dxa"/>
            <w:gridSpan w:val="2"/>
            <w:tcBorders>
              <w:top w:val="single" w:sz="4" w:space="0" w:color="9FBCD0"/>
              <w:left w:val="single" w:sz="4" w:space="0" w:color="9FBCD0"/>
              <w:bottom w:val="single" w:sz="4" w:space="0" w:color="9FBCD0"/>
              <w:right w:val="single" w:sz="4" w:space="0" w:color="9FBCD0"/>
            </w:tcBorders>
          </w:tcPr>
          <w:p w14:paraId="1C84FC00" w14:textId="63107FE3" w:rsidR="00255F22" w:rsidRPr="00EC73EA" w:rsidRDefault="00255F22" w:rsidP="009F57E2">
            <w:pPr>
              <w:rPr>
                <w:lang w:eastAsia="en-AU"/>
              </w:rPr>
            </w:pPr>
            <w:r w:rsidRPr="00255F22">
              <w:rPr>
                <w:lang w:eastAsia="en-AU"/>
              </w:rPr>
              <w:t>16.76% risk marg</w:t>
            </w:r>
            <w:r>
              <w:rPr>
                <w:lang w:eastAsia="en-AU"/>
              </w:rPr>
              <w:t>in at the 75% sufficiency level</w:t>
            </w:r>
          </w:p>
        </w:tc>
        <w:tc>
          <w:tcPr>
            <w:tcW w:w="3006" w:type="dxa"/>
            <w:gridSpan w:val="2"/>
            <w:tcBorders>
              <w:top w:val="single" w:sz="4" w:space="0" w:color="9FBCD0"/>
              <w:left w:val="single" w:sz="4" w:space="0" w:color="9FBCD0"/>
              <w:bottom w:val="single" w:sz="4" w:space="0" w:color="9FBCD0"/>
              <w:right w:val="single" w:sz="4" w:space="0" w:color="9FBCD0"/>
            </w:tcBorders>
            <w:vAlign w:val="center"/>
          </w:tcPr>
          <w:p w14:paraId="34C45C2D" w14:textId="6E8F9325" w:rsidR="00255F22" w:rsidRPr="006E67C4" w:rsidRDefault="00255F22" w:rsidP="009F57E2">
            <w:pPr>
              <w:rPr>
                <w:lang w:eastAsia="en-AU"/>
              </w:rPr>
            </w:pPr>
            <w:r w:rsidRPr="00255F22">
              <w:rPr>
                <w:lang w:eastAsia="en-AU"/>
              </w:rPr>
              <w:t>16.76% risk marg</w:t>
            </w:r>
            <w:r>
              <w:rPr>
                <w:lang w:eastAsia="en-AU"/>
              </w:rPr>
              <w:t>in at the 75% sufficiency level</w:t>
            </w:r>
          </w:p>
        </w:tc>
      </w:tr>
    </w:tbl>
    <w:p w14:paraId="358D07A8" w14:textId="5A01839E" w:rsidR="00EA0934" w:rsidRDefault="00EA0934" w:rsidP="00C85B1C">
      <w:pPr>
        <w:rPr>
          <w:i/>
          <w:lang w:eastAsia="en-AU"/>
        </w:rPr>
      </w:pPr>
      <w:r>
        <w:rPr>
          <w:lang w:eastAsia="en-AU"/>
        </w:rPr>
        <w:br/>
      </w:r>
      <w:r>
        <w:rPr>
          <w:i/>
          <w:lang w:eastAsia="en-AU"/>
        </w:rPr>
        <w:t>Expense rate</w:t>
      </w:r>
    </w:p>
    <w:p w14:paraId="5213BB33" w14:textId="6F89BC1C" w:rsidR="00EA0934" w:rsidRDefault="00EA0934" w:rsidP="00C85B1C">
      <w:pPr>
        <w:rPr>
          <w:lang w:eastAsia="en-AU"/>
        </w:rPr>
      </w:pPr>
      <w:r>
        <w:rPr>
          <w:lang w:eastAsia="en-AU"/>
        </w:rPr>
        <w:t xml:space="preserve">Claims handling expenses were calculated by analysis of General Account actual expenses from the Statement of Comprehensive Income over the last 12 months. </w:t>
      </w:r>
    </w:p>
    <w:p w14:paraId="09D9471C" w14:textId="024A168F" w:rsidR="00EA0934" w:rsidRDefault="00EA0934" w:rsidP="00C85B1C">
      <w:pPr>
        <w:rPr>
          <w:i/>
          <w:lang w:eastAsia="en-AU"/>
        </w:rPr>
      </w:pPr>
      <w:r>
        <w:rPr>
          <w:i/>
          <w:lang w:eastAsia="en-AU"/>
        </w:rPr>
        <w:t xml:space="preserve">Discount rates </w:t>
      </w:r>
    </w:p>
    <w:p w14:paraId="12026E31" w14:textId="396FA5B0" w:rsidR="00EA0934" w:rsidRDefault="00EA0934" w:rsidP="00C85B1C">
      <w:pPr>
        <w:rPr>
          <w:lang w:eastAsia="en-AU"/>
        </w:rPr>
      </w:pPr>
      <w:r w:rsidRPr="00EA0934">
        <w:rPr>
          <w:lang w:eastAsia="en-AU"/>
        </w:rPr>
        <w:t>Discount rates are derived as the one-year forward rates implied by the Commonwealth Government yield curve as at the balance date.</w:t>
      </w:r>
    </w:p>
    <w:p w14:paraId="706E12F8" w14:textId="77777777" w:rsidR="00EA0934" w:rsidRDefault="00EA0934">
      <w:pPr>
        <w:keepLines w:val="0"/>
        <w:spacing w:after="0" w:line="240" w:lineRule="auto"/>
        <w:rPr>
          <w:i/>
          <w:lang w:eastAsia="en-AU"/>
        </w:rPr>
      </w:pPr>
      <w:r>
        <w:rPr>
          <w:i/>
          <w:lang w:eastAsia="en-AU"/>
        </w:rPr>
        <w:br w:type="page"/>
      </w:r>
    </w:p>
    <w:p w14:paraId="0B341341" w14:textId="61115170" w:rsidR="00EA0934" w:rsidRDefault="00EA0934" w:rsidP="00C85B1C">
      <w:pPr>
        <w:rPr>
          <w:i/>
          <w:lang w:eastAsia="en-AU"/>
        </w:rPr>
      </w:pPr>
      <w:r>
        <w:rPr>
          <w:i/>
          <w:lang w:eastAsia="en-AU"/>
        </w:rPr>
        <w:t>Superimposed inflation</w:t>
      </w:r>
    </w:p>
    <w:p w14:paraId="67156FD7" w14:textId="77777777" w:rsidR="00EA0934" w:rsidRDefault="00EA0934" w:rsidP="00C85B1C">
      <w:pPr>
        <w:rPr>
          <w:lang w:eastAsia="en-AU"/>
        </w:rPr>
      </w:pPr>
      <w:r w:rsidRPr="00EA0934">
        <w:rPr>
          <w:lang w:eastAsia="en-AU"/>
        </w:rPr>
        <w:t xml:space="preserve">Superimposed inflation being the real increase after adjusting for normal inflation, usually due to non-economic effects e.g. changes in legislation, court settlement precedents. The superimposed inflation rates assumed considered both the portfolio's own real cost increases and industry </w:t>
      </w:r>
      <w:r>
        <w:rPr>
          <w:lang w:eastAsia="en-AU"/>
        </w:rPr>
        <w:t>superimposed inflation trends.</w:t>
      </w:r>
    </w:p>
    <w:p w14:paraId="3FB4FFE3" w14:textId="77777777" w:rsidR="00EA0934" w:rsidRDefault="00EA0934" w:rsidP="00C85B1C">
      <w:pPr>
        <w:rPr>
          <w:i/>
          <w:lang w:eastAsia="en-AU"/>
        </w:rPr>
      </w:pPr>
      <w:r>
        <w:rPr>
          <w:i/>
          <w:lang w:eastAsia="en-AU"/>
        </w:rPr>
        <w:t>Sufficiency Margin</w:t>
      </w:r>
    </w:p>
    <w:p w14:paraId="3BC2B556" w14:textId="38B4C1C3" w:rsidR="00EA0934" w:rsidRDefault="00EA0934" w:rsidP="00EA0934">
      <w:pPr>
        <w:rPr>
          <w:lang w:eastAsia="en-AU"/>
        </w:rPr>
      </w:pPr>
      <w:r>
        <w:rPr>
          <w:lang w:eastAsia="en-AU"/>
        </w:rPr>
        <w:t>The inherent uncertainty in the estimated claim liability means that there is a range of possible outcomes. An analysis of the variation of the expected results lead to adoption of a 30% co-efficient of variation and the lognormal distribution. This distribution is then used to calculate the risk margin required to increase the level of sufficiency of the central estimate from 50% to 75%.</w:t>
      </w:r>
      <w:r>
        <w:rPr>
          <w:lang w:eastAsia="en-AU"/>
        </w:rPr>
        <w:tab/>
      </w:r>
      <w:r>
        <w:rPr>
          <w:lang w:eastAsia="en-AU"/>
        </w:rPr>
        <w:tab/>
      </w:r>
      <w:r>
        <w:rPr>
          <w:lang w:eastAsia="en-AU"/>
        </w:rPr>
        <w:tab/>
      </w:r>
    </w:p>
    <w:p w14:paraId="7B9141F4" w14:textId="18435E68" w:rsidR="00EA0934" w:rsidRDefault="00EA0934" w:rsidP="00EA0934">
      <w:pPr>
        <w:rPr>
          <w:lang w:eastAsia="en-AU"/>
        </w:rPr>
      </w:pPr>
      <w:r>
        <w:rPr>
          <w:lang w:eastAsia="en-AU"/>
        </w:rPr>
        <w:t>In addition to the above assumptions we have included the following prospective allowances for claims incurred from 1 October 2011 due to the 2011 Amendment Act:</w:t>
      </w:r>
      <w:r>
        <w:rPr>
          <w:lang w:eastAsia="en-AU"/>
        </w:rPr>
        <w:tab/>
      </w:r>
      <w:r>
        <w:rPr>
          <w:lang w:eastAsia="en-AU"/>
        </w:rPr>
        <w:tab/>
      </w:r>
      <w:r>
        <w:rPr>
          <w:lang w:eastAsia="en-AU"/>
        </w:rPr>
        <w:tab/>
      </w:r>
    </w:p>
    <w:p w14:paraId="17C2D2CA" w14:textId="4987CB36" w:rsidR="00EA0934" w:rsidRDefault="00EA0934" w:rsidP="00EA0934">
      <w:pPr>
        <w:pStyle w:val="BulletListLevel1"/>
        <w:rPr>
          <w:lang w:eastAsia="en-AU"/>
        </w:rPr>
      </w:pPr>
      <w:r>
        <w:rPr>
          <w:lang w:eastAsia="en-AU"/>
        </w:rPr>
        <w:t>0% increase in the non-ARD average claim size for the removal of age limits, as per last year.</w:t>
      </w:r>
      <w:r>
        <w:rPr>
          <w:lang w:eastAsia="en-AU"/>
        </w:rPr>
        <w:tab/>
      </w:r>
      <w:r>
        <w:rPr>
          <w:lang w:eastAsia="en-AU"/>
        </w:rPr>
        <w:tab/>
      </w:r>
      <w:r>
        <w:rPr>
          <w:lang w:eastAsia="en-AU"/>
        </w:rPr>
        <w:tab/>
      </w:r>
      <w:r>
        <w:rPr>
          <w:lang w:eastAsia="en-AU"/>
        </w:rPr>
        <w:tab/>
      </w:r>
    </w:p>
    <w:p w14:paraId="064A1BB5" w14:textId="7D429E17" w:rsidR="00EA0934" w:rsidRDefault="00EA0934" w:rsidP="00EA0934">
      <w:pPr>
        <w:pStyle w:val="BulletListLevel1"/>
        <w:rPr>
          <w:lang w:eastAsia="en-AU"/>
        </w:rPr>
      </w:pPr>
      <w:r>
        <w:rPr>
          <w:lang w:eastAsia="en-AU"/>
        </w:rPr>
        <w:t>3.9% of non-ARD claims will be lodged as common law claims, with an average claim size $0.6 million in 30 June 2018 values. The 3.9% is only applied to claims lodged in the past year or future claims reported. A claimant has to elect to pursue common law damages or apply for an extension within 12 months of a claim being lodged. Therefore no claims lodged prior to 30 June 2017 are eligible to pursue common law damages anymore. This is the same method as last year. The average claim size from the December 2011 report is indexed by six year’s superimposed inflation (2.5% per year) and wage inflation (2018: 2.0%, 2017: 1.3%, 2016: 2.5%; 2015: 2.8%, 2014: 0.6%; 2013: 6.8%). The percentage of non-ARD claims that will be lodged as common law claims has increased from 1.3% due to experience.</w:t>
      </w:r>
      <w:r>
        <w:rPr>
          <w:lang w:eastAsia="en-AU"/>
        </w:rPr>
        <w:tab/>
      </w:r>
    </w:p>
    <w:p w14:paraId="59B675FA" w14:textId="77777777" w:rsidR="00EA0934" w:rsidRDefault="00EA0934" w:rsidP="00EA0934">
      <w:pPr>
        <w:pStyle w:val="BulletListLevel1"/>
        <w:rPr>
          <w:lang w:eastAsia="en-AU"/>
        </w:rPr>
      </w:pPr>
      <w:r>
        <w:rPr>
          <w:lang w:eastAsia="en-AU"/>
        </w:rPr>
        <w:t>0% allowance for common law claims made by employed contractors as it is assumed to be fully allowed for in the experience, as per last year.</w:t>
      </w:r>
      <w:r>
        <w:rPr>
          <w:lang w:eastAsia="en-AU"/>
        </w:rPr>
        <w:tab/>
      </w:r>
      <w:r>
        <w:rPr>
          <w:lang w:eastAsia="en-AU"/>
        </w:rPr>
        <w:tab/>
      </w:r>
      <w:r>
        <w:rPr>
          <w:lang w:eastAsia="en-AU"/>
        </w:rPr>
        <w:tab/>
      </w:r>
      <w:r>
        <w:rPr>
          <w:lang w:eastAsia="en-AU"/>
        </w:rPr>
        <w:tab/>
      </w:r>
    </w:p>
    <w:p w14:paraId="1168618C" w14:textId="77777777" w:rsidR="00EA0934" w:rsidRDefault="00EA0934" w:rsidP="00EA0934">
      <w:pPr>
        <w:pStyle w:val="BulletListLevel1"/>
        <w:numPr>
          <w:ilvl w:val="0"/>
          <w:numId w:val="0"/>
        </w:numPr>
        <w:rPr>
          <w:lang w:eastAsia="en-AU"/>
        </w:rPr>
      </w:pPr>
    </w:p>
    <w:p w14:paraId="12B82BCC" w14:textId="77777777" w:rsidR="00EA0934" w:rsidRDefault="00EA0934" w:rsidP="004930E9">
      <w:pPr>
        <w:pStyle w:val="Heading4colour"/>
        <w:ind w:left="0"/>
      </w:pPr>
      <w:r>
        <w:br w:type="page"/>
      </w:r>
      <w:r w:rsidRPr="004930E9">
        <w:rPr>
          <w:color w:val="auto"/>
        </w:rPr>
        <w:t xml:space="preserve">Movement in provisions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Movement in provisions"/>
        <w:tblDescription w:val="This table outlines movement in provisiosn for uninsured claims in 2017/18. "/>
      </w:tblPr>
      <w:tblGrid>
        <w:gridCol w:w="5665"/>
        <w:gridCol w:w="1701"/>
        <w:gridCol w:w="1650"/>
      </w:tblGrid>
      <w:tr w:rsidR="00C90C05" w14:paraId="525E3B53" w14:textId="77777777" w:rsidTr="00F11774">
        <w:trPr>
          <w:tblHeader/>
        </w:trPr>
        <w:tc>
          <w:tcPr>
            <w:tcW w:w="5665" w:type="dxa"/>
          </w:tcPr>
          <w:p w14:paraId="08C0AB9E" w14:textId="77777777" w:rsidR="00C90C05" w:rsidRPr="00C90C05" w:rsidRDefault="00C90C05" w:rsidP="00BA7C82">
            <w:pPr>
              <w:pStyle w:val="Heading4colour"/>
            </w:pPr>
          </w:p>
        </w:tc>
        <w:tc>
          <w:tcPr>
            <w:tcW w:w="1701" w:type="dxa"/>
            <w:vAlign w:val="center"/>
          </w:tcPr>
          <w:p w14:paraId="62847C0D" w14:textId="7EC9D644" w:rsidR="00C90C05" w:rsidRPr="004930E9" w:rsidRDefault="00C90C05" w:rsidP="00BA7C82">
            <w:pPr>
              <w:pStyle w:val="Heading4colour"/>
              <w:rPr>
                <w:color w:val="auto"/>
              </w:rPr>
            </w:pPr>
            <w:r w:rsidRPr="004930E9">
              <w:rPr>
                <w:color w:val="auto"/>
              </w:rPr>
              <w:t>2018</w:t>
            </w:r>
            <w:r w:rsidRPr="004930E9">
              <w:rPr>
                <w:color w:val="auto"/>
              </w:rPr>
              <w:br/>
              <w:t>$000</w:t>
            </w:r>
          </w:p>
        </w:tc>
        <w:tc>
          <w:tcPr>
            <w:tcW w:w="1650" w:type="dxa"/>
            <w:vAlign w:val="center"/>
          </w:tcPr>
          <w:p w14:paraId="0F97ECA5" w14:textId="202DDC53" w:rsidR="00C90C05" w:rsidRPr="004930E9" w:rsidRDefault="00C90C05" w:rsidP="00BA7C82">
            <w:pPr>
              <w:pStyle w:val="Heading4colour"/>
              <w:rPr>
                <w:color w:val="auto"/>
              </w:rPr>
            </w:pPr>
            <w:r w:rsidRPr="004930E9">
              <w:rPr>
                <w:color w:val="auto"/>
              </w:rPr>
              <w:t>2017</w:t>
            </w:r>
            <w:r w:rsidRPr="004930E9">
              <w:rPr>
                <w:color w:val="auto"/>
              </w:rPr>
              <w:br/>
              <w:t>$000</w:t>
            </w:r>
          </w:p>
        </w:tc>
      </w:tr>
      <w:tr w:rsidR="00C90C05" w14:paraId="5CE73D51" w14:textId="77777777" w:rsidTr="00C90C05">
        <w:tc>
          <w:tcPr>
            <w:tcW w:w="5665" w:type="dxa"/>
          </w:tcPr>
          <w:p w14:paraId="0416C0A3" w14:textId="1A6A2C1A" w:rsidR="00C90C05" w:rsidRPr="00C90C05" w:rsidRDefault="00C90C05" w:rsidP="004930E9">
            <w:pPr>
              <w:pStyle w:val="Heading4colour"/>
              <w:ind w:left="0"/>
            </w:pPr>
            <w:r w:rsidRPr="004930E9">
              <w:rPr>
                <w:color w:val="auto"/>
              </w:rPr>
              <w:t>Uninsured claims</w:t>
            </w:r>
          </w:p>
        </w:tc>
        <w:tc>
          <w:tcPr>
            <w:tcW w:w="1701" w:type="dxa"/>
          </w:tcPr>
          <w:p w14:paraId="77E8ECC0" w14:textId="77777777" w:rsidR="00C90C05" w:rsidRPr="00C90C05" w:rsidRDefault="00C90C05" w:rsidP="00BA7C82">
            <w:pPr>
              <w:pStyle w:val="Heading4colour"/>
            </w:pPr>
          </w:p>
        </w:tc>
        <w:tc>
          <w:tcPr>
            <w:tcW w:w="1650" w:type="dxa"/>
          </w:tcPr>
          <w:p w14:paraId="3DCF8327" w14:textId="77777777" w:rsidR="00C90C05" w:rsidRPr="00C90C05" w:rsidRDefault="00C90C05" w:rsidP="00BA7C82">
            <w:pPr>
              <w:pStyle w:val="Heading4colour"/>
            </w:pPr>
          </w:p>
        </w:tc>
      </w:tr>
      <w:tr w:rsidR="00C90C05" w14:paraId="4EC379C4" w14:textId="77777777" w:rsidTr="00C90C05">
        <w:tc>
          <w:tcPr>
            <w:tcW w:w="5665" w:type="dxa"/>
            <w:vAlign w:val="bottom"/>
          </w:tcPr>
          <w:p w14:paraId="2E283793" w14:textId="3AC4634B" w:rsidR="00C90C05" w:rsidRPr="00C90C05" w:rsidRDefault="00C90C05" w:rsidP="00C90C05">
            <w:pPr>
              <w:rPr>
                <w:u w:val="single"/>
              </w:rPr>
            </w:pPr>
            <w:r w:rsidRPr="00C90C05">
              <w:t>Carrying amount at start of period</w:t>
            </w:r>
          </w:p>
        </w:tc>
        <w:tc>
          <w:tcPr>
            <w:tcW w:w="1701" w:type="dxa"/>
            <w:vAlign w:val="bottom"/>
          </w:tcPr>
          <w:p w14:paraId="57E8D280" w14:textId="638F686C" w:rsidR="00C90C05" w:rsidRPr="00C90C05" w:rsidRDefault="00C90C05" w:rsidP="00C90C05">
            <w:pPr>
              <w:jc w:val="right"/>
              <w:rPr>
                <w:b/>
              </w:rPr>
            </w:pPr>
            <w:r>
              <w:t xml:space="preserve">                 6,382 </w:t>
            </w:r>
          </w:p>
        </w:tc>
        <w:tc>
          <w:tcPr>
            <w:tcW w:w="1650" w:type="dxa"/>
            <w:vAlign w:val="bottom"/>
          </w:tcPr>
          <w:p w14:paraId="19E05903" w14:textId="63764457" w:rsidR="00C90C05" w:rsidRPr="00C90C05" w:rsidRDefault="00C90C05" w:rsidP="00C90C05">
            <w:pPr>
              <w:jc w:val="right"/>
              <w:rPr>
                <w:b/>
              </w:rPr>
            </w:pPr>
            <w:r>
              <w:t xml:space="preserve">                                   6,100 </w:t>
            </w:r>
          </w:p>
        </w:tc>
      </w:tr>
      <w:tr w:rsidR="00C90C05" w14:paraId="482F5638" w14:textId="77777777" w:rsidTr="00C90C05">
        <w:tc>
          <w:tcPr>
            <w:tcW w:w="5665" w:type="dxa"/>
            <w:vAlign w:val="bottom"/>
          </w:tcPr>
          <w:p w14:paraId="3C233E74" w14:textId="1B220579" w:rsidR="00C90C05" w:rsidRPr="00C90C05" w:rsidRDefault="00C90C05" w:rsidP="00C90C05">
            <w:r w:rsidRPr="00C90C05">
              <w:t>Additional increase in provisions recognised</w:t>
            </w:r>
          </w:p>
        </w:tc>
        <w:tc>
          <w:tcPr>
            <w:tcW w:w="1701" w:type="dxa"/>
            <w:vAlign w:val="bottom"/>
          </w:tcPr>
          <w:p w14:paraId="2F1FB159" w14:textId="0FA5D44C" w:rsidR="00C90C05" w:rsidRPr="00C90C05" w:rsidRDefault="00C90C05" w:rsidP="00C90C05">
            <w:pPr>
              <w:jc w:val="right"/>
              <w:rPr>
                <w:b/>
              </w:rPr>
            </w:pPr>
            <w:r>
              <w:t xml:space="preserve">                 3,201 </w:t>
            </w:r>
          </w:p>
        </w:tc>
        <w:tc>
          <w:tcPr>
            <w:tcW w:w="1650" w:type="dxa"/>
            <w:vAlign w:val="bottom"/>
          </w:tcPr>
          <w:p w14:paraId="6DE36890" w14:textId="4B28A049" w:rsidR="00C90C05" w:rsidRPr="00C90C05" w:rsidRDefault="00C90C05" w:rsidP="00C90C05">
            <w:pPr>
              <w:jc w:val="right"/>
              <w:rPr>
                <w:b/>
              </w:rPr>
            </w:pPr>
            <w:r>
              <w:t xml:space="preserve">                                      714 </w:t>
            </w:r>
          </w:p>
        </w:tc>
      </w:tr>
      <w:tr w:rsidR="00C90C05" w14:paraId="263D97AC" w14:textId="77777777" w:rsidTr="00C90C05">
        <w:tc>
          <w:tcPr>
            <w:tcW w:w="5665" w:type="dxa"/>
            <w:vAlign w:val="bottom"/>
          </w:tcPr>
          <w:p w14:paraId="5B0B9090" w14:textId="0338A28A" w:rsidR="00C90C05" w:rsidRPr="00C90C05" w:rsidRDefault="00C90C05" w:rsidP="00C90C05">
            <w:r w:rsidRPr="00C90C05">
              <w:t>Unwinding of the discount</w:t>
            </w:r>
          </w:p>
        </w:tc>
        <w:tc>
          <w:tcPr>
            <w:tcW w:w="1701" w:type="dxa"/>
            <w:vAlign w:val="bottom"/>
          </w:tcPr>
          <w:p w14:paraId="65B5C591" w14:textId="67CE3203" w:rsidR="00C90C05" w:rsidRPr="00C90C05" w:rsidRDefault="00C90C05" w:rsidP="00C90C05">
            <w:pPr>
              <w:jc w:val="right"/>
              <w:rPr>
                <w:b/>
              </w:rPr>
            </w:pPr>
            <w:r>
              <w:t xml:space="preserve">                     97 </w:t>
            </w:r>
          </w:p>
        </w:tc>
        <w:tc>
          <w:tcPr>
            <w:tcW w:w="1650" w:type="dxa"/>
            <w:vAlign w:val="bottom"/>
          </w:tcPr>
          <w:p w14:paraId="0969430A" w14:textId="7099F2D3" w:rsidR="00C90C05" w:rsidRPr="00C90C05" w:rsidRDefault="00C90C05" w:rsidP="00C90C05">
            <w:pPr>
              <w:jc w:val="right"/>
              <w:rPr>
                <w:b/>
              </w:rPr>
            </w:pPr>
            <w:r>
              <w:t xml:space="preserve">                                        95 </w:t>
            </w:r>
          </w:p>
        </w:tc>
      </w:tr>
      <w:tr w:rsidR="00C90C05" w14:paraId="3C5B9959" w14:textId="77777777" w:rsidTr="00C90C05">
        <w:tc>
          <w:tcPr>
            <w:tcW w:w="5665" w:type="dxa"/>
            <w:vAlign w:val="bottom"/>
          </w:tcPr>
          <w:p w14:paraId="23F06E70" w14:textId="2EC048B9" w:rsidR="00C90C05" w:rsidRPr="00C90C05" w:rsidRDefault="00C90C05" w:rsidP="00C90C05">
            <w:r w:rsidRPr="00C90C05">
              <w:t>Payments/other sacrifices of economic benefits</w:t>
            </w:r>
          </w:p>
        </w:tc>
        <w:tc>
          <w:tcPr>
            <w:tcW w:w="1701" w:type="dxa"/>
            <w:tcBorders>
              <w:bottom w:val="single" w:sz="4" w:space="0" w:color="auto"/>
            </w:tcBorders>
            <w:vAlign w:val="bottom"/>
          </w:tcPr>
          <w:p w14:paraId="59C98711" w14:textId="6C618517" w:rsidR="00C90C05" w:rsidRPr="00C90C05" w:rsidRDefault="00C90C05" w:rsidP="00C90C05">
            <w:pPr>
              <w:jc w:val="right"/>
              <w:rPr>
                <w:b/>
              </w:rPr>
            </w:pPr>
            <w:r>
              <w:t xml:space="preserve">                  (506)</w:t>
            </w:r>
          </w:p>
        </w:tc>
        <w:tc>
          <w:tcPr>
            <w:tcW w:w="1650" w:type="dxa"/>
            <w:tcBorders>
              <w:bottom w:val="single" w:sz="4" w:space="0" w:color="auto"/>
            </w:tcBorders>
            <w:vAlign w:val="bottom"/>
          </w:tcPr>
          <w:p w14:paraId="234F82DA" w14:textId="5D056E7A" w:rsidR="00C90C05" w:rsidRPr="00C90C05" w:rsidRDefault="00C90C05" w:rsidP="00C90C05">
            <w:pPr>
              <w:jc w:val="right"/>
              <w:rPr>
                <w:b/>
              </w:rPr>
            </w:pPr>
            <w:r>
              <w:t xml:space="preserve">                                     (527)</w:t>
            </w:r>
          </w:p>
        </w:tc>
      </w:tr>
      <w:tr w:rsidR="00C90C05" w14:paraId="08B0B985" w14:textId="77777777" w:rsidTr="00C90C05">
        <w:tc>
          <w:tcPr>
            <w:tcW w:w="5665" w:type="dxa"/>
            <w:vAlign w:val="bottom"/>
          </w:tcPr>
          <w:p w14:paraId="2116AEFF" w14:textId="21B2AAB7" w:rsidR="00C90C05" w:rsidRPr="00C90C05" w:rsidRDefault="00C90C05" w:rsidP="00C90C05">
            <w:r w:rsidRPr="00C90C05">
              <w:t>Carrying amount at end of period</w:t>
            </w:r>
          </w:p>
        </w:tc>
        <w:tc>
          <w:tcPr>
            <w:tcW w:w="1701" w:type="dxa"/>
            <w:tcBorders>
              <w:top w:val="single" w:sz="4" w:space="0" w:color="auto"/>
              <w:bottom w:val="double" w:sz="4" w:space="0" w:color="auto"/>
            </w:tcBorders>
            <w:vAlign w:val="bottom"/>
          </w:tcPr>
          <w:p w14:paraId="7E4420EF" w14:textId="743BA1B0" w:rsidR="00C90C05" w:rsidRPr="00C90C05" w:rsidRDefault="00C90C05" w:rsidP="00C90C05">
            <w:pPr>
              <w:jc w:val="right"/>
              <w:rPr>
                <w:b/>
              </w:rPr>
            </w:pPr>
            <w:r>
              <w:rPr>
                <w:b/>
                <w:bCs/>
              </w:rPr>
              <w:t xml:space="preserve">                 9,174 </w:t>
            </w:r>
          </w:p>
        </w:tc>
        <w:tc>
          <w:tcPr>
            <w:tcW w:w="1650" w:type="dxa"/>
            <w:tcBorders>
              <w:top w:val="single" w:sz="4" w:space="0" w:color="auto"/>
              <w:bottom w:val="double" w:sz="4" w:space="0" w:color="auto"/>
            </w:tcBorders>
            <w:vAlign w:val="bottom"/>
          </w:tcPr>
          <w:p w14:paraId="16B068CA" w14:textId="346C38D4" w:rsidR="00C90C05" w:rsidRPr="00C90C05" w:rsidRDefault="00C90C05" w:rsidP="00C90C05">
            <w:pPr>
              <w:jc w:val="right"/>
              <w:rPr>
                <w:b/>
              </w:rPr>
            </w:pPr>
            <w:r>
              <w:rPr>
                <w:b/>
                <w:bCs/>
              </w:rPr>
              <w:t xml:space="preserve">                                   6,382 </w:t>
            </w:r>
          </w:p>
        </w:tc>
      </w:tr>
    </w:tbl>
    <w:p w14:paraId="290FB686" w14:textId="723E5858" w:rsidR="00EA0934" w:rsidRDefault="00C90C05" w:rsidP="00A408E5">
      <w:pPr>
        <w:pStyle w:val="Heading3nonumber"/>
      </w:pPr>
      <w:bookmarkStart w:id="782" w:name="_Toc525122179"/>
      <w:r>
        <w:t>4.4</w:t>
      </w:r>
      <w:r>
        <w:tab/>
        <w:t>Net gain/(loss) on disposal of non-current assets</w:t>
      </w:r>
      <w:bookmarkEnd w:id="7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Net gain/(loss) on disposal of non-current assets"/>
        <w:tblDescription w:val="This table outlines the proceeds and costs from disposal of non-current assets for 2017/18. "/>
      </w:tblPr>
      <w:tblGrid>
        <w:gridCol w:w="5524"/>
        <w:gridCol w:w="1701"/>
        <w:gridCol w:w="1791"/>
      </w:tblGrid>
      <w:tr w:rsidR="00C90C05" w14:paraId="231FE8E8" w14:textId="77777777" w:rsidTr="00487381">
        <w:trPr>
          <w:tblHeader/>
        </w:trPr>
        <w:tc>
          <w:tcPr>
            <w:tcW w:w="5524" w:type="dxa"/>
          </w:tcPr>
          <w:p w14:paraId="0316F911" w14:textId="77777777" w:rsidR="00C90C05" w:rsidRDefault="00C90C05" w:rsidP="00C90C05"/>
        </w:tc>
        <w:tc>
          <w:tcPr>
            <w:tcW w:w="1701" w:type="dxa"/>
            <w:vAlign w:val="center"/>
          </w:tcPr>
          <w:p w14:paraId="235DB567" w14:textId="787A974B" w:rsidR="00C90C05" w:rsidRPr="00C90C05" w:rsidRDefault="00C90C05" w:rsidP="00C90C05">
            <w:pPr>
              <w:jc w:val="right"/>
              <w:rPr>
                <w:b/>
              </w:rPr>
            </w:pPr>
            <w:r w:rsidRPr="00C90C05">
              <w:rPr>
                <w:b/>
              </w:rPr>
              <w:t>2018</w:t>
            </w:r>
            <w:r w:rsidRPr="00C90C05">
              <w:rPr>
                <w:b/>
              </w:rPr>
              <w:br/>
              <w:t>$000</w:t>
            </w:r>
          </w:p>
        </w:tc>
        <w:tc>
          <w:tcPr>
            <w:tcW w:w="1791" w:type="dxa"/>
            <w:vAlign w:val="center"/>
          </w:tcPr>
          <w:p w14:paraId="5D04FB0C" w14:textId="120B0D70" w:rsidR="00C90C05" w:rsidRPr="00C90C05" w:rsidRDefault="00C90C05" w:rsidP="00C90C05">
            <w:pPr>
              <w:jc w:val="right"/>
              <w:rPr>
                <w:b/>
              </w:rPr>
            </w:pPr>
            <w:r w:rsidRPr="00C90C05">
              <w:rPr>
                <w:b/>
              </w:rPr>
              <w:t>2017</w:t>
            </w:r>
            <w:r w:rsidRPr="00C90C05">
              <w:rPr>
                <w:b/>
              </w:rPr>
              <w:br/>
              <w:t>$000</w:t>
            </w:r>
          </w:p>
        </w:tc>
      </w:tr>
      <w:tr w:rsidR="00C90C05" w14:paraId="73362461" w14:textId="77777777" w:rsidTr="00487381">
        <w:tc>
          <w:tcPr>
            <w:tcW w:w="5524" w:type="dxa"/>
            <w:vAlign w:val="bottom"/>
          </w:tcPr>
          <w:p w14:paraId="1A36D530" w14:textId="6D96CF12" w:rsidR="00C90C05" w:rsidRPr="00C90C05" w:rsidRDefault="00C90C05" w:rsidP="00C90C05">
            <w:pPr>
              <w:rPr>
                <w:u w:val="single"/>
              </w:rPr>
            </w:pPr>
            <w:r w:rsidRPr="00C90C05">
              <w:rPr>
                <w:u w:val="single"/>
              </w:rPr>
              <w:t>Proceeds from Disposal of Non-Current Assets</w:t>
            </w:r>
          </w:p>
        </w:tc>
        <w:tc>
          <w:tcPr>
            <w:tcW w:w="1701" w:type="dxa"/>
            <w:tcBorders>
              <w:bottom w:val="single" w:sz="4" w:space="0" w:color="auto"/>
            </w:tcBorders>
            <w:vAlign w:val="bottom"/>
          </w:tcPr>
          <w:p w14:paraId="449D6229" w14:textId="34806F0C" w:rsidR="00C90C05" w:rsidRDefault="00C90C05" w:rsidP="00487381">
            <w:pPr>
              <w:jc w:val="right"/>
            </w:pPr>
            <w:r>
              <w:t xml:space="preserve">                      -   </w:t>
            </w:r>
          </w:p>
        </w:tc>
        <w:tc>
          <w:tcPr>
            <w:tcW w:w="1791" w:type="dxa"/>
            <w:tcBorders>
              <w:bottom w:val="single" w:sz="4" w:space="0" w:color="auto"/>
            </w:tcBorders>
            <w:vAlign w:val="bottom"/>
          </w:tcPr>
          <w:p w14:paraId="64CBA2EC" w14:textId="3E30ED36" w:rsidR="00C90C05" w:rsidRDefault="00C90C05" w:rsidP="00487381">
            <w:pPr>
              <w:jc w:val="right"/>
            </w:pPr>
            <w:r>
              <w:t xml:space="preserve">                                        86 </w:t>
            </w:r>
          </w:p>
        </w:tc>
      </w:tr>
      <w:tr w:rsidR="00C90C05" w14:paraId="22674017" w14:textId="77777777" w:rsidTr="00487381">
        <w:tc>
          <w:tcPr>
            <w:tcW w:w="5524" w:type="dxa"/>
            <w:vAlign w:val="bottom"/>
          </w:tcPr>
          <w:p w14:paraId="7F1E859C" w14:textId="4D92E1C5" w:rsidR="00C90C05" w:rsidRDefault="00C90C05" w:rsidP="00C90C05">
            <w:r>
              <w:t>Vehicles</w:t>
            </w:r>
          </w:p>
        </w:tc>
        <w:tc>
          <w:tcPr>
            <w:tcW w:w="1701" w:type="dxa"/>
            <w:tcBorders>
              <w:top w:val="single" w:sz="4" w:space="0" w:color="auto"/>
              <w:bottom w:val="single" w:sz="4" w:space="0" w:color="auto"/>
            </w:tcBorders>
            <w:vAlign w:val="bottom"/>
          </w:tcPr>
          <w:p w14:paraId="50F8B2EC" w14:textId="7608FFE3" w:rsidR="00C90C05" w:rsidRDefault="00C90C05" w:rsidP="00487381">
            <w:pPr>
              <w:jc w:val="right"/>
            </w:pPr>
            <w:r>
              <w:t xml:space="preserve">                      -   </w:t>
            </w:r>
          </w:p>
        </w:tc>
        <w:tc>
          <w:tcPr>
            <w:tcW w:w="1791" w:type="dxa"/>
            <w:tcBorders>
              <w:top w:val="single" w:sz="4" w:space="0" w:color="auto"/>
              <w:bottom w:val="single" w:sz="4" w:space="0" w:color="auto"/>
            </w:tcBorders>
            <w:vAlign w:val="bottom"/>
          </w:tcPr>
          <w:p w14:paraId="6FF4EE4F" w14:textId="524DAE69" w:rsidR="00C90C05" w:rsidRDefault="00C90C05" w:rsidP="00487381">
            <w:pPr>
              <w:jc w:val="right"/>
            </w:pPr>
            <w:r>
              <w:t xml:space="preserve">                                        86 </w:t>
            </w:r>
          </w:p>
        </w:tc>
      </w:tr>
      <w:tr w:rsidR="00487381" w14:paraId="14F95BAA" w14:textId="77777777" w:rsidTr="00487381">
        <w:tc>
          <w:tcPr>
            <w:tcW w:w="5524" w:type="dxa"/>
            <w:vAlign w:val="center"/>
          </w:tcPr>
          <w:p w14:paraId="6F3F53CF" w14:textId="7E1302D7" w:rsidR="00487381" w:rsidRPr="00487381" w:rsidRDefault="00487381" w:rsidP="00487381">
            <w:pPr>
              <w:rPr>
                <w:u w:val="single"/>
                <w:lang w:eastAsia="en-AU"/>
              </w:rPr>
            </w:pPr>
            <w:r w:rsidRPr="00487381">
              <w:rPr>
                <w:u w:val="single"/>
              </w:rPr>
              <w:t>Costs of Disposal of Non-Current Assets</w:t>
            </w:r>
          </w:p>
        </w:tc>
        <w:tc>
          <w:tcPr>
            <w:tcW w:w="1701" w:type="dxa"/>
            <w:tcBorders>
              <w:top w:val="single" w:sz="4" w:space="0" w:color="auto"/>
            </w:tcBorders>
            <w:vAlign w:val="bottom"/>
          </w:tcPr>
          <w:p w14:paraId="6B7F2FD9" w14:textId="713C2931" w:rsidR="00487381" w:rsidRDefault="00487381" w:rsidP="00487381">
            <w:pPr>
              <w:jc w:val="right"/>
            </w:pPr>
          </w:p>
        </w:tc>
        <w:tc>
          <w:tcPr>
            <w:tcW w:w="1791" w:type="dxa"/>
            <w:tcBorders>
              <w:top w:val="single" w:sz="4" w:space="0" w:color="auto"/>
            </w:tcBorders>
            <w:vAlign w:val="bottom"/>
          </w:tcPr>
          <w:p w14:paraId="095B7738" w14:textId="2D856338" w:rsidR="00487381" w:rsidRDefault="00487381" w:rsidP="00487381">
            <w:pPr>
              <w:jc w:val="right"/>
            </w:pPr>
          </w:p>
        </w:tc>
      </w:tr>
      <w:tr w:rsidR="00AB188A" w14:paraId="632E913A" w14:textId="77777777" w:rsidTr="009F57E2">
        <w:tc>
          <w:tcPr>
            <w:tcW w:w="5524" w:type="dxa"/>
            <w:vAlign w:val="bottom"/>
          </w:tcPr>
          <w:p w14:paraId="45881C47" w14:textId="0A2C5804" w:rsidR="00AB188A" w:rsidRPr="00487381" w:rsidRDefault="00AB188A" w:rsidP="00AB188A">
            <w:pPr>
              <w:rPr>
                <w:u w:val="single"/>
              </w:rPr>
            </w:pPr>
            <w:r>
              <w:t>Equipment</w:t>
            </w:r>
          </w:p>
        </w:tc>
        <w:tc>
          <w:tcPr>
            <w:tcW w:w="1701" w:type="dxa"/>
            <w:vAlign w:val="bottom"/>
          </w:tcPr>
          <w:p w14:paraId="11B1B061" w14:textId="5B9EFFDC" w:rsidR="00AB188A" w:rsidRDefault="00AB188A" w:rsidP="00AB188A">
            <w:pPr>
              <w:jc w:val="right"/>
            </w:pPr>
            <w:r>
              <w:t xml:space="preserve">                      (3)</w:t>
            </w:r>
          </w:p>
        </w:tc>
        <w:tc>
          <w:tcPr>
            <w:tcW w:w="1791" w:type="dxa"/>
            <w:vAlign w:val="bottom"/>
          </w:tcPr>
          <w:p w14:paraId="68C831E2" w14:textId="5C38BFA3" w:rsidR="00AB188A" w:rsidRDefault="00AB188A" w:rsidP="00AB188A">
            <w:pPr>
              <w:jc w:val="right"/>
            </w:pPr>
            <w:r>
              <w:t xml:space="preserve">                                        -   </w:t>
            </w:r>
          </w:p>
        </w:tc>
      </w:tr>
      <w:tr w:rsidR="00487381" w14:paraId="5CFADEB6" w14:textId="77777777" w:rsidTr="00AB188A">
        <w:tc>
          <w:tcPr>
            <w:tcW w:w="5524" w:type="dxa"/>
            <w:vAlign w:val="bottom"/>
          </w:tcPr>
          <w:p w14:paraId="2B6DB86A" w14:textId="623934BE" w:rsidR="00487381" w:rsidRPr="00487381" w:rsidRDefault="00487381" w:rsidP="00487381">
            <w:pPr>
              <w:rPr>
                <w:u w:val="single"/>
              </w:rPr>
            </w:pPr>
            <w:r>
              <w:t>IT hardware</w:t>
            </w:r>
          </w:p>
        </w:tc>
        <w:tc>
          <w:tcPr>
            <w:tcW w:w="1701" w:type="dxa"/>
            <w:vAlign w:val="bottom"/>
          </w:tcPr>
          <w:p w14:paraId="2B48849D" w14:textId="6A467A87" w:rsidR="00487381" w:rsidRDefault="00487381" w:rsidP="00487381">
            <w:pPr>
              <w:jc w:val="right"/>
            </w:pPr>
            <w:r>
              <w:t xml:space="preserve">                      -   </w:t>
            </w:r>
          </w:p>
        </w:tc>
        <w:tc>
          <w:tcPr>
            <w:tcW w:w="1791" w:type="dxa"/>
            <w:vAlign w:val="bottom"/>
          </w:tcPr>
          <w:p w14:paraId="1814472A" w14:textId="267B42F8" w:rsidR="00487381" w:rsidRDefault="00487381" w:rsidP="00AB188A">
            <w:pPr>
              <w:jc w:val="right"/>
            </w:pPr>
            <w:r>
              <w:t xml:space="preserve">                                       </w:t>
            </w:r>
            <w:r w:rsidR="00AB188A">
              <w:t>-</w:t>
            </w:r>
          </w:p>
        </w:tc>
      </w:tr>
      <w:tr w:rsidR="00487381" w14:paraId="71E8E04B" w14:textId="77777777" w:rsidTr="00AB188A">
        <w:tc>
          <w:tcPr>
            <w:tcW w:w="5524" w:type="dxa"/>
            <w:vAlign w:val="bottom"/>
          </w:tcPr>
          <w:p w14:paraId="65A93480" w14:textId="47A94C11" w:rsidR="00487381" w:rsidRPr="00487381" w:rsidRDefault="00487381" w:rsidP="00487381">
            <w:pPr>
              <w:rPr>
                <w:u w:val="single"/>
              </w:rPr>
            </w:pPr>
            <w:r>
              <w:t>Vehicles</w:t>
            </w:r>
          </w:p>
        </w:tc>
        <w:tc>
          <w:tcPr>
            <w:tcW w:w="1701" w:type="dxa"/>
            <w:tcBorders>
              <w:bottom w:val="single" w:sz="4" w:space="0" w:color="auto"/>
            </w:tcBorders>
            <w:vAlign w:val="bottom"/>
          </w:tcPr>
          <w:p w14:paraId="274FF5DB" w14:textId="6A6492D9" w:rsidR="00487381" w:rsidRDefault="00AB188A" w:rsidP="00487381">
            <w:pPr>
              <w:jc w:val="right"/>
            </w:pPr>
            <w:r>
              <w:t>-</w:t>
            </w:r>
          </w:p>
        </w:tc>
        <w:tc>
          <w:tcPr>
            <w:tcW w:w="1791" w:type="dxa"/>
            <w:tcBorders>
              <w:bottom w:val="single" w:sz="4" w:space="0" w:color="auto"/>
            </w:tcBorders>
            <w:vAlign w:val="bottom"/>
          </w:tcPr>
          <w:p w14:paraId="4197A6DA" w14:textId="3DB9DFA9" w:rsidR="00487381" w:rsidRDefault="00AB188A" w:rsidP="00AB188A">
            <w:pPr>
              <w:jc w:val="right"/>
            </w:pPr>
            <w:r>
              <w:t>(91)</w:t>
            </w:r>
          </w:p>
        </w:tc>
      </w:tr>
      <w:tr w:rsidR="00AB188A" w14:paraId="6C51AE80" w14:textId="77777777" w:rsidTr="00AB188A">
        <w:tc>
          <w:tcPr>
            <w:tcW w:w="5524" w:type="dxa"/>
            <w:vAlign w:val="bottom"/>
          </w:tcPr>
          <w:p w14:paraId="4183101C" w14:textId="77777777" w:rsidR="00AB188A" w:rsidRDefault="00AB188A" w:rsidP="00487381"/>
        </w:tc>
        <w:tc>
          <w:tcPr>
            <w:tcW w:w="1701" w:type="dxa"/>
            <w:tcBorders>
              <w:top w:val="single" w:sz="4" w:space="0" w:color="auto"/>
            </w:tcBorders>
            <w:vAlign w:val="bottom"/>
          </w:tcPr>
          <w:p w14:paraId="5C0DCB60" w14:textId="77777777" w:rsidR="00AB188A" w:rsidRDefault="00AB188A" w:rsidP="00487381">
            <w:pPr>
              <w:jc w:val="right"/>
            </w:pPr>
          </w:p>
        </w:tc>
        <w:tc>
          <w:tcPr>
            <w:tcW w:w="1791" w:type="dxa"/>
            <w:tcBorders>
              <w:top w:val="single" w:sz="4" w:space="0" w:color="auto"/>
            </w:tcBorders>
            <w:vAlign w:val="bottom"/>
          </w:tcPr>
          <w:p w14:paraId="18400D7A" w14:textId="77777777" w:rsidR="00AB188A" w:rsidRDefault="00AB188A" w:rsidP="00AB188A">
            <w:pPr>
              <w:jc w:val="right"/>
            </w:pPr>
          </w:p>
        </w:tc>
      </w:tr>
      <w:tr w:rsidR="00487381" w14:paraId="04240299" w14:textId="77777777" w:rsidTr="00AB188A">
        <w:tc>
          <w:tcPr>
            <w:tcW w:w="5524" w:type="dxa"/>
            <w:vAlign w:val="bottom"/>
          </w:tcPr>
          <w:p w14:paraId="532D60FE" w14:textId="77777777" w:rsidR="00487381" w:rsidRDefault="00487381" w:rsidP="00487381"/>
        </w:tc>
        <w:tc>
          <w:tcPr>
            <w:tcW w:w="1701" w:type="dxa"/>
            <w:tcBorders>
              <w:bottom w:val="single" w:sz="4" w:space="0" w:color="auto"/>
            </w:tcBorders>
            <w:vAlign w:val="bottom"/>
          </w:tcPr>
          <w:p w14:paraId="0EEEC34C" w14:textId="1E6C4710" w:rsidR="00487381" w:rsidRPr="00AB188A" w:rsidRDefault="00487381" w:rsidP="00487381">
            <w:pPr>
              <w:jc w:val="right"/>
              <w:rPr>
                <w:b/>
              </w:rPr>
            </w:pPr>
            <w:r w:rsidRPr="00AB188A">
              <w:rPr>
                <w:b/>
              </w:rPr>
              <w:t xml:space="preserve">                      (3)</w:t>
            </w:r>
          </w:p>
        </w:tc>
        <w:tc>
          <w:tcPr>
            <w:tcW w:w="1791" w:type="dxa"/>
            <w:tcBorders>
              <w:bottom w:val="single" w:sz="4" w:space="0" w:color="auto"/>
            </w:tcBorders>
            <w:vAlign w:val="bottom"/>
          </w:tcPr>
          <w:p w14:paraId="78C6F7F9" w14:textId="3AEEF8AB" w:rsidR="00487381" w:rsidRPr="00AB188A" w:rsidRDefault="00487381" w:rsidP="00487381">
            <w:pPr>
              <w:jc w:val="right"/>
              <w:rPr>
                <w:b/>
              </w:rPr>
            </w:pPr>
            <w:r w:rsidRPr="00AB188A">
              <w:rPr>
                <w:b/>
              </w:rPr>
              <w:t xml:space="preserve">                                       (91)</w:t>
            </w:r>
          </w:p>
        </w:tc>
      </w:tr>
      <w:tr w:rsidR="00487381" w14:paraId="307773E0" w14:textId="77777777" w:rsidTr="00487381">
        <w:tc>
          <w:tcPr>
            <w:tcW w:w="5524" w:type="dxa"/>
            <w:vAlign w:val="bottom"/>
          </w:tcPr>
          <w:p w14:paraId="0421976B" w14:textId="730F0DD9" w:rsidR="00487381" w:rsidRDefault="00487381" w:rsidP="00487381">
            <w:r>
              <w:t>Net loss</w:t>
            </w:r>
          </w:p>
        </w:tc>
        <w:tc>
          <w:tcPr>
            <w:tcW w:w="1701" w:type="dxa"/>
            <w:tcBorders>
              <w:top w:val="single" w:sz="4" w:space="0" w:color="auto"/>
              <w:bottom w:val="double" w:sz="4" w:space="0" w:color="auto"/>
            </w:tcBorders>
            <w:vAlign w:val="center"/>
          </w:tcPr>
          <w:p w14:paraId="17BA8E5C" w14:textId="239337D1" w:rsidR="00487381" w:rsidRPr="00487381" w:rsidRDefault="00487381" w:rsidP="00487381">
            <w:pPr>
              <w:jc w:val="right"/>
              <w:rPr>
                <w:b/>
              </w:rPr>
            </w:pPr>
            <w:r>
              <w:rPr>
                <w:b/>
              </w:rPr>
              <w:t>(3)</w:t>
            </w:r>
          </w:p>
        </w:tc>
        <w:tc>
          <w:tcPr>
            <w:tcW w:w="1791" w:type="dxa"/>
            <w:tcBorders>
              <w:top w:val="single" w:sz="4" w:space="0" w:color="auto"/>
              <w:bottom w:val="double" w:sz="4" w:space="0" w:color="auto"/>
            </w:tcBorders>
            <w:vAlign w:val="center"/>
          </w:tcPr>
          <w:p w14:paraId="6AF41285" w14:textId="61D11BAC" w:rsidR="00487381" w:rsidRPr="00487381" w:rsidRDefault="00487381" w:rsidP="00487381">
            <w:pPr>
              <w:jc w:val="right"/>
              <w:rPr>
                <w:b/>
              </w:rPr>
            </w:pPr>
            <w:r>
              <w:rPr>
                <w:b/>
              </w:rPr>
              <w:t>(5)</w:t>
            </w:r>
          </w:p>
        </w:tc>
      </w:tr>
    </w:tbl>
    <w:p w14:paraId="362F090D" w14:textId="77777777" w:rsidR="00C90C05" w:rsidRDefault="00C90C05" w:rsidP="00C90C05"/>
    <w:p w14:paraId="6DB7F875" w14:textId="5121E191" w:rsidR="00487381" w:rsidRPr="00487381" w:rsidRDefault="00487381" w:rsidP="00487381">
      <w:pPr>
        <w:rPr>
          <w:u w:val="single"/>
        </w:rPr>
      </w:pPr>
      <w:r>
        <w:rPr>
          <w:u w:val="single"/>
        </w:rPr>
        <w:t>Derecognition</w:t>
      </w:r>
    </w:p>
    <w:p w14:paraId="324479C0" w14:textId="77777777" w:rsidR="00487381" w:rsidRDefault="00487381" w:rsidP="00487381">
      <w:r>
        <w:t>Upon disposal or derecognition of an item of property, plant and equipment, any profit or loss relating to that asset is recognised in the Statement of Comprehensive Income, any revaluation surplus relating to that asset is retained in the asset revaluation surplus.</w:t>
      </w:r>
    </w:p>
    <w:p w14:paraId="714DA989" w14:textId="77777777" w:rsidR="00487381" w:rsidRDefault="00487381" w:rsidP="00A408E5">
      <w:pPr>
        <w:pStyle w:val="Heading3nonumber"/>
      </w:pPr>
      <w:bookmarkStart w:id="783" w:name="_Toc525122180"/>
      <w:r>
        <w:t>4.5</w:t>
      </w:r>
      <w:r>
        <w:tab/>
        <w:t>Other expenditures</w:t>
      </w:r>
      <w:bookmarkEnd w:id="7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ther expenditure"/>
        <w:tblDescription w:val="This table outlines other expenditure for 2017/18 including supplies and services, accommodation expenses and other expenses. "/>
      </w:tblPr>
      <w:tblGrid>
        <w:gridCol w:w="5949"/>
        <w:gridCol w:w="1559"/>
        <w:gridCol w:w="1508"/>
      </w:tblGrid>
      <w:tr w:rsidR="00487381" w14:paraId="4AD59AD4" w14:textId="77777777" w:rsidTr="00045FEA">
        <w:trPr>
          <w:tblHeader/>
        </w:trPr>
        <w:tc>
          <w:tcPr>
            <w:tcW w:w="5949" w:type="dxa"/>
          </w:tcPr>
          <w:p w14:paraId="198A6260" w14:textId="77777777" w:rsidR="00487381" w:rsidRDefault="00487381" w:rsidP="00487381"/>
        </w:tc>
        <w:tc>
          <w:tcPr>
            <w:tcW w:w="1559" w:type="dxa"/>
            <w:vAlign w:val="center"/>
          </w:tcPr>
          <w:p w14:paraId="6CECCDB8" w14:textId="342D9DD4" w:rsidR="00487381" w:rsidRDefault="00487381" w:rsidP="00487381">
            <w:pPr>
              <w:jc w:val="right"/>
            </w:pPr>
            <w:r w:rsidRPr="00C90C05">
              <w:rPr>
                <w:b/>
              </w:rPr>
              <w:t>2018</w:t>
            </w:r>
            <w:r w:rsidRPr="00C90C05">
              <w:rPr>
                <w:b/>
              </w:rPr>
              <w:br/>
              <w:t>$000</w:t>
            </w:r>
          </w:p>
        </w:tc>
        <w:tc>
          <w:tcPr>
            <w:tcW w:w="1508" w:type="dxa"/>
            <w:vAlign w:val="center"/>
          </w:tcPr>
          <w:p w14:paraId="539D0BAC" w14:textId="550CAC80" w:rsidR="00487381" w:rsidRDefault="00487381" w:rsidP="00487381">
            <w:pPr>
              <w:jc w:val="right"/>
            </w:pPr>
            <w:r w:rsidRPr="00C90C05">
              <w:rPr>
                <w:b/>
              </w:rPr>
              <w:t>2017</w:t>
            </w:r>
            <w:r w:rsidRPr="00C90C05">
              <w:rPr>
                <w:b/>
              </w:rPr>
              <w:br/>
              <w:t>$000</w:t>
            </w:r>
          </w:p>
        </w:tc>
      </w:tr>
      <w:tr w:rsidR="00487381" w14:paraId="7A062C43" w14:textId="77777777" w:rsidTr="00045FEA">
        <w:tc>
          <w:tcPr>
            <w:tcW w:w="5949" w:type="dxa"/>
          </w:tcPr>
          <w:p w14:paraId="7FA18C95" w14:textId="52BAFD79" w:rsidR="00487381" w:rsidRPr="00487381" w:rsidRDefault="00487381" w:rsidP="00487381">
            <w:pPr>
              <w:rPr>
                <w:b/>
                <w:lang w:eastAsia="en-AU"/>
              </w:rPr>
            </w:pPr>
            <w:r w:rsidRPr="00487381">
              <w:rPr>
                <w:b/>
              </w:rPr>
              <w:t>Supplies and services</w:t>
            </w:r>
          </w:p>
        </w:tc>
        <w:tc>
          <w:tcPr>
            <w:tcW w:w="1559" w:type="dxa"/>
          </w:tcPr>
          <w:p w14:paraId="739B1A99" w14:textId="77777777" w:rsidR="00487381" w:rsidRDefault="00487381" w:rsidP="00487381"/>
        </w:tc>
        <w:tc>
          <w:tcPr>
            <w:tcW w:w="1508" w:type="dxa"/>
          </w:tcPr>
          <w:p w14:paraId="20586422" w14:textId="77777777" w:rsidR="00487381" w:rsidRDefault="00487381" w:rsidP="00487381"/>
        </w:tc>
      </w:tr>
      <w:tr w:rsidR="00487381" w14:paraId="46EE3E07" w14:textId="77777777" w:rsidTr="00045FEA">
        <w:tc>
          <w:tcPr>
            <w:tcW w:w="5949" w:type="dxa"/>
            <w:vAlign w:val="bottom"/>
          </w:tcPr>
          <w:p w14:paraId="59DD0438" w14:textId="1106A5A3" w:rsidR="00487381" w:rsidRDefault="00487381" w:rsidP="00487381">
            <w:r>
              <w:t>Communications</w:t>
            </w:r>
          </w:p>
        </w:tc>
        <w:tc>
          <w:tcPr>
            <w:tcW w:w="1559" w:type="dxa"/>
            <w:vAlign w:val="bottom"/>
          </w:tcPr>
          <w:p w14:paraId="0EF7B82E" w14:textId="77D9CF81" w:rsidR="00487381" w:rsidRDefault="00487381" w:rsidP="00487381">
            <w:pPr>
              <w:jc w:val="right"/>
            </w:pPr>
            <w:r>
              <w:t xml:space="preserve">                   136 </w:t>
            </w:r>
          </w:p>
        </w:tc>
        <w:tc>
          <w:tcPr>
            <w:tcW w:w="1508" w:type="dxa"/>
            <w:vAlign w:val="bottom"/>
          </w:tcPr>
          <w:p w14:paraId="50617C66" w14:textId="79FA8EA8" w:rsidR="00487381" w:rsidRDefault="00487381" w:rsidP="00487381">
            <w:pPr>
              <w:jc w:val="right"/>
            </w:pPr>
            <w:r>
              <w:t xml:space="preserve">                                      153 </w:t>
            </w:r>
          </w:p>
        </w:tc>
      </w:tr>
      <w:tr w:rsidR="00487381" w14:paraId="5FB0AB31" w14:textId="77777777" w:rsidTr="00045FEA">
        <w:tc>
          <w:tcPr>
            <w:tcW w:w="5949" w:type="dxa"/>
            <w:vAlign w:val="bottom"/>
          </w:tcPr>
          <w:p w14:paraId="3CCE7EBD" w14:textId="470D1B95" w:rsidR="00487381" w:rsidRDefault="00487381" w:rsidP="00487381">
            <w:r>
              <w:t>Consultants and contractors</w:t>
            </w:r>
          </w:p>
        </w:tc>
        <w:tc>
          <w:tcPr>
            <w:tcW w:w="1559" w:type="dxa"/>
            <w:vAlign w:val="bottom"/>
          </w:tcPr>
          <w:p w14:paraId="58E0FD96" w14:textId="1C3FBA8B" w:rsidR="00487381" w:rsidRDefault="00487381" w:rsidP="00487381">
            <w:pPr>
              <w:jc w:val="right"/>
            </w:pPr>
            <w:r>
              <w:t xml:space="preserve">                 1,497 </w:t>
            </w:r>
          </w:p>
        </w:tc>
        <w:tc>
          <w:tcPr>
            <w:tcW w:w="1508" w:type="dxa"/>
            <w:vAlign w:val="bottom"/>
          </w:tcPr>
          <w:p w14:paraId="4A6D5708" w14:textId="53E4358B" w:rsidR="00487381" w:rsidRDefault="00487381" w:rsidP="00487381">
            <w:pPr>
              <w:jc w:val="right"/>
            </w:pPr>
            <w:r>
              <w:t xml:space="preserve">                                   1,532 </w:t>
            </w:r>
          </w:p>
        </w:tc>
      </w:tr>
      <w:tr w:rsidR="00487381" w14:paraId="4351CD9B" w14:textId="77777777" w:rsidTr="00045FEA">
        <w:tc>
          <w:tcPr>
            <w:tcW w:w="5949" w:type="dxa"/>
            <w:vAlign w:val="bottom"/>
          </w:tcPr>
          <w:p w14:paraId="17A4561D" w14:textId="5CE7F3E6" w:rsidR="00487381" w:rsidRDefault="00487381" w:rsidP="00487381">
            <w:r>
              <w:t>Consumables</w:t>
            </w:r>
          </w:p>
        </w:tc>
        <w:tc>
          <w:tcPr>
            <w:tcW w:w="1559" w:type="dxa"/>
            <w:vAlign w:val="bottom"/>
          </w:tcPr>
          <w:p w14:paraId="16884BD0" w14:textId="74E70789" w:rsidR="00487381" w:rsidRDefault="00487381" w:rsidP="00487381">
            <w:pPr>
              <w:jc w:val="right"/>
            </w:pPr>
            <w:r>
              <w:t xml:space="preserve">                   762 </w:t>
            </w:r>
          </w:p>
        </w:tc>
        <w:tc>
          <w:tcPr>
            <w:tcW w:w="1508" w:type="dxa"/>
            <w:vAlign w:val="bottom"/>
          </w:tcPr>
          <w:p w14:paraId="05D123A9" w14:textId="5E18FE24" w:rsidR="00487381" w:rsidRDefault="00487381" w:rsidP="00487381">
            <w:pPr>
              <w:jc w:val="right"/>
            </w:pPr>
            <w:r>
              <w:t xml:space="preserve">                                      765 </w:t>
            </w:r>
          </w:p>
        </w:tc>
      </w:tr>
      <w:tr w:rsidR="00487381" w14:paraId="7CC5B63E" w14:textId="77777777" w:rsidTr="00045FEA">
        <w:tc>
          <w:tcPr>
            <w:tcW w:w="5949" w:type="dxa"/>
            <w:vAlign w:val="bottom"/>
          </w:tcPr>
          <w:p w14:paraId="34498A87" w14:textId="4984B76A" w:rsidR="00487381" w:rsidRDefault="00487381" w:rsidP="00487381">
            <w:r>
              <w:t>Insurance</w:t>
            </w:r>
          </w:p>
        </w:tc>
        <w:tc>
          <w:tcPr>
            <w:tcW w:w="1559" w:type="dxa"/>
            <w:vAlign w:val="bottom"/>
          </w:tcPr>
          <w:p w14:paraId="04542102" w14:textId="7FDA9027" w:rsidR="00487381" w:rsidRDefault="00487381" w:rsidP="00487381">
            <w:pPr>
              <w:jc w:val="right"/>
            </w:pPr>
            <w:r>
              <w:t xml:space="preserve">                   116 </w:t>
            </w:r>
          </w:p>
        </w:tc>
        <w:tc>
          <w:tcPr>
            <w:tcW w:w="1508" w:type="dxa"/>
            <w:vAlign w:val="bottom"/>
          </w:tcPr>
          <w:p w14:paraId="2A82F38A" w14:textId="7ED929A4" w:rsidR="00487381" w:rsidRDefault="00487381" w:rsidP="00487381">
            <w:pPr>
              <w:jc w:val="right"/>
            </w:pPr>
            <w:r>
              <w:t xml:space="preserve">                                        72 </w:t>
            </w:r>
          </w:p>
        </w:tc>
      </w:tr>
      <w:tr w:rsidR="00487381" w14:paraId="3C62D75D" w14:textId="77777777" w:rsidTr="00045FEA">
        <w:tc>
          <w:tcPr>
            <w:tcW w:w="5949" w:type="dxa"/>
            <w:vAlign w:val="bottom"/>
          </w:tcPr>
          <w:p w14:paraId="47ED62CE" w14:textId="037D36D4" w:rsidR="00487381" w:rsidRDefault="00487381" w:rsidP="00487381">
            <w:r>
              <w:t>Training</w:t>
            </w:r>
          </w:p>
        </w:tc>
        <w:tc>
          <w:tcPr>
            <w:tcW w:w="1559" w:type="dxa"/>
            <w:vAlign w:val="bottom"/>
          </w:tcPr>
          <w:p w14:paraId="78F46375" w14:textId="6C1F73FC" w:rsidR="00487381" w:rsidRDefault="00487381" w:rsidP="00487381">
            <w:pPr>
              <w:jc w:val="right"/>
            </w:pPr>
            <w:r>
              <w:t xml:space="preserve">                   108 </w:t>
            </w:r>
          </w:p>
        </w:tc>
        <w:tc>
          <w:tcPr>
            <w:tcW w:w="1508" w:type="dxa"/>
            <w:vAlign w:val="bottom"/>
          </w:tcPr>
          <w:p w14:paraId="52986B8D" w14:textId="0DB16AAF" w:rsidR="00487381" w:rsidRDefault="00487381" w:rsidP="00487381">
            <w:pPr>
              <w:jc w:val="right"/>
            </w:pPr>
            <w:r>
              <w:t xml:space="preserve">                                      113 </w:t>
            </w:r>
          </w:p>
        </w:tc>
      </w:tr>
      <w:tr w:rsidR="00487381" w14:paraId="0E267C7B" w14:textId="77777777" w:rsidTr="00045FEA">
        <w:tc>
          <w:tcPr>
            <w:tcW w:w="5949" w:type="dxa"/>
            <w:vAlign w:val="bottom"/>
          </w:tcPr>
          <w:p w14:paraId="36ECEE24" w14:textId="75AD03E8" w:rsidR="00487381" w:rsidRDefault="00487381" w:rsidP="00487381">
            <w:r>
              <w:t>Travel</w:t>
            </w:r>
          </w:p>
        </w:tc>
        <w:tc>
          <w:tcPr>
            <w:tcW w:w="1559" w:type="dxa"/>
            <w:vAlign w:val="bottom"/>
          </w:tcPr>
          <w:p w14:paraId="3A78AF60" w14:textId="6A5670D9" w:rsidR="00487381" w:rsidRDefault="00487381" w:rsidP="00487381">
            <w:pPr>
              <w:jc w:val="right"/>
            </w:pPr>
            <w:r>
              <w:t xml:space="preserve">                     37 </w:t>
            </w:r>
          </w:p>
        </w:tc>
        <w:tc>
          <w:tcPr>
            <w:tcW w:w="1508" w:type="dxa"/>
            <w:vAlign w:val="bottom"/>
          </w:tcPr>
          <w:p w14:paraId="42ECB69D" w14:textId="1134144B" w:rsidR="00487381" w:rsidRDefault="00487381" w:rsidP="00487381">
            <w:pPr>
              <w:jc w:val="right"/>
            </w:pPr>
            <w:r>
              <w:t xml:space="preserve">                                        37 </w:t>
            </w:r>
          </w:p>
        </w:tc>
      </w:tr>
      <w:tr w:rsidR="00487381" w14:paraId="22B5F7A3" w14:textId="77777777" w:rsidTr="00045FEA">
        <w:tc>
          <w:tcPr>
            <w:tcW w:w="5949" w:type="dxa"/>
            <w:vAlign w:val="bottom"/>
          </w:tcPr>
          <w:p w14:paraId="75822D2F" w14:textId="097BD186" w:rsidR="00487381" w:rsidRDefault="00487381" w:rsidP="00487381">
            <w:r>
              <w:t>Other</w:t>
            </w:r>
          </w:p>
        </w:tc>
        <w:tc>
          <w:tcPr>
            <w:tcW w:w="1559" w:type="dxa"/>
            <w:vAlign w:val="bottom"/>
          </w:tcPr>
          <w:p w14:paraId="1E0C4E40" w14:textId="15FB4476" w:rsidR="00487381" w:rsidRDefault="00487381" w:rsidP="00487381">
            <w:pPr>
              <w:jc w:val="right"/>
            </w:pPr>
            <w:r>
              <w:t xml:space="preserve">                     73 </w:t>
            </w:r>
          </w:p>
        </w:tc>
        <w:tc>
          <w:tcPr>
            <w:tcW w:w="1508" w:type="dxa"/>
            <w:vAlign w:val="bottom"/>
          </w:tcPr>
          <w:p w14:paraId="5922AF8F" w14:textId="637E13B8" w:rsidR="00487381" w:rsidRDefault="00487381" w:rsidP="00487381">
            <w:pPr>
              <w:jc w:val="right"/>
            </w:pPr>
            <w:r>
              <w:t xml:space="preserve">                                        50 </w:t>
            </w:r>
          </w:p>
        </w:tc>
      </w:tr>
      <w:tr w:rsidR="00487381" w14:paraId="47F718AD" w14:textId="77777777" w:rsidTr="00045FEA">
        <w:tc>
          <w:tcPr>
            <w:tcW w:w="5949" w:type="dxa"/>
            <w:vAlign w:val="bottom"/>
          </w:tcPr>
          <w:p w14:paraId="39E9F744" w14:textId="6E21A711" w:rsidR="00487381" w:rsidRDefault="00487381" w:rsidP="00487381">
            <w:r>
              <w:rPr>
                <w:b/>
                <w:bCs/>
              </w:rPr>
              <w:t>Total supplies and services expenses</w:t>
            </w:r>
          </w:p>
        </w:tc>
        <w:tc>
          <w:tcPr>
            <w:tcW w:w="1559" w:type="dxa"/>
            <w:tcBorders>
              <w:top w:val="single" w:sz="4" w:space="0" w:color="auto"/>
              <w:bottom w:val="double" w:sz="4" w:space="0" w:color="auto"/>
            </w:tcBorders>
            <w:vAlign w:val="bottom"/>
          </w:tcPr>
          <w:p w14:paraId="5FBFB761" w14:textId="6F0D3C02" w:rsidR="00487381" w:rsidRPr="00487381" w:rsidRDefault="00487381" w:rsidP="00487381">
            <w:pPr>
              <w:jc w:val="right"/>
              <w:rPr>
                <w:b/>
              </w:rPr>
            </w:pPr>
            <w:r w:rsidRPr="00487381">
              <w:rPr>
                <w:b/>
              </w:rPr>
              <w:t xml:space="preserve">                 2,729 </w:t>
            </w:r>
          </w:p>
        </w:tc>
        <w:tc>
          <w:tcPr>
            <w:tcW w:w="1508" w:type="dxa"/>
            <w:tcBorders>
              <w:top w:val="single" w:sz="4" w:space="0" w:color="auto"/>
              <w:bottom w:val="double" w:sz="4" w:space="0" w:color="auto"/>
            </w:tcBorders>
            <w:vAlign w:val="bottom"/>
          </w:tcPr>
          <w:p w14:paraId="58EAEF9C" w14:textId="69C401A0" w:rsidR="00487381" w:rsidRPr="00487381" w:rsidRDefault="00487381" w:rsidP="00487381">
            <w:pPr>
              <w:jc w:val="right"/>
              <w:rPr>
                <w:b/>
              </w:rPr>
            </w:pPr>
            <w:r w:rsidRPr="00487381">
              <w:rPr>
                <w:b/>
              </w:rPr>
              <w:t xml:space="preserve">                                   2,722 </w:t>
            </w:r>
          </w:p>
        </w:tc>
      </w:tr>
      <w:tr w:rsidR="00487381" w14:paraId="5CF9255E" w14:textId="77777777" w:rsidTr="00045FEA">
        <w:tc>
          <w:tcPr>
            <w:tcW w:w="5949" w:type="dxa"/>
          </w:tcPr>
          <w:p w14:paraId="6D7A78FD" w14:textId="298E3BE5" w:rsidR="00487381" w:rsidRPr="00487381" w:rsidRDefault="00487381" w:rsidP="00487381">
            <w:pPr>
              <w:rPr>
                <w:b/>
                <w:lang w:eastAsia="en-AU"/>
              </w:rPr>
            </w:pPr>
            <w:r w:rsidRPr="00487381">
              <w:rPr>
                <w:b/>
              </w:rPr>
              <w:t>Accommodation expenses</w:t>
            </w:r>
          </w:p>
        </w:tc>
        <w:tc>
          <w:tcPr>
            <w:tcW w:w="1559" w:type="dxa"/>
            <w:tcBorders>
              <w:top w:val="double" w:sz="4" w:space="0" w:color="auto"/>
            </w:tcBorders>
          </w:tcPr>
          <w:p w14:paraId="0E808171" w14:textId="77777777" w:rsidR="00487381" w:rsidRDefault="00487381" w:rsidP="00487381"/>
        </w:tc>
        <w:tc>
          <w:tcPr>
            <w:tcW w:w="1508" w:type="dxa"/>
            <w:tcBorders>
              <w:top w:val="double" w:sz="4" w:space="0" w:color="auto"/>
            </w:tcBorders>
          </w:tcPr>
          <w:p w14:paraId="72F28585" w14:textId="77777777" w:rsidR="00487381" w:rsidRDefault="00487381" w:rsidP="00487381"/>
        </w:tc>
      </w:tr>
      <w:tr w:rsidR="00045FEA" w14:paraId="78D2B1E7" w14:textId="77777777" w:rsidTr="00045FEA">
        <w:tc>
          <w:tcPr>
            <w:tcW w:w="5949" w:type="dxa"/>
            <w:vAlign w:val="bottom"/>
          </w:tcPr>
          <w:p w14:paraId="5D1B7045" w14:textId="3255EBDF" w:rsidR="00045FEA" w:rsidRDefault="00045FEA" w:rsidP="00045FEA">
            <w:r>
              <w:t>Outgoings</w:t>
            </w:r>
          </w:p>
        </w:tc>
        <w:tc>
          <w:tcPr>
            <w:tcW w:w="1559" w:type="dxa"/>
            <w:vAlign w:val="bottom"/>
          </w:tcPr>
          <w:p w14:paraId="00AF0134" w14:textId="2F9CE0F0" w:rsidR="00045FEA" w:rsidRDefault="00045FEA" w:rsidP="00045FEA">
            <w:pPr>
              <w:jc w:val="right"/>
            </w:pPr>
            <w:r>
              <w:t xml:space="preserve">                   292 </w:t>
            </w:r>
          </w:p>
        </w:tc>
        <w:tc>
          <w:tcPr>
            <w:tcW w:w="1508" w:type="dxa"/>
            <w:vAlign w:val="bottom"/>
          </w:tcPr>
          <w:p w14:paraId="54CDDE36" w14:textId="306E2B8F" w:rsidR="00045FEA" w:rsidRDefault="00045FEA" w:rsidP="00045FEA">
            <w:pPr>
              <w:jc w:val="right"/>
            </w:pPr>
            <w:r>
              <w:t xml:space="preserve">                                      279 </w:t>
            </w:r>
          </w:p>
        </w:tc>
      </w:tr>
      <w:tr w:rsidR="00045FEA" w14:paraId="3CB6F07F" w14:textId="77777777" w:rsidTr="00045FEA">
        <w:tc>
          <w:tcPr>
            <w:tcW w:w="5949" w:type="dxa"/>
            <w:vAlign w:val="bottom"/>
          </w:tcPr>
          <w:p w14:paraId="45FFF2FD" w14:textId="25468AC0" w:rsidR="00045FEA" w:rsidRDefault="00045FEA" w:rsidP="00045FEA">
            <w:r>
              <w:t>Repairs and maintenance</w:t>
            </w:r>
          </w:p>
        </w:tc>
        <w:tc>
          <w:tcPr>
            <w:tcW w:w="1559" w:type="dxa"/>
            <w:vAlign w:val="bottom"/>
          </w:tcPr>
          <w:p w14:paraId="0719A85C" w14:textId="0D89D4A9" w:rsidR="00045FEA" w:rsidRDefault="00045FEA" w:rsidP="00045FEA">
            <w:pPr>
              <w:jc w:val="right"/>
            </w:pPr>
            <w:r>
              <w:t xml:space="preserve">                   235 </w:t>
            </w:r>
          </w:p>
        </w:tc>
        <w:tc>
          <w:tcPr>
            <w:tcW w:w="1508" w:type="dxa"/>
            <w:vAlign w:val="bottom"/>
          </w:tcPr>
          <w:p w14:paraId="7E5C79BB" w14:textId="7BB00459" w:rsidR="00045FEA" w:rsidRDefault="00045FEA" w:rsidP="00045FEA">
            <w:pPr>
              <w:jc w:val="right"/>
            </w:pPr>
            <w:r>
              <w:t xml:space="preserve">                                      214 </w:t>
            </w:r>
          </w:p>
        </w:tc>
      </w:tr>
      <w:tr w:rsidR="00045FEA" w14:paraId="64B74527" w14:textId="77777777" w:rsidTr="00045FEA">
        <w:tc>
          <w:tcPr>
            <w:tcW w:w="5949" w:type="dxa"/>
            <w:vAlign w:val="bottom"/>
          </w:tcPr>
          <w:p w14:paraId="513511D3" w14:textId="1E45BF32" w:rsidR="00045FEA" w:rsidRDefault="00045FEA" w:rsidP="00045FEA">
            <w:r>
              <w:t>Other</w:t>
            </w:r>
          </w:p>
        </w:tc>
        <w:tc>
          <w:tcPr>
            <w:tcW w:w="1559" w:type="dxa"/>
            <w:tcBorders>
              <w:bottom w:val="single" w:sz="4" w:space="0" w:color="auto"/>
            </w:tcBorders>
            <w:vAlign w:val="bottom"/>
          </w:tcPr>
          <w:p w14:paraId="7BF9B5BF" w14:textId="2AA3C9F0" w:rsidR="00045FEA" w:rsidRDefault="00045FEA" w:rsidP="00045FEA">
            <w:pPr>
              <w:jc w:val="right"/>
            </w:pPr>
            <w:r>
              <w:t xml:space="preserve">                   159 </w:t>
            </w:r>
          </w:p>
        </w:tc>
        <w:tc>
          <w:tcPr>
            <w:tcW w:w="1508" w:type="dxa"/>
            <w:tcBorders>
              <w:bottom w:val="single" w:sz="4" w:space="0" w:color="auto"/>
            </w:tcBorders>
            <w:vAlign w:val="bottom"/>
          </w:tcPr>
          <w:p w14:paraId="35BE6862" w14:textId="6886BC8C" w:rsidR="00045FEA" w:rsidRDefault="00045FEA" w:rsidP="00045FEA">
            <w:pPr>
              <w:jc w:val="right"/>
            </w:pPr>
            <w:r>
              <w:t xml:space="preserve">                                      154 </w:t>
            </w:r>
          </w:p>
        </w:tc>
      </w:tr>
      <w:tr w:rsidR="00045FEA" w14:paraId="5B584A6F" w14:textId="77777777" w:rsidTr="00045FEA">
        <w:tc>
          <w:tcPr>
            <w:tcW w:w="5949" w:type="dxa"/>
            <w:vAlign w:val="bottom"/>
          </w:tcPr>
          <w:p w14:paraId="65E4C2EE" w14:textId="74C493AA" w:rsidR="00045FEA" w:rsidRDefault="00045FEA" w:rsidP="00045FEA">
            <w:r>
              <w:rPr>
                <w:b/>
                <w:bCs/>
              </w:rPr>
              <w:t>Total accommodation expenses</w:t>
            </w:r>
          </w:p>
        </w:tc>
        <w:tc>
          <w:tcPr>
            <w:tcW w:w="1559" w:type="dxa"/>
            <w:tcBorders>
              <w:top w:val="single" w:sz="4" w:space="0" w:color="auto"/>
              <w:bottom w:val="double" w:sz="4" w:space="0" w:color="auto"/>
            </w:tcBorders>
            <w:vAlign w:val="bottom"/>
          </w:tcPr>
          <w:p w14:paraId="14171588" w14:textId="13FC4830" w:rsidR="00045FEA" w:rsidRDefault="00045FEA" w:rsidP="00045FEA">
            <w:pPr>
              <w:jc w:val="right"/>
            </w:pPr>
            <w:r>
              <w:rPr>
                <w:b/>
                <w:bCs/>
              </w:rPr>
              <w:t xml:space="preserve">                   686 </w:t>
            </w:r>
          </w:p>
        </w:tc>
        <w:tc>
          <w:tcPr>
            <w:tcW w:w="1508" w:type="dxa"/>
            <w:tcBorders>
              <w:top w:val="single" w:sz="4" w:space="0" w:color="auto"/>
              <w:bottom w:val="double" w:sz="4" w:space="0" w:color="auto"/>
            </w:tcBorders>
            <w:vAlign w:val="bottom"/>
          </w:tcPr>
          <w:p w14:paraId="54A1B98D" w14:textId="506A208B" w:rsidR="00045FEA" w:rsidRDefault="00045FEA" w:rsidP="00045FEA">
            <w:pPr>
              <w:jc w:val="right"/>
            </w:pPr>
            <w:r>
              <w:rPr>
                <w:b/>
                <w:bCs/>
              </w:rPr>
              <w:t xml:space="preserve">                                      647 </w:t>
            </w:r>
          </w:p>
        </w:tc>
      </w:tr>
      <w:tr w:rsidR="00487381" w14:paraId="55D21DA5" w14:textId="77777777" w:rsidTr="00045FEA">
        <w:tc>
          <w:tcPr>
            <w:tcW w:w="5949" w:type="dxa"/>
          </w:tcPr>
          <w:tbl>
            <w:tblPr>
              <w:tblW w:w="4856" w:type="dxa"/>
              <w:tblLook w:val="04A0" w:firstRow="1" w:lastRow="0" w:firstColumn="1" w:lastColumn="0" w:noHBand="0" w:noVBand="1"/>
            </w:tblPr>
            <w:tblGrid>
              <w:gridCol w:w="4856"/>
            </w:tblGrid>
            <w:tr w:rsidR="00045FEA" w:rsidRPr="00045FEA" w14:paraId="05519954" w14:textId="77777777" w:rsidTr="00045FEA">
              <w:trPr>
                <w:trHeight w:val="285"/>
              </w:trPr>
              <w:tc>
                <w:tcPr>
                  <w:tcW w:w="4856" w:type="dxa"/>
                  <w:tcBorders>
                    <w:top w:val="nil"/>
                    <w:left w:val="nil"/>
                    <w:bottom w:val="nil"/>
                    <w:right w:val="nil"/>
                  </w:tcBorders>
                  <w:shd w:val="clear" w:color="auto" w:fill="auto"/>
                  <w:noWrap/>
                  <w:vAlign w:val="center"/>
                  <w:hideMark/>
                </w:tcPr>
                <w:p w14:paraId="0199D373" w14:textId="77777777" w:rsidR="00045FEA" w:rsidRPr="00045FEA" w:rsidRDefault="00045FEA" w:rsidP="00045FEA">
                  <w:pPr>
                    <w:rPr>
                      <w:b/>
                      <w:lang w:eastAsia="en-AU"/>
                    </w:rPr>
                  </w:pPr>
                  <w:r w:rsidRPr="00045FEA">
                    <w:rPr>
                      <w:b/>
                      <w:lang w:eastAsia="en-AU"/>
                    </w:rPr>
                    <w:t>Other expenses</w:t>
                  </w:r>
                </w:p>
              </w:tc>
            </w:tr>
            <w:tr w:rsidR="00045FEA" w:rsidRPr="00045FEA" w14:paraId="479783EC" w14:textId="77777777" w:rsidTr="00045FEA">
              <w:trPr>
                <w:trHeight w:val="285"/>
              </w:trPr>
              <w:tc>
                <w:tcPr>
                  <w:tcW w:w="4856" w:type="dxa"/>
                  <w:tcBorders>
                    <w:top w:val="nil"/>
                    <w:left w:val="nil"/>
                    <w:bottom w:val="nil"/>
                    <w:right w:val="nil"/>
                  </w:tcBorders>
                  <w:shd w:val="clear" w:color="auto" w:fill="auto"/>
                  <w:noWrap/>
                  <w:vAlign w:val="center"/>
                  <w:hideMark/>
                </w:tcPr>
                <w:p w14:paraId="2673E7FC" w14:textId="77777777" w:rsidR="00045FEA" w:rsidRPr="00045FEA" w:rsidRDefault="00045FEA" w:rsidP="00045FEA">
                  <w:pPr>
                    <w:rPr>
                      <w:u w:val="single"/>
                      <w:lang w:eastAsia="en-AU"/>
                    </w:rPr>
                  </w:pPr>
                  <w:r w:rsidRPr="00045FEA">
                    <w:rPr>
                      <w:u w:val="single"/>
                      <w:lang w:eastAsia="en-AU"/>
                    </w:rPr>
                    <w:t>General Account</w:t>
                  </w:r>
                </w:p>
              </w:tc>
            </w:tr>
          </w:tbl>
          <w:p w14:paraId="652C79F6" w14:textId="77777777" w:rsidR="00487381" w:rsidRDefault="00487381" w:rsidP="00487381"/>
        </w:tc>
        <w:tc>
          <w:tcPr>
            <w:tcW w:w="1559" w:type="dxa"/>
            <w:tcBorders>
              <w:top w:val="double" w:sz="4" w:space="0" w:color="auto"/>
            </w:tcBorders>
          </w:tcPr>
          <w:p w14:paraId="764FB2F2" w14:textId="77777777" w:rsidR="00487381" w:rsidRDefault="00487381" w:rsidP="00487381"/>
        </w:tc>
        <w:tc>
          <w:tcPr>
            <w:tcW w:w="1508" w:type="dxa"/>
            <w:tcBorders>
              <w:top w:val="double" w:sz="4" w:space="0" w:color="auto"/>
            </w:tcBorders>
          </w:tcPr>
          <w:p w14:paraId="6A90F349" w14:textId="77777777" w:rsidR="00487381" w:rsidRDefault="00487381" w:rsidP="00487381"/>
        </w:tc>
      </w:tr>
      <w:tr w:rsidR="00045FEA" w14:paraId="6E5D5731" w14:textId="77777777" w:rsidTr="00045FEA">
        <w:tc>
          <w:tcPr>
            <w:tcW w:w="5949" w:type="dxa"/>
            <w:vAlign w:val="bottom"/>
          </w:tcPr>
          <w:p w14:paraId="78C832E2" w14:textId="5C8BEDE2" w:rsidR="00045FEA" w:rsidRDefault="00045FEA" w:rsidP="00045FEA">
            <w:r>
              <w:t xml:space="preserve">Employment on-costs </w:t>
            </w:r>
          </w:p>
        </w:tc>
        <w:tc>
          <w:tcPr>
            <w:tcW w:w="1559" w:type="dxa"/>
            <w:vAlign w:val="bottom"/>
          </w:tcPr>
          <w:p w14:paraId="3354F02E" w14:textId="3B41FEFD" w:rsidR="00045FEA" w:rsidRDefault="00045FEA" w:rsidP="00045FEA">
            <w:pPr>
              <w:jc w:val="right"/>
            </w:pPr>
            <w:r>
              <w:t xml:space="preserve">                   811 </w:t>
            </w:r>
          </w:p>
        </w:tc>
        <w:tc>
          <w:tcPr>
            <w:tcW w:w="1508" w:type="dxa"/>
            <w:vAlign w:val="bottom"/>
          </w:tcPr>
          <w:p w14:paraId="5C8ED3B9" w14:textId="6DE004CD" w:rsidR="00045FEA" w:rsidRDefault="00045FEA" w:rsidP="00045FEA">
            <w:pPr>
              <w:jc w:val="right"/>
            </w:pPr>
            <w:r>
              <w:t xml:space="preserve">                                      828 </w:t>
            </w:r>
          </w:p>
        </w:tc>
      </w:tr>
      <w:tr w:rsidR="00045FEA" w14:paraId="24F93314" w14:textId="77777777" w:rsidTr="00045FEA">
        <w:tc>
          <w:tcPr>
            <w:tcW w:w="5949" w:type="dxa"/>
            <w:vAlign w:val="bottom"/>
          </w:tcPr>
          <w:p w14:paraId="0DE6DDBA" w14:textId="7F31F0DB" w:rsidR="00045FEA" w:rsidRDefault="00045FEA" w:rsidP="00045FEA">
            <w:r>
              <w:t>Seminars</w:t>
            </w:r>
          </w:p>
        </w:tc>
        <w:tc>
          <w:tcPr>
            <w:tcW w:w="1559" w:type="dxa"/>
            <w:vAlign w:val="bottom"/>
          </w:tcPr>
          <w:p w14:paraId="6CD4E3D6" w14:textId="462524F5" w:rsidR="00045FEA" w:rsidRDefault="00045FEA" w:rsidP="00045FEA">
            <w:pPr>
              <w:jc w:val="right"/>
            </w:pPr>
            <w:r>
              <w:t xml:space="preserve">                     19 </w:t>
            </w:r>
          </w:p>
        </w:tc>
        <w:tc>
          <w:tcPr>
            <w:tcW w:w="1508" w:type="dxa"/>
            <w:vAlign w:val="bottom"/>
          </w:tcPr>
          <w:p w14:paraId="3E357C95" w14:textId="1A07A7D8" w:rsidR="00045FEA" w:rsidRDefault="00045FEA" w:rsidP="00045FEA">
            <w:pPr>
              <w:jc w:val="right"/>
            </w:pPr>
            <w:r>
              <w:t xml:space="preserve">                                        28 </w:t>
            </w:r>
          </w:p>
        </w:tc>
      </w:tr>
      <w:tr w:rsidR="00045FEA" w14:paraId="2F520438" w14:textId="77777777" w:rsidTr="00045FEA">
        <w:tc>
          <w:tcPr>
            <w:tcW w:w="5949" w:type="dxa"/>
            <w:vAlign w:val="bottom"/>
          </w:tcPr>
          <w:p w14:paraId="07293CAB" w14:textId="39F20821" w:rsidR="00045FEA" w:rsidRDefault="00045FEA" w:rsidP="00045FEA">
            <w:r>
              <w:t>Doubtful debts expense</w:t>
            </w:r>
          </w:p>
        </w:tc>
        <w:tc>
          <w:tcPr>
            <w:tcW w:w="1559" w:type="dxa"/>
            <w:vAlign w:val="bottom"/>
          </w:tcPr>
          <w:p w14:paraId="54091AA7" w14:textId="32BEBEF8" w:rsidR="00045FEA" w:rsidRDefault="00045FEA" w:rsidP="00045FEA">
            <w:pPr>
              <w:jc w:val="right"/>
            </w:pPr>
            <w:r>
              <w:t xml:space="preserve">                     38 </w:t>
            </w:r>
          </w:p>
        </w:tc>
        <w:tc>
          <w:tcPr>
            <w:tcW w:w="1508" w:type="dxa"/>
            <w:vAlign w:val="bottom"/>
          </w:tcPr>
          <w:p w14:paraId="7C504AC9" w14:textId="5AB0FE18" w:rsidR="00045FEA" w:rsidRDefault="00045FEA" w:rsidP="00045FEA">
            <w:pPr>
              <w:jc w:val="right"/>
            </w:pPr>
            <w:r>
              <w:t xml:space="preserve">                                        63 </w:t>
            </w:r>
          </w:p>
        </w:tc>
      </w:tr>
      <w:tr w:rsidR="00045FEA" w14:paraId="68D8F3EF" w14:textId="77777777" w:rsidTr="00045FEA">
        <w:tc>
          <w:tcPr>
            <w:tcW w:w="5949" w:type="dxa"/>
            <w:vAlign w:val="bottom"/>
          </w:tcPr>
          <w:p w14:paraId="7878B447" w14:textId="152EBC86" w:rsidR="00045FEA" w:rsidRDefault="00045FEA" w:rsidP="00045FEA">
            <w:r>
              <w:t>Sitting fees</w:t>
            </w:r>
          </w:p>
        </w:tc>
        <w:tc>
          <w:tcPr>
            <w:tcW w:w="1559" w:type="dxa"/>
            <w:vAlign w:val="bottom"/>
          </w:tcPr>
          <w:p w14:paraId="49A90320" w14:textId="5310BBEE" w:rsidR="00045FEA" w:rsidRDefault="00045FEA" w:rsidP="00045FEA">
            <w:pPr>
              <w:jc w:val="right"/>
            </w:pPr>
            <w:r>
              <w:t xml:space="preserve">                     96 </w:t>
            </w:r>
          </w:p>
        </w:tc>
        <w:tc>
          <w:tcPr>
            <w:tcW w:w="1508" w:type="dxa"/>
            <w:vAlign w:val="bottom"/>
          </w:tcPr>
          <w:p w14:paraId="73E9BBDD" w14:textId="440671CD" w:rsidR="00045FEA" w:rsidRDefault="00045FEA" w:rsidP="00045FEA">
            <w:pPr>
              <w:jc w:val="right"/>
            </w:pPr>
            <w:r>
              <w:t xml:space="preserve">                                        97 </w:t>
            </w:r>
          </w:p>
        </w:tc>
      </w:tr>
      <w:tr w:rsidR="00045FEA" w14:paraId="282785C0" w14:textId="77777777" w:rsidTr="00045FEA">
        <w:tc>
          <w:tcPr>
            <w:tcW w:w="5949" w:type="dxa"/>
            <w:vAlign w:val="bottom"/>
          </w:tcPr>
          <w:p w14:paraId="49D12260" w14:textId="3D030EB0" w:rsidR="00045FEA" w:rsidRDefault="00045FEA" w:rsidP="00045FEA">
            <w:r>
              <w:t>Staff wellness programs</w:t>
            </w:r>
          </w:p>
        </w:tc>
        <w:tc>
          <w:tcPr>
            <w:tcW w:w="1559" w:type="dxa"/>
            <w:vAlign w:val="bottom"/>
          </w:tcPr>
          <w:p w14:paraId="7720A03A" w14:textId="4648A53B" w:rsidR="00045FEA" w:rsidRDefault="00045FEA" w:rsidP="00045FEA">
            <w:pPr>
              <w:jc w:val="right"/>
            </w:pPr>
            <w:r>
              <w:t xml:space="preserve">                     41 </w:t>
            </w:r>
          </w:p>
        </w:tc>
        <w:tc>
          <w:tcPr>
            <w:tcW w:w="1508" w:type="dxa"/>
            <w:vAlign w:val="bottom"/>
          </w:tcPr>
          <w:p w14:paraId="39AFCBBB" w14:textId="6BF7A784" w:rsidR="00045FEA" w:rsidRDefault="00045FEA" w:rsidP="00045FEA">
            <w:pPr>
              <w:jc w:val="right"/>
            </w:pPr>
            <w:r>
              <w:t xml:space="preserve">                                        36 </w:t>
            </w:r>
          </w:p>
        </w:tc>
      </w:tr>
      <w:tr w:rsidR="00045FEA" w14:paraId="09BBB156" w14:textId="77777777" w:rsidTr="00045FEA">
        <w:tc>
          <w:tcPr>
            <w:tcW w:w="5949" w:type="dxa"/>
            <w:vAlign w:val="bottom"/>
          </w:tcPr>
          <w:p w14:paraId="7F759B19" w14:textId="39573DA5" w:rsidR="00045FEA" w:rsidRDefault="00045FEA" w:rsidP="00045FEA">
            <w:r>
              <w:t>Audit Fees</w:t>
            </w:r>
          </w:p>
        </w:tc>
        <w:tc>
          <w:tcPr>
            <w:tcW w:w="1559" w:type="dxa"/>
            <w:vAlign w:val="bottom"/>
          </w:tcPr>
          <w:p w14:paraId="5DCC0F8E" w14:textId="16E2600D" w:rsidR="00045FEA" w:rsidRDefault="00045FEA" w:rsidP="00045FEA">
            <w:pPr>
              <w:jc w:val="right"/>
            </w:pPr>
            <w:r>
              <w:t xml:space="preserve">                   189 </w:t>
            </w:r>
          </w:p>
        </w:tc>
        <w:tc>
          <w:tcPr>
            <w:tcW w:w="1508" w:type="dxa"/>
            <w:vAlign w:val="bottom"/>
          </w:tcPr>
          <w:p w14:paraId="787DB5FD" w14:textId="058B982F" w:rsidR="00045FEA" w:rsidRDefault="00045FEA" w:rsidP="00045FEA">
            <w:pPr>
              <w:jc w:val="right"/>
            </w:pPr>
            <w:r>
              <w:t xml:space="preserve">                                      204 </w:t>
            </w:r>
          </w:p>
        </w:tc>
      </w:tr>
      <w:tr w:rsidR="00045FEA" w14:paraId="0467EDCA" w14:textId="77777777" w:rsidTr="00045FEA">
        <w:tc>
          <w:tcPr>
            <w:tcW w:w="5949" w:type="dxa"/>
            <w:vAlign w:val="bottom"/>
          </w:tcPr>
          <w:p w14:paraId="6B422BE6" w14:textId="62E4B643" w:rsidR="00045FEA" w:rsidRDefault="00045FEA" w:rsidP="00045FEA">
            <w:r>
              <w:t>Administration fee paid to Insurance Commission of WA for Uninsured General Fund Claims</w:t>
            </w:r>
          </w:p>
        </w:tc>
        <w:tc>
          <w:tcPr>
            <w:tcW w:w="1559" w:type="dxa"/>
            <w:vAlign w:val="bottom"/>
          </w:tcPr>
          <w:p w14:paraId="649B1901" w14:textId="575A0529" w:rsidR="00045FEA" w:rsidRDefault="00045FEA" w:rsidP="00045FEA">
            <w:pPr>
              <w:jc w:val="right"/>
            </w:pPr>
            <w:r>
              <w:t xml:space="preserve">                     54 </w:t>
            </w:r>
          </w:p>
        </w:tc>
        <w:tc>
          <w:tcPr>
            <w:tcW w:w="1508" w:type="dxa"/>
            <w:vAlign w:val="bottom"/>
          </w:tcPr>
          <w:p w14:paraId="2D1B1E58" w14:textId="3384D7AD" w:rsidR="00045FEA" w:rsidRDefault="00045FEA" w:rsidP="00045FEA">
            <w:pPr>
              <w:jc w:val="right"/>
            </w:pPr>
            <w:r>
              <w:t xml:space="preserve">                                        53 </w:t>
            </w:r>
          </w:p>
        </w:tc>
      </w:tr>
      <w:tr w:rsidR="00045FEA" w14:paraId="6D507D76" w14:textId="77777777" w:rsidTr="00045FEA">
        <w:tc>
          <w:tcPr>
            <w:tcW w:w="5949" w:type="dxa"/>
            <w:vAlign w:val="bottom"/>
          </w:tcPr>
          <w:p w14:paraId="2114A8BC" w14:textId="7B310193" w:rsidR="00045FEA" w:rsidRDefault="00045FEA" w:rsidP="00045FEA">
            <w:r>
              <w:t xml:space="preserve">Other </w:t>
            </w:r>
          </w:p>
        </w:tc>
        <w:tc>
          <w:tcPr>
            <w:tcW w:w="1559" w:type="dxa"/>
            <w:vAlign w:val="bottom"/>
          </w:tcPr>
          <w:p w14:paraId="3099ED2B" w14:textId="0A52E344" w:rsidR="00045FEA" w:rsidRDefault="00045FEA" w:rsidP="00045FEA">
            <w:pPr>
              <w:jc w:val="right"/>
            </w:pPr>
            <w:r>
              <w:t xml:space="preserve">                     54 </w:t>
            </w:r>
          </w:p>
        </w:tc>
        <w:tc>
          <w:tcPr>
            <w:tcW w:w="1508" w:type="dxa"/>
            <w:vAlign w:val="bottom"/>
          </w:tcPr>
          <w:p w14:paraId="1C2C5F4B" w14:textId="28E54BE5" w:rsidR="00045FEA" w:rsidRDefault="00045FEA" w:rsidP="00045FEA">
            <w:pPr>
              <w:jc w:val="right"/>
            </w:pPr>
            <w:r>
              <w:t xml:space="preserve">                                        59 </w:t>
            </w:r>
          </w:p>
        </w:tc>
      </w:tr>
      <w:tr w:rsidR="00045FEA" w14:paraId="7F268F04" w14:textId="77777777" w:rsidTr="00045FEA">
        <w:tc>
          <w:tcPr>
            <w:tcW w:w="5949" w:type="dxa"/>
          </w:tcPr>
          <w:p w14:paraId="46DF95B4" w14:textId="5AFF3715" w:rsidR="00045FEA" w:rsidRPr="00045FEA" w:rsidRDefault="00045FEA" w:rsidP="00487381">
            <w:pPr>
              <w:rPr>
                <w:u w:val="single"/>
                <w:lang w:eastAsia="en-AU"/>
              </w:rPr>
            </w:pPr>
            <w:r w:rsidRPr="00045FEA">
              <w:rPr>
                <w:u w:val="single"/>
              </w:rPr>
              <w:t>Employers' Indemnity Supplementation Fund (see note 4.3)</w:t>
            </w:r>
          </w:p>
        </w:tc>
        <w:tc>
          <w:tcPr>
            <w:tcW w:w="1559" w:type="dxa"/>
          </w:tcPr>
          <w:p w14:paraId="0A7F041E" w14:textId="77777777" w:rsidR="00045FEA" w:rsidRDefault="00045FEA" w:rsidP="00487381"/>
        </w:tc>
        <w:tc>
          <w:tcPr>
            <w:tcW w:w="1508" w:type="dxa"/>
          </w:tcPr>
          <w:p w14:paraId="45CDB1B0" w14:textId="77777777" w:rsidR="00045FEA" w:rsidRDefault="00045FEA" w:rsidP="00487381"/>
        </w:tc>
      </w:tr>
      <w:tr w:rsidR="00045FEA" w14:paraId="0EB7045A" w14:textId="77777777" w:rsidTr="00045FEA">
        <w:tc>
          <w:tcPr>
            <w:tcW w:w="5949" w:type="dxa"/>
            <w:vAlign w:val="bottom"/>
          </w:tcPr>
          <w:p w14:paraId="744958A9" w14:textId="2BF1B6F5" w:rsidR="00045FEA" w:rsidRPr="00045FEA" w:rsidRDefault="00045FEA" w:rsidP="00045FEA">
            <w:pPr>
              <w:rPr>
                <w:u w:val="single"/>
              </w:rPr>
            </w:pPr>
            <w:r>
              <w:t xml:space="preserve">Administration fee paid to Insurance Commission of WA </w:t>
            </w:r>
          </w:p>
        </w:tc>
        <w:tc>
          <w:tcPr>
            <w:tcW w:w="1559" w:type="dxa"/>
            <w:tcBorders>
              <w:bottom w:val="single" w:sz="4" w:space="0" w:color="auto"/>
            </w:tcBorders>
            <w:vAlign w:val="bottom"/>
          </w:tcPr>
          <w:p w14:paraId="3CDB3F89" w14:textId="0E0CBFDD" w:rsidR="00045FEA" w:rsidRDefault="00045FEA" w:rsidP="00045FEA">
            <w:pPr>
              <w:jc w:val="right"/>
            </w:pPr>
            <w:r>
              <w:t xml:space="preserve">                     21 </w:t>
            </w:r>
          </w:p>
        </w:tc>
        <w:tc>
          <w:tcPr>
            <w:tcW w:w="1508" w:type="dxa"/>
            <w:tcBorders>
              <w:bottom w:val="single" w:sz="4" w:space="0" w:color="auto"/>
            </w:tcBorders>
            <w:vAlign w:val="bottom"/>
          </w:tcPr>
          <w:p w14:paraId="4221333A" w14:textId="1A294626" w:rsidR="00045FEA" w:rsidRDefault="00045FEA" w:rsidP="00045FEA">
            <w:pPr>
              <w:jc w:val="right"/>
            </w:pPr>
            <w:r>
              <w:t xml:space="preserve">                                        14 </w:t>
            </w:r>
          </w:p>
        </w:tc>
      </w:tr>
      <w:tr w:rsidR="00045FEA" w14:paraId="32790388" w14:textId="77777777" w:rsidTr="00045FEA">
        <w:tc>
          <w:tcPr>
            <w:tcW w:w="5949" w:type="dxa"/>
            <w:vAlign w:val="bottom"/>
          </w:tcPr>
          <w:p w14:paraId="25E66736" w14:textId="7304A8C5" w:rsidR="00045FEA" w:rsidRPr="00045FEA" w:rsidRDefault="00045FEA" w:rsidP="00045FEA">
            <w:pPr>
              <w:rPr>
                <w:u w:val="single"/>
              </w:rPr>
            </w:pPr>
            <w:r>
              <w:rPr>
                <w:b/>
                <w:bCs/>
              </w:rPr>
              <w:t>Total other expenditures</w:t>
            </w:r>
          </w:p>
        </w:tc>
        <w:tc>
          <w:tcPr>
            <w:tcW w:w="1559" w:type="dxa"/>
            <w:tcBorders>
              <w:top w:val="single" w:sz="4" w:space="0" w:color="auto"/>
              <w:bottom w:val="double" w:sz="4" w:space="0" w:color="auto"/>
            </w:tcBorders>
            <w:vAlign w:val="bottom"/>
          </w:tcPr>
          <w:p w14:paraId="13123798" w14:textId="3C74D082" w:rsidR="00045FEA" w:rsidRDefault="00045FEA" w:rsidP="00045FEA">
            <w:pPr>
              <w:jc w:val="right"/>
            </w:pPr>
            <w:r>
              <w:rPr>
                <w:b/>
                <w:bCs/>
              </w:rPr>
              <w:t xml:space="preserve">                 1,323 </w:t>
            </w:r>
          </w:p>
        </w:tc>
        <w:tc>
          <w:tcPr>
            <w:tcW w:w="1508" w:type="dxa"/>
            <w:tcBorders>
              <w:top w:val="single" w:sz="4" w:space="0" w:color="auto"/>
              <w:bottom w:val="double" w:sz="4" w:space="0" w:color="auto"/>
            </w:tcBorders>
            <w:vAlign w:val="bottom"/>
          </w:tcPr>
          <w:p w14:paraId="3CEB85CE" w14:textId="686FE79C" w:rsidR="00045FEA" w:rsidRDefault="00045FEA" w:rsidP="00045FEA">
            <w:pPr>
              <w:jc w:val="right"/>
            </w:pPr>
            <w:r>
              <w:rPr>
                <w:b/>
                <w:bCs/>
              </w:rPr>
              <w:t xml:space="preserve">                                   1,382 </w:t>
            </w:r>
          </w:p>
        </w:tc>
      </w:tr>
      <w:tr w:rsidR="00045FEA" w14:paraId="5854F7E7" w14:textId="77777777" w:rsidTr="00045FEA">
        <w:tc>
          <w:tcPr>
            <w:tcW w:w="5949" w:type="dxa"/>
            <w:vAlign w:val="bottom"/>
          </w:tcPr>
          <w:p w14:paraId="2CA4D3AE" w14:textId="14CB909E" w:rsidR="00045FEA" w:rsidRPr="00045FEA" w:rsidRDefault="00045FEA" w:rsidP="00045FEA">
            <w:pPr>
              <w:rPr>
                <w:u w:val="single"/>
              </w:rPr>
            </w:pPr>
            <w:r>
              <w:rPr>
                <w:b/>
                <w:bCs/>
              </w:rPr>
              <w:t>Total other expenses</w:t>
            </w:r>
          </w:p>
        </w:tc>
        <w:tc>
          <w:tcPr>
            <w:tcW w:w="1559" w:type="dxa"/>
            <w:tcBorders>
              <w:top w:val="double" w:sz="4" w:space="0" w:color="auto"/>
              <w:bottom w:val="double" w:sz="4" w:space="0" w:color="auto"/>
            </w:tcBorders>
            <w:vAlign w:val="bottom"/>
          </w:tcPr>
          <w:p w14:paraId="4A5987D6" w14:textId="28154A74" w:rsidR="00045FEA" w:rsidRDefault="00045FEA" w:rsidP="00045FEA">
            <w:pPr>
              <w:jc w:val="right"/>
            </w:pPr>
            <w:r>
              <w:rPr>
                <w:b/>
                <w:bCs/>
              </w:rPr>
              <w:t xml:space="preserve">                 4,738 </w:t>
            </w:r>
          </w:p>
        </w:tc>
        <w:tc>
          <w:tcPr>
            <w:tcW w:w="1508" w:type="dxa"/>
            <w:tcBorders>
              <w:top w:val="double" w:sz="4" w:space="0" w:color="auto"/>
              <w:bottom w:val="double" w:sz="4" w:space="0" w:color="auto"/>
            </w:tcBorders>
            <w:vAlign w:val="bottom"/>
          </w:tcPr>
          <w:p w14:paraId="67BCFD79" w14:textId="53D60481" w:rsidR="00045FEA" w:rsidRDefault="00045FEA" w:rsidP="00045FEA">
            <w:pPr>
              <w:jc w:val="right"/>
            </w:pPr>
            <w:r>
              <w:rPr>
                <w:b/>
                <w:bCs/>
              </w:rPr>
              <w:t xml:space="preserve">                                   4,751 </w:t>
            </w:r>
          </w:p>
        </w:tc>
      </w:tr>
    </w:tbl>
    <w:p w14:paraId="67D34E92" w14:textId="6DF18A77" w:rsidR="00EA0934" w:rsidRDefault="00EA0934" w:rsidP="00487381">
      <w:r w:rsidRPr="00EA0934">
        <w:tab/>
      </w:r>
    </w:p>
    <w:p w14:paraId="3E6B5A0C" w14:textId="4748134D" w:rsidR="00A408E5" w:rsidRDefault="00A408E5" w:rsidP="00BE5237">
      <w:pPr>
        <w:pStyle w:val="Heading4"/>
        <w:ind w:left="0"/>
      </w:pPr>
      <w:r>
        <w:t>Supplies and services/Accommodation/other</w:t>
      </w:r>
    </w:p>
    <w:p w14:paraId="60AC2659" w14:textId="13B0B599" w:rsidR="00A408E5" w:rsidRDefault="00A408E5" w:rsidP="00A408E5">
      <w:pPr>
        <w:rPr>
          <w:lang w:val="en-US" w:eastAsia="en-AU"/>
        </w:rPr>
      </w:pPr>
      <w:r w:rsidRPr="00A408E5">
        <w:rPr>
          <w:lang w:val="en-US" w:eastAsia="en-AU"/>
        </w:rPr>
        <w:t xml:space="preserve">Supplies and services/Accommodation/other operating costs are recognised as expenses in the reporting period </w:t>
      </w:r>
      <w:r>
        <w:rPr>
          <w:lang w:val="en-US" w:eastAsia="en-AU"/>
        </w:rPr>
        <w:t>in which they are incurred.</w:t>
      </w:r>
    </w:p>
    <w:p w14:paraId="49A68107" w14:textId="5D21F099" w:rsidR="00A408E5" w:rsidRDefault="00A408E5" w:rsidP="00A408E5">
      <w:pPr>
        <w:rPr>
          <w:b/>
          <w:lang w:val="en-US" w:eastAsia="en-AU"/>
        </w:rPr>
      </w:pPr>
      <w:r>
        <w:rPr>
          <w:b/>
          <w:lang w:val="en-US" w:eastAsia="en-AU"/>
        </w:rPr>
        <w:t xml:space="preserve">Building maintenance and equipment repairs and maintenance </w:t>
      </w:r>
    </w:p>
    <w:p w14:paraId="7A18001C" w14:textId="586E5C12" w:rsidR="00A408E5" w:rsidRDefault="00A408E5" w:rsidP="00A408E5">
      <w:pPr>
        <w:rPr>
          <w:lang w:val="en-US" w:eastAsia="en-AU"/>
        </w:rPr>
      </w:pPr>
      <w:r w:rsidRPr="00A408E5">
        <w:rPr>
          <w:lang w:val="en-US" w:eastAsia="en-AU"/>
        </w:rPr>
        <w:t>Repairs and maintenance costs are recognised as expenses as incurred, except where they relate to the replacement of a significant component of an asset. In that case, the costs are c</w:t>
      </w:r>
      <w:r>
        <w:rPr>
          <w:lang w:val="en-US" w:eastAsia="en-AU"/>
        </w:rPr>
        <w:t>apitalised and depreciated.</w:t>
      </w:r>
    </w:p>
    <w:p w14:paraId="1CCF015F" w14:textId="2815D0EA" w:rsidR="00A408E5" w:rsidRDefault="00A408E5" w:rsidP="00A408E5">
      <w:pPr>
        <w:rPr>
          <w:b/>
          <w:lang w:val="en-US" w:eastAsia="en-AU"/>
        </w:rPr>
      </w:pPr>
      <w:r>
        <w:rPr>
          <w:b/>
          <w:lang w:val="en-US" w:eastAsia="en-AU"/>
        </w:rPr>
        <w:t>Doubtful debt expense</w:t>
      </w:r>
    </w:p>
    <w:p w14:paraId="4C746364" w14:textId="5E4CFAC4" w:rsidR="00A408E5" w:rsidRDefault="00A408E5" w:rsidP="00A408E5">
      <w:pPr>
        <w:rPr>
          <w:lang w:val="en-US" w:eastAsia="en-AU"/>
        </w:rPr>
      </w:pPr>
      <w:r w:rsidRPr="00A408E5">
        <w:rPr>
          <w:lang w:val="en-US" w:eastAsia="en-AU"/>
        </w:rPr>
        <w:t>Doubtful debt expense is recognised as the movement in the provision for doubtful debt. Please refer to note 6.1.1 Movement of the allowance for</w:t>
      </w:r>
      <w:r>
        <w:rPr>
          <w:lang w:val="en-US" w:eastAsia="en-AU"/>
        </w:rPr>
        <w:t xml:space="preserve"> impairment of receivables.</w:t>
      </w:r>
    </w:p>
    <w:p w14:paraId="5C630894" w14:textId="27C2BE49" w:rsidR="00A408E5" w:rsidRDefault="00A408E5" w:rsidP="00A408E5">
      <w:pPr>
        <w:rPr>
          <w:b/>
          <w:lang w:val="en-US" w:eastAsia="en-AU"/>
        </w:rPr>
      </w:pPr>
      <w:r>
        <w:rPr>
          <w:b/>
          <w:lang w:val="en-US" w:eastAsia="en-AU"/>
        </w:rPr>
        <w:t>Employee on-cost</w:t>
      </w:r>
    </w:p>
    <w:p w14:paraId="4A3D2BB6" w14:textId="32E79E71" w:rsidR="00A408E5" w:rsidRDefault="00A408E5" w:rsidP="00A408E5">
      <w:pPr>
        <w:rPr>
          <w:lang w:val="en-US" w:eastAsia="en-AU"/>
        </w:rPr>
      </w:pPr>
      <w:r w:rsidRPr="00A408E5">
        <w:rPr>
          <w:lang w:val="en-US" w:eastAsia="en-AU"/>
        </w:rPr>
        <w:t>Includes worker's compensation insurance, payr</w:t>
      </w:r>
      <w:r>
        <w:rPr>
          <w:lang w:val="en-US" w:eastAsia="en-AU"/>
        </w:rPr>
        <w:t xml:space="preserve">oll tax and other employment on </w:t>
      </w:r>
      <w:r w:rsidRPr="00A408E5">
        <w:rPr>
          <w:lang w:val="en-US" w:eastAsia="en-AU"/>
        </w:rPr>
        <w:t>costs. The on costs liability associated with the recognition of annual and long service leave liabilities is included at Note 4.1(b) Employee benefit provision. Superannuation contributions accrued as part of the provision for leave are employee benefits and are not included in employment on-cos</w:t>
      </w:r>
      <w:r>
        <w:rPr>
          <w:lang w:val="en-US" w:eastAsia="en-AU"/>
        </w:rPr>
        <w:t>ts.</w:t>
      </w:r>
    </w:p>
    <w:p w14:paraId="5602579A" w14:textId="7AB61350" w:rsidR="00A408E5" w:rsidRDefault="00A408E5">
      <w:pPr>
        <w:keepLines w:val="0"/>
        <w:spacing w:after="0" w:line="240" w:lineRule="auto"/>
        <w:rPr>
          <w:lang w:val="en-US" w:eastAsia="en-AU"/>
        </w:rPr>
      </w:pPr>
      <w:r>
        <w:rPr>
          <w:lang w:val="en-US" w:eastAsia="en-AU"/>
        </w:rPr>
        <w:br w:type="page"/>
      </w:r>
    </w:p>
    <w:p w14:paraId="360FE218" w14:textId="790540EA" w:rsidR="00A408E5" w:rsidRDefault="00A408E5" w:rsidP="00026A6F">
      <w:pPr>
        <w:pStyle w:val="Heading2nonumber"/>
        <w:numPr>
          <w:ilvl w:val="0"/>
          <w:numId w:val="50"/>
        </w:numPr>
        <w:rPr>
          <w:lang w:val="en-US" w:eastAsia="en-AU"/>
        </w:rPr>
      </w:pPr>
      <w:bookmarkStart w:id="784" w:name="_Toc525122181"/>
      <w:r>
        <w:rPr>
          <w:lang w:val="en-US" w:eastAsia="en-AU"/>
        </w:rPr>
        <w:t>Key assets</w:t>
      </w:r>
      <w:bookmarkEnd w:id="784"/>
    </w:p>
    <w:p w14:paraId="258F045A" w14:textId="77777777" w:rsidR="00A408E5" w:rsidRDefault="00A408E5" w:rsidP="00BA7C82">
      <w:pPr>
        <w:pStyle w:val="Heading4"/>
      </w:pPr>
      <w:r w:rsidRPr="00A408E5">
        <w:t>Assets the Authority utilises for economic benefit or service potential</w:t>
      </w:r>
    </w:p>
    <w:p w14:paraId="7AA6AC7C" w14:textId="47C75C5B" w:rsidR="00A408E5" w:rsidRDefault="00A408E5" w:rsidP="00A408E5">
      <w:pPr>
        <w:rPr>
          <w:lang w:val="en-US" w:eastAsia="en-AU"/>
        </w:rPr>
      </w:pPr>
      <w:r w:rsidRPr="00A408E5">
        <w:rPr>
          <w:lang w:val="en-US" w:eastAsia="en-AU"/>
        </w:rPr>
        <w:t>This section includes information regarding the key assets the Authority utilises to gain economic benefits or provide service potential. The section sets out both the key accounting policies and financial information about the p</w:t>
      </w:r>
      <w:r>
        <w:rPr>
          <w:lang w:val="en-US" w:eastAsia="en-AU"/>
        </w:rPr>
        <w:t>erformance of these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ssets"/>
        <w:tblDescription w:val="This table outlines the assets the Authority utilises to gain economic benefits or provide service potential, which are property, plant and equipment and intangibles. "/>
      </w:tblPr>
      <w:tblGrid>
        <w:gridCol w:w="3964"/>
        <w:gridCol w:w="1560"/>
        <w:gridCol w:w="1701"/>
        <w:gridCol w:w="1791"/>
      </w:tblGrid>
      <w:tr w:rsidR="00735CCA" w14:paraId="581AC1A0" w14:textId="77777777" w:rsidTr="00F11774">
        <w:trPr>
          <w:tblHeader/>
        </w:trPr>
        <w:tc>
          <w:tcPr>
            <w:tcW w:w="3964" w:type="dxa"/>
            <w:tcBorders>
              <w:bottom w:val="single" w:sz="12" w:space="0" w:color="auto"/>
            </w:tcBorders>
          </w:tcPr>
          <w:p w14:paraId="2AD754C5" w14:textId="77777777" w:rsidR="00735CCA" w:rsidRDefault="00735CCA" w:rsidP="00735CCA">
            <w:pPr>
              <w:rPr>
                <w:lang w:val="en-US" w:eastAsia="en-AU"/>
              </w:rPr>
            </w:pPr>
          </w:p>
        </w:tc>
        <w:tc>
          <w:tcPr>
            <w:tcW w:w="1560" w:type="dxa"/>
            <w:tcBorders>
              <w:bottom w:val="single" w:sz="12" w:space="0" w:color="auto"/>
            </w:tcBorders>
            <w:vAlign w:val="center"/>
          </w:tcPr>
          <w:p w14:paraId="21DBCD9A" w14:textId="338CBB1C" w:rsidR="00735CCA" w:rsidRPr="00735CCA" w:rsidRDefault="00735CCA" w:rsidP="00735CCA">
            <w:pPr>
              <w:jc w:val="center"/>
              <w:rPr>
                <w:b/>
                <w:lang w:val="en-US" w:eastAsia="en-AU"/>
              </w:rPr>
            </w:pPr>
            <w:r w:rsidRPr="00735CCA">
              <w:rPr>
                <w:b/>
              </w:rPr>
              <w:t>Notes</w:t>
            </w:r>
          </w:p>
        </w:tc>
        <w:tc>
          <w:tcPr>
            <w:tcW w:w="1701" w:type="dxa"/>
            <w:tcBorders>
              <w:bottom w:val="single" w:sz="12" w:space="0" w:color="auto"/>
            </w:tcBorders>
            <w:vAlign w:val="center"/>
          </w:tcPr>
          <w:p w14:paraId="086B6417" w14:textId="0FD586CF" w:rsidR="00735CCA" w:rsidRPr="00735CCA" w:rsidRDefault="00735CCA" w:rsidP="00735CCA">
            <w:pPr>
              <w:jc w:val="center"/>
              <w:rPr>
                <w:b/>
                <w:lang w:val="en-US" w:eastAsia="en-AU"/>
              </w:rPr>
            </w:pPr>
            <w:r w:rsidRPr="00735CCA">
              <w:rPr>
                <w:b/>
              </w:rPr>
              <w:t>2018</w:t>
            </w:r>
            <w:r>
              <w:rPr>
                <w:b/>
              </w:rPr>
              <w:br/>
              <w:t>$000</w:t>
            </w:r>
          </w:p>
        </w:tc>
        <w:tc>
          <w:tcPr>
            <w:tcW w:w="1791" w:type="dxa"/>
            <w:tcBorders>
              <w:bottom w:val="single" w:sz="12" w:space="0" w:color="auto"/>
            </w:tcBorders>
            <w:vAlign w:val="center"/>
          </w:tcPr>
          <w:p w14:paraId="1AEB835A" w14:textId="06179390" w:rsidR="00735CCA" w:rsidRPr="00735CCA" w:rsidRDefault="00735CCA" w:rsidP="00735CCA">
            <w:pPr>
              <w:jc w:val="center"/>
              <w:rPr>
                <w:b/>
                <w:lang w:val="en-US" w:eastAsia="en-AU"/>
              </w:rPr>
            </w:pPr>
            <w:r w:rsidRPr="00735CCA">
              <w:rPr>
                <w:b/>
              </w:rPr>
              <w:t>2017</w:t>
            </w:r>
            <w:r>
              <w:rPr>
                <w:b/>
              </w:rPr>
              <w:br/>
              <w:t>$000</w:t>
            </w:r>
          </w:p>
        </w:tc>
      </w:tr>
      <w:tr w:rsidR="00735CCA" w14:paraId="36C351AA" w14:textId="77777777" w:rsidTr="009F57E2">
        <w:tc>
          <w:tcPr>
            <w:tcW w:w="3964" w:type="dxa"/>
            <w:tcBorders>
              <w:top w:val="single" w:sz="12" w:space="0" w:color="auto"/>
            </w:tcBorders>
            <w:vAlign w:val="center"/>
          </w:tcPr>
          <w:p w14:paraId="1582FE3B" w14:textId="015BDFC1" w:rsidR="00735CCA" w:rsidRDefault="00735CCA" w:rsidP="00735CCA">
            <w:pPr>
              <w:rPr>
                <w:lang w:val="en-US" w:eastAsia="en-AU"/>
              </w:rPr>
            </w:pPr>
            <w:r>
              <w:t>Property, plant and equipment</w:t>
            </w:r>
          </w:p>
        </w:tc>
        <w:tc>
          <w:tcPr>
            <w:tcW w:w="1560" w:type="dxa"/>
            <w:tcBorders>
              <w:top w:val="single" w:sz="12" w:space="0" w:color="auto"/>
            </w:tcBorders>
            <w:vAlign w:val="center"/>
          </w:tcPr>
          <w:p w14:paraId="5D5FCE83" w14:textId="53DC10D9" w:rsidR="00735CCA" w:rsidRDefault="00735CCA" w:rsidP="00735CCA">
            <w:pPr>
              <w:jc w:val="right"/>
              <w:rPr>
                <w:lang w:val="en-US" w:eastAsia="en-AU"/>
              </w:rPr>
            </w:pPr>
            <w:r>
              <w:t>5.1</w:t>
            </w:r>
          </w:p>
        </w:tc>
        <w:tc>
          <w:tcPr>
            <w:tcW w:w="1701" w:type="dxa"/>
            <w:tcBorders>
              <w:top w:val="single" w:sz="12" w:space="0" w:color="auto"/>
            </w:tcBorders>
            <w:vAlign w:val="center"/>
          </w:tcPr>
          <w:p w14:paraId="3F825075" w14:textId="3C7F2BAD" w:rsidR="00735CCA" w:rsidRDefault="00735CCA" w:rsidP="00735CCA">
            <w:pPr>
              <w:jc w:val="right"/>
              <w:rPr>
                <w:lang w:val="en-US" w:eastAsia="en-AU"/>
              </w:rPr>
            </w:pPr>
            <w:r>
              <w:t>18,010</w:t>
            </w:r>
          </w:p>
        </w:tc>
        <w:tc>
          <w:tcPr>
            <w:tcW w:w="1791" w:type="dxa"/>
            <w:tcBorders>
              <w:top w:val="single" w:sz="12" w:space="0" w:color="auto"/>
            </w:tcBorders>
            <w:vAlign w:val="center"/>
          </w:tcPr>
          <w:p w14:paraId="05555C51" w14:textId="75BB5354" w:rsidR="00735CCA" w:rsidRDefault="00735CCA" w:rsidP="00735CCA">
            <w:pPr>
              <w:jc w:val="right"/>
              <w:rPr>
                <w:lang w:val="en-US" w:eastAsia="en-AU"/>
              </w:rPr>
            </w:pPr>
            <w:r>
              <w:t>17,782</w:t>
            </w:r>
          </w:p>
        </w:tc>
      </w:tr>
      <w:tr w:rsidR="00735CCA" w14:paraId="2882D95D" w14:textId="77777777" w:rsidTr="00735CCA">
        <w:tc>
          <w:tcPr>
            <w:tcW w:w="3964" w:type="dxa"/>
            <w:vAlign w:val="center"/>
          </w:tcPr>
          <w:p w14:paraId="7E20B01C" w14:textId="3CA3B0FA" w:rsidR="00735CCA" w:rsidRDefault="00735CCA" w:rsidP="00735CCA">
            <w:pPr>
              <w:rPr>
                <w:lang w:val="en-US" w:eastAsia="en-AU"/>
              </w:rPr>
            </w:pPr>
            <w:r>
              <w:t>Intangibles</w:t>
            </w:r>
          </w:p>
        </w:tc>
        <w:tc>
          <w:tcPr>
            <w:tcW w:w="1560" w:type="dxa"/>
            <w:vAlign w:val="center"/>
          </w:tcPr>
          <w:p w14:paraId="47111BB5" w14:textId="2E78A24C" w:rsidR="00735CCA" w:rsidRDefault="00735CCA" w:rsidP="00735CCA">
            <w:pPr>
              <w:jc w:val="right"/>
              <w:rPr>
                <w:lang w:val="en-US" w:eastAsia="en-AU"/>
              </w:rPr>
            </w:pPr>
            <w:r>
              <w:t>5.2</w:t>
            </w:r>
          </w:p>
        </w:tc>
        <w:tc>
          <w:tcPr>
            <w:tcW w:w="1701" w:type="dxa"/>
            <w:tcBorders>
              <w:bottom w:val="single" w:sz="12" w:space="0" w:color="auto"/>
            </w:tcBorders>
            <w:vAlign w:val="center"/>
          </w:tcPr>
          <w:p w14:paraId="7660BA34" w14:textId="64F6FCEC" w:rsidR="00735CCA" w:rsidRDefault="00735CCA" w:rsidP="00735CCA">
            <w:pPr>
              <w:jc w:val="right"/>
              <w:rPr>
                <w:lang w:val="en-US" w:eastAsia="en-AU"/>
              </w:rPr>
            </w:pPr>
            <w:r>
              <w:t>2,037</w:t>
            </w:r>
          </w:p>
        </w:tc>
        <w:tc>
          <w:tcPr>
            <w:tcW w:w="1791" w:type="dxa"/>
            <w:tcBorders>
              <w:bottom w:val="single" w:sz="12" w:space="0" w:color="auto"/>
            </w:tcBorders>
            <w:vAlign w:val="center"/>
          </w:tcPr>
          <w:p w14:paraId="77D459B8" w14:textId="7251D63A" w:rsidR="00735CCA" w:rsidRDefault="00735CCA" w:rsidP="00735CCA">
            <w:pPr>
              <w:jc w:val="right"/>
              <w:rPr>
                <w:lang w:val="en-US" w:eastAsia="en-AU"/>
              </w:rPr>
            </w:pPr>
            <w:r>
              <w:t>2,485</w:t>
            </w:r>
          </w:p>
        </w:tc>
      </w:tr>
      <w:tr w:rsidR="00735CCA" w14:paraId="5D7335D2" w14:textId="77777777" w:rsidTr="00735CCA">
        <w:tc>
          <w:tcPr>
            <w:tcW w:w="3964" w:type="dxa"/>
            <w:vAlign w:val="center"/>
          </w:tcPr>
          <w:p w14:paraId="3ED97F74" w14:textId="6EC933B2" w:rsidR="00735CCA" w:rsidRDefault="00735CCA" w:rsidP="00735CCA">
            <w:pPr>
              <w:rPr>
                <w:lang w:val="en-US" w:eastAsia="en-AU"/>
              </w:rPr>
            </w:pPr>
            <w:r>
              <w:rPr>
                <w:b/>
                <w:bCs/>
              </w:rPr>
              <w:t>Total key assets</w:t>
            </w:r>
          </w:p>
        </w:tc>
        <w:tc>
          <w:tcPr>
            <w:tcW w:w="1560" w:type="dxa"/>
            <w:vAlign w:val="center"/>
          </w:tcPr>
          <w:p w14:paraId="38FB6799" w14:textId="77777777" w:rsidR="00735CCA" w:rsidRDefault="00735CCA" w:rsidP="00735CCA">
            <w:pPr>
              <w:jc w:val="right"/>
              <w:rPr>
                <w:lang w:val="en-US" w:eastAsia="en-AU"/>
              </w:rPr>
            </w:pPr>
          </w:p>
        </w:tc>
        <w:tc>
          <w:tcPr>
            <w:tcW w:w="1701" w:type="dxa"/>
            <w:tcBorders>
              <w:top w:val="single" w:sz="12" w:space="0" w:color="auto"/>
              <w:bottom w:val="double" w:sz="4" w:space="0" w:color="auto"/>
            </w:tcBorders>
            <w:vAlign w:val="center"/>
          </w:tcPr>
          <w:p w14:paraId="1FC225FC" w14:textId="48946FDF" w:rsidR="00735CCA" w:rsidRDefault="00735CCA" w:rsidP="00735CCA">
            <w:pPr>
              <w:jc w:val="right"/>
              <w:rPr>
                <w:lang w:val="en-US" w:eastAsia="en-AU"/>
              </w:rPr>
            </w:pPr>
            <w:r>
              <w:rPr>
                <w:b/>
                <w:bCs/>
              </w:rPr>
              <w:t>20,047</w:t>
            </w:r>
          </w:p>
        </w:tc>
        <w:tc>
          <w:tcPr>
            <w:tcW w:w="1791" w:type="dxa"/>
            <w:tcBorders>
              <w:top w:val="single" w:sz="12" w:space="0" w:color="auto"/>
              <w:bottom w:val="double" w:sz="4" w:space="0" w:color="auto"/>
            </w:tcBorders>
            <w:vAlign w:val="center"/>
          </w:tcPr>
          <w:p w14:paraId="7638005F" w14:textId="0194A125" w:rsidR="00735CCA" w:rsidRDefault="00735CCA" w:rsidP="00735CCA">
            <w:pPr>
              <w:jc w:val="right"/>
              <w:rPr>
                <w:lang w:val="en-US" w:eastAsia="en-AU"/>
              </w:rPr>
            </w:pPr>
            <w:r>
              <w:rPr>
                <w:b/>
                <w:bCs/>
              </w:rPr>
              <w:t>20,267</w:t>
            </w:r>
          </w:p>
        </w:tc>
      </w:tr>
    </w:tbl>
    <w:p w14:paraId="05CDEB45" w14:textId="77777777" w:rsidR="00A408E5" w:rsidRPr="00A408E5" w:rsidRDefault="00A408E5" w:rsidP="00A408E5">
      <w:pPr>
        <w:rPr>
          <w:lang w:val="en-US" w:eastAsia="en-AU"/>
        </w:rPr>
      </w:pPr>
    </w:p>
    <w:p w14:paraId="1FC58ED5" w14:textId="78976825" w:rsidR="00A408E5" w:rsidRDefault="00735CCA" w:rsidP="00026A6F">
      <w:pPr>
        <w:pStyle w:val="Heading3nonumber"/>
        <w:numPr>
          <w:ilvl w:val="1"/>
          <w:numId w:val="50"/>
        </w:numPr>
      </w:pPr>
      <w:bookmarkStart w:id="785" w:name="_Toc525122182"/>
      <w:r>
        <w:t>Property, plant and equipment</w:t>
      </w:r>
      <w:bookmarkEnd w:id="7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roperty, plant and equipment"/>
        <w:tblDescription w:val="This table outlines key data about property, plant and equipment as an asset for the year ending 30 June 2017. "/>
      </w:tblPr>
      <w:tblGrid>
        <w:gridCol w:w="2871"/>
        <w:gridCol w:w="991"/>
        <w:gridCol w:w="1333"/>
        <w:gridCol w:w="1261"/>
        <w:gridCol w:w="1520"/>
        <w:gridCol w:w="1040"/>
      </w:tblGrid>
      <w:tr w:rsidR="00DA3538" w14:paraId="7838AC97" w14:textId="77777777" w:rsidTr="00F11774">
        <w:trPr>
          <w:tblHeader/>
        </w:trPr>
        <w:tc>
          <w:tcPr>
            <w:tcW w:w="2871" w:type="dxa"/>
          </w:tcPr>
          <w:p w14:paraId="3C7693F0" w14:textId="3FB619EB" w:rsidR="00DA3538" w:rsidRPr="00DA3538" w:rsidRDefault="00DA3538" w:rsidP="00735CCA">
            <w:pPr>
              <w:rPr>
                <w:b/>
              </w:rPr>
            </w:pPr>
            <w:r>
              <w:rPr>
                <w:b/>
              </w:rPr>
              <w:t>Year ended 30 June 2017</w:t>
            </w:r>
          </w:p>
        </w:tc>
        <w:tc>
          <w:tcPr>
            <w:tcW w:w="991" w:type="dxa"/>
          </w:tcPr>
          <w:p w14:paraId="2C1643DE" w14:textId="09F604D8" w:rsidR="00DA3538" w:rsidRPr="00DA3538" w:rsidRDefault="00DA3538" w:rsidP="00DA3538">
            <w:pPr>
              <w:jc w:val="right"/>
              <w:rPr>
                <w:b/>
              </w:rPr>
            </w:pPr>
            <w:r>
              <w:rPr>
                <w:b/>
              </w:rPr>
              <w:t>Land</w:t>
            </w:r>
            <w:r>
              <w:rPr>
                <w:b/>
              </w:rPr>
              <w:br/>
              <w:t>$000</w:t>
            </w:r>
          </w:p>
        </w:tc>
        <w:tc>
          <w:tcPr>
            <w:tcW w:w="1333" w:type="dxa"/>
          </w:tcPr>
          <w:p w14:paraId="6D3661C7" w14:textId="3E24856C" w:rsidR="00DA3538" w:rsidRPr="00DA3538" w:rsidRDefault="00DA3538" w:rsidP="00DA3538">
            <w:pPr>
              <w:jc w:val="right"/>
              <w:rPr>
                <w:b/>
              </w:rPr>
            </w:pPr>
            <w:r>
              <w:rPr>
                <w:b/>
              </w:rPr>
              <w:t>Buildings</w:t>
            </w:r>
            <w:r>
              <w:rPr>
                <w:b/>
              </w:rPr>
              <w:br/>
              <w:t>$000</w:t>
            </w:r>
          </w:p>
        </w:tc>
        <w:tc>
          <w:tcPr>
            <w:tcW w:w="1261" w:type="dxa"/>
          </w:tcPr>
          <w:p w14:paraId="5A521018" w14:textId="1A1F477E" w:rsidR="00DA3538" w:rsidRPr="00DA3538" w:rsidRDefault="00DA3538" w:rsidP="00DA3538">
            <w:pPr>
              <w:jc w:val="right"/>
              <w:rPr>
                <w:b/>
              </w:rPr>
            </w:pPr>
            <w:r>
              <w:rPr>
                <w:b/>
              </w:rPr>
              <w:t>Work in Progress</w:t>
            </w:r>
            <w:r>
              <w:rPr>
                <w:b/>
              </w:rPr>
              <w:br/>
              <w:t>$000</w:t>
            </w:r>
          </w:p>
        </w:tc>
        <w:tc>
          <w:tcPr>
            <w:tcW w:w="1520" w:type="dxa"/>
          </w:tcPr>
          <w:p w14:paraId="19404BDA" w14:textId="3D067CA6" w:rsidR="00DA3538" w:rsidRPr="00DA3538" w:rsidRDefault="00DA3538" w:rsidP="00DA3538">
            <w:pPr>
              <w:jc w:val="right"/>
              <w:rPr>
                <w:b/>
              </w:rPr>
            </w:pPr>
            <w:r>
              <w:rPr>
                <w:b/>
              </w:rPr>
              <w:t>Plant, equipment and vehicles</w:t>
            </w:r>
            <w:r>
              <w:rPr>
                <w:b/>
              </w:rPr>
              <w:br/>
              <w:t>$000</w:t>
            </w:r>
          </w:p>
        </w:tc>
        <w:tc>
          <w:tcPr>
            <w:tcW w:w="1040" w:type="dxa"/>
          </w:tcPr>
          <w:p w14:paraId="52AAA995" w14:textId="3CE8B7E8" w:rsidR="00DA3538" w:rsidRPr="00DA3538" w:rsidRDefault="00DA3538" w:rsidP="00DA3538">
            <w:pPr>
              <w:jc w:val="right"/>
              <w:rPr>
                <w:b/>
              </w:rPr>
            </w:pPr>
            <w:r>
              <w:rPr>
                <w:b/>
              </w:rPr>
              <w:t>Total</w:t>
            </w:r>
            <w:r>
              <w:rPr>
                <w:b/>
              </w:rPr>
              <w:br/>
              <w:t>$000</w:t>
            </w:r>
          </w:p>
        </w:tc>
      </w:tr>
      <w:tr w:rsidR="00DA3538" w14:paraId="26DFC774" w14:textId="77777777" w:rsidTr="00DA3538">
        <w:tc>
          <w:tcPr>
            <w:tcW w:w="2871" w:type="dxa"/>
          </w:tcPr>
          <w:p w14:paraId="3142198A" w14:textId="0455BF72" w:rsidR="00DA3538" w:rsidRPr="00DA3538" w:rsidRDefault="00DA3538" w:rsidP="00735CCA">
            <w:pPr>
              <w:rPr>
                <w:b/>
              </w:rPr>
            </w:pPr>
            <w:r>
              <w:rPr>
                <w:b/>
              </w:rPr>
              <w:t>1 July 2016</w:t>
            </w:r>
          </w:p>
        </w:tc>
        <w:tc>
          <w:tcPr>
            <w:tcW w:w="991" w:type="dxa"/>
          </w:tcPr>
          <w:p w14:paraId="4FDA8033" w14:textId="77777777" w:rsidR="00DA3538" w:rsidRDefault="00DA3538" w:rsidP="00735CCA"/>
        </w:tc>
        <w:tc>
          <w:tcPr>
            <w:tcW w:w="1333" w:type="dxa"/>
          </w:tcPr>
          <w:p w14:paraId="0C74FFCB" w14:textId="77777777" w:rsidR="00DA3538" w:rsidRDefault="00DA3538" w:rsidP="00735CCA"/>
        </w:tc>
        <w:tc>
          <w:tcPr>
            <w:tcW w:w="1261" w:type="dxa"/>
          </w:tcPr>
          <w:p w14:paraId="7F85CB5C" w14:textId="77777777" w:rsidR="00DA3538" w:rsidRDefault="00DA3538" w:rsidP="00735CCA"/>
        </w:tc>
        <w:tc>
          <w:tcPr>
            <w:tcW w:w="1520" w:type="dxa"/>
          </w:tcPr>
          <w:p w14:paraId="4AD7869A" w14:textId="77777777" w:rsidR="00DA3538" w:rsidRDefault="00DA3538" w:rsidP="00735CCA"/>
        </w:tc>
        <w:tc>
          <w:tcPr>
            <w:tcW w:w="1040" w:type="dxa"/>
          </w:tcPr>
          <w:p w14:paraId="4953974A" w14:textId="77777777" w:rsidR="00DA3538" w:rsidRDefault="00DA3538" w:rsidP="00735CCA"/>
        </w:tc>
      </w:tr>
      <w:tr w:rsidR="00DA3538" w14:paraId="612C79F7" w14:textId="77777777" w:rsidTr="00DA3538">
        <w:tc>
          <w:tcPr>
            <w:tcW w:w="2871" w:type="dxa"/>
            <w:vAlign w:val="center"/>
          </w:tcPr>
          <w:p w14:paraId="71F3713F" w14:textId="38ED1572" w:rsidR="00DA3538" w:rsidRDefault="00DA3538" w:rsidP="00DA3538">
            <w:r>
              <w:t>Gross carrying amount</w:t>
            </w:r>
          </w:p>
        </w:tc>
        <w:tc>
          <w:tcPr>
            <w:tcW w:w="991" w:type="dxa"/>
            <w:vAlign w:val="bottom"/>
          </w:tcPr>
          <w:p w14:paraId="234C825D" w14:textId="770D9BC6" w:rsidR="00DA3538" w:rsidRDefault="00DA3538" w:rsidP="00DA3538">
            <w:pPr>
              <w:jc w:val="right"/>
            </w:pPr>
            <w:r>
              <w:t xml:space="preserve">           15,000 </w:t>
            </w:r>
          </w:p>
        </w:tc>
        <w:tc>
          <w:tcPr>
            <w:tcW w:w="1333" w:type="dxa"/>
            <w:vAlign w:val="bottom"/>
          </w:tcPr>
          <w:p w14:paraId="4931E2A8" w14:textId="601DFA02" w:rsidR="00DA3538" w:rsidRDefault="00DA3538" w:rsidP="00DA3538">
            <w:pPr>
              <w:jc w:val="right"/>
            </w:pPr>
            <w:r>
              <w:t xml:space="preserve">             2,500 </w:t>
            </w:r>
          </w:p>
        </w:tc>
        <w:tc>
          <w:tcPr>
            <w:tcW w:w="1261" w:type="dxa"/>
            <w:vAlign w:val="bottom"/>
          </w:tcPr>
          <w:p w14:paraId="19D11BB4" w14:textId="790CFAF6" w:rsidR="00DA3538" w:rsidRDefault="00DA3538" w:rsidP="00DA3538">
            <w:pPr>
              <w:jc w:val="right"/>
            </w:pPr>
            <w:r>
              <w:t xml:space="preserve">                   -   </w:t>
            </w:r>
          </w:p>
        </w:tc>
        <w:tc>
          <w:tcPr>
            <w:tcW w:w="1520" w:type="dxa"/>
            <w:vAlign w:val="bottom"/>
          </w:tcPr>
          <w:p w14:paraId="0620859C" w14:textId="0204A037" w:rsidR="00DA3538" w:rsidRDefault="00DA3538" w:rsidP="00DA3538">
            <w:pPr>
              <w:jc w:val="right"/>
            </w:pPr>
            <w:r>
              <w:t xml:space="preserve">                   3,349 </w:t>
            </w:r>
          </w:p>
        </w:tc>
        <w:tc>
          <w:tcPr>
            <w:tcW w:w="1040" w:type="dxa"/>
            <w:vAlign w:val="bottom"/>
          </w:tcPr>
          <w:p w14:paraId="28B27482" w14:textId="06830060" w:rsidR="00DA3538" w:rsidRDefault="00DA3538" w:rsidP="00DA3538">
            <w:pPr>
              <w:jc w:val="right"/>
            </w:pPr>
            <w:r>
              <w:t xml:space="preserve">         20,849 </w:t>
            </w:r>
          </w:p>
        </w:tc>
      </w:tr>
      <w:tr w:rsidR="00DA3538" w14:paraId="46B58413" w14:textId="77777777" w:rsidTr="00DA3538">
        <w:tc>
          <w:tcPr>
            <w:tcW w:w="2871" w:type="dxa"/>
            <w:vAlign w:val="center"/>
          </w:tcPr>
          <w:p w14:paraId="024FD14D" w14:textId="7A5C8011" w:rsidR="00DA3538" w:rsidRDefault="00DA3538" w:rsidP="00DA3538">
            <w:r>
              <w:t>Accumulated depreciation</w:t>
            </w:r>
          </w:p>
        </w:tc>
        <w:tc>
          <w:tcPr>
            <w:tcW w:w="991" w:type="dxa"/>
            <w:vAlign w:val="bottom"/>
          </w:tcPr>
          <w:p w14:paraId="4B1D1EE9" w14:textId="6AB224A9" w:rsidR="00DA3538" w:rsidRDefault="00DA3538" w:rsidP="00DA3538">
            <w:pPr>
              <w:jc w:val="right"/>
            </w:pPr>
            <w:r>
              <w:t xml:space="preserve">                  -   </w:t>
            </w:r>
          </w:p>
        </w:tc>
        <w:tc>
          <w:tcPr>
            <w:tcW w:w="1333" w:type="dxa"/>
            <w:vAlign w:val="bottom"/>
          </w:tcPr>
          <w:p w14:paraId="3737A35E" w14:textId="4F356AA9" w:rsidR="00DA3538" w:rsidRDefault="00DA3538" w:rsidP="00DA3538">
            <w:pPr>
              <w:jc w:val="right"/>
            </w:pPr>
            <w:r>
              <w:t xml:space="preserve">                  -   </w:t>
            </w:r>
          </w:p>
        </w:tc>
        <w:tc>
          <w:tcPr>
            <w:tcW w:w="1261" w:type="dxa"/>
            <w:vAlign w:val="bottom"/>
          </w:tcPr>
          <w:p w14:paraId="6C832C01" w14:textId="4F49A8F0" w:rsidR="00DA3538" w:rsidRDefault="00DA3538" w:rsidP="00DA3538">
            <w:pPr>
              <w:jc w:val="right"/>
            </w:pPr>
            <w:r>
              <w:t xml:space="preserve">                   -   </w:t>
            </w:r>
          </w:p>
        </w:tc>
        <w:tc>
          <w:tcPr>
            <w:tcW w:w="1520" w:type="dxa"/>
            <w:vAlign w:val="bottom"/>
          </w:tcPr>
          <w:p w14:paraId="7F3C20EA" w14:textId="57E2ED55" w:rsidR="00DA3538" w:rsidRDefault="00DA3538" w:rsidP="00DA3538">
            <w:pPr>
              <w:jc w:val="right"/>
            </w:pPr>
            <w:r>
              <w:t xml:space="preserve">                     (756)</w:t>
            </w:r>
          </w:p>
        </w:tc>
        <w:tc>
          <w:tcPr>
            <w:tcW w:w="1040" w:type="dxa"/>
            <w:vAlign w:val="bottom"/>
          </w:tcPr>
          <w:p w14:paraId="40C7A945" w14:textId="37B7B02B" w:rsidR="00DA3538" w:rsidRDefault="00DA3538" w:rsidP="00DA3538">
            <w:pPr>
              <w:jc w:val="right"/>
            </w:pPr>
            <w:r>
              <w:t xml:space="preserve">             (756)</w:t>
            </w:r>
          </w:p>
        </w:tc>
      </w:tr>
      <w:tr w:rsidR="00DA3538" w14:paraId="71CBB7A0" w14:textId="77777777" w:rsidTr="00DA3538">
        <w:tc>
          <w:tcPr>
            <w:tcW w:w="2871" w:type="dxa"/>
            <w:vAlign w:val="center"/>
          </w:tcPr>
          <w:p w14:paraId="3C9895BC" w14:textId="49A9FB38" w:rsidR="00DA3538" w:rsidRDefault="00DA3538" w:rsidP="00DA3538">
            <w:bookmarkStart w:id="786" w:name="RANGE!B24"/>
            <w:r>
              <w:rPr>
                <w:b/>
                <w:bCs/>
              </w:rPr>
              <w:t>Carrying amount at start of period</w:t>
            </w:r>
            <w:bookmarkEnd w:id="786"/>
          </w:p>
        </w:tc>
        <w:tc>
          <w:tcPr>
            <w:tcW w:w="991" w:type="dxa"/>
            <w:vAlign w:val="bottom"/>
          </w:tcPr>
          <w:p w14:paraId="44B5160D" w14:textId="1CEE36BE" w:rsidR="00DA3538" w:rsidRDefault="00DA3538" w:rsidP="00DA3538">
            <w:pPr>
              <w:jc w:val="right"/>
            </w:pPr>
            <w:r>
              <w:rPr>
                <w:b/>
                <w:bCs/>
              </w:rPr>
              <w:t xml:space="preserve">           15,000 </w:t>
            </w:r>
          </w:p>
        </w:tc>
        <w:tc>
          <w:tcPr>
            <w:tcW w:w="1333" w:type="dxa"/>
            <w:vAlign w:val="bottom"/>
          </w:tcPr>
          <w:p w14:paraId="721BD8DF" w14:textId="79B6D7AF" w:rsidR="00DA3538" w:rsidRDefault="00DA3538" w:rsidP="00DA3538">
            <w:pPr>
              <w:jc w:val="right"/>
            </w:pPr>
            <w:r>
              <w:rPr>
                <w:b/>
                <w:bCs/>
              </w:rPr>
              <w:t xml:space="preserve">             2,500 </w:t>
            </w:r>
          </w:p>
        </w:tc>
        <w:tc>
          <w:tcPr>
            <w:tcW w:w="1261" w:type="dxa"/>
            <w:vAlign w:val="bottom"/>
          </w:tcPr>
          <w:p w14:paraId="315BCF49" w14:textId="767D4B68" w:rsidR="00DA3538" w:rsidRDefault="00DA3538" w:rsidP="00DA3538">
            <w:pPr>
              <w:jc w:val="right"/>
            </w:pPr>
            <w:r>
              <w:rPr>
                <w:b/>
                <w:bCs/>
              </w:rPr>
              <w:t xml:space="preserve">                   -   </w:t>
            </w:r>
          </w:p>
        </w:tc>
        <w:tc>
          <w:tcPr>
            <w:tcW w:w="1520" w:type="dxa"/>
            <w:vAlign w:val="bottom"/>
          </w:tcPr>
          <w:p w14:paraId="2A2BE921" w14:textId="3FC2D848" w:rsidR="00DA3538" w:rsidRDefault="00DA3538" w:rsidP="00DA3538">
            <w:pPr>
              <w:jc w:val="right"/>
            </w:pPr>
            <w:r>
              <w:rPr>
                <w:b/>
                <w:bCs/>
              </w:rPr>
              <w:t xml:space="preserve">                   2,593 </w:t>
            </w:r>
          </w:p>
        </w:tc>
        <w:tc>
          <w:tcPr>
            <w:tcW w:w="1040" w:type="dxa"/>
            <w:vAlign w:val="bottom"/>
          </w:tcPr>
          <w:p w14:paraId="719B6702" w14:textId="30F0139B" w:rsidR="00DA3538" w:rsidRDefault="00DA3538" w:rsidP="00DA3538">
            <w:pPr>
              <w:jc w:val="right"/>
            </w:pPr>
            <w:r>
              <w:rPr>
                <w:b/>
                <w:bCs/>
              </w:rPr>
              <w:t xml:space="preserve">         20,093 </w:t>
            </w:r>
          </w:p>
        </w:tc>
      </w:tr>
      <w:tr w:rsidR="00DA3538" w14:paraId="39A5054C" w14:textId="77777777" w:rsidTr="00DA3538">
        <w:tc>
          <w:tcPr>
            <w:tcW w:w="2871" w:type="dxa"/>
            <w:vAlign w:val="bottom"/>
          </w:tcPr>
          <w:p w14:paraId="2F5077BA" w14:textId="1543313D" w:rsidR="00DA3538" w:rsidRDefault="00DA3538" w:rsidP="00DA3538">
            <w:r>
              <w:t>Additions</w:t>
            </w:r>
          </w:p>
        </w:tc>
        <w:tc>
          <w:tcPr>
            <w:tcW w:w="991" w:type="dxa"/>
            <w:vAlign w:val="bottom"/>
          </w:tcPr>
          <w:p w14:paraId="3D0DE520" w14:textId="086A2014" w:rsidR="00DA3538" w:rsidRDefault="00DA3538" w:rsidP="00DA3538">
            <w:pPr>
              <w:jc w:val="right"/>
            </w:pPr>
            <w:r>
              <w:t xml:space="preserve">                  -   </w:t>
            </w:r>
          </w:p>
        </w:tc>
        <w:tc>
          <w:tcPr>
            <w:tcW w:w="1333" w:type="dxa"/>
            <w:vAlign w:val="bottom"/>
          </w:tcPr>
          <w:p w14:paraId="591BCC33" w14:textId="6A5D4EEB" w:rsidR="00DA3538" w:rsidRDefault="00DA3538" w:rsidP="00DA3538">
            <w:pPr>
              <w:jc w:val="right"/>
            </w:pPr>
            <w:r>
              <w:t xml:space="preserve">                  -   </w:t>
            </w:r>
          </w:p>
        </w:tc>
        <w:tc>
          <w:tcPr>
            <w:tcW w:w="1261" w:type="dxa"/>
            <w:vAlign w:val="bottom"/>
          </w:tcPr>
          <w:p w14:paraId="1A75969F" w14:textId="18A97B4B" w:rsidR="00DA3538" w:rsidRDefault="00DA3538" w:rsidP="00DA3538">
            <w:pPr>
              <w:jc w:val="right"/>
            </w:pPr>
            <w:r>
              <w:t xml:space="preserve">                   -   </w:t>
            </w:r>
          </w:p>
        </w:tc>
        <w:tc>
          <w:tcPr>
            <w:tcW w:w="1520" w:type="dxa"/>
            <w:vAlign w:val="bottom"/>
          </w:tcPr>
          <w:p w14:paraId="2C20204A" w14:textId="38EBB1A1" w:rsidR="00DA3538" w:rsidRDefault="00DA3538" w:rsidP="00DA3538">
            <w:pPr>
              <w:jc w:val="right"/>
            </w:pPr>
            <w:r>
              <w:t xml:space="preserve">                      173 </w:t>
            </w:r>
          </w:p>
        </w:tc>
        <w:tc>
          <w:tcPr>
            <w:tcW w:w="1040" w:type="dxa"/>
            <w:vAlign w:val="bottom"/>
          </w:tcPr>
          <w:p w14:paraId="67837825" w14:textId="450A4EF8" w:rsidR="00DA3538" w:rsidRDefault="00DA3538" w:rsidP="00DA3538">
            <w:pPr>
              <w:jc w:val="right"/>
            </w:pPr>
            <w:r>
              <w:t xml:space="preserve">              173 </w:t>
            </w:r>
          </w:p>
        </w:tc>
      </w:tr>
      <w:tr w:rsidR="00DA3538" w14:paraId="0A2F7316" w14:textId="77777777" w:rsidTr="00DA3538">
        <w:tc>
          <w:tcPr>
            <w:tcW w:w="2871" w:type="dxa"/>
            <w:vAlign w:val="bottom"/>
          </w:tcPr>
          <w:p w14:paraId="0AC916FE" w14:textId="4DC4B02D" w:rsidR="00DA3538" w:rsidRDefault="00DA3538" w:rsidP="00DA3538">
            <w:r>
              <w:t>Transfers</w:t>
            </w:r>
          </w:p>
        </w:tc>
        <w:tc>
          <w:tcPr>
            <w:tcW w:w="991" w:type="dxa"/>
            <w:vAlign w:val="bottom"/>
          </w:tcPr>
          <w:p w14:paraId="5F83D4B4" w14:textId="77777777" w:rsidR="00DA3538" w:rsidRDefault="00DA3538" w:rsidP="00DA3538">
            <w:pPr>
              <w:jc w:val="right"/>
            </w:pPr>
          </w:p>
        </w:tc>
        <w:tc>
          <w:tcPr>
            <w:tcW w:w="1333" w:type="dxa"/>
            <w:vAlign w:val="bottom"/>
          </w:tcPr>
          <w:p w14:paraId="5F83F3B3" w14:textId="378465FF" w:rsidR="00DA3538" w:rsidRDefault="00DA3538" w:rsidP="00DA3538">
            <w:pPr>
              <w:jc w:val="right"/>
            </w:pPr>
            <w:r>
              <w:t> </w:t>
            </w:r>
          </w:p>
        </w:tc>
        <w:tc>
          <w:tcPr>
            <w:tcW w:w="1261" w:type="dxa"/>
            <w:vAlign w:val="bottom"/>
          </w:tcPr>
          <w:p w14:paraId="642912F6" w14:textId="6D49C2AC" w:rsidR="00DA3538" w:rsidRDefault="00DA3538" w:rsidP="00DA3538">
            <w:pPr>
              <w:jc w:val="right"/>
            </w:pPr>
            <w:r>
              <w:t xml:space="preserve">                   -   </w:t>
            </w:r>
          </w:p>
        </w:tc>
        <w:tc>
          <w:tcPr>
            <w:tcW w:w="1520" w:type="dxa"/>
            <w:vAlign w:val="bottom"/>
          </w:tcPr>
          <w:p w14:paraId="16C947A7" w14:textId="41BE34EC" w:rsidR="00DA3538" w:rsidRDefault="00DA3538" w:rsidP="00DA3538">
            <w:pPr>
              <w:jc w:val="right"/>
            </w:pPr>
            <w:r>
              <w:t xml:space="preserve">                        -   </w:t>
            </w:r>
          </w:p>
        </w:tc>
        <w:tc>
          <w:tcPr>
            <w:tcW w:w="1040" w:type="dxa"/>
            <w:vAlign w:val="bottom"/>
          </w:tcPr>
          <w:p w14:paraId="42CE94CE" w14:textId="39012610" w:rsidR="00DA3538" w:rsidRDefault="00DA3538" w:rsidP="00DA3538">
            <w:pPr>
              <w:jc w:val="right"/>
            </w:pPr>
            <w:r>
              <w:t xml:space="preserve">                -   </w:t>
            </w:r>
          </w:p>
        </w:tc>
      </w:tr>
      <w:tr w:rsidR="00DA3538" w14:paraId="5AF85470" w14:textId="77777777" w:rsidTr="00DA3538">
        <w:tc>
          <w:tcPr>
            <w:tcW w:w="2871" w:type="dxa"/>
            <w:vAlign w:val="bottom"/>
          </w:tcPr>
          <w:p w14:paraId="595EDB12" w14:textId="0DA77EF9" w:rsidR="00DA3538" w:rsidRDefault="00DA3538" w:rsidP="00DA3538">
            <w:r>
              <w:t>Disposals</w:t>
            </w:r>
          </w:p>
        </w:tc>
        <w:tc>
          <w:tcPr>
            <w:tcW w:w="991" w:type="dxa"/>
            <w:vAlign w:val="bottom"/>
          </w:tcPr>
          <w:p w14:paraId="270737B4" w14:textId="7C1E15F7" w:rsidR="00DA3538" w:rsidRDefault="00DA3538" w:rsidP="00DA3538">
            <w:pPr>
              <w:jc w:val="right"/>
            </w:pPr>
            <w:r>
              <w:t xml:space="preserve">                  -   </w:t>
            </w:r>
          </w:p>
        </w:tc>
        <w:tc>
          <w:tcPr>
            <w:tcW w:w="1333" w:type="dxa"/>
            <w:vAlign w:val="bottom"/>
          </w:tcPr>
          <w:p w14:paraId="5AF0B906" w14:textId="293DA2FD" w:rsidR="00DA3538" w:rsidRDefault="00DA3538" w:rsidP="00DA3538">
            <w:pPr>
              <w:jc w:val="right"/>
            </w:pPr>
            <w:r>
              <w:t xml:space="preserve">                  -   </w:t>
            </w:r>
          </w:p>
        </w:tc>
        <w:tc>
          <w:tcPr>
            <w:tcW w:w="1261" w:type="dxa"/>
            <w:vAlign w:val="bottom"/>
          </w:tcPr>
          <w:p w14:paraId="5FF703B4" w14:textId="3CA279EF" w:rsidR="00DA3538" w:rsidRDefault="00DA3538" w:rsidP="00DA3538">
            <w:pPr>
              <w:jc w:val="right"/>
            </w:pPr>
            <w:r>
              <w:t xml:space="preserve">                   -   </w:t>
            </w:r>
          </w:p>
        </w:tc>
        <w:tc>
          <w:tcPr>
            <w:tcW w:w="1520" w:type="dxa"/>
            <w:vAlign w:val="bottom"/>
          </w:tcPr>
          <w:p w14:paraId="2255F924" w14:textId="402C9E3D" w:rsidR="00DA3538" w:rsidRDefault="00DA3538" w:rsidP="00DA3538">
            <w:pPr>
              <w:jc w:val="right"/>
            </w:pPr>
            <w:r>
              <w:t xml:space="preserve">                       (91)</w:t>
            </w:r>
          </w:p>
        </w:tc>
        <w:tc>
          <w:tcPr>
            <w:tcW w:w="1040" w:type="dxa"/>
            <w:vAlign w:val="bottom"/>
          </w:tcPr>
          <w:p w14:paraId="5743B15E" w14:textId="0ABF70E4" w:rsidR="00DA3538" w:rsidRDefault="00DA3538" w:rsidP="00DA3538">
            <w:pPr>
              <w:jc w:val="right"/>
            </w:pPr>
            <w:r>
              <w:t xml:space="preserve">               (91)</w:t>
            </w:r>
          </w:p>
        </w:tc>
      </w:tr>
      <w:tr w:rsidR="00DA3538" w14:paraId="34C9AE18" w14:textId="77777777" w:rsidTr="00DA3538">
        <w:tc>
          <w:tcPr>
            <w:tcW w:w="2871" w:type="dxa"/>
            <w:vAlign w:val="bottom"/>
          </w:tcPr>
          <w:p w14:paraId="03CC3F1B" w14:textId="6DBEDB04" w:rsidR="00DA3538" w:rsidRDefault="00DA3538" w:rsidP="00DA3538">
            <w:r>
              <w:t>Revaluation increments/(decrements)</w:t>
            </w:r>
          </w:p>
        </w:tc>
        <w:tc>
          <w:tcPr>
            <w:tcW w:w="991" w:type="dxa"/>
            <w:vAlign w:val="bottom"/>
          </w:tcPr>
          <w:p w14:paraId="4D9DB04C" w14:textId="6D5A8F6D" w:rsidR="00DA3538" w:rsidRDefault="00DA3538" w:rsidP="00DA3538">
            <w:pPr>
              <w:jc w:val="right"/>
            </w:pPr>
            <w:r>
              <w:t xml:space="preserve">            (1,200)</w:t>
            </w:r>
          </w:p>
        </w:tc>
        <w:tc>
          <w:tcPr>
            <w:tcW w:w="1333" w:type="dxa"/>
            <w:vAlign w:val="bottom"/>
          </w:tcPr>
          <w:p w14:paraId="35812402" w14:textId="463D3611" w:rsidR="00DA3538" w:rsidRDefault="00DA3538" w:rsidP="00DA3538">
            <w:pPr>
              <w:jc w:val="right"/>
            </w:pPr>
            <w:r>
              <w:t xml:space="preserve">               (627)</w:t>
            </w:r>
          </w:p>
        </w:tc>
        <w:tc>
          <w:tcPr>
            <w:tcW w:w="1261" w:type="dxa"/>
            <w:vAlign w:val="bottom"/>
          </w:tcPr>
          <w:p w14:paraId="364F36BF" w14:textId="3550128D" w:rsidR="00DA3538" w:rsidRDefault="00DA3538" w:rsidP="00DA3538">
            <w:pPr>
              <w:jc w:val="right"/>
            </w:pPr>
            <w:r>
              <w:t xml:space="preserve">                   -   </w:t>
            </w:r>
          </w:p>
        </w:tc>
        <w:tc>
          <w:tcPr>
            <w:tcW w:w="1520" w:type="dxa"/>
            <w:vAlign w:val="bottom"/>
          </w:tcPr>
          <w:p w14:paraId="17F404F2" w14:textId="5BE48609" w:rsidR="00DA3538" w:rsidRDefault="00DA3538" w:rsidP="00DA3538">
            <w:pPr>
              <w:jc w:val="right"/>
            </w:pPr>
            <w:r>
              <w:t xml:space="preserve">                        -   </w:t>
            </w:r>
          </w:p>
        </w:tc>
        <w:tc>
          <w:tcPr>
            <w:tcW w:w="1040" w:type="dxa"/>
            <w:vAlign w:val="bottom"/>
          </w:tcPr>
          <w:p w14:paraId="076E7D4D" w14:textId="68F6E6CD" w:rsidR="00DA3538" w:rsidRDefault="00DA3538" w:rsidP="00DA3538">
            <w:pPr>
              <w:jc w:val="right"/>
            </w:pPr>
            <w:r>
              <w:t xml:space="preserve">          (1,827)</w:t>
            </w:r>
          </w:p>
        </w:tc>
      </w:tr>
      <w:tr w:rsidR="00DA3538" w14:paraId="759737FF" w14:textId="77777777" w:rsidTr="00DA3538">
        <w:tc>
          <w:tcPr>
            <w:tcW w:w="2871" w:type="dxa"/>
            <w:vAlign w:val="bottom"/>
          </w:tcPr>
          <w:p w14:paraId="38288E42" w14:textId="4DE50A02" w:rsidR="00DA3538" w:rsidRDefault="00DA3538" w:rsidP="00DA3538">
            <w:r>
              <w:t xml:space="preserve">Depreciation </w:t>
            </w:r>
          </w:p>
        </w:tc>
        <w:tc>
          <w:tcPr>
            <w:tcW w:w="991" w:type="dxa"/>
            <w:tcBorders>
              <w:bottom w:val="single" w:sz="4" w:space="0" w:color="auto"/>
            </w:tcBorders>
            <w:vAlign w:val="bottom"/>
          </w:tcPr>
          <w:p w14:paraId="06E65505" w14:textId="63013703" w:rsidR="00DA3538" w:rsidRDefault="00DA3538" w:rsidP="00DA3538">
            <w:pPr>
              <w:jc w:val="right"/>
            </w:pPr>
            <w:r>
              <w:t xml:space="preserve">                  -   </w:t>
            </w:r>
          </w:p>
        </w:tc>
        <w:tc>
          <w:tcPr>
            <w:tcW w:w="1333" w:type="dxa"/>
            <w:tcBorders>
              <w:bottom w:val="single" w:sz="4" w:space="0" w:color="auto"/>
            </w:tcBorders>
            <w:vAlign w:val="bottom"/>
          </w:tcPr>
          <w:p w14:paraId="4D584887" w14:textId="40A8678D" w:rsidR="00DA3538" w:rsidRDefault="00DA3538" w:rsidP="00DA3538">
            <w:pPr>
              <w:jc w:val="right"/>
            </w:pPr>
            <w:r>
              <w:t xml:space="preserve">               (173)</w:t>
            </w:r>
          </w:p>
        </w:tc>
        <w:tc>
          <w:tcPr>
            <w:tcW w:w="1261" w:type="dxa"/>
            <w:tcBorders>
              <w:bottom w:val="single" w:sz="4" w:space="0" w:color="auto"/>
            </w:tcBorders>
            <w:vAlign w:val="bottom"/>
          </w:tcPr>
          <w:p w14:paraId="4EE34739" w14:textId="1799508F" w:rsidR="00DA3538" w:rsidRDefault="00DA3538" w:rsidP="00DA3538">
            <w:pPr>
              <w:jc w:val="right"/>
            </w:pPr>
            <w:r>
              <w:t xml:space="preserve">                   -   </w:t>
            </w:r>
          </w:p>
        </w:tc>
        <w:tc>
          <w:tcPr>
            <w:tcW w:w="1520" w:type="dxa"/>
            <w:tcBorders>
              <w:bottom w:val="single" w:sz="4" w:space="0" w:color="auto"/>
            </w:tcBorders>
            <w:vAlign w:val="bottom"/>
          </w:tcPr>
          <w:p w14:paraId="003029EE" w14:textId="6FB44A99" w:rsidR="00DA3538" w:rsidRDefault="00DA3538" w:rsidP="00DA3538">
            <w:pPr>
              <w:jc w:val="right"/>
            </w:pPr>
            <w:r>
              <w:t xml:space="preserve">                     (393)</w:t>
            </w:r>
          </w:p>
        </w:tc>
        <w:tc>
          <w:tcPr>
            <w:tcW w:w="1040" w:type="dxa"/>
            <w:tcBorders>
              <w:bottom w:val="single" w:sz="4" w:space="0" w:color="auto"/>
            </w:tcBorders>
            <w:vAlign w:val="bottom"/>
          </w:tcPr>
          <w:p w14:paraId="52C5493B" w14:textId="729EC8D0" w:rsidR="00DA3538" w:rsidRDefault="00DA3538" w:rsidP="00DA3538">
            <w:pPr>
              <w:jc w:val="right"/>
            </w:pPr>
            <w:r>
              <w:t xml:space="preserve">             (566)</w:t>
            </w:r>
          </w:p>
        </w:tc>
      </w:tr>
      <w:tr w:rsidR="00DA3538" w14:paraId="587BE4C2" w14:textId="77777777" w:rsidTr="00DA3538">
        <w:tc>
          <w:tcPr>
            <w:tcW w:w="2871" w:type="dxa"/>
            <w:vAlign w:val="bottom"/>
          </w:tcPr>
          <w:p w14:paraId="454C1883" w14:textId="66BDDBBF" w:rsidR="00DA3538" w:rsidRDefault="00DA3538" w:rsidP="00DA3538">
            <w:r>
              <w:rPr>
                <w:b/>
                <w:bCs/>
              </w:rPr>
              <w:t>Carrying amount at 30 June 2017</w:t>
            </w:r>
          </w:p>
        </w:tc>
        <w:tc>
          <w:tcPr>
            <w:tcW w:w="991" w:type="dxa"/>
            <w:tcBorders>
              <w:top w:val="single" w:sz="4" w:space="0" w:color="auto"/>
              <w:bottom w:val="double" w:sz="4" w:space="0" w:color="auto"/>
            </w:tcBorders>
            <w:vAlign w:val="bottom"/>
          </w:tcPr>
          <w:p w14:paraId="13554291" w14:textId="508ACFDE" w:rsidR="00DA3538" w:rsidRDefault="00DA3538" w:rsidP="00DA3538">
            <w:pPr>
              <w:jc w:val="right"/>
            </w:pPr>
            <w:r>
              <w:rPr>
                <w:b/>
                <w:bCs/>
              </w:rPr>
              <w:t xml:space="preserve">           13,800 </w:t>
            </w:r>
          </w:p>
        </w:tc>
        <w:tc>
          <w:tcPr>
            <w:tcW w:w="1333" w:type="dxa"/>
            <w:tcBorders>
              <w:top w:val="single" w:sz="4" w:space="0" w:color="auto"/>
              <w:bottom w:val="double" w:sz="4" w:space="0" w:color="auto"/>
            </w:tcBorders>
            <w:vAlign w:val="bottom"/>
          </w:tcPr>
          <w:p w14:paraId="48E77A82" w14:textId="78555EAC" w:rsidR="00DA3538" w:rsidRDefault="00DA3538" w:rsidP="00DA3538">
            <w:pPr>
              <w:jc w:val="right"/>
            </w:pPr>
            <w:r>
              <w:rPr>
                <w:b/>
                <w:bCs/>
              </w:rPr>
              <w:t xml:space="preserve">             1,700 </w:t>
            </w:r>
          </w:p>
        </w:tc>
        <w:tc>
          <w:tcPr>
            <w:tcW w:w="1261" w:type="dxa"/>
            <w:tcBorders>
              <w:top w:val="single" w:sz="4" w:space="0" w:color="auto"/>
              <w:bottom w:val="double" w:sz="4" w:space="0" w:color="auto"/>
            </w:tcBorders>
            <w:vAlign w:val="bottom"/>
          </w:tcPr>
          <w:p w14:paraId="7353B227" w14:textId="7E1DE351" w:rsidR="00DA3538" w:rsidRDefault="00DA3538" w:rsidP="00DA3538">
            <w:pPr>
              <w:jc w:val="right"/>
            </w:pPr>
            <w:r>
              <w:rPr>
                <w:b/>
                <w:bCs/>
              </w:rPr>
              <w:t xml:space="preserve">                   -   </w:t>
            </w:r>
          </w:p>
        </w:tc>
        <w:tc>
          <w:tcPr>
            <w:tcW w:w="1520" w:type="dxa"/>
            <w:tcBorders>
              <w:top w:val="single" w:sz="4" w:space="0" w:color="auto"/>
              <w:bottom w:val="double" w:sz="4" w:space="0" w:color="auto"/>
            </w:tcBorders>
            <w:vAlign w:val="bottom"/>
          </w:tcPr>
          <w:p w14:paraId="6CE675B4" w14:textId="5BA69DEC" w:rsidR="00DA3538" w:rsidRDefault="00DA3538" w:rsidP="00DA3538">
            <w:pPr>
              <w:jc w:val="right"/>
            </w:pPr>
            <w:r>
              <w:rPr>
                <w:b/>
                <w:bCs/>
              </w:rPr>
              <w:t xml:space="preserve">                   2,282 </w:t>
            </w:r>
          </w:p>
        </w:tc>
        <w:tc>
          <w:tcPr>
            <w:tcW w:w="1040" w:type="dxa"/>
            <w:tcBorders>
              <w:top w:val="single" w:sz="4" w:space="0" w:color="auto"/>
              <w:bottom w:val="double" w:sz="4" w:space="0" w:color="auto"/>
            </w:tcBorders>
            <w:vAlign w:val="bottom"/>
          </w:tcPr>
          <w:p w14:paraId="603E7E30" w14:textId="22055E8C" w:rsidR="00DA3538" w:rsidRDefault="00DA3538" w:rsidP="00DA3538">
            <w:pPr>
              <w:jc w:val="right"/>
            </w:pPr>
            <w:r>
              <w:rPr>
                <w:b/>
                <w:bCs/>
              </w:rPr>
              <w:t xml:space="preserve">         17,782 </w:t>
            </w:r>
          </w:p>
        </w:tc>
      </w:tr>
    </w:tbl>
    <w:p w14:paraId="5DF690EF" w14:textId="77777777" w:rsidR="00735CCA" w:rsidRDefault="00735CCA" w:rsidP="00735C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roperty, plant and equipment"/>
        <w:tblDescription w:val="This table outlines key data about property, plant and equipment as an asset for the year ending 30 June 2018. "/>
      </w:tblPr>
      <w:tblGrid>
        <w:gridCol w:w="2871"/>
        <w:gridCol w:w="1077"/>
        <w:gridCol w:w="1310"/>
        <w:gridCol w:w="1271"/>
        <w:gridCol w:w="1520"/>
        <w:gridCol w:w="977"/>
      </w:tblGrid>
      <w:tr w:rsidR="000B3F5B" w14:paraId="7E255277" w14:textId="77777777" w:rsidTr="00F11774">
        <w:trPr>
          <w:tblHeader/>
        </w:trPr>
        <w:tc>
          <w:tcPr>
            <w:tcW w:w="2871" w:type="dxa"/>
          </w:tcPr>
          <w:p w14:paraId="0C79C954" w14:textId="51561441" w:rsidR="000B3F5B" w:rsidRPr="000B3F5B" w:rsidRDefault="000B3F5B" w:rsidP="000B3F5B">
            <w:pPr>
              <w:rPr>
                <w:b/>
              </w:rPr>
            </w:pPr>
            <w:r>
              <w:rPr>
                <w:b/>
              </w:rPr>
              <w:t>Year ended 30 June 2018</w:t>
            </w:r>
          </w:p>
        </w:tc>
        <w:tc>
          <w:tcPr>
            <w:tcW w:w="1077" w:type="dxa"/>
          </w:tcPr>
          <w:p w14:paraId="372D5057" w14:textId="296E4065" w:rsidR="000B3F5B" w:rsidRDefault="000B3F5B" w:rsidP="000B3F5B">
            <w:r>
              <w:rPr>
                <w:b/>
              </w:rPr>
              <w:t>Land</w:t>
            </w:r>
            <w:r>
              <w:rPr>
                <w:b/>
              </w:rPr>
              <w:br/>
              <w:t>$000</w:t>
            </w:r>
          </w:p>
        </w:tc>
        <w:tc>
          <w:tcPr>
            <w:tcW w:w="1310" w:type="dxa"/>
          </w:tcPr>
          <w:p w14:paraId="606FF59E" w14:textId="05A93C3C" w:rsidR="000B3F5B" w:rsidRDefault="000B3F5B" w:rsidP="000B3F5B">
            <w:r>
              <w:rPr>
                <w:b/>
              </w:rPr>
              <w:t>Buildings</w:t>
            </w:r>
            <w:r>
              <w:rPr>
                <w:b/>
              </w:rPr>
              <w:br/>
              <w:t>$000</w:t>
            </w:r>
          </w:p>
        </w:tc>
        <w:tc>
          <w:tcPr>
            <w:tcW w:w="1271" w:type="dxa"/>
          </w:tcPr>
          <w:p w14:paraId="422E8A56" w14:textId="48787F98" w:rsidR="000B3F5B" w:rsidRDefault="000B3F5B" w:rsidP="000B3F5B">
            <w:r>
              <w:rPr>
                <w:b/>
              </w:rPr>
              <w:t>Work in Progress</w:t>
            </w:r>
            <w:r>
              <w:rPr>
                <w:b/>
              </w:rPr>
              <w:br/>
              <w:t>$000</w:t>
            </w:r>
          </w:p>
        </w:tc>
        <w:tc>
          <w:tcPr>
            <w:tcW w:w="1520" w:type="dxa"/>
          </w:tcPr>
          <w:p w14:paraId="0E7DDA37" w14:textId="51C3D417" w:rsidR="000B3F5B" w:rsidRDefault="000B3F5B" w:rsidP="000B3F5B">
            <w:r>
              <w:rPr>
                <w:b/>
              </w:rPr>
              <w:t>Plant, equipment and vehicles</w:t>
            </w:r>
            <w:r>
              <w:rPr>
                <w:b/>
              </w:rPr>
              <w:br/>
              <w:t>$000</w:t>
            </w:r>
          </w:p>
        </w:tc>
        <w:tc>
          <w:tcPr>
            <w:tcW w:w="977" w:type="dxa"/>
          </w:tcPr>
          <w:p w14:paraId="0D2922B6" w14:textId="60AC6972" w:rsidR="000B3F5B" w:rsidRDefault="000B3F5B" w:rsidP="000B3F5B">
            <w:r>
              <w:rPr>
                <w:b/>
              </w:rPr>
              <w:t>Total</w:t>
            </w:r>
            <w:r>
              <w:rPr>
                <w:b/>
              </w:rPr>
              <w:br/>
              <w:t>$000</w:t>
            </w:r>
          </w:p>
        </w:tc>
      </w:tr>
      <w:tr w:rsidR="000B3F5B" w14:paraId="44E7E94E" w14:textId="77777777" w:rsidTr="000B3F5B">
        <w:tc>
          <w:tcPr>
            <w:tcW w:w="2871" w:type="dxa"/>
            <w:vAlign w:val="center"/>
          </w:tcPr>
          <w:p w14:paraId="78D9A1D4" w14:textId="6E53D348" w:rsidR="000B3F5B" w:rsidRPr="000B3F5B" w:rsidRDefault="000B3F5B" w:rsidP="000B3F5B">
            <w:pPr>
              <w:rPr>
                <w:b/>
              </w:rPr>
            </w:pPr>
            <w:r w:rsidRPr="000B3F5B">
              <w:rPr>
                <w:b/>
              </w:rPr>
              <w:t>1 July 2017</w:t>
            </w:r>
          </w:p>
        </w:tc>
        <w:tc>
          <w:tcPr>
            <w:tcW w:w="1077" w:type="dxa"/>
            <w:vAlign w:val="bottom"/>
          </w:tcPr>
          <w:p w14:paraId="502232EF" w14:textId="09F9CD35" w:rsidR="000B3F5B" w:rsidRDefault="000B3F5B" w:rsidP="000B3F5B">
            <w:pPr>
              <w:jc w:val="right"/>
            </w:pPr>
          </w:p>
        </w:tc>
        <w:tc>
          <w:tcPr>
            <w:tcW w:w="1310" w:type="dxa"/>
            <w:vAlign w:val="bottom"/>
          </w:tcPr>
          <w:p w14:paraId="4B08CA79" w14:textId="38D62297" w:rsidR="000B3F5B" w:rsidRDefault="000B3F5B" w:rsidP="000B3F5B">
            <w:pPr>
              <w:jc w:val="right"/>
            </w:pPr>
          </w:p>
        </w:tc>
        <w:tc>
          <w:tcPr>
            <w:tcW w:w="1271" w:type="dxa"/>
            <w:vAlign w:val="bottom"/>
          </w:tcPr>
          <w:p w14:paraId="2B4C6105" w14:textId="6C55F648" w:rsidR="000B3F5B" w:rsidRDefault="000B3F5B" w:rsidP="000B3F5B">
            <w:pPr>
              <w:jc w:val="right"/>
            </w:pPr>
          </w:p>
        </w:tc>
        <w:tc>
          <w:tcPr>
            <w:tcW w:w="1520" w:type="dxa"/>
            <w:vAlign w:val="bottom"/>
          </w:tcPr>
          <w:p w14:paraId="2C32C739" w14:textId="43F6C0F9" w:rsidR="000B3F5B" w:rsidRDefault="000B3F5B" w:rsidP="000B3F5B">
            <w:pPr>
              <w:jc w:val="right"/>
            </w:pPr>
          </w:p>
        </w:tc>
        <w:tc>
          <w:tcPr>
            <w:tcW w:w="977" w:type="dxa"/>
            <w:vAlign w:val="bottom"/>
          </w:tcPr>
          <w:p w14:paraId="33119758" w14:textId="6C02D6C9" w:rsidR="000B3F5B" w:rsidRDefault="000B3F5B" w:rsidP="000B3F5B">
            <w:pPr>
              <w:jc w:val="right"/>
            </w:pPr>
          </w:p>
        </w:tc>
      </w:tr>
      <w:tr w:rsidR="000B3F5B" w14:paraId="36BE5AD9" w14:textId="77777777" w:rsidTr="000B3F5B">
        <w:tc>
          <w:tcPr>
            <w:tcW w:w="2871" w:type="dxa"/>
            <w:vAlign w:val="bottom"/>
          </w:tcPr>
          <w:p w14:paraId="0FEE231D" w14:textId="0B2B938A" w:rsidR="000B3F5B" w:rsidRDefault="000B3F5B" w:rsidP="000B3F5B">
            <w:r>
              <w:t>Gross carrying amount</w:t>
            </w:r>
          </w:p>
        </w:tc>
        <w:tc>
          <w:tcPr>
            <w:tcW w:w="1077" w:type="dxa"/>
            <w:vAlign w:val="bottom"/>
          </w:tcPr>
          <w:p w14:paraId="3DC5D7D7" w14:textId="0CE27327" w:rsidR="000B3F5B" w:rsidRDefault="000B3F5B" w:rsidP="000B3F5B">
            <w:pPr>
              <w:jc w:val="right"/>
            </w:pPr>
            <w:r>
              <w:t xml:space="preserve">           13,800 </w:t>
            </w:r>
          </w:p>
        </w:tc>
        <w:tc>
          <w:tcPr>
            <w:tcW w:w="1310" w:type="dxa"/>
            <w:vAlign w:val="bottom"/>
          </w:tcPr>
          <w:p w14:paraId="69F637CF" w14:textId="66685E2E" w:rsidR="000B3F5B" w:rsidRDefault="000B3F5B" w:rsidP="000B3F5B">
            <w:pPr>
              <w:jc w:val="right"/>
            </w:pPr>
            <w:r>
              <w:t xml:space="preserve">             1,700 </w:t>
            </w:r>
          </w:p>
        </w:tc>
        <w:tc>
          <w:tcPr>
            <w:tcW w:w="1271" w:type="dxa"/>
            <w:vAlign w:val="bottom"/>
          </w:tcPr>
          <w:p w14:paraId="25C7DED6" w14:textId="4CF201B2" w:rsidR="000B3F5B" w:rsidRDefault="000B3F5B" w:rsidP="000B3F5B">
            <w:pPr>
              <w:jc w:val="right"/>
            </w:pPr>
            <w:r>
              <w:t xml:space="preserve">                   -   </w:t>
            </w:r>
          </w:p>
        </w:tc>
        <w:tc>
          <w:tcPr>
            <w:tcW w:w="1520" w:type="dxa"/>
            <w:vAlign w:val="bottom"/>
          </w:tcPr>
          <w:p w14:paraId="7FBC7B06" w14:textId="7B37F495" w:rsidR="000B3F5B" w:rsidRDefault="000B3F5B" w:rsidP="000B3F5B">
            <w:pPr>
              <w:jc w:val="right"/>
            </w:pPr>
            <w:r>
              <w:t xml:space="preserve">                   3,353 </w:t>
            </w:r>
          </w:p>
        </w:tc>
        <w:tc>
          <w:tcPr>
            <w:tcW w:w="977" w:type="dxa"/>
            <w:vAlign w:val="bottom"/>
          </w:tcPr>
          <w:p w14:paraId="7CC899B9" w14:textId="2CAF000D" w:rsidR="000B3F5B" w:rsidRDefault="000B3F5B" w:rsidP="000B3F5B">
            <w:pPr>
              <w:jc w:val="right"/>
            </w:pPr>
            <w:r>
              <w:t xml:space="preserve">         18,853 </w:t>
            </w:r>
          </w:p>
        </w:tc>
      </w:tr>
      <w:tr w:rsidR="000B3F5B" w14:paraId="3E7DE469" w14:textId="77777777" w:rsidTr="000B3F5B">
        <w:tc>
          <w:tcPr>
            <w:tcW w:w="2871" w:type="dxa"/>
            <w:vAlign w:val="bottom"/>
          </w:tcPr>
          <w:p w14:paraId="3FB00E6C" w14:textId="21C7BF8B" w:rsidR="000B3F5B" w:rsidRDefault="000B3F5B" w:rsidP="000B3F5B">
            <w:r>
              <w:t>Accumulated depreciation</w:t>
            </w:r>
          </w:p>
        </w:tc>
        <w:tc>
          <w:tcPr>
            <w:tcW w:w="1077" w:type="dxa"/>
            <w:vAlign w:val="bottom"/>
          </w:tcPr>
          <w:p w14:paraId="60262C09" w14:textId="5EE8881D" w:rsidR="000B3F5B" w:rsidRDefault="000B3F5B" w:rsidP="000B3F5B">
            <w:pPr>
              <w:pStyle w:val="BodyText"/>
              <w:jc w:val="right"/>
            </w:pPr>
            <w:r>
              <w:t xml:space="preserve">                  -   </w:t>
            </w:r>
          </w:p>
        </w:tc>
        <w:tc>
          <w:tcPr>
            <w:tcW w:w="1310" w:type="dxa"/>
            <w:vAlign w:val="bottom"/>
          </w:tcPr>
          <w:p w14:paraId="33743734" w14:textId="19BAA099" w:rsidR="000B3F5B" w:rsidRDefault="000B3F5B" w:rsidP="000B3F5B">
            <w:pPr>
              <w:pStyle w:val="BodyText"/>
              <w:jc w:val="right"/>
            </w:pPr>
            <w:r>
              <w:t xml:space="preserve">                  -   </w:t>
            </w:r>
          </w:p>
        </w:tc>
        <w:tc>
          <w:tcPr>
            <w:tcW w:w="1271" w:type="dxa"/>
            <w:vAlign w:val="bottom"/>
          </w:tcPr>
          <w:p w14:paraId="0C7688E1" w14:textId="27AFBBD1" w:rsidR="000B3F5B" w:rsidRDefault="000B3F5B" w:rsidP="000B3F5B">
            <w:pPr>
              <w:pStyle w:val="BodyText"/>
              <w:jc w:val="right"/>
            </w:pPr>
            <w:r>
              <w:t xml:space="preserve">                   -   </w:t>
            </w:r>
          </w:p>
        </w:tc>
        <w:tc>
          <w:tcPr>
            <w:tcW w:w="1520" w:type="dxa"/>
            <w:vAlign w:val="bottom"/>
          </w:tcPr>
          <w:p w14:paraId="3A6DE20D" w14:textId="1BC4F72D" w:rsidR="000B3F5B" w:rsidRDefault="000B3F5B" w:rsidP="000B3F5B">
            <w:pPr>
              <w:pStyle w:val="BodyText"/>
              <w:jc w:val="right"/>
            </w:pPr>
            <w:r>
              <w:t xml:space="preserve">                  (1,071)</w:t>
            </w:r>
          </w:p>
        </w:tc>
        <w:tc>
          <w:tcPr>
            <w:tcW w:w="977" w:type="dxa"/>
            <w:vAlign w:val="bottom"/>
          </w:tcPr>
          <w:p w14:paraId="2485DD0C" w14:textId="6E4B404D" w:rsidR="000B3F5B" w:rsidRDefault="000B3F5B" w:rsidP="000B3F5B">
            <w:pPr>
              <w:pStyle w:val="BodyText"/>
              <w:jc w:val="right"/>
            </w:pPr>
            <w:r>
              <w:t xml:space="preserve">          (1,071)</w:t>
            </w:r>
          </w:p>
        </w:tc>
      </w:tr>
      <w:tr w:rsidR="000B3F5B" w14:paraId="69651C2E" w14:textId="77777777" w:rsidTr="000B3F5B">
        <w:tc>
          <w:tcPr>
            <w:tcW w:w="2871" w:type="dxa"/>
            <w:vAlign w:val="bottom"/>
          </w:tcPr>
          <w:p w14:paraId="7EB05BD2" w14:textId="070C09FF" w:rsidR="000B3F5B" w:rsidRDefault="000B3F5B" w:rsidP="000B3F5B">
            <w:r>
              <w:t>Accumulated impairment loss</w:t>
            </w:r>
          </w:p>
        </w:tc>
        <w:tc>
          <w:tcPr>
            <w:tcW w:w="1077" w:type="dxa"/>
            <w:vAlign w:val="bottom"/>
          </w:tcPr>
          <w:p w14:paraId="4EBF72A9" w14:textId="57EECAB3" w:rsidR="000B3F5B" w:rsidRDefault="000B3F5B" w:rsidP="000B3F5B">
            <w:pPr>
              <w:pStyle w:val="BodyText"/>
              <w:jc w:val="right"/>
            </w:pPr>
            <w:r>
              <w:t xml:space="preserve">                  -   </w:t>
            </w:r>
          </w:p>
        </w:tc>
        <w:tc>
          <w:tcPr>
            <w:tcW w:w="1310" w:type="dxa"/>
            <w:vAlign w:val="bottom"/>
          </w:tcPr>
          <w:p w14:paraId="219EA27A" w14:textId="7EE31143" w:rsidR="000B3F5B" w:rsidRDefault="000B3F5B" w:rsidP="000B3F5B">
            <w:pPr>
              <w:pStyle w:val="BodyText"/>
              <w:jc w:val="right"/>
            </w:pPr>
            <w:r>
              <w:t xml:space="preserve">                  -   </w:t>
            </w:r>
          </w:p>
        </w:tc>
        <w:tc>
          <w:tcPr>
            <w:tcW w:w="1271" w:type="dxa"/>
            <w:vAlign w:val="bottom"/>
          </w:tcPr>
          <w:p w14:paraId="5DCBD711" w14:textId="681A282E" w:rsidR="000B3F5B" w:rsidRDefault="000B3F5B" w:rsidP="000B3F5B">
            <w:pPr>
              <w:pStyle w:val="BodyText"/>
              <w:jc w:val="right"/>
            </w:pPr>
            <w:r>
              <w:t xml:space="preserve">                   -   </w:t>
            </w:r>
          </w:p>
        </w:tc>
        <w:tc>
          <w:tcPr>
            <w:tcW w:w="1520" w:type="dxa"/>
            <w:vAlign w:val="bottom"/>
          </w:tcPr>
          <w:p w14:paraId="7006A294" w14:textId="4E845BD4" w:rsidR="000B3F5B" w:rsidRDefault="000B3F5B" w:rsidP="000B3F5B">
            <w:pPr>
              <w:pStyle w:val="BodyText"/>
              <w:jc w:val="right"/>
            </w:pPr>
            <w:r>
              <w:t xml:space="preserve">                        -   </w:t>
            </w:r>
          </w:p>
        </w:tc>
        <w:tc>
          <w:tcPr>
            <w:tcW w:w="977" w:type="dxa"/>
            <w:vAlign w:val="bottom"/>
          </w:tcPr>
          <w:p w14:paraId="49980E30" w14:textId="46C3BC2A" w:rsidR="000B3F5B" w:rsidRDefault="000B3F5B" w:rsidP="000B3F5B">
            <w:pPr>
              <w:pStyle w:val="BodyText"/>
              <w:jc w:val="right"/>
            </w:pPr>
            <w:r>
              <w:t xml:space="preserve">                -   </w:t>
            </w:r>
          </w:p>
        </w:tc>
      </w:tr>
      <w:tr w:rsidR="000B3F5B" w14:paraId="46D6E275" w14:textId="77777777" w:rsidTr="000B3F5B">
        <w:tc>
          <w:tcPr>
            <w:tcW w:w="2871" w:type="dxa"/>
            <w:vAlign w:val="bottom"/>
          </w:tcPr>
          <w:p w14:paraId="66F6FB42" w14:textId="73E82E96" w:rsidR="000B3F5B" w:rsidRDefault="000B3F5B" w:rsidP="000B3F5B">
            <w:r>
              <w:rPr>
                <w:b/>
                <w:bCs/>
              </w:rPr>
              <w:t>Carrying amount at start of period</w:t>
            </w:r>
          </w:p>
        </w:tc>
        <w:tc>
          <w:tcPr>
            <w:tcW w:w="1077" w:type="dxa"/>
            <w:vAlign w:val="bottom"/>
          </w:tcPr>
          <w:p w14:paraId="2C11F80E" w14:textId="5E168387" w:rsidR="000B3F5B" w:rsidRDefault="000B3F5B" w:rsidP="000B3F5B">
            <w:pPr>
              <w:pStyle w:val="BodyText"/>
              <w:jc w:val="right"/>
            </w:pPr>
            <w:r>
              <w:rPr>
                <w:b/>
                <w:bCs/>
              </w:rPr>
              <w:t xml:space="preserve">           13,800 </w:t>
            </w:r>
          </w:p>
        </w:tc>
        <w:tc>
          <w:tcPr>
            <w:tcW w:w="1310" w:type="dxa"/>
            <w:vAlign w:val="bottom"/>
          </w:tcPr>
          <w:p w14:paraId="48660C33" w14:textId="20C0BDF1" w:rsidR="000B3F5B" w:rsidRDefault="000B3F5B" w:rsidP="000B3F5B">
            <w:pPr>
              <w:pStyle w:val="BodyText"/>
              <w:jc w:val="right"/>
            </w:pPr>
            <w:r>
              <w:rPr>
                <w:b/>
                <w:bCs/>
              </w:rPr>
              <w:t xml:space="preserve">             1,700 </w:t>
            </w:r>
          </w:p>
        </w:tc>
        <w:tc>
          <w:tcPr>
            <w:tcW w:w="1271" w:type="dxa"/>
            <w:vAlign w:val="bottom"/>
          </w:tcPr>
          <w:p w14:paraId="0DEED593" w14:textId="1D438F9C" w:rsidR="000B3F5B" w:rsidRDefault="000B3F5B" w:rsidP="000B3F5B">
            <w:pPr>
              <w:pStyle w:val="BodyText"/>
              <w:jc w:val="right"/>
            </w:pPr>
            <w:r>
              <w:rPr>
                <w:b/>
                <w:bCs/>
              </w:rPr>
              <w:t xml:space="preserve">                   -   </w:t>
            </w:r>
          </w:p>
        </w:tc>
        <w:tc>
          <w:tcPr>
            <w:tcW w:w="1520" w:type="dxa"/>
            <w:vAlign w:val="bottom"/>
          </w:tcPr>
          <w:p w14:paraId="1E842219" w14:textId="43E90AF8" w:rsidR="000B3F5B" w:rsidRDefault="000B3F5B" w:rsidP="000B3F5B">
            <w:pPr>
              <w:pStyle w:val="BodyText"/>
              <w:jc w:val="right"/>
            </w:pPr>
            <w:r>
              <w:rPr>
                <w:b/>
                <w:bCs/>
              </w:rPr>
              <w:t xml:space="preserve">                   2,282 </w:t>
            </w:r>
          </w:p>
        </w:tc>
        <w:tc>
          <w:tcPr>
            <w:tcW w:w="977" w:type="dxa"/>
            <w:vAlign w:val="bottom"/>
          </w:tcPr>
          <w:p w14:paraId="4E1CEDAD" w14:textId="5E56A7E1" w:rsidR="000B3F5B" w:rsidRDefault="000B3F5B" w:rsidP="000B3F5B">
            <w:pPr>
              <w:pStyle w:val="BodyText"/>
              <w:jc w:val="right"/>
            </w:pPr>
            <w:r>
              <w:rPr>
                <w:b/>
                <w:bCs/>
              </w:rPr>
              <w:t xml:space="preserve">         17,782 </w:t>
            </w:r>
          </w:p>
        </w:tc>
      </w:tr>
      <w:tr w:rsidR="000B3F5B" w14:paraId="59DBD526" w14:textId="77777777" w:rsidTr="000B3F5B">
        <w:tc>
          <w:tcPr>
            <w:tcW w:w="2871" w:type="dxa"/>
            <w:vAlign w:val="bottom"/>
          </w:tcPr>
          <w:p w14:paraId="3CBA8FD3" w14:textId="258387E2" w:rsidR="000B3F5B" w:rsidRDefault="000B3F5B" w:rsidP="000B3F5B">
            <w:r>
              <w:t>Additions</w:t>
            </w:r>
          </w:p>
        </w:tc>
        <w:tc>
          <w:tcPr>
            <w:tcW w:w="1077" w:type="dxa"/>
            <w:vAlign w:val="bottom"/>
          </w:tcPr>
          <w:p w14:paraId="5C2C6C04" w14:textId="7DBAE47B" w:rsidR="000B3F5B" w:rsidRDefault="000B3F5B" w:rsidP="000B3F5B">
            <w:pPr>
              <w:jc w:val="right"/>
            </w:pPr>
            <w:r>
              <w:t xml:space="preserve">                  -   </w:t>
            </w:r>
          </w:p>
        </w:tc>
        <w:tc>
          <w:tcPr>
            <w:tcW w:w="1310" w:type="dxa"/>
            <w:vAlign w:val="bottom"/>
          </w:tcPr>
          <w:p w14:paraId="2F38B18B" w14:textId="05DC3434" w:rsidR="000B3F5B" w:rsidRDefault="000B3F5B" w:rsidP="000B3F5B">
            <w:pPr>
              <w:jc w:val="right"/>
            </w:pPr>
            <w:r>
              <w:t xml:space="preserve">                  23 </w:t>
            </w:r>
          </w:p>
        </w:tc>
        <w:tc>
          <w:tcPr>
            <w:tcW w:w="1271" w:type="dxa"/>
            <w:vAlign w:val="bottom"/>
          </w:tcPr>
          <w:p w14:paraId="2CFFDE0A" w14:textId="6BCB698F" w:rsidR="000B3F5B" w:rsidRDefault="000B3F5B" w:rsidP="000B3F5B">
            <w:pPr>
              <w:jc w:val="right"/>
            </w:pPr>
            <w:r>
              <w:t xml:space="preserve">                592 </w:t>
            </w:r>
          </w:p>
        </w:tc>
        <w:tc>
          <w:tcPr>
            <w:tcW w:w="1520" w:type="dxa"/>
            <w:vAlign w:val="bottom"/>
          </w:tcPr>
          <w:p w14:paraId="6EF5F67A" w14:textId="759D7567" w:rsidR="000B3F5B" w:rsidRDefault="000B3F5B" w:rsidP="000B3F5B">
            <w:pPr>
              <w:jc w:val="right"/>
            </w:pPr>
            <w:r>
              <w:t xml:space="preserve">                        19 </w:t>
            </w:r>
          </w:p>
        </w:tc>
        <w:tc>
          <w:tcPr>
            <w:tcW w:w="977" w:type="dxa"/>
            <w:vAlign w:val="bottom"/>
          </w:tcPr>
          <w:p w14:paraId="6CFDA625" w14:textId="34ADE455" w:rsidR="000B3F5B" w:rsidRDefault="000B3F5B" w:rsidP="000B3F5B">
            <w:pPr>
              <w:jc w:val="right"/>
            </w:pPr>
            <w:r>
              <w:t xml:space="preserve">              634 </w:t>
            </w:r>
          </w:p>
        </w:tc>
      </w:tr>
      <w:tr w:rsidR="000B3F5B" w14:paraId="37577BEA" w14:textId="77777777" w:rsidTr="000B3F5B">
        <w:tc>
          <w:tcPr>
            <w:tcW w:w="2871" w:type="dxa"/>
            <w:vAlign w:val="bottom"/>
          </w:tcPr>
          <w:p w14:paraId="618CE872" w14:textId="4200B5E7" w:rsidR="000B3F5B" w:rsidRDefault="000B3F5B" w:rsidP="000B3F5B">
            <w:r>
              <w:t>Transfers</w:t>
            </w:r>
          </w:p>
        </w:tc>
        <w:tc>
          <w:tcPr>
            <w:tcW w:w="1077" w:type="dxa"/>
            <w:vAlign w:val="bottom"/>
          </w:tcPr>
          <w:p w14:paraId="75BE4EDA" w14:textId="77777777" w:rsidR="000B3F5B" w:rsidRDefault="000B3F5B" w:rsidP="000B3F5B">
            <w:pPr>
              <w:jc w:val="right"/>
            </w:pPr>
          </w:p>
        </w:tc>
        <w:tc>
          <w:tcPr>
            <w:tcW w:w="1310" w:type="dxa"/>
            <w:vAlign w:val="bottom"/>
          </w:tcPr>
          <w:p w14:paraId="20E4018D" w14:textId="77777777" w:rsidR="000B3F5B" w:rsidRDefault="000B3F5B" w:rsidP="000B3F5B">
            <w:pPr>
              <w:jc w:val="right"/>
            </w:pPr>
          </w:p>
        </w:tc>
        <w:tc>
          <w:tcPr>
            <w:tcW w:w="1271" w:type="dxa"/>
            <w:vAlign w:val="bottom"/>
          </w:tcPr>
          <w:p w14:paraId="661C378A" w14:textId="77777777" w:rsidR="000B3F5B" w:rsidRDefault="000B3F5B" w:rsidP="000B3F5B">
            <w:pPr>
              <w:jc w:val="right"/>
            </w:pPr>
          </w:p>
        </w:tc>
        <w:tc>
          <w:tcPr>
            <w:tcW w:w="1520" w:type="dxa"/>
            <w:vAlign w:val="bottom"/>
          </w:tcPr>
          <w:p w14:paraId="638BA79C" w14:textId="77777777" w:rsidR="000B3F5B" w:rsidRDefault="000B3F5B" w:rsidP="000B3F5B">
            <w:pPr>
              <w:jc w:val="right"/>
            </w:pPr>
          </w:p>
        </w:tc>
        <w:tc>
          <w:tcPr>
            <w:tcW w:w="977" w:type="dxa"/>
            <w:vAlign w:val="bottom"/>
          </w:tcPr>
          <w:p w14:paraId="7FA9FCE3" w14:textId="77777777" w:rsidR="000B3F5B" w:rsidRDefault="000B3F5B" w:rsidP="000B3F5B">
            <w:pPr>
              <w:jc w:val="right"/>
            </w:pPr>
          </w:p>
        </w:tc>
      </w:tr>
      <w:tr w:rsidR="000B3F5B" w14:paraId="6077350A" w14:textId="77777777" w:rsidTr="000B3F5B">
        <w:tc>
          <w:tcPr>
            <w:tcW w:w="2871" w:type="dxa"/>
            <w:vAlign w:val="bottom"/>
          </w:tcPr>
          <w:p w14:paraId="323985C4" w14:textId="304F3FBA" w:rsidR="000B3F5B" w:rsidRDefault="000B3F5B" w:rsidP="000B3F5B">
            <w:r>
              <w:t>Disposals</w:t>
            </w:r>
          </w:p>
        </w:tc>
        <w:tc>
          <w:tcPr>
            <w:tcW w:w="1077" w:type="dxa"/>
            <w:vAlign w:val="bottom"/>
          </w:tcPr>
          <w:p w14:paraId="63CD8E29" w14:textId="0E1D6AB9" w:rsidR="000B3F5B" w:rsidRDefault="000B3F5B" w:rsidP="000B3F5B">
            <w:pPr>
              <w:jc w:val="right"/>
            </w:pPr>
            <w:r>
              <w:t xml:space="preserve">                  -   </w:t>
            </w:r>
          </w:p>
        </w:tc>
        <w:tc>
          <w:tcPr>
            <w:tcW w:w="1310" w:type="dxa"/>
            <w:vAlign w:val="bottom"/>
          </w:tcPr>
          <w:p w14:paraId="5FD3B28E" w14:textId="1993E685" w:rsidR="000B3F5B" w:rsidRDefault="000B3F5B" w:rsidP="000B3F5B">
            <w:pPr>
              <w:jc w:val="right"/>
            </w:pPr>
            <w:r>
              <w:t xml:space="preserve">                  -   </w:t>
            </w:r>
          </w:p>
        </w:tc>
        <w:tc>
          <w:tcPr>
            <w:tcW w:w="1271" w:type="dxa"/>
            <w:vAlign w:val="bottom"/>
          </w:tcPr>
          <w:p w14:paraId="5775CE7F" w14:textId="59FF2F57" w:rsidR="000B3F5B" w:rsidRDefault="000B3F5B" w:rsidP="000B3F5B">
            <w:pPr>
              <w:jc w:val="right"/>
            </w:pPr>
            <w:r>
              <w:t xml:space="preserve">                   -   </w:t>
            </w:r>
          </w:p>
        </w:tc>
        <w:tc>
          <w:tcPr>
            <w:tcW w:w="1520" w:type="dxa"/>
            <w:vAlign w:val="bottom"/>
          </w:tcPr>
          <w:p w14:paraId="5D7FC0F7" w14:textId="2DC81132" w:rsidR="000B3F5B" w:rsidRDefault="000B3F5B" w:rsidP="000B3F5B">
            <w:pPr>
              <w:jc w:val="right"/>
            </w:pPr>
            <w:r>
              <w:t xml:space="preserve">                         (3)</w:t>
            </w:r>
          </w:p>
        </w:tc>
        <w:tc>
          <w:tcPr>
            <w:tcW w:w="977" w:type="dxa"/>
            <w:vAlign w:val="bottom"/>
          </w:tcPr>
          <w:p w14:paraId="091AB3FA" w14:textId="6F4876EA" w:rsidR="000B3F5B" w:rsidRDefault="000B3F5B" w:rsidP="000B3F5B">
            <w:pPr>
              <w:jc w:val="right"/>
            </w:pPr>
            <w:r>
              <w:t xml:space="preserve">                (3)</w:t>
            </w:r>
          </w:p>
        </w:tc>
      </w:tr>
      <w:tr w:rsidR="000B3F5B" w14:paraId="06FD72CD" w14:textId="77777777" w:rsidTr="000B3F5B">
        <w:tc>
          <w:tcPr>
            <w:tcW w:w="2871" w:type="dxa"/>
            <w:vAlign w:val="center"/>
          </w:tcPr>
          <w:p w14:paraId="583ABBD0" w14:textId="6B4C901E" w:rsidR="000B3F5B" w:rsidRDefault="000B3F5B" w:rsidP="000B3F5B">
            <w:r>
              <w:t>Revaluation increments/(decrements)</w:t>
            </w:r>
          </w:p>
        </w:tc>
        <w:tc>
          <w:tcPr>
            <w:tcW w:w="1077" w:type="dxa"/>
            <w:vAlign w:val="bottom"/>
          </w:tcPr>
          <w:p w14:paraId="60440C14" w14:textId="4A06E159" w:rsidR="000B3F5B" w:rsidRDefault="000B3F5B" w:rsidP="000B3F5B">
            <w:pPr>
              <w:jc w:val="right"/>
            </w:pPr>
            <w:r>
              <w:t xml:space="preserve">                200 </w:t>
            </w:r>
          </w:p>
        </w:tc>
        <w:tc>
          <w:tcPr>
            <w:tcW w:w="1310" w:type="dxa"/>
            <w:vAlign w:val="bottom"/>
          </w:tcPr>
          <w:p w14:paraId="2D903C39" w14:textId="04FFF45E" w:rsidR="000B3F5B" w:rsidRDefault="000B3F5B" w:rsidP="000B3F5B">
            <w:pPr>
              <w:jc w:val="right"/>
            </w:pPr>
            <w:r>
              <w:t xml:space="preserve">                 (96)</w:t>
            </w:r>
          </w:p>
        </w:tc>
        <w:tc>
          <w:tcPr>
            <w:tcW w:w="1271" w:type="dxa"/>
            <w:vAlign w:val="bottom"/>
          </w:tcPr>
          <w:p w14:paraId="11633233" w14:textId="6A4E763D" w:rsidR="000B3F5B" w:rsidRDefault="000B3F5B" w:rsidP="000B3F5B">
            <w:pPr>
              <w:jc w:val="right"/>
            </w:pPr>
            <w:r>
              <w:t xml:space="preserve">                   -   </w:t>
            </w:r>
          </w:p>
        </w:tc>
        <w:tc>
          <w:tcPr>
            <w:tcW w:w="1520" w:type="dxa"/>
            <w:vAlign w:val="bottom"/>
          </w:tcPr>
          <w:p w14:paraId="258979B0" w14:textId="5F1AF5EC" w:rsidR="000B3F5B" w:rsidRDefault="000B3F5B" w:rsidP="000B3F5B">
            <w:pPr>
              <w:jc w:val="right"/>
            </w:pPr>
            <w:r>
              <w:t xml:space="preserve">                        -   </w:t>
            </w:r>
          </w:p>
        </w:tc>
        <w:tc>
          <w:tcPr>
            <w:tcW w:w="977" w:type="dxa"/>
            <w:vAlign w:val="bottom"/>
          </w:tcPr>
          <w:p w14:paraId="260E2064" w14:textId="285950ED" w:rsidR="000B3F5B" w:rsidRDefault="000B3F5B" w:rsidP="000B3F5B">
            <w:pPr>
              <w:jc w:val="right"/>
            </w:pPr>
            <w:r>
              <w:t xml:space="preserve">              104 </w:t>
            </w:r>
          </w:p>
        </w:tc>
      </w:tr>
      <w:tr w:rsidR="000B3F5B" w14:paraId="6AF0BE64" w14:textId="77777777" w:rsidTr="000B3F5B">
        <w:tc>
          <w:tcPr>
            <w:tcW w:w="2871" w:type="dxa"/>
            <w:vAlign w:val="center"/>
          </w:tcPr>
          <w:p w14:paraId="4429C71D" w14:textId="7341CF06" w:rsidR="000B3F5B" w:rsidRDefault="000B3F5B" w:rsidP="000B3F5B">
            <w:r>
              <w:t>Depreciation</w:t>
            </w:r>
          </w:p>
        </w:tc>
        <w:tc>
          <w:tcPr>
            <w:tcW w:w="1077" w:type="dxa"/>
            <w:tcBorders>
              <w:bottom w:val="single" w:sz="4" w:space="0" w:color="auto"/>
            </w:tcBorders>
            <w:vAlign w:val="bottom"/>
          </w:tcPr>
          <w:p w14:paraId="11C8768F" w14:textId="0582670C" w:rsidR="000B3F5B" w:rsidRDefault="000B3F5B" w:rsidP="000B3F5B">
            <w:pPr>
              <w:jc w:val="right"/>
            </w:pPr>
            <w:r>
              <w:t xml:space="preserve">                  -   </w:t>
            </w:r>
          </w:p>
        </w:tc>
        <w:tc>
          <w:tcPr>
            <w:tcW w:w="1310" w:type="dxa"/>
            <w:tcBorders>
              <w:bottom w:val="single" w:sz="4" w:space="0" w:color="auto"/>
            </w:tcBorders>
            <w:vAlign w:val="bottom"/>
          </w:tcPr>
          <w:p w14:paraId="52790951" w14:textId="76B7EDC1" w:rsidR="000B3F5B" w:rsidRDefault="000B3F5B" w:rsidP="000B3F5B">
            <w:pPr>
              <w:jc w:val="right"/>
            </w:pPr>
            <w:r>
              <w:t xml:space="preserve">               (127)</w:t>
            </w:r>
          </w:p>
        </w:tc>
        <w:tc>
          <w:tcPr>
            <w:tcW w:w="1271" w:type="dxa"/>
            <w:tcBorders>
              <w:bottom w:val="single" w:sz="4" w:space="0" w:color="auto"/>
            </w:tcBorders>
            <w:vAlign w:val="bottom"/>
          </w:tcPr>
          <w:p w14:paraId="08673934" w14:textId="09290060" w:rsidR="000B3F5B" w:rsidRDefault="000B3F5B" w:rsidP="000B3F5B">
            <w:pPr>
              <w:jc w:val="right"/>
            </w:pPr>
            <w:r>
              <w:t xml:space="preserve">                   -   </w:t>
            </w:r>
          </w:p>
        </w:tc>
        <w:tc>
          <w:tcPr>
            <w:tcW w:w="1520" w:type="dxa"/>
            <w:tcBorders>
              <w:bottom w:val="single" w:sz="4" w:space="0" w:color="auto"/>
            </w:tcBorders>
            <w:vAlign w:val="bottom"/>
          </w:tcPr>
          <w:p w14:paraId="7B0A2C05" w14:textId="05000EB6" w:rsidR="000B3F5B" w:rsidRDefault="000B3F5B" w:rsidP="000B3F5B">
            <w:pPr>
              <w:jc w:val="right"/>
            </w:pPr>
            <w:r>
              <w:t xml:space="preserve">                     (380)</w:t>
            </w:r>
          </w:p>
        </w:tc>
        <w:tc>
          <w:tcPr>
            <w:tcW w:w="977" w:type="dxa"/>
            <w:tcBorders>
              <w:bottom w:val="single" w:sz="4" w:space="0" w:color="auto"/>
            </w:tcBorders>
            <w:vAlign w:val="bottom"/>
          </w:tcPr>
          <w:p w14:paraId="5047BB7E" w14:textId="6E41198E" w:rsidR="000B3F5B" w:rsidRDefault="000B3F5B" w:rsidP="000B3F5B">
            <w:pPr>
              <w:jc w:val="right"/>
            </w:pPr>
            <w:r>
              <w:t xml:space="preserve">             (507)</w:t>
            </w:r>
          </w:p>
        </w:tc>
      </w:tr>
      <w:tr w:rsidR="000B3F5B" w14:paraId="50CB78CC" w14:textId="77777777" w:rsidTr="000B3F5B">
        <w:tc>
          <w:tcPr>
            <w:tcW w:w="2871" w:type="dxa"/>
            <w:vAlign w:val="center"/>
          </w:tcPr>
          <w:p w14:paraId="30C4F891" w14:textId="3EB00A66" w:rsidR="000B3F5B" w:rsidRDefault="000B3F5B" w:rsidP="000B3F5B">
            <w:r>
              <w:rPr>
                <w:b/>
                <w:bCs/>
              </w:rPr>
              <w:t>Carrying amount at end of period</w:t>
            </w:r>
          </w:p>
        </w:tc>
        <w:tc>
          <w:tcPr>
            <w:tcW w:w="1077" w:type="dxa"/>
            <w:tcBorders>
              <w:top w:val="single" w:sz="4" w:space="0" w:color="auto"/>
              <w:bottom w:val="double" w:sz="4" w:space="0" w:color="auto"/>
            </w:tcBorders>
            <w:vAlign w:val="bottom"/>
          </w:tcPr>
          <w:p w14:paraId="0F809E6E" w14:textId="527E5AB1" w:rsidR="000B3F5B" w:rsidRDefault="000B3F5B" w:rsidP="000B3F5B">
            <w:pPr>
              <w:jc w:val="right"/>
            </w:pPr>
            <w:r>
              <w:rPr>
                <w:b/>
                <w:bCs/>
              </w:rPr>
              <w:t xml:space="preserve">           14,000 </w:t>
            </w:r>
          </w:p>
        </w:tc>
        <w:tc>
          <w:tcPr>
            <w:tcW w:w="1310" w:type="dxa"/>
            <w:tcBorders>
              <w:top w:val="single" w:sz="4" w:space="0" w:color="auto"/>
              <w:bottom w:val="double" w:sz="4" w:space="0" w:color="auto"/>
            </w:tcBorders>
            <w:vAlign w:val="bottom"/>
          </w:tcPr>
          <w:p w14:paraId="544AADF0" w14:textId="546A06C0" w:rsidR="000B3F5B" w:rsidRDefault="000B3F5B" w:rsidP="000B3F5B">
            <w:pPr>
              <w:jc w:val="right"/>
            </w:pPr>
            <w:r>
              <w:rPr>
                <w:b/>
                <w:bCs/>
              </w:rPr>
              <w:t xml:space="preserve">             1,500 </w:t>
            </w:r>
          </w:p>
        </w:tc>
        <w:tc>
          <w:tcPr>
            <w:tcW w:w="1271" w:type="dxa"/>
            <w:tcBorders>
              <w:top w:val="single" w:sz="4" w:space="0" w:color="auto"/>
              <w:bottom w:val="double" w:sz="4" w:space="0" w:color="auto"/>
            </w:tcBorders>
            <w:vAlign w:val="bottom"/>
          </w:tcPr>
          <w:p w14:paraId="4FFFB112" w14:textId="0291D469" w:rsidR="000B3F5B" w:rsidRDefault="000B3F5B" w:rsidP="000B3F5B">
            <w:pPr>
              <w:jc w:val="right"/>
            </w:pPr>
            <w:r>
              <w:rPr>
                <w:b/>
                <w:bCs/>
              </w:rPr>
              <w:t xml:space="preserve">                592 </w:t>
            </w:r>
          </w:p>
        </w:tc>
        <w:tc>
          <w:tcPr>
            <w:tcW w:w="1520" w:type="dxa"/>
            <w:tcBorders>
              <w:top w:val="single" w:sz="4" w:space="0" w:color="auto"/>
              <w:bottom w:val="double" w:sz="4" w:space="0" w:color="auto"/>
            </w:tcBorders>
            <w:vAlign w:val="bottom"/>
          </w:tcPr>
          <w:p w14:paraId="1F38D40F" w14:textId="2F8E7FC3" w:rsidR="000B3F5B" w:rsidRDefault="000B3F5B" w:rsidP="000B3F5B">
            <w:pPr>
              <w:jc w:val="right"/>
            </w:pPr>
            <w:r>
              <w:rPr>
                <w:b/>
                <w:bCs/>
              </w:rPr>
              <w:t xml:space="preserve">                   1,918 </w:t>
            </w:r>
          </w:p>
        </w:tc>
        <w:tc>
          <w:tcPr>
            <w:tcW w:w="977" w:type="dxa"/>
            <w:tcBorders>
              <w:top w:val="single" w:sz="4" w:space="0" w:color="auto"/>
              <w:bottom w:val="double" w:sz="4" w:space="0" w:color="auto"/>
            </w:tcBorders>
            <w:vAlign w:val="bottom"/>
          </w:tcPr>
          <w:p w14:paraId="622C1917" w14:textId="08C8177D" w:rsidR="000B3F5B" w:rsidRDefault="000B3F5B" w:rsidP="000B3F5B">
            <w:pPr>
              <w:jc w:val="right"/>
            </w:pPr>
            <w:r>
              <w:rPr>
                <w:b/>
                <w:bCs/>
              </w:rPr>
              <w:t xml:space="preserve">         18,010 </w:t>
            </w:r>
          </w:p>
        </w:tc>
      </w:tr>
      <w:tr w:rsidR="000B3F5B" w14:paraId="34E766C0" w14:textId="77777777" w:rsidTr="000B3F5B">
        <w:tc>
          <w:tcPr>
            <w:tcW w:w="2871" w:type="dxa"/>
            <w:vAlign w:val="center"/>
          </w:tcPr>
          <w:p w14:paraId="28E6041A" w14:textId="028BB038" w:rsidR="000B3F5B" w:rsidRDefault="000B3F5B" w:rsidP="000B3F5B">
            <w:r>
              <w:t>Gross Carrying amount</w:t>
            </w:r>
          </w:p>
        </w:tc>
        <w:tc>
          <w:tcPr>
            <w:tcW w:w="1077" w:type="dxa"/>
            <w:tcBorders>
              <w:top w:val="double" w:sz="4" w:space="0" w:color="auto"/>
            </w:tcBorders>
            <w:vAlign w:val="bottom"/>
          </w:tcPr>
          <w:p w14:paraId="1B3812B1" w14:textId="7F39D100" w:rsidR="000B3F5B" w:rsidRDefault="000B3F5B" w:rsidP="000B3F5B">
            <w:pPr>
              <w:jc w:val="right"/>
            </w:pPr>
            <w:r>
              <w:t xml:space="preserve">           14,000 </w:t>
            </w:r>
          </w:p>
        </w:tc>
        <w:tc>
          <w:tcPr>
            <w:tcW w:w="1310" w:type="dxa"/>
            <w:tcBorders>
              <w:top w:val="double" w:sz="4" w:space="0" w:color="auto"/>
            </w:tcBorders>
            <w:vAlign w:val="bottom"/>
          </w:tcPr>
          <w:p w14:paraId="5131E173" w14:textId="6813EED9" w:rsidR="000B3F5B" w:rsidRDefault="000B3F5B" w:rsidP="000B3F5B">
            <w:pPr>
              <w:jc w:val="right"/>
            </w:pPr>
            <w:r>
              <w:t xml:space="preserve">             1,500 </w:t>
            </w:r>
          </w:p>
        </w:tc>
        <w:tc>
          <w:tcPr>
            <w:tcW w:w="1271" w:type="dxa"/>
            <w:tcBorders>
              <w:top w:val="double" w:sz="4" w:space="0" w:color="auto"/>
            </w:tcBorders>
            <w:vAlign w:val="bottom"/>
          </w:tcPr>
          <w:p w14:paraId="01A2C7C2" w14:textId="5FBEF2CA" w:rsidR="000B3F5B" w:rsidRDefault="000B3F5B" w:rsidP="000B3F5B">
            <w:pPr>
              <w:jc w:val="right"/>
            </w:pPr>
            <w:r>
              <w:t xml:space="preserve">                592 </w:t>
            </w:r>
          </w:p>
        </w:tc>
        <w:tc>
          <w:tcPr>
            <w:tcW w:w="1520" w:type="dxa"/>
            <w:tcBorders>
              <w:top w:val="double" w:sz="4" w:space="0" w:color="auto"/>
            </w:tcBorders>
            <w:vAlign w:val="bottom"/>
          </w:tcPr>
          <w:p w14:paraId="5CD5FBD2" w14:textId="3B75282B" w:rsidR="000B3F5B" w:rsidRDefault="000B3F5B" w:rsidP="000B3F5B">
            <w:pPr>
              <w:jc w:val="right"/>
            </w:pPr>
            <w:r>
              <w:t xml:space="preserve">                   3,160 </w:t>
            </w:r>
          </w:p>
        </w:tc>
        <w:tc>
          <w:tcPr>
            <w:tcW w:w="977" w:type="dxa"/>
            <w:tcBorders>
              <w:top w:val="double" w:sz="4" w:space="0" w:color="auto"/>
            </w:tcBorders>
            <w:vAlign w:val="bottom"/>
          </w:tcPr>
          <w:p w14:paraId="182A96C9" w14:textId="1892CBF8" w:rsidR="000B3F5B" w:rsidRDefault="000B3F5B" w:rsidP="000B3F5B">
            <w:pPr>
              <w:jc w:val="right"/>
            </w:pPr>
            <w:r>
              <w:t xml:space="preserve">         19,252 </w:t>
            </w:r>
          </w:p>
        </w:tc>
      </w:tr>
      <w:tr w:rsidR="000B3F5B" w14:paraId="3E7096FC" w14:textId="77777777" w:rsidTr="000B3F5B">
        <w:tc>
          <w:tcPr>
            <w:tcW w:w="2871" w:type="dxa"/>
            <w:vAlign w:val="center"/>
          </w:tcPr>
          <w:p w14:paraId="2C5DA366" w14:textId="43F3FA8F" w:rsidR="000B3F5B" w:rsidRDefault="000B3F5B" w:rsidP="000B3F5B">
            <w:r>
              <w:t>Accumulated depreciation</w:t>
            </w:r>
          </w:p>
        </w:tc>
        <w:tc>
          <w:tcPr>
            <w:tcW w:w="1077" w:type="dxa"/>
            <w:vAlign w:val="bottom"/>
          </w:tcPr>
          <w:p w14:paraId="1F525D1E" w14:textId="52A7B479" w:rsidR="000B3F5B" w:rsidRDefault="000B3F5B" w:rsidP="000B3F5B">
            <w:pPr>
              <w:jc w:val="right"/>
            </w:pPr>
            <w:r>
              <w:t xml:space="preserve">                  -   </w:t>
            </w:r>
          </w:p>
        </w:tc>
        <w:tc>
          <w:tcPr>
            <w:tcW w:w="1310" w:type="dxa"/>
            <w:vAlign w:val="bottom"/>
          </w:tcPr>
          <w:p w14:paraId="35CB124E" w14:textId="06C35576" w:rsidR="000B3F5B" w:rsidRDefault="000B3F5B" w:rsidP="000B3F5B">
            <w:pPr>
              <w:jc w:val="right"/>
            </w:pPr>
            <w:r>
              <w:t xml:space="preserve">                  -   </w:t>
            </w:r>
          </w:p>
        </w:tc>
        <w:tc>
          <w:tcPr>
            <w:tcW w:w="1271" w:type="dxa"/>
            <w:vAlign w:val="bottom"/>
          </w:tcPr>
          <w:p w14:paraId="4A89FBF9" w14:textId="0EB238A2" w:rsidR="000B3F5B" w:rsidRDefault="000B3F5B" w:rsidP="000B3F5B">
            <w:pPr>
              <w:jc w:val="right"/>
            </w:pPr>
            <w:r>
              <w:t> </w:t>
            </w:r>
          </w:p>
        </w:tc>
        <w:tc>
          <w:tcPr>
            <w:tcW w:w="1520" w:type="dxa"/>
            <w:vAlign w:val="bottom"/>
          </w:tcPr>
          <w:p w14:paraId="2A945DCB" w14:textId="66334B22" w:rsidR="000B3F5B" w:rsidRDefault="000B3F5B" w:rsidP="000B3F5B">
            <w:pPr>
              <w:jc w:val="right"/>
            </w:pPr>
            <w:r>
              <w:t xml:space="preserve">                  (1,242)</w:t>
            </w:r>
          </w:p>
        </w:tc>
        <w:tc>
          <w:tcPr>
            <w:tcW w:w="977" w:type="dxa"/>
            <w:vAlign w:val="bottom"/>
          </w:tcPr>
          <w:p w14:paraId="18DF0286" w14:textId="58D63E9A" w:rsidR="000B3F5B" w:rsidRDefault="000B3F5B" w:rsidP="000B3F5B">
            <w:pPr>
              <w:jc w:val="right"/>
            </w:pPr>
            <w:r>
              <w:t xml:space="preserve">          (1,242)</w:t>
            </w:r>
          </w:p>
        </w:tc>
      </w:tr>
    </w:tbl>
    <w:p w14:paraId="277DD6B6" w14:textId="133D65F5" w:rsidR="00DA3538" w:rsidRDefault="000B3F5B" w:rsidP="000B3F5B">
      <w:pPr>
        <w:tabs>
          <w:tab w:val="left" w:pos="8295"/>
        </w:tabs>
        <w:rPr>
          <w:b/>
          <w:u w:val="single"/>
        </w:rPr>
      </w:pPr>
      <w:r>
        <w:br/>
      </w:r>
      <w:r w:rsidRPr="000B3F5B">
        <w:rPr>
          <w:b/>
          <w:u w:val="single"/>
        </w:rPr>
        <w:t xml:space="preserve">Property, </w:t>
      </w:r>
      <w:r>
        <w:rPr>
          <w:b/>
          <w:u w:val="single"/>
        </w:rPr>
        <w:t>plant and equipment and vehicles</w:t>
      </w:r>
    </w:p>
    <w:p w14:paraId="36EF3E7F" w14:textId="1AE7971E" w:rsidR="000B3F5B" w:rsidRDefault="000B3F5B" w:rsidP="000B3F5B">
      <w:pPr>
        <w:tabs>
          <w:tab w:val="left" w:pos="8295"/>
        </w:tabs>
        <w:rPr>
          <w:b/>
        </w:rPr>
      </w:pPr>
      <w:r>
        <w:rPr>
          <w:b/>
        </w:rPr>
        <w:t>Capitalisation/expensing of assets</w:t>
      </w:r>
    </w:p>
    <w:p w14:paraId="6739E6A8" w14:textId="77777777" w:rsidR="000B3F5B" w:rsidRDefault="000B3F5B" w:rsidP="000B3F5B">
      <w:r w:rsidRPr="000B3F5B">
        <w:t>Items of property, plant and equipment and vehicles costing $5,000 or more are recognised as assets and the cost of utilising assets is expensed (depreciated) over their useful lives. Items of property, plant and equipment and vehicles costing less than $5,000 are immediately expensed direct to the Statement of Comprehensive Income (other than where they form part of a group of similar items whi</w:t>
      </w:r>
      <w:r>
        <w:t>ch are significant in total).</w:t>
      </w:r>
    </w:p>
    <w:p w14:paraId="06928DBC" w14:textId="77777777" w:rsidR="000B3F5B" w:rsidRDefault="000B3F5B" w:rsidP="000B3F5B">
      <w:pPr>
        <w:rPr>
          <w:b/>
        </w:rPr>
      </w:pPr>
      <w:r>
        <w:rPr>
          <w:b/>
        </w:rPr>
        <w:t>Initial recognition and measurement</w:t>
      </w:r>
    </w:p>
    <w:p w14:paraId="1658CBD9" w14:textId="77777777" w:rsidR="000B3F5B" w:rsidRDefault="000B3F5B" w:rsidP="000B3F5B">
      <w:r>
        <w:t xml:space="preserve">Property, plant and equipment and vehicles are initially recognised at cost. </w:t>
      </w:r>
    </w:p>
    <w:p w14:paraId="42188497" w14:textId="77777777" w:rsidR="000B3F5B" w:rsidRDefault="000B3F5B" w:rsidP="000B3F5B">
      <w:r>
        <w:t xml:space="preserve">For items of property, plant and equipment and vehicles acquired at no cost or for nominal cost, the cost is the fair value at the date of acquisition. </w:t>
      </w:r>
    </w:p>
    <w:p w14:paraId="38475867" w14:textId="77777777" w:rsidR="000B3F5B" w:rsidRDefault="000B3F5B" w:rsidP="000B3F5B">
      <w:pPr>
        <w:rPr>
          <w:b/>
        </w:rPr>
      </w:pPr>
      <w:r>
        <w:rPr>
          <w:b/>
        </w:rPr>
        <w:t>Subsequent measurement</w:t>
      </w:r>
    </w:p>
    <w:p w14:paraId="29F320E0" w14:textId="77777777" w:rsidR="000B3F5B" w:rsidRDefault="000B3F5B" w:rsidP="000B3F5B">
      <w:r>
        <w:t xml:space="preserve">Subsequent to initial recognition of an asset, the revaluation model is used for the measurement of: </w:t>
      </w:r>
    </w:p>
    <w:p w14:paraId="0B73B5D3" w14:textId="77777777" w:rsidR="000B3F5B" w:rsidRDefault="000B3F5B" w:rsidP="000B3F5B">
      <w:r>
        <w:t>- land, and</w:t>
      </w:r>
    </w:p>
    <w:p w14:paraId="2C389B96" w14:textId="71132269" w:rsidR="000B3F5B" w:rsidRDefault="000B3F5B" w:rsidP="000B3F5B">
      <w:r>
        <w:t>- buildings</w:t>
      </w:r>
    </w:p>
    <w:p w14:paraId="061C1048" w14:textId="63870C59" w:rsidR="000B3F5B" w:rsidRDefault="000B3F5B" w:rsidP="000B3F5B">
      <w:r>
        <w:t xml:space="preserve">Land is carried at fair value. </w:t>
      </w:r>
    </w:p>
    <w:p w14:paraId="7DA950A0" w14:textId="665F8606" w:rsidR="000B3F5B" w:rsidRDefault="000B3F5B" w:rsidP="000B3F5B">
      <w:r>
        <w:t xml:space="preserve">Buildings are carried at fair value less accumulated </w:t>
      </w:r>
      <w:r w:rsidRPr="000B3F5B">
        <w:t>depreciation and accumulated impairment losses.</w:t>
      </w:r>
    </w:p>
    <w:p w14:paraId="114574B9" w14:textId="6953B742" w:rsidR="00A45F1C" w:rsidRDefault="00A45F1C" w:rsidP="000B3F5B">
      <w:r w:rsidRPr="00A45F1C">
        <w:t>All other property, plant and equipment are stated at historical cost less accumulated depreciation and acc</w:t>
      </w:r>
      <w:r>
        <w:t>umulated impairment losses.</w:t>
      </w:r>
    </w:p>
    <w:p w14:paraId="357D16FC" w14:textId="69F63D17" w:rsidR="000B3F5B" w:rsidRDefault="00A45F1C" w:rsidP="00A45F1C">
      <w:r w:rsidRPr="00A45F1C">
        <w:rPr>
          <w:b/>
        </w:rPr>
        <w:t>Land and buildings</w:t>
      </w:r>
      <w:r w:rsidRPr="00A45F1C">
        <w:t xml:space="preserve"> are independently valued annually by Landgate (Valuations and Property Analytics) and recognised annually to ensure that the carrying amount does not differ materially from the asset’s fair value at the end</w:t>
      </w:r>
      <w:r>
        <w:t xml:space="preserve"> of the reporting period. </w:t>
      </w:r>
    </w:p>
    <w:p w14:paraId="26929B6A" w14:textId="70EDAAC9" w:rsidR="00A45F1C" w:rsidRDefault="00A45F1C" w:rsidP="00A45F1C">
      <w:r w:rsidRPr="00A45F1C">
        <w:t>Land and buildings were revalued as at 14 June 2018 by Landgate (Valuations and Property Analytics). The valuations were performed during the year ended 30 June 2018 and recognised at 30 June 2018. In undertaking the revaluation, fair value was determined by reference to market values for land: $14,000,000 (2017: $13,800,000) and buildings: $1,500,00</w:t>
      </w:r>
      <w:r>
        <w:t xml:space="preserve">0 (2017: $1,700,000). </w:t>
      </w:r>
    </w:p>
    <w:p w14:paraId="68BDE20B" w14:textId="25C4C42B" w:rsidR="00A45F1C" w:rsidRDefault="00A45F1C" w:rsidP="00A45F1C">
      <w:pPr>
        <w:rPr>
          <w:b/>
        </w:rPr>
      </w:pPr>
      <w:r>
        <w:rPr>
          <w:b/>
        </w:rPr>
        <w:t>Revaluation model:</w:t>
      </w:r>
    </w:p>
    <w:p w14:paraId="5795B81B" w14:textId="7418FEB2" w:rsidR="00A45F1C" w:rsidRDefault="00A45F1C" w:rsidP="00A45F1C">
      <w:r>
        <w:t xml:space="preserve">Fair Value where market-based evidence is available: </w:t>
      </w:r>
    </w:p>
    <w:p w14:paraId="08A66FBB" w14:textId="7A74F53C" w:rsidR="00A45F1C" w:rsidRDefault="00A45F1C" w:rsidP="00A45F1C">
      <w:r w:rsidRPr="00A45F1C">
        <w:t>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w:t>
      </w:r>
      <w:r>
        <w:t>ted to the revalued amount.</w:t>
      </w:r>
    </w:p>
    <w:p w14:paraId="61AE6566" w14:textId="7D400E17" w:rsidR="00A45F1C" w:rsidRDefault="00A45F1C" w:rsidP="00A45F1C">
      <w:pPr>
        <w:rPr>
          <w:b/>
        </w:rPr>
      </w:pPr>
      <w:r>
        <w:rPr>
          <w:b/>
        </w:rPr>
        <w:t xml:space="preserve">Significant assumptions and judgements: </w:t>
      </w:r>
    </w:p>
    <w:p w14:paraId="73F0F04F" w14:textId="46291195" w:rsidR="00A45F1C" w:rsidRDefault="00A45F1C" w:rsidP="00A45F1C">
      <w:r w:rsidRPr="00A45F1C">
        <w:t>The most significant assumptions and judgements in estimating fair value are made in assessing whether to apply the existing use basis to assets and in determining estimated economic life.  Professional judgment by the valuer is required where the evidence does not provide a clear distinction between market type asse</w:t>
      </w:r>
      <w:r>
        <w:t>ts and existing use assets.</w:t>
      </w:r>
    </w:p>
    <w:p w14:paraId="2125E759" w14:textId="43C96C6A" w:rsidR="00A45F1C" w:rsidRDefault="00A45F1C" w:rsidP="00A45F1C">
      <w:pPr>
        <w:rPr>
          <w:b/>
        </w:rPr>
      </w:pPr>
      <w:r>
        <w:rPr>
          <w:b/>
        </w:rPr>
        <w:t>Asset revaluation surplus</w:t>
      </w:r>
    </w:p>
    <w:p w14:paraId="30944936" w14:textId="547E718D" w:rsidR="00A3118B" w:rsidRDefault="00A45F1C" w:rsidP="00A45F1C">
      <w:r w:rsidRPr="00A45F1C">
        <w:t xml:space="preserve">The asset revaluation surplus is used to record increments and decrements on the revaluation of non-current assets </w:t>
      </w:r>
      <w:r>
        <w:t>on a class of assets basis.</w:t>
      </w:r>
    </w:p>
    <w:p w14:paraId="0B3A3E8E" w14:textId="02711313" w:rsidR="00A45F1C" w:rsidRDefault="00A3118B" w:rsidP="00A3118B">
      <w:pPr>
        <w:keepLines w:val="0"/>
        <w:spacing w:after="0" w:line="240" w:lineRule="auto"/>
      </w:pPr>
      <w:r>
        <w:br w:type="page"/>
      </w:r>
    </w:p>
    <w:p w14:paraId="753569C2" w14:textId="5176B83C" w:rsidR="009F57E2" w:rsidRDefault="00024979" w:rsidP="00024979">
      <w:pPr>
        <w:pStyle w:val="Heading4"/>
      </w:pPr>
      <w:r>
        <w:t>5.1.</w:t>
      </w:r>
      <w:r w:rsidRPr="00024979">
        <w:t xml:space="preserve">1 </w:t>
      </w:r>
      <w:r w:rsidR="009F57E2" w:rsidRPr="00024979">
        <w:t xml:space="preserve">Depreciation and impairment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Depreciation and impairment"/>
        <w:tblDescription w:val="This table outlines the depreciation and impairment of assets for 2017 and 2018. "/>
      </w:tblPr>
      <w:tblGrid>
        <w:gridCol w:w="5949"/>
        <w:gridCol w:w="1559"/>
        <w:gridCol w:w="1508"/>
      </w:tblGrid>
      <w:tr w:rsidR="00A3118B" w14:paraId="50DE0088" w14:textId="77777777" w:rsidTr="00A3118B">
        <w:trPr>
          <w:tblHeader/>
        </w:trPr>
        <w:tc>
          <w:tcPr>
            <w:tcW w:w="5949" w:type="dxa"/>
          </w:tcPr>
          <w:p w14:paraId="4D60DABD" w14:textId="77777777" w:rsidR="00A3118B" w:rsidRDefault="00A3118B" w:rsidP="00F61E4A"/>
        </w:tc>
        <w:tc>
          <w:tcPr>
            <w:tcW w:w="1559" w:type="dxa"/>
            <w:tcBorders>
              <w:bottom w:val="single" w:sz="12" w:space="0" w:color="auto"/>
            </w:tcBorders>
            <w:vAlign w:val="center"/>
          </w:tcPr>
          <w:p w14:paraId="17B46073" w14:textId="77777777" w:rsidR="00A3118B" w:rsidRDefault="00A3118B" w:rsidP="00F61E4A">
            <w:pPr>
              <w:jc w:val="right"/>
            </w:pPr>
            <w:r w:rsidRPr="00C90C05">
              <w:rPr>
                <w:b/>
              </w:rPr>
              <w:t>2018</w:t>
            </w:r>
            <w:r w:rsidRPr="00C90C05">
              <w:rPr>
                <w:b/>
              </w:rPr>
              <w:br/>
              <w:t>$000</w:t>
            </w:r>
          </w:p>
        </w:tc>
        <w:tc>
          <w:tcPr>
            <w:tcW w:w="1508" w:type="dxa"/>
            <w:tcBorders>
              <w:bottom w:val="single" w:sz="12" w:space="0" w:color="auto"/>
            </w:tcBorders>
            <w:vAlign w:val="center"/>
          </w:tcPr>
          <w:p w14:paraId="7DE4E2CE" w14:textId="77777777" w:rsidR="00A3118B" w:rsidRDefault="00A3118B" w:rsidP="00F61E4A">
            <w:pPr>
              <w:jc w:val="right"/>
            </w:pPr>
            <w:r w:rsidRPr="00C90C05">
              <w:rPr>
                <w:b/>
              </w:rPr>
              <w:t>2017</w:t>
            </w:r>
            <w:r w:rsidRPr="00C90C05">
              <w:rPr>
                <w:b/>
              </w:rPr>
              <w:br/>
              <w:t>$000</w:t>
            </w:r>
          </w:p>
        </w:tc>
      </w:tr>
      <w:tr w:rsidR="00A3118B" w14:paraId="2525D6B5" w14:textId="77777777" w:rsidTr="00A3118B">
        <w:tc>
          <w:tcPr>
            <w:tcW w:w="5949" w:type="dxa"/>
          </w:tcPr>
          <w:p w14:paraId="6FC73972" w14:textId="6C0BC9D1" w:rsidR="00A3118B" w:rsidRPr="00A3118B" w:rsidRDefault="00A3118B" w:rsidP="00F61E4A">
            <w:pPr>
              <w:rPr>
                <w:u w:val="single"/>
                <w:lang w:eastAsia="en-AU"/>
              </w:rPr>
            </w:pPr>
            <w:r w:rsidRPr="00A3118B">
              <w:rPr>
                <w:u w:val="single"/>
              </w:rPr>
              <w:t xml:space="preserve">Depreciation </w:t>
            </w:r>
          </w:p>
        </w:tc>
        <w:tc>
          <w:tcPr>
            <w:tcW w:w="1559" w:type="dxa"/>
            <w:tcBorders>
              <w:top w:val="single" w:sz="12" w:space="0" w:color="auto"/>
            </w:tcBorders>
          </w:tcPr>
          <w:p w14:paraId="48F3B4AA" w14:textId="77777777" w:rsidR="00A3118B" w:rsidRDefault="00A3118B" w:rsidP="00F61E4A"/>
        </w:tc>
        <w:tc>
          <w:tcPr>
            <w:tcW w:w="1508" w:type="dxa"/>
            <w:tcBorders>
              <w:top w:val="single" w:sz="12" w:space="0" w:color="auto"/>
            </w:tcBorders>
          </w:tcPr>
          <w:p w14:paraId="4866A71D" w14:textId="77777777" w:rsidR="00A3118B" w:rsidRDefault="00A3118B" w:rsidP="00F61E4A"/>
        </w:tc>
      </w:tr>
      <w:tr w:rsidR="00A3118B" w14:paraId="3E64CA3C" w14:textId="77777777" w:rsidTr="00F61E4A">
        <w:tc>
          <w:tcPr>
            <w:tcW w:w="5949" w:type="dxa"/>
            <w:vAlign w:val="bottom"/>
          </w:tcPr>
          <w:p w14:paraId="37AAA90F" w14:textId="4CD00106" w:rsidR="00A3118B" w:rsidRDefault="00A3118B" w:rsidP="00F61E4A">
            <w:r>
              <w:t>Plant, equipment and vehicles</w:t>
            </w:r>
          </w:p>
        </w:tc>
        <w:tc>
          <w:tcPr>
            <w:tcW w:w="1559" w:type="dxa"/>
            <w:vAlign w:val="bottom"/>
          </w:tcPr>
          <w:p w14:paraId="29246CFB" w14:textId="62C430CD" w:rsidR="00A3118B" w:rsidRDefault="00A3118B" w:rsidP="00F61E4A">
            <w:pPr>
              <w:jc w:val="right"/>
            </w:pPr>
            <w:r>
              <w:t>380</w:t>
            </w:r>
          </w:p>
        </w:tc>
        <w:tc>
          <w:tcPr>
            <w:tcW w:w="1508" w:type="dxa"/>
            <w:vAlign w:val="bottom"/>
          </w:tcPr>
          <w:p w14:paraId="7575AC6D" w14:textId="1B910F5A" w:rsidR="00A3118B" w:rsidRDefault="00A3118B" w:rsidP="00F61E4A">
            <w:pPr>
              <w:jc w:val="right"/>
            </w:pPr>
            <w:r>
              <w:t>393</w:t>
            </w:r>
          </w:p>
        </w:tc>
      </w:tr>
      <w:tr w:rsidR="00A3118B" w14:paraId="6250BA32" w14:textId="77777777" w:rsidTr="00A3118B">
        <w:tc>
          <w:tcPr>
            <w:tcW w:w="5949" w:type="dxa"/>
            <w:vAlign w:val="bottom"/>
          </w:tcPr>
          <w:p w14:paraId="3BAF245B" w14:textId="2706B23C" w:rsidR="00A3118B" w:rsidRDefault="00A3118B" w:rsidP="00F61E4A">
            <w:r>
              <w:t>Buildings</w:t>
            </w:r>
          </w:p>
        </w:tc>
        <w:tc>
          <w:tcPr>
            <w:tcW w:w="1559" w:type="dxa"/>
            <w:tcBorders>
              <w:bottom w:val="single" w:sz="4" w:space="0" w:color="auto"/>
            </w:tcBorders>
            <w:vAlign w:val="bottom"/>
          </w:tcPr>
          <w:p w14:paraId="4912989D" w14:textId="46F066A9" w:rsidR="00A3118B" w:rsidRDefault="00A3118B" w:rsidP="00F61E4A">
            <w:pPr>
              <w:jc w:val="right"/>
            </w:pPr>
            <w:r>
              <w:t>127</w:t>
            </w:r>
          </w:p>
        </w:tc>
        <w:tc>
          <w:tcPr>
            <w:tcW w:w="1508" w:type="dxa"/>
            <w:tcBorders>
              <w:bottom w:val="single" w:sz="4" w:space="0" w:color="auto"/>
            </w:tcBorders>
            <w:vAlign w:val="bottom"/>
          </w:tcPr>
          <w:p w14:paraId="6975ABE7" w14:textId="0F9F4A73" w:rsidR="00A3118B" w:rsidRDefault="00A3118B" w:rsidP="00F61E4A">
            <w:pPr>
              <w:jc w:val="right"/>
            </w:pPr>
            <w:r>
              <w:t>173</w:t>
            </w:r>
          </w:p>
        </w:tc>
      </w:tr>
      <w:tr w:rsidR="00A3118B" w14:paraId="79355E9D" w14:textId="77777777" w:rsidTr="00A3118B">
        <w:tc>
          <w:tcPr>
            <w:tcW w:w="5949" w:type="dxa"/>
            <w:vAlign w:val="bottom"/>
          </w:tcPr>
          <w:p w14:paraId="4E0404FA" w14:textId="593396A9" w:rsidR="00A3118B" w:rsidRPr="00A3118B" w:rsidRDefault="00A3118B" w:rsidP="00F61E4A">
            <w:pPr>
              <w:rPr>
                <w:b/>
              </w:rPr>
            </w:pPr>
            <w:r>
              <w:rPr>
                <w:b/>
              </w:rPr>
              <w:t xml:space="preserve">Total depreciation for the period </w:t>
            </w:r>
          </w:p>
        </w:tc>
        <w:tc>
          <w:tcPr>
            <w:tcW w:w="1559" w:type="dxa"/>
            <w:tcBorders>
              <w:top w:val="single" w:sz="4" w:space="0" w:color="auto"/>
              <w:bottom w:val="single" w:sz="4" w:space="0" w:color="auto"/>
            </w:tcBorders>
            <w:vAlign w:val="bottom"/>
          </w:tcPr>
          <w:p w14:paraId="0B3FCB7B" w14:textId="2B27C96E" w:rsidR="00A3118B" w:rsidRPr="00A3118B" w:rsidRDefault="00A3118B" w:rsidP="00F61E4A">
            <w:pPr>
              <w:jc w:val="right"/>
              <w:rPr>
                <w:b/>
              </w:rPr>
            </w:pPr>
            <w:r>
              <w:rPr>
                <w:b/>
              </w:rPr>
              <w:t>507</w:t>
            </w:r>
          </w:p>
        </w:tc>
        <w:tc>
          <w:tcPr>
            <w:tcW w:w="1508" w:type="dxa"/>
            <w:tcBorders>
              <w:top w:val="single" w:sz="4" w:space="0" w:color="auto"/>
              <w:bottom w:val="single" w:sz="4" w:space="0" w:color="auto"/>
            </w:tcBorders>
            <w:vAlign w:val="bottom"/>
          </w:tcPr>
          <w:p w14:paraId="296DED4D" w14:textId="30675A5A" w:rsidR="00A3118B" w:rsidRPr="00A3118B" w:rsidRDefault="00A3118B" w:rsidP="00F61E4A">
            <w:pPr>
              <w:jc w:val="right"/>
              <w:rPr>
                <w:b/>
              </w:rPr>
            </w:pPr>
            <w:r>
              <w:rPr>
                <w:b/>
              </w:rPr>
              <w:t>566</w:t>
            </w:r>
          </w:p>
        </w:tc>
      </w:tr>
    </w:tbl>
    <w:p w14:paraId="1D2722A0" w14:textId="0801FCED" w:rsidR="00A3118B" w:rsidRDefault="00A3118B" w:rsidP="009F57E2"/>
    <w:p w14:paraId="237F479F" w14:textId="2ADC213A" w:rsidR="00A3118B" w:rsidRDefault="00A3118B" w:rsidP="00A3118B">
      <w:r>
        <w:t>As at 30 June 2018 there were no indications of impairment to property, plant and equipment or infrastructure.</w:t>
      </w:r>
      <w:r>
        <w:tab/>
      </w:r>
      <w:r>
        <w:tab/>
      </w:r>
      <w:r>
        <w:tab/>
      </w:r>
      <w:r>
        <w:tab/>
      </w:r>
    </w:p>
    <w:p w14:paraId="37144DEA" w14:textId="6DE85C68" w:rsidR="00A3118B" w:rsidRDefault="00A3118B" w:rsidP="00A3118B">
      <w:r>
        <w:t>Please refer to note 5.2 for guidance in relation to the impairment assessment that has been performed for intangible assets.</w:t>
      </w:r>
      <w:r>
        <w:tab/>
      </w:r>
      <w:r>
        <w:tab/>
      </w:r>
    </w:p>
    <w:p w14:paraId="20FDD191" w14:textId="77777777" w:rsidR="00A3118B" w:rsidRPr="00A3118B" w:rsidRDefault="00A3118B" w:rsidP="00A3118B">
      <w:pPr>
        <w:rPr>
          <w:b/>
        </w:rPr>
      </w:pPr>
      <w:r w:rsidRPr="00A3118B">
        <w:rPr>
          <w:b/>
        </w:rPr>
        <w:t>Finite useful lives</w:t>
      </w:r>
      <w:r w:rsidRPr="00A3118B">
        <w:rPr>
          <w:b/>
        </w:rPr>
        <w:tab/>
      </w:r>
      <w:r w:rsidRPr="00A3118B">
        <w:rPr>
          <w:b/>
        </w:rPr>
        <w:tab/>
      </w:r>
      <w:r w:rsidRPr="00A3118B">
        <w:rPr>
          <w:b/>
        </w:rPr>
        <w:tab/>
      </w:r>
      <w:r w:rsidRPr="00A3118B">
        <w:rPr>
          <w:b/>
        </w:rPr>
        <w:tab/>
      </w:r>
      <w:r w:rsidRPr="00A3118B">
        <w:rPr>
          <w:b/>
        </w:rPr>
        <w:tab/>
      </w:r>
    </w:p>
    <w:p w14:paraId="4F2DB9EE" w14:textId="1588B896" w:rsidR="00A3118B" w:rsidRDefault="00A3118B" w:rsidP="00A3118B">
      <w:r>
        <w:t xml:space="preserve">All property, plant and equipment having a limited useful life are systematically depreciated over their estimated useful lives in a manner that reflects the consumption of their future economic benefits. </w:t>
      </w:r>
    </w:p>
    <w:p w14:paraId="71D97C53" w14:textId="77777777" w:rsidR="00A3118B" w:rsidRDefault="00A3118B" w:rsidP="00A3118B">
      <w:r>
        <w:t>Depreciation is generally calculated on a straight 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nite useful lives"/>
        <w:tblDescription w:val="This table outlines the typical estimated useful lives for the different asset classes for current and prior years. "/>
      </w:tblPr>
      <w:tblGrid>
        <w:gridCol w:w="4508"/>
        <w:gridCol w:w="4508"/>
      </w:tblGrid>
      <w:tr w:rsidR="00A3118B" w14:paraId="617CDD9A" w14:textId="77777777" w:rsidTr="00F11774">
        <w:trPr>
          <w:tblHeader/>
        </w:trPr>
        <w:tc>
          <w:tcPr>
            <w:tcW w:w="4508" w:type="dxa"/>
            <w:vAlign w:val="center"/>
          </w:tcPr>
          <w:p w14:paraId="6BC066EB" w14:textId="63D466F8" w:rsidR="00A3118B" w:rsidRDefault="00A3118B" w:rsidP="00A3118B">
            <w:r>
              <w:t>Buildings</w:t>
            </w:r>
          </w:p>
        </w:tc>
        <w:tc>
          <w:tcPr>
            <w:tcW w:w="4508" w:type="dxa"/>
            <w:vAlign w:val="center"/>
          </w:tcPr>
          <w:p w14:paraId="4F393A42" w14:textId="667F3632" w:rsidR="00A3118B" w:rsidRDefault="00A3118B" w:rsidP="00A3118B">
            <w:pPr>
              <w:jc w:val="right"/>
            </w:pPr>
            <w:r>
              <w:t>25 years</w:t>
            </w:r>
          </w:p>
        </w:tc>
      </w:tr>
      <w:tr w:rsidR="00A3118B" w14:paraId="341537FE" w14:textId="77777777" w:rsidTr="00A3118B">
        <w:tc>
          <w:tcPr>
            <w:tcW w:w="4508" w:type="dxa"/>
            <w:vAlign w:val="center"/>
          </w:tcPr>
          <w:p w14:paraId="0E4E3ECE" w14:textId="394F10E7" w:rsidR="00A3118B" w:rsidRDefault="00A3118B" w:rsidP="00A3118B">
            <w:r>
              <w:t>Plant and equipment</w:t>
            </w:r>
          </w:p>
        </w:tc>
        <w:tc>
          <w:tcPr>
            <w:tcW w:w="4508" w:type="dxa"/>
            <w:vAlign w:val="center"/>
          </w:tcPr>
          <w:p w14:paraId="6ACC20DA" w14:textId="2948479C" w:rsidR="00A3118B" w:rsidRDefault="00A3118B" w:rsidP="00A3118B">
            <w:pPr>
              <w:jc w:val="right"/>
            </w:pPr>
            <w:r>
              <w:t>5 to 15 years</w:t>
            </w:r>
          </w:p>
        </w:tc>
      </w:tr>
      <w:tr w:rsidR="00A3118B" w14:paraId="145C4014" w14:textId="77777777" w:rsidTr="00A3118B">
        <w:tc>
          <w:tcPr>
            <w:tcW w:w="4508" w:type="dxa"/>
            <w:vAlign w:val="center"/>
          </w:tcPr>
          <w:p w14:paraId="2D11DB39" w14:textId="210855CC" w:rsidR="00A3118B" w:rsidRDefault="00A3118B" w:rsidP="00A3118B">
            <w:r>
              <w:t xml:space="preserve">Information technology – Hardware </w:t>
            </w:r>
          </w:p>
        </w:tc>
        <w:tc>
          <w:tcPr>
            <w:tcW w:w="4508" w:type="dxa"/>
            <w:vAlign w:val="center"/>
          </w:tcPr>
          <w:p w14:paraId="2113EC48" w14:textId="57D029E1" w:rsidR="00A3118B" w:rsidRDefault="00A3118B" w:rsidP="00A3118B">
            <w:pPr>
              <w:jc w:val="right"/>
            </w:pPr>
            <w:r>
              <w:t>3 to 5 years</w:t>
            </w:r>
          </w:p>
        </w:tc>
      </w:tr>
      <w:tr w:rsidR="00A3118B" w14:paraId="7D29DD33" w14:textId="77777777" w:rsidTr="00A3118B">
        <w:tc>
          <w:tcPr>
            <w:tcW w:w="4508" w:type="dxa"/>
            <w:vAlign w:val="center"/>
          </w:tcPr>
          <w:p w14:paraId="32130267" w14:textId="1E9EE920" w:rsidR="00A3118B" w:rsidRPr="00A3118B" w:rsidRDefault="00A3118B" w:rsidP="00A3118B">
            <w:pPr>
              <w:rPr>
                <w:vertAlign w:val="superscript"/>
              </w:rPr>
            </w:pPr>
            <w:r w:rsidRPr="00A3118B">
              <w:t>Infor</w:t>
            </w:r>
            <w:r>
              <w:t>mation technology – Software</w:t>
            </w:r>
            <w:r>
              <w:rPr>
                <w:vertAlign w:val="superscript"/>
              </w:rPr>
              <w:t>(a)</w:t>
            </w:r>
          </w:p>
        </w:tc>
        <w:tc>
          <w:tcPr>
            <w:tcW w:w="4508" w:type="dxa"/>
            <w:vAlign w:val="center"/>
          </w:tcPr>
          <w:p w14:paraId="1E4FF9AB" w14:textId="51623D80" w:rsidR="00A3118B" w:rsidRDefault="00A3118B" w:rsidP="00A3118B">
            <w:pPr>
              <w:jc w:val="right"/>
            </w:pPr>
            <w:r>
              <w:t>3 to 10 years</w:t>
            </w:r>
          </w:p>
        </w:tc>
      </w:tr>
      <w:tr w:rsidR="00A3118B" w14:paraId="79CDB637" w14:textId="77777777" w:rsidTr="00A3118B">
        <w:tc>
          <w:tcPr>
            <w:tcW w:w="4508" w:type="dxa"/>
            <w:vAlign w:val="center"/>
          </w:tcPr>
          <w:p w14:paraId="4A17E3B0" w14:textId="40DE3F47" w:rsidR="00A3118B" w:rsidRDefault="00A3118B" w:rsidP="00A3118B">
            <w:r>
              <w:t>Motor vehicles</w:t>
            </w:r>
          </w:p>
        </w:tc>
        <w:tc>
          <w:tcPr>
            <w:tcW w:w="4508" w:type="dxa"/>
            <w:vAlign w:val="center"/>
          </w:tcPr>
          <w:p w14:paraId="1186C203" w14:textId="292E5039" w:rsidR="00A3118B" w:rsidRDefault="00A3118B" w:rsidP="00A3118B">
            <w:pPr>
              <w:jc w:val="right"/>
            </w:pPr>
            <w:r>
              <w:t>6 to 7 years</w:t>
            </w:r>
          </w:p>
        </w:tc>
      </w:tr>
    </w:tbl>
    <w:p w14:paraId="4F50B57C" w14:textId="0DDA148E" w:rsidR="009F57E2" w:rsidRDefault="00144760" w:rsidP="00A3118B">
      <w:r>
        <w:rPr>
          <w:vertAlign w:val="superscript"/>
        </w:rPr>
        <w:t xml:space="preserve">(a)  </w:t>
      </w:r>
      <w:r w:rsidRPr="00144760">
        <w:t>Software that is integral to the operation of related hardware.</w:t>
      </w:r>
    </w:p>
    <w:p w14:paraId="0004EB8D" w14:textId="5661BEC7" w:rsidR="00144760" w:rsidRDefault="00144760" w:rsidP="00A3118B">
      <w:r w:rsidRPr="00144760">
        <w:t>The estimated useful lives, residual values and depreciation method are reviewed at the end of each annual reporting period, and adjustme</w:t>
      </w:r>
      <w:r>
        <w:t>nts made where appropriate.</w:t>
      </w:r>
    </w:p>
    <w:p w14:paraId="0A43640B" w14:textId="7EE0CEC0" w:rsidR="00144760" w:rsidRDefault="00144760">
      <w:pPr>
        <w:keepLines w:val="0"/>
        <w:spacing w:after="0" w:line="240" w:lineRule="auto"/>
      </w:pPr>
      <w:r>
        <w:br w:type="page"/>
      </w:r>
    </w:p>
    <w:p w14:paraId="1168A2A0" w14:textId="55D09DD6" w:rsidR="00144760" w:rsidRDefault="00144760" w:rsidP="00A3118B">
      <w:r w:rsidRPr="00144760">
        <w:t>Land, which is considered to have an indefinite life, is not depreciated. Depreciation is not recognised in respect of these assets because their service potential has not, in any material sense, been consumed d</w:t>
      </w:r>
      <w:r>
        <w:t>uring the reporting period.</w:t>
      </w:r>
    </w:p>
    <w:p w14:paraId="5ED96A51" w14:textId="2C7270A8" w:rsidR="00144760" w:rsidRDefault="00144760" w:rsidP="00A3118B">
      <w:pPr>
        <w:rPr>
          <w:b/>
        </w:rPr>
      </w:pPr>
      <w:r>
        <w:rPr>
          <w:b/>
        </w:rPr>
        <w:t>Impairment</w:t>
      </w:r>
    </w:p>
    <w:p w14:paraId="3F43F09C" w14:textId="10BA1BAA" w:rsidR="00144760" w:rsidRDefault="00144760" w:rsidP="00A3118B">
      <w:r w:rsidRPr="00144760">
        <w:t>Non-financial assets, including items of property,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w:t>
      </w:r>
      <w:r>
        <w:t>airment loss is recognised.</w:t>
      </w:r>
    </w:p>
    <w:p w14:paraId="476F37BD" w14:textId="49E3A47E" w:rsidR="00144760" w:rsidRDefault="00144760" w:rsidP="00A3118B">
      <w:r w:rsidRPr="00144760">
        <w:t>Where an asset measured at cost is written down to its recoverable amount, an impairment loss is recognis</w:t>
      </w:r>
      <w:r>
        <w:t xml:space="preserve">ed through profit or loss. </w:t>
      </w:r>
    </w:p>
    <w:p w14:paraId="7B3C0DA0" w14:textId="07127F62" w:rsidR="00144760" w:rsidRDefault="00144760" w:rsidP="00A3118B">
      <w:r w:rsidRPr="00144760">
        <w:t>Where a previously revalued asset is written down to its recoverable amount, the loss is recognised as a revaluation decrement through o</w:t>
      </w:r>
      <w:r>
        <w:t>ther comprehensive income.</w:t>
      </w:r>
    </w:p>
    <w:p w14:paraId="54BD8E8C" w14:textId="26C8BC61" w:rsidR="00144760" w:rsidRDefault="00144760" w:rsidP="00A3118B">
      <w:r w:rsidRPr="00144760">
        <w:t>As the Authority is a not-for-profit entity, unless a specialised asset has been identified as a surplus asset, the recoverable amount of regularly revalued specialised assets is anticipated to be materia</w:t>
      </w:r>
      <w:r>
        <w:t>lly the same as fair value.</w:t>
      </w:r>
    </w:p>
    <w:p w14:paraId="41279695" w14:textId="2D9BB4F9" w:rsidR="00144760" w:rsidRDefault="00144760" w:rsidP="00A3118B">
      <w:r w:rsidRPr="00144760">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w:t>
      </w:r>
      <w:r>
        <w:t xml:space="preserve"> recognised in prior years.</w:t>
      </w:r>
    </w:p>
    <w:p w14:paraId="04DD01D3" w14:textId="7392F8CE" w:rsidR="00144760" w:rsidRDefault="00144760" w:rsidP="00A3118B">
      <w:r w:rsidRPr="00144760">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d</w:t>
      </w:r>
      <w:r>
        <w:t>eclining replacement costs.</w:t>
      </w:r>
    </w:p>
    <w:p w14:paraId="1F8605A3" w14:textId="22D09756" w:rsidR="00144760" w:rsidRDefault="00144760" w:rsidP="00A3118B">
      <w:r w:rsidRPr="00144760">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Surplus assets at cost are tested for indications of impairment at the en</w:t>
      </w:r>
      <w:r>
        <w:t>d of each reporting period.</w:t>
      </w:r>
    </w:p>
    <w:p w14:paraId="56E1784A" w14:textId="374A79A9" w:rsidR="00144760" w:rsidRDefault="00144760">
      <w:pPr>
        <w:keepLines w:val="0"/>
        <w:spacing w:after="0" w:line="240" w:lineRule="auto"/>
      </w:pPr>
      <w:r>
        <w:br w:type="page"/>
      </w:r>
    </w:p>
    <w:p w14:paraId="3F2A23CF" w14:textId="49755B08" w:rsidR="00144760" w:rsidRDefault="00144760" w:rsidP="00026A6F">
      <w:pPr>
        <w:pStyle w:val="Heading3nonumber"/>
        <w:numPr>
          <w:ilvl w:val="1"/>
          <w:numId w:val="50"/>
        </w:numPr>
      </w:pPr>
      <w:bookmarkStart w:id="787" w:name="_Toc525122183"/>
      <w:r>
        <w:t>Intangible assets</w:t>
      </w:r>
      <w:bookmarkEnd w:id="787"/>
      <w:r>
        <w:t xml:space="preserve"> </w:t>
      </w:r>
    </w:p>
    <w:p w14:paraId="4EAC86C1" w14:textId="6B3EAFB6" w:rsidR="00144760" w:rsidRDefault="00144760" w:rsidP="00144760">
      <w:pPr>
        <w:rPr>
          <w:b/>
          <w:u w:val="single"/>
        </w:rPr>
      </w:pPr>
      <w:r>
        <w:rPr>
          <w:b/>
          <w:u w:val="single"/>
        </w:rPr>
        <w:t xml:space="preserve">Year ended 30 June 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ntangible assets"/>
        <w:tblDescription w:val="This table outlines intangible assets for the years ending 30 June 2017 and 30 June 2018. "/>
      </w:tblPr>
      <w:tblGrid>
        <w:gridCol w:w="2122"/>
        <w:gridCol w:w="2551"/>
        <w:gridCol w:w="1418"/>
        <w:gridCol w:w="1417"/>
        <w:gridCol w:w="1508"/>
      </w:tblGrid>
      <w:tr w:rsidR="00144760" w14:paraId="6710CB69" w14:textId="77777777" w:rsidTr="00FC75A1">
        <w:trPr>
          <w:tblHeader/>
        </w:trPr>
        <w:tc>
          <w:tcPr>
            <w:tcW w:w="2122" w:type="dxa"/>
          </w:tcPr>
          <w:p w14:paraId="01AD168B" w14:textId="77777777" w:rsidR="00144760" w:rsidRDefault="00144760" w:rsidP="00144760"/>
        </w:tc>
        <w:tc>
          <w:tcPr>
            <w:tcW w:w="2551" w:type="dxa"/>
            <w:tcBorders>
              <w:bottom w:val="single" w:sz="4" w:space="0" w:color="auto"/>
            </w:tcBorders>
          </w:tcPr>
          <w:p w14:paraId="684678EF" w14:textId="045400DC" w:rsidR="00144760" w:rsidRPr="00144760" w:rsidRDefault="00144760" w:rsidP="00144760">
            <w:pPr>
              <w:jc w:val="right"/>
              <w:rPr>
                <w:b/>
              </w:rPr>
            </w:pPr>
            <w:r>
              <w:rPr>
                <w:b/>
              </w:rPr>
              <w:t>Computer Software</w:t>
            </w:r>
            <w:r>
              <w:rPr>
                <w:b/>
              </w:rPr>
              <w:br/>
              <w:t>$000</w:t>
            </w:r>
          </w:p>
        </w:tc>
        <w:tc>
          <w:tcPr>
            <w:tcW w:w="1418" w:type="dxa"/>
            <w:tcBorders>
              <w:bottom w:val="single" w:sz="4" w:space="0" w:color="auto"/>
            </w:tcBorders>
          </w:tcPr>
          <w:p w14:paraId="729A5521" w14:textId="4A6C9FF2" w:rsidR="00144760" w:rsidRPr="00144760" w:rsidRDefault="00144760" w:rsidP="00144760">
            <w:pPr>
              <w:jc w:val="right"/>
              <w:rPr>
                <w:b/>
              </w:rPr>
            </w:pPr>
            <w:r>
              <w:rPr>
                <w:b/>
              </w:rPr>
              <w:t>Licences</w:t>
            </w:r>
            <w:r>
              <w:rPr>
                <w:b/>
              </w:rPr>
              <w:br/>
              <w:t>$000</w:t>
            </w:r>
          </w:p>
        </w:tc>
        <w:tc>
          <w:tcPr>
            <w:tcW w:w="1417" w:type="dxa"/>
            <w:tcBorders>
              <w:bottom w:val="single" w:sz="4" w:space="0" w:color="auto"/>
            </w:tcBorders>
          </w:tcPr>
          <w:p w14:paraId="25C0BE96" w14:textId="095F8DC1" w:rsidR="00144760" w:rsidRPr="00144760" w:rsidRDefault="00144760" w:rsidP="00144760">
            <w:pPr>
              <w:jc w:val="right"/>
              <w:rPr>
                <w:b/>
              </w:rPr>
            </w:pPr>
            <w:r>
              <w:rPr>
                <w:b/>
              </w:rPr>
              <w:t>Website</w:t>
            </w:r>
            <w:r>
              <w:rPr>
                <w:b/>
              </w:rPr>
              <w:br/>
              <w:t xml:space="preserve">$000 </w:t>
            </w:r>
          </w:p>
        </w:tc>
        <w:tc>
          <w:tcPr>
            <w:tcW w:w="1508" w:type="dxa"/>
            <w:tcBorders>
              <w:bottom w:val="single" w:sz="4" w:space="0" w:color="auto"/>
            </w:tcBorders>
          </w:tcPr>
          <w:p w14:paraId="6E5C5409" w14:textId="31CDCBDA" w:rsidR="00144760" w:rsidRPr="00144760" w:rsidRDefault="00144760" w:rsidP="00144760">
            <w:pPr>
              <w:jc w:val="right"/>
              <w:rPr>
                <w:b/>
              </w:rPr>
            </w:pPr>
            <w:r>
              <w:rPr>
                <w:b/>
              </w:rPr>
              <w:t>Total</w:t>
            </w:r>
            <w:r>
              <w:rPr>
                <w:b/>
              </w:rPr>
              <w:br/>
              <w:t>$000</w:t>
            </w:r>
          </w:p>
        </w:tc>
      </w:tr>
      <w:tr w:rsidR="00144760" w14:paraId="0CD4E36A" w14:textId="77777777" w:rsidTr="00FC75A1">
        <w:tc>
          <w:tcPr>
            <w:tcW w:w="2122" w:type="dxa"/>
            <w:vAlign w:val="bottom"/>
          </w:tcPr>
          <w:p w14:paraId="0A587BF3" w14:textId="192196E0" w:rsidR="00144760" w:rsidRPr="00144760" w:rsidRDefault="00144760" w:rsidP="00144760">
            <w:pPr>
              <w:rPr>
                <w:b/>
              </w:rPr>
            </w:pPr>
            <w:r w:rsidRPr="00144760">
              <w:rPr>
                <w:b/>
              </w:rPr>
              <w:t>1 July 2016</w:t>
            </w:r>
          </w:p>
        </w:tc>
        <w:tc>
          <w:tcPr>
            <w:tcW w:w="2551" w:type="dxa"/>
            <w:tcBorders>
              <w:top w:val="single" w:sz="4" w:space="0" w:color="auto"/>
            </w:tcBorders>
            <w:vAlign w:val="bottom"/>
          </w:tcPr>
          <w:p w14:paraId="7F97D5F7" w14:textId="77777777" w:rsidR="00144760" w:rsidRDefault="00144760" w:rsidP="00144760"/>
        </w:tc>
        <w:tc>
          <w:tcPr>
            <w:tcW w:w="1418" w:type="dxa"/>
            <w:tcBorders>
              <w:top w:val="single" w:sz="4" w:space="0" w:color="auto"/>
            </w:tcBorders>
            <w:vAlign w:val="bottom"/>
          </w:tcPr>
          <w:p w14:paraId="7EF869E0" w14:textId="6325F6B6" w:rsidR="00144760" w:rsidRDefault="00144760" w:rsidP="00144760">
            <w:r>
              <w:rPr>
                <w:rFonts w:cs="Arial"/>
                <w:sz w:val="20"/>
                <w:szCs w:val="20"/>
              </w:rPr>
              <w:t> </w:t>
            </w:r>
          </w:p>
        </w:tc>
        <w:tc>
          <w:tcPr>
            <w:tcW w:w="1417" w:type="dxa"/>
            <w:tcBorders>
              <w:top w:val="single" w:sz="4" w:space="0" w:color="auto"/>
            </w:tcBorders>
            <w:vAlign w:val="bottom"/>
          </w:tcPr>
          <w:p w14:paraId="1B02AE0A" w14:textId="77777777" w:rsidR="00144760" w:rsidRDefault="00144760" w:rsidP="00144760"/>
        </w:tc>
        <w:tc>
          <w:tcPr>
            <w:tcW w:w="1508" w:type="dxa"/>
            <w:tcBorders>
              <w:top w:val="single" w:sz="4" w:space="0" w:color="auto"/>
            </w:tcBorders>
            <w:vAlign w:val="bottom"/>
          </w:tcPr>
          <w:p w14:paraId="50DB6C41" w14:textId="42767F15" w:rsidR="00144760" w:rsidRDefault="00144760" w:rsidP="00144760">
            <w:r>
              <w:rPr>
                <w:rFonts w:cs="Arial"/>
                <w:sz w:val="20"/>
                <w:szCs w:val="20"/>
              </w:rPr>
              <w:t> </w:t>
            </w:r>
          </w:p>
        </w:tc>
      </w:tr>
      <w:tr w:rsidR="00144760" w14:paraId="0BF1CF7A" w14:textId="77777777" w:rsidTr="00FC75A1">
        <w:tc>
          <w:tcPr>
            <w:tcW w:w="2122" w:type="dxa"/>
            <w:vAlign w:val="bottom"/>
          </w:tcPr>
          <w:p w14:paraId="5E251F44" w14:textId="38A5D44F" w:rsidR="00144760" w:rsidRPr="00144760" w:rsidRDefault="00144760" w:rsidP="00144760">
            <w:pPr>
              <w:rPr>
                <w:b/>
              </w:rPr>
            </w:pPr>
            <w:r w:rsidRPr="00144760">
              <w:rPr>
                <w:b/>
              </w:rPr>
              <w:t>Gross carrying amount</w:t>
            </w:r>
          </w:p>
        </w:tc>
        <w:tc>
          <w:tcPr>
            <w:tcW w:w="2551" w:type="dxa"/>
            <w:vAlign w:val="bottom"/>
          </w:tcPr>
          <w:p w14:paraId="512D51AA" w14:textId="56F60FBC" w:rsidR="00144760" w:rsidRDefault="00144760" w:rsidP="00144760">
            <w:pPr>
              <w:jc w:val="right"/>
            </w:pPr>
            <w:r>
              <w:t xml:space="preserve">             3,828 </w:t>
            </w:r>
          </w:p>
        </w:tc>
        <w:tc>
          <w:tcPr>
            <w:tcW w:w="1418" w:type="dxa"/>
            <w:vAlign w:val="bottom"/>
          </w:tcPr>
          <w:p w14:paraId="52A2B80E" w14:textId="38C68799" w:rsidR="00144760" w:rsidRDefault="00144760" w:rsidP="00144760">
            <w:pPr>
              <w:jc w:val="right"/>
            </w:pPr>
            <w:r>
              <w:t xml:space="preserve">                170 </w:t>
            </w:r>
          </w:p>
        </w:tc>
        <w:tc>
          <w:tcPr>
            <w:tcW w:w="1417" w:type="dxa"/>
            <w:vAlign w:val="bottom"/>
          </w:tcPr>
          <w:p w14:paraId="477BCDFF" w14:textId="334CCC6E" w:rsidR="00144760" w:rsidRDefault="00144760" w:rsidP="00144760">
            <w:pPr>
              <w:jc w:val="right"/>
            </w:pPr>
            <w:r>
              <w:t xml:space="preserve">                        27 </w:t>
            </w:r>
          </w:p>
        </w:tc>
        <w:tc>
          <w:tcPr>
            <w:tcW w:w="1508" w:type="dxa"/>
            <w:vAlign w:val="bottom"/>
          </w:tcPr>
          <w:p w14:paraId="739A9277" w14:textId="244B5541" w:rsidR="00144760" w:rsidRDefault="00144760" w:rsidP="00144760">
            <w:pPr>
              <w:jc w:val="right"/>
            </w:pPr>
            <w:r>
              <w:t xml:space="preserve">           4,025 </w:t>
            </w:r>
          </w:p>
        </w:tc>
      </w:tr>
      <w:tr w:rsidR="00144760" w14:paraId="0D2FC601" w14:textId="77777777" w:rsidTr="00FC75A1">
        <w:tc>
          <w:tcPr>
            <w:tcW w:w="2122" w:type="dxa"/>
            <w:vAlign w:val="bottom"/>
          </w:tcPr>
          <w:p w14:paraId="56B132B1" w14:textId="4CCEB8BC" w:rsidR="00144760" w:rsidRDefault="00144760" w:rsidP="00144760">
            <w:r>
              <w:t>Accumulated amortisation</w:t>
            </w:r>
          </w:p>
        </w:tc>
        <w:tc>
          <w:tcPr>
            <w:tcW w:w="2551" w:type="dxa"/>
            <w:vAlign w:val="bottom"/>
          </w:tcPr>
          <w:p w14:paraId="66F2930E" w14:textId="7912686A" w:rsidR="00144760" w:rsidRDefault="00144760" w:rsidP="00144760">
            <w:pPr>
              <w:jc w:val="right"/>
            </w:pPr>
            <w:r>
              <w:t xml:space="preserve">            (1,546)</w:t>
            </w:r>
          </w:p>
        </w:tc>
        <w:tc>
          <w:tcPr>
            <w:tcW w:w="1418" w:type="dxa"/>
            <w:vAlign w:val="bottom"/>
          </w:tcPr>
          <w:p w14:paraId="0300695D" w14:textId="523CA77D" w:rsidR="00144760" w:rsidRDefault="00144760" w:rsidP="00144760">
            <w:pPr>
              <w:jc w:val="right"/>
            </w:pPr>
            <w:r>
              <w:t xml:space="preserve">                 (85)</w:t>
            </w:r>
          </w:p>
        </w:tc>
        <w:tc>
          <w:tcPr>
            <w:tcW w:w="1417" w:type="dxa"/>
            <w:vAlign w:val="bottom"/>
          </w:tcPr>
          <w:p w14:paraId="41D6D021" w14:textId="7BF23F59" w:rsidR="00144760" w:rsidRDefault="00144760" w:rsidP="00144760">
            <w:pPr>
              <w:jc w:val="right"/>
            </w:pPr>
            <w:r>
              <w:t xml:space="preserve">                       (27)</w:t>
            </w:r>
          </w:p>
        </w:tc>
        <w:tc>
          <w:tcPr>
            <w:tcW w:w="1508" w:type="dxa"/>
            <w:vAlign w:val="bottom"/>
          </w:tcPr>
          <w:p w14:paraId="68FB566F" w14:textId="17752A7A" w:rsidR="00144760" w:rsidRDefault="00144760" w:rsidP="00144760">
            <w:pPr>
              <w:jc w:val="right"/>
            </w:pPr>
            <w:r>
              <w:t xml:space="preserve">          (1,658)</w:t>
            </w:r>
          </w:p>
        </w:tc>
      </w:tr>
      <w:tr w:rsidR="00144760" w14:paraId="66AB3F07" w14:textId="77777777" w:rsidTr="00FC75A1">
        <w:tc>
          <w:tcPr>
            <w:tcW w:w="2122" w:type="dxa"/>
            <w:vAlign w:val="bottom"/>
          </w:tcPr>
          <w:p w14:paraId="7CCBDA7E" w14:textId="3191DC90" w:rsidR="00144760" w:rsidRPr="00144760" w:rsidRDefault="00144760" w:rsidP="00144760">
            <w:pPr>
              <w:rPr>
                <w:b/>
              </w:rPr>
            </w:pPr>
            <w:r w:rsidRPr="00144760">
              <w:rPr>
                <w:b/>
              </w:rPr>
              <w:t>Carrying amount at start of period</w:t>
            </w:r>
          </w:p>
        </w:tc>
        <w:tc>
          <w:tcPr>
            <w:tcW w:w="2551" w:type="dxa"/>
            <w:vAlign w:val="bottom"/>
          </w:tcPr>
          <w:p w14:paraId="338A1494" w14:textId="04EB4897" w:rsidR="00144760" w:rsidRDefault="00144760" w:rsidP="00144760">
            <w:pPr>
              <w:jc w:val="right"/>
            </w:pPr>
            <w:r>
              <w:rPr>
                <w:b/>
                <w:bCs/>
              </w:rPr>
              <w:t xml:space="preserve">             2,282 </w:t>
            </w:r>
          </w:p>
        </w:tc>
        <w:tc>
          <w:tcPr>
            <w:tcW w:w="1418" w:type="dxa"/>
            <w:vAlign w:val="bottom"/>
          </w:tcPr>
          <w:p w14:paraId="53442E88" w14:textId="514C7A28" w:rsidR="00144760" w:rsidRDefault="00144760" w:rsidP="00144760">
            <w:pPr>
              <w:jc w:val="right"/>
            </w:pPr>
            <w:r>
              <w:rPr>
                <w:b/>
                <w:bCs/>
              </w:rPr>
              <w:t xml:space="preserve">                  85 </w:t>
            </w:r>
          </w:p>
        </w:tc>
        <w:tc>
          <w:tcPr>
            <w:tcW w:w="1417" w:type="dxa"/>
            <w:vAlign w:val="bottom"/>
          </w:tcPr>
          <w:p w14:paraId="79B9FD28" w14:textId="7DF73E4C" w:rsidR="00144760" w:rsidRDefault="00144760" w:rsidP="00144760">
            <w:pPr>
              <w:jc w:val="right"/>
            </w:pPr>
            <w:r>
              <w:rPr>
                <w:b/>
                <w:bCs/>
              </w:rPr>
              <w:t xml:space="preserve">                        -   </w:t>
            </w:r>
          </w:p>
        </w:tc>
        <w:tc>
          <w:tcPr>
            <w:tcW w:w="1508" w:type="dxa"/>
            <w:vAlign w:val="bottom"/>
          </w:tcPr>
          <w:p w14:paraId="6F31DAFE" w14:textId="111DEDC9" w:rsidR="00144760" w:rsidRDefault="00144760" w:rsidP="00144760">
            <w:pPr>
              <w:jc w:val="right"/>
            </w:pPr>
            <w:r>
              <w:rPr>
                <w:b/>
                <w:bCs/>
              </w:rPr>
              <w:t xml:space="preserve">           2,367 </w:t>
            </w:r>
          </w:p>
        </w:tc>
      </w:tr>
      <w:tr w:rsidR="00144760" w14:paraId="44A321B4" w14:textId="77777777" w:rsidTr="00FC75A1">
        <w:tc>
          <w:tcPr>
            <w:tcW w:w="2122" w:type="dxa"/>
            <w:vAlign w:val="bottom"/>
          </w:tcPr>
          <w:p w14:paraId="529DDA04" w14:textId="0533027C" w:rsidR="00144760" w:rsidRDefault="00144760" w:rsidP="00144760">
            <w:r>
              <w:t>Additions</w:t>
            </w:r>
          </w:p>
        </w:tc>
        <w:tc>
          <w:tcPr>
            <w:tcW w:w="2551" w:type="dxa"/>
            <w:vAlign w:val="bottom"/>
          </w:tcPr>
          <w:p w14:paraId="0CC1A991" w14:textId="0D12D199" w:rsidR="00144760" w:rsidRDefault="00144760" w:rsidP="00144760">
            <w:pPr>
              <w:jc w:val="right"/>
            </w:pPr>
            <w:r>
              <w:t xml:space="preserve">                523 </w:t>
            </w:r>
          </w:p>
        </w:tc>
        <w:tc>
          <w:tcPr>
            <w:tcW w:w="1418" w:type="dxa"/>
            <w:vAlign w:val="bottom"/>
          </w:tcPr>
          <w:p w14:paraId="7C92D88B" w14:textId="25FF9301" w:rsidR="00144760" w:rsidRDefault="00144760" w:rsidP="00144760">
            <w:pPr>
              <w:jc w:val="right"/>
            </w:pPr>
            <w:r>
              <w:t xml:space="preserve">                   -   </w:t>
            </w:r>
          </w:p>
        </w:tc>
        <w:tc>
          <w:tcPr>
            <w:tcW w:w="1417" w:type="dxa"/>
            <w:vAlign w:val="bottom"/>
          </w:tcPr>
          <w:p w14:paraId="288A4788" w14:textId="58B75E96" w:rsidR="00144760" w:rsidRDefault="00144760" w:rsidP="00144760">
            <w:pPr>
              <w:jc w:val="right"/>
            </w:pPr>
            <w:r>
              <w:t xml:space="preserve">                        -   </w:t>
            </w:r>
          </w:p>
        </w:tc>
        <w:tc>
          <w:tcPr>
            <w:tcW w:w="1508" w:type="dxa"/>
            <w:vAlign w:val="bottom"/>
          </w:tcPr>
          <w:p w14:paraId="5BE6E9C5" w14:textId="0DB47670" w:rsidR="00144760" w:rsidRDefault="00144760" w:rsidP="00144760">
            <w:pPr>
              <w:jc w:val="right"/>
            </w:pPr>
            <w:r>
              <w:t xml:space="preserve">              523 </w:t>
            </w:r>
          </w:p>
        </w:tc>
      </w:tr>
      <w:tr w:rsidR="00144760" w14:paraId="7A0C72CB" w14:textId="77777777" w:rsidTr="00FC75A1">
        <w:tc>
          <w:tcPr>
            <w:tcW w:w="2122" w:type="dxa"/>
            <w:vAlign w:val="bottom"/>
          </w:tcPr>
          <w:p w14:paraId="4150C8E3" w14:textId="10F2F736" w:rsidR="00144760" w:rsidRDefault="00144760" w:rsidP="00144760">
            <w:r>
              <w:t>Transfer</w:t>
            </w:r>
          </w:p>
        </w:tc>
        <w:tc>
          <w:tcPr>
            <w:tcW w:w="2551" w:type="dxa"/>
            <w:vAlign w:val="bottom"/>
          </w:tcPr>
          <w:p w14:paraId="533785C7" w14:textId="5F306746" w:rsidR="00144760" w:rsidRDefault="00144760" w:rsidP="00144760">
            <w:pPr>
              <w:jc w:val="right"/>
            </w:pPr>
            <w:r>
              <w:t xml:space="preserve">                 (19)</w:t>
            </w:r>
          </w:p>
        </w:tc>
        <w:tc>
          <w:tcPr>
            <w:tcW w:w="1418" w:type="dxa"/>
            <w:vAlign w:val="bottom"/>
          </w:tcPr>
          <w:p w14:paraId="141410EB" w14:textId="5EF6D84C" w:rsidR="00144760" w:rsidRDefault="00144760" w:rsidP="00144760">
            <w:pPr>
              <w:jc w:val="right"/>
            </w:pPr>
            <w:r>
              <w:t xml:space="preserve">                   -   </w:t>
            </w:r>
          </w:p>
        </w:tc>
        <w:tc>
          <w:tcPr>
            <w:tcW w:w="1417" w:type="dxa"/>
            <w:vAlign w:val="bottom"/>
          </w:tcPr>
          <w:p w14:paraId="60D9B0E1" w14:textId="3ED4BCB8" w:rsidR="00144760" w:rsidRDefault="00144760" w:rsidP="00144760">
            <w:pPr>
              <w:jc w:val="right"/>
            </w:pPr>
            <w:r>
              <w:t xml:space="preserve">                        19 </w:t>
            </w:r>
          </w:p>
        </w:tc>
        <w:tc>
          <w:tcPr>
            <w:tcW w:w="1508" w:type="dxa"/>
            <w:vAlign w:val="bottom"/>
          </w:tcPr>
          <w:p w14:paraId="1A6399B5" w14:textId="0258A1E9" w:rsidR="00144760" w:rsidRDefault="00144760" w:rsidP="00144760">
            <w:pPr>
              <w:jc w:val="right"/>
            </w:pPr>
            <w:r>
              <w:t xml:space="preserve">                -   </w:t>
            </w:r>
          </w:p>
        </w:tc>
      </w:tr>
      <w:tr w:rsidR="00144760" w14:paraId="2A9746FB" w14:textId="77777777" w:rsidTr="00FC75A1">
        <w:tc>
          <w:tcPr>
            <w:tcW w:w="2122" w:type="dxa"/>
            <w:vAlign w:val="bottom"/>
          </w:tcPr>
          <w:p w14:paraId="3165FABB" w14:textId="540293E1" w:rsidR="00144760" w:rsidRDefault="00144760" w:rsidP="00144760">
            <w:r>
              <w:t>Impairment losses</w:t>
            </w:r>
          </w:p>
        </w:tc>
        <w:tc>
          <w:tcPr>
            <w:tcW w:w="2551" w:type="dxa"/>
            <w:vAlign w:val="bottom"/>
          </w:tcPr>
          <w:p w14:paraId="30509D65" w14:textId="1D480A90" w:rsidR="00144760" w:rsidRDefault="00144760" w:rsidP="00144760">
            <w:pPr>
              <w:jc w:val="right"/>
            </w:pPr>
            <w:r>
              <w:t xml:space="preserve">                  -   </w:t>
            </w:r>
          </w:p>
        </w:tc>
        <w:tc>
          <w:tcPr>
            <w:tcW w:w="1418" w:type="dxa"/>
            <w:vAlign w:val="bottom"/>
          </w:tcPr>
          <w:p w14:paraId="1FB2EDC8" w14:textId="6FCA0284" w:rsidR="00144760" w:rsidRDefault="00144760" w:rsidP="00144760">
            <w:pPr>
              <w:jc w:val="right"/>
            </w:pPr>
            <w:r>
              <w:t xml:space="preserve">                   -   </w:t>
            </w:r>
          </w:p>
        </w:tc>
        <w:tc>
          <w:tcPr>
            <w:tcW w:w="1417" w:type="dxa"/>
            <w:vAlign w:val="bottom"/>
          </w:tcPr>
          <w:p w14:paraId="2E58CD13" w14:textId="33CF6862" w:rsidR="00144760" w:rsidRDefault="00144760" w:rsidP="00144760">
            <w:pPr>
              <w:jc w:val="right"/>
            </w:pPr>
            <w:r>
              <w:t xml:space="preserve">                        -   </w:t>
            </w:r>
          </w:p>
        </w:tc>
        <w:tc>
          <w:tcPr>
            <w:tcW w:w="1508" w:type="dxa"/>
            <w:vAlign w:val="bottom"/>
          </w:tcPr>
          <w:p w14:paraId="1FC02D51" w14:textId="36E436C4" w:rsidR="00144760" w:rsidRDefault="00144760" w:rsidP="00144760">
            <w:pPr>
              <w:jc w:val="right"/>
            </w:pPr>
            <w:r>
              <w:t xml:space="preserve">                -   </w:t>
            </w:r>
          </w:p>
        </w:tc>
      </w:tr>
      <w:tr w:rsidR="00144760" w14:paraId="03FBA6F1" w14:textId="77777777" w:rsidTr="00FC75A1">
        <w:tc>
          <w:tcPr>
            <w:tcW w:w="2122" w:type="dxa"/>
            <w:vAlign w:val="bottom"/>
          </w:tcPr>
          <w:p w14:paraId="4A9CBEDF" w14:textId="01F00099" w:rsidR="00144760" w:rsidRDefault="00144760" w:rsidP="00144760">
            <w:r>
              <w:t>Amortisation expense</w:t>
            </w:r>
          </w:p>
        </w:tc>
        <w:tc>
          <w:tcPr>
            <w:tcW w:w="2551" w:type="dxa"/>
            <w:tcBorders>
              <w:bottom w:val="single" w:sz="4" w:space="0" w:color="auto"/>
            </w:tcBorders>
            <w:vAlign w:val="bottom"/>
          </w:tcPr>
          <w:p w14:paraId="7A5344DA" w14:textId="6C15DBC3" w:rsidR="00144760" w:rsidRDefault="00144760" w:rsidP="00144760">
            <w:pPr>
              <w:jc w:val="right"/>
            </w:pPr>
            <w:r>
              <w:t xml:space="preserve">               (369)</w:t>
            </w:r>
          </w:p>
        </w:tc>
        <w:tc>
          <w:tcPr>
            <w:tcW w:w="1418" w:type="dxa"/>
            <w:tcBorders>
              <w:bottom w:val="single" w:sz="4" w:space="0" w:color="auto"/>
            </w:tcBorders>
            <w:vAlign w:val="bottom"/>
          </w:tcPr>
          <w:p w14:paraId="67856936" w14:textId="1D9CAA86" w:rsidR="00144760" w:rsidRDefault="00144760" w:rsidP="00144760">
            <w:pPr>
              <w:jc w:val="right"/>
            </w:pPr>
            <w:r>
              <w:t xml:space="preserve">                 (21)</w:t>
            </w:r>
          </w:p>
        </w:tc>
        <w:tc>
          <w:tcPr>
            <w:tcW w:w="1417" w:type="dxa"/>
            <w:tcBorders>
              <w:bottom w:val="single" w:sz="4" w:space="0" w:color="auto"/>
            </w:tcBorders>
            <w:vAlign w:val="bottom"/>
          </w:tcPr>
          <w:p w14:paraId="04222CF0" w14:textId="1E4692B3" w:rsidR="00144760" w:rsidRDefault="00144760" w:rsidP="00144760">
            <w:pPr>
              <w:jc w:val="right"/>
            </w:pPr>
            <w:r>
              <w:t xml:space="preserve">                       (15)</w:t>
            </w:r>
          </w:p>
        </w:tc>
        <w:tc>
          <w:tcPr>
            <w:tcW w:w="1508" w:type="dxa"/>
            <w:tcBorders>
              <w:bottom w:val="single" w:sz="4" w:space="0" w:color="auto"/>
            </w:tcBorders>
            <w:vAlign w:val="bottom"/>
          </w:tcPr>
          <w:p w14:paraId="2E22B161" w14:textId="1476A377" w:rsidR="00144760" w:rsidRDefault="00144760" w:rsidP="00144760">
            <w:pPr>
              <w:jc w:val="right"/>
            </w:pPr>
            <w:r>
              <w:t xml:space="preserve">             (405)</w:t>
            </w:r>
          </w:p>
        </w:tc>
      </w:tr>
      <w:tr w:rsidR="00144760" w14:paraId="2D84BB23" w14:textId="77777777" w:rsidTr="00FC75A1">
        <w:tc>
          <w:tcPr>
            <w:tcW w:w="2122" w:type="dxa"/>
            <w:vAlign w:val="bottom"/>
          </w:tcPr>
          <w:p w14:paraId="684010B7" w14:textId="6F53A999" w:rsidR="00144760" w:rsidRDefault="00144760" w:rsidP="00144760">
            <w:r>
              <w:rPr>
                <w:b/>
                <w:bCs/>
              </w:rPr>
              <w:t>Carrying amount at 30 June 2017</w:t>
            </w:r>
          </w:p>
        </w:tc>
        <w:tc>
          <w:tcPr>
            <w:tcW w:w="2551" w:type="dxa"/>
            <w:tcBorders>
              <w:top w:val="single" w:sz="4" w:space="0" w:color="auto"/>
              <w:bottom w:val="double" w:sz="4" w:space="0" w:color="auto"/>
            </w:tcBorders>
            <w:vAlign w:val="bottom"/>
          </w:tcPr>
          <w:p w14:paraId="7CCE19EA" w14:textId="2669B5D1" w:rsidR="00144760" w:rsidRDefault="00144760" w:rsidP="00144760">
            <w:pPr>
              <w:jc w:val="right"/>
            </w:pPr>
            <w:r>
              <w:rPr>
                <w:b/>
                <w:bCs/>
              </w:rPr>
              <w:t xml:space="preserve">             2,417 </w:t>
            </w:r>
          </w:p>
        </w:tc>
        <w:tc>
          <w:tcPr>
            <w:tcW w:w="1418" w:type="dxa"/>
            <w:tcBorders>
              <w:top w:val="single" w:sz="4" w:space="0" w:color="auto"/>
              <w:bottom w:val="double" w:sz="4" w:space="0" w:color="auto"/>
            </w:tcBorders>
            <w:vAlign w:val="bottom"/>
          </w:tcPr>
          <w:p w14:paraId="09C51342" w14:textId="4070E57F" w:rsidR="00144760" w:rsidRDefault="00144760" w:rsidP="00144760">
            <w:pPr>
              <w:jc w:val="right"/>
            </w:pPr>
            <w:r>
              <w:rPr>
                <w:b/>
                <w:bCs/>
              </w:rPr>
              <w:t xml:space="preserve">                  64 </w:t>
            </w:r>
          </w:p>
        </w:tc>
        <w:tc>
          <w:tcPr>
            <w:tcW w:w="1417" w:type="dxa"/>
            <w:tcBorders>
              <w:top w:val="single" w:sz="4" w:space="0" w:color="auto"/>
              <w:bottom w:val="double" w:sz="4" w:space="0" w:color="auto"/>
            </w:tcBorders>
            <w:vAlign w:val="bottom"/>
          </w:tcPr>
          <w:p w14:paraId="68807828" w14:textId="4621196B" w:rsidR="00144760" w:rsidRDefault="00144760" w:rsidP="00144760">
            <w:pPr>
              <w:jc w:val="right"/>
            </w:pPr>
            <w:r>
              <w:rPr>
                <w:b/>
                <w:bCs/>
              </w:rPr>
              <w:t xml:space="preserve">                          4 </w:t>
            </w:r>
          </w:p>
        </w:tc>
        <w:tc>
          <w:tcPr>
            <w:tcW w:w="1508" w:type="dxa"/>
            <w:tcBorders>
              <w:top w:val="single" w:sz="4" w:space="0" w:color="auto"/>
              <w:bottom w:val="double" w:sz="4" w:space="0" w:color="auto"/>
            </w:tcBorders>
            <w:vAlign w:val="bottom"/>
          </w:tcPr>
          <w:p w14:paraId="238E84AE" w14:textId="7ED9075E" w:rsidR="00144760" w:rsidRDefault="00144760" w:rsidP="00144760">
            <w:pPr>
              <w:jc w:val="right"/>
            </w:pPr>
            <w:r>
              <w:rPr>
                <w:b/>
                <w:bCs/>
              </w:rPr>
              <w:t xml:space="preserve">           2,485 </w:t>
            </w:r>
          </w:p>
        </w:tc>
      </w:tr>
      <w:tr w:rsidR="00144760" w14:paraId="1564C45D" w14:textId="77777777" w:rsidTr="00FC75A1">
        <w:tc>
          <w:tcPr>
            <w:tcW w:w="9016" w:type="dxa"/>
            <w:gridSpan w:val="5"/>
          </w:tcPr>
          <w:p w14:paraId="405B9B62" w14:textId="378F7657" w:rsidR="00144760" w:rsidRDefault="00FC75A1" w:rsidP="00144760">
            <w:r>
              <w:rPr>
                <w:b/>
                <w:u w:val="single"/>
              </w:rPr>
              <w:br/>
            </w:r>
            <w:r w:rsidR="00144760">
              <w:rPr>
                <w:b/>
                <w:u w:val="single"/>
              </w:rPr>
              <w:t>Year ended 30 June 2018</w:t>
            </w:r>
          </w:p>
        </w:tc>
      </w:tr>
      <w:tr w:rsidR="00144760" w14:paraId="5783D1E3" w14:textId="77777777" w:rsidTr="00FC75A1">
        <w:tc>
          <w:tcPr>
            <w:tcW w:w="2122" w:type="dxa"/>
          </w:tcPr>
          <w:p w14:paraId="55CDDB62" w14:textId="77777777" w:rsidR="00144760" w:rsidRDefault="00144760" w:rsidP="00144760"/>
        </w:tc>
        <w:tc>
          <w:tcPr>
            <w:tcW w:w="2551" w:type="dxa"/>
            <w:tcBorders>
              <w:bottom w:val="single" w:sz="4" w:space="0" w:color="auto"/>
            </w:tcBorders>
          </w:tcPr>
          <w:p w14:paraId="55660FE6" w14:textId="504DCE0D" w:rsidR="00144760" w:rsidRDefault="00144760" w:rsidP="00144760">
            <w:pPr>
              <w:jc w:val="right"/>
            </w:pPr>
            <w:r>
              <w:rPr>
                <w:b/>
              </w:rPr>
              <w:t>Computer Software</w:t>
            </w:r>
            <w:r>
              <w:rPr>
                <w:b/>
              </w:rPr>
              <w:br/>
              <w:t>$000</w:t>
            </w:r>
          </w:p>
        </w:tc>
        <w:tc>
          <w:tcPr>
            <w:tcW w:w="1418" w:type="dxa"/>
            <w:tcBorders>
              <w:bottom w:val="single" w:sz="4" w:space="0" w:color="auto"/>
            </w:tcBorders>
          </w:tcPr>
          <w:p w14:paraId="477CC777" w14:textId="53E69D17" w:rsidR="00144760" w:rsidRDefault="00144760" w:rsidP="00144760">
            <w:pPr>
              <w:jc w:val="right"/>
            </w:pPr>
            <w:r>
              <w:rPr>
                <w:b/>
              </w:rPr>
              <w:t>Licences</w:t>
            </w:r>
            <w:r>
              <w:rPr>
                <w:b/>
              </w:rPr>
              <w:br/>
              <w:t>$000</w:t>
            </w:r>
          </w:p>
        </w:tc>
        <w:tc>
          <w:tcPr>
            <w:tcW w:w="1417" w:type="dxa"/>
            <w:tcBorders>
              <w:bottom w:val="single" w:sz="4" w:space="0" w:color="auto"/>
            </w:tcBorders>
          </w:tcPr>
          <w:p w14:paraId="18FD0310" w14:textId="5125696D" w:rsidR="00144760" w:rsidRDefault="00144760" w:rsidP="00144760">
            <w:pPr>
              <w:jc w:val="right"/>
            </w:pPr>
            <w:r>
              <w:rPr>
                <w:b/>
              </w:rPr>
              <w:t>Website</w:t>
            </w:r>
            <w:r>
              <w:rPr>
                <w:b/>
              </w:rPr>
              <w:br/>
              <w:t xml:space="preserve">$000 </w:t>
            </w:r>
          </w:p>
        </w:tc>
        <w:tc>
          <w:tcPr>
            <w:tcW w:w="1508" w:type="dxa"/>
            <w:tcBorders>
              <w:bottom w:val="single" w:sz="4" w:space="0" w:color="auto"/>
            </w:tcBorders>
          </w:tcPr>
          <w:p w14:paraId="3D6B46B1" w14:textId="234A4DEC" w:rsidR="00144760" w:rsidRDefault="00144760" w:rsidP="00144760">
            <w:pPr>
              <w:jc w:val="right"/>
            </w:pPr>
            <w:r>
              <w:rPr>
                <w:b/>
              </w:rPr>
              <w:t>Total</w:t>
            </w:r>
            <w:r>
              <w:rPr>
                <w:b/>
              </w:rPr>
              <w:br/>
              <w:t>$000</w:t>
            </w:r>
          </w:p>
        </w:tc>
      </w:tr>
      <w:tr w:rsidR="00144760" w14:paraId="253D41B0" w14:textId="77777777" w:rsidTr="00FC75A1">
        <w:tc>
          <w:tcPr>
            <w:tcW w:w="2122" w:type="dxa"/>
            <w:vAlign w:val="center"/>
          </w:tcPr>
          <w:p w14:paraId="7717C648" w14:textId="028727D2" w:rsidR="00144760" w:rsidRPr="00144760" w:rsidRDefault="00144760" w:rsidP="00FC75A1">
            <w:pPr>
              <w:rPr>
                <w:b/>
              </w:rPr>
            </w:pPr>
            <w:r w:rsidRPr="00144760">
              <w:rPr>
                <w:b/>
              </w:rPr>
              <w:t>1 July 2017</w:t>
            </w:r>
          </w:p>
        </w:tc>
        <w:tc>
          <w:tcPr>
            <w:tcW w:w="2551" w:type="dxa"/>
            <w:tcBorders>
              <w:top w:val="single" w:sz="4" w:space="0" w:color="auto"/>
            </w:tcBorders>
            <w:vAlign w:val="bottom"/>
          </w:tcPr>
          <w:p w14:paraId="661EA9AC" w14:textId="77777777" w:rsidR="00144760" w:rsidRDefault="00144760" w:rsidP="00144760"/>
        </w:tc>
        <w:tc>
          <w:tcPr>
            <w:tcW w:w="1418" w:type="dxa"/>
            <w:tcBorders>
              <w:top w:val="single" w:sz="4" w:space="0" w:color="auto"/>
            </w:tcBorders>
            <w:vAlign w:val="bottom"/>
          </w:tcPr>
          <w:p w14:paraId="41600C84" w14:textId="6159F929" w:rsidR="00144760" w:rsidRDefault="00144760" w:rsidP="00144760">
            <w:r>
              <w:rPr>
                <w:rFonts w:cs="Arial"/>
                <w:sz w:val="20"/>
                <w:szCs w:val="20"/>
              </w:rPr>
              <w:t> </w:t>
            </w:r>
          </w:p>
        </w:tc>
        <w:tc>
          <w:tcPr>
            <w:tcW w:w="1417" w:type="dxa"/>
            <w:tcBorders>
              <w:top w:val="single" w:sz="4" w:space="0" w:color="auto"/>
            </w:tcBorders>
            <w:vAlign w:val="bottom"/>
          </w:tcPr>
          <w:p w14:paraId="1CCD0669" w14:textId="53B89334" w:rsidR="00144760" w:rsidRDefault="00144760" w:rsidP="00144760">
            <w:r>
              <w:rPr>
                <w:rFonts w:cs="Arial"/>
                <w:sz w:val="20"/>
                <w:szCs w:val="20"/>
              </w:rPr>
              <w:t> </w:t>
            </w:r>
          </w:p>
        </w:tc>
        <w:tc>
          <w:tcPr>
            <w:tcW w:w="1508" w:type="dxa"/>
            <w:tcBorders>
              <w:top w:val="single" w:sz="4" w:space="0" w:color="auto"/>
            </w:tcBorders>
            <w:vAlign w:val="bottom"/>
          </w:tcPr>
          <w:p w14:paraId="007BB78D" w14:textId="6AF40EA6" w:rsidR="00144760" w:rsidRDefault="00144760" w:rsidP="00144760">
            <w:r>
              <w:rPr>
                <w:rFonts w:cs="Arial"/>
                <w:sz w:val="20"/>
                <w:szCs w:val="20"/>
              </w:rPr>
              <w:t> </w:t>
            </w:r>
          </w:p>
        </w:tc>
      </w:tr>
      <w:tr w:rsidR="00144760" w14:paraId="7B32DEE1" w14:textId="77777777" w:rsidTr="00FC75A1">
        <w:tc>
          <w:tcPr>
            <w:tcW w:w="2122" w:type="dxa"/>
            <w:vAlign w:val="center"/>
          </w:tcPr>
          <w:p w14:paraId="3A0DCFE3" w14:textId="160F647B" w:rsidR="00144760" w:rsidRPr="00144760" w:rsidRDefault="00144760" w:rsidP="00FC75A1">
            <w:pPr>
              <w:rPr>
                <w:b/>
              </w:rPr>
            </w:pPr>
            <w:r w:rsidRPr="00144760">
              <w:rPr>
                <w:b/>
              </w:rPr>
              <w:t>Gross carrying amount</w:t>
            </w:r>
          </w:p>
        </w:tc>
        <w:tc>
          <w:tcPr>
            <w:tcW w:w="2551" w:type="dxa"/>
            <w:vAlign w:val="bottom"/>
          </w:tcPr>
          <w:p w14:paraId="3EECF95D" w14:textId="2FE2F190" w:rsidR="00144760" w:rsidRDefault="00144760" w:rsidP="00144760">
            <w:pPr>
              <w:jc w:val="right"/>
            </w:pPr>
            <w:r>
              <w:t xml:space="preserve">             4,332 </w:t>
            </w:r>
          </w:p>
        </w:tc>
        <w:tc>
          <w:tcPr>
            <w:tcW w:w="1418" w:type="dxa"/>
            <w:vAlign w:val="bottom"/>
          </w:tcPr>
          <w:p w14:paraId="2427484B" w14:textId="3059F383" w:rsidR="00144760" w:rsidRDefault="00144760" w:rsidP="00144760">
            <w:pPr>
              <w:jc w:val="right"/>
            </w:pPr>
            <w:r>
              <w:t xml:space="preserve">                170 </w:t>
            </w:r>
          </w:p>
        </w:tc>
        <w:tc>
          <w:tcPr>
            <w:tcW w:w="1417" w:type="dxa"/>
            <w:vAlign w:val="bottom"/>
          </w:tcPr>
          <w:p w14:paraId="120D211E" w14:textId="05DFA609" w:rsidR="00144760" w:rsidRDefault="00144760" w:rsidP="00144760">
            <w:pPr>
              <w:jc w:val="right"/>
            </w:pPr>
            <w:r>
              <w:t xml:space="preserve">                        46 </w:t>
            </w:r>
          </w:p>
        </w:tc>
        <w:tc>
          <w:tcPr>
            <w:tcW w:w="1508" w:type="dxa"/>
            <w:vAlign w:val="bottom"/>
          </w:tcPr>
          <w:p w14:paraId="1CBC3466" w14:textId="6FF158A5" w:rsidR="00144760" w:rsidRDefault="00144760" w:rsidP="00144760">
            <w:pPr>
              <w:jc w:val="right"/>
            </w:pPr>
            <w:r>
              <w:t xml:space="preserve">           4,548 </w:t>
            </w:r>
          </w:p>
        </w:tc>
      </w:tr>
      <w:tr w:rsidR="00144760" w14:paraId="7D18F220" w14:textId="77777777" w:rsidTr="00FC75A1">
        <w:tc>
          <w:tcPr>
            <w:tcW w:w="2122" w:type="dxa"/>
            <w:vAlign w:val="center"/>
          </w:tcPr>
          <w:p w14:paraId="699D55EC" w14:textId="678E7735" w:rsidR="00144760" w:rsidRDefault="00144760" w:rsidP="00FC75A1">
            <w:r>
              <w:t>Accumulated amortisation</w:t>
            </w:r>
          </w:p>
        </w:tc>
        <w:tc>
          <w:tcPr>
            <w:tcW w:w="2551" w:type="dxa"/>
            <w:vAlign w:val="bottom"/>
          </w:tcPr>
          <w:p w14:paraId="53F6260F" w14:textId="18E2A6AF" w:rsidR="00144760" w:rsidRDefault="00144760" w:rsidP="00144760">
            <w:pPr>
              <w:jc w:val="right"/>
            </w:pPr>
            <w:r>
              <w:t xml:space="preserve">            (1,915)</w:t>
            </w:r>
          </w:p>
        </w:tc>
        <w:tc>
          <w:tcPr>
            <w:tcW w:w="1418" w:type="dxa"/>
            <w:vAlign w:val="bottom"/>
          </w:tcPr>
          <w:p w14:paraId="251EF9CC" w14:textId="4A213B0D" w:rsidR="00144760" w:rsidRDefault="00144760" w:rsidP="00144760">
            <w:pPr>
              <w:jc w:val="right"/>
            </w:pPr>
            <w:r>
              <w:t xml:space="preserve">               (106)</w:t>
            </w:r>
          </w:p>
        </w:tc>
        <w:tc>
          <w:tcPr>
            <w:tcW w:w="1417" w:type="dxa"/>
            <w:vAlign w:val="bottom"/>
          </w:tcPr>
          <w:p w14:paraId="3061D39D" w14:textId="77E33364" w:rsidR="00144760" w:rsidRDefault="00144760" w:rsidP="00144760">
            <w:pPr>
              <w:jc w:val="right"/>
            </w:pPr>
            <w:r>
              <w:t xml:space="preserve">                       (42)</w:t>
            </w:r>
          </w:p>
        </w:tc>
        <w:tc>
          <w:tcPr>
            <w:tcW w:w="1508" w:type="dxa"/>
            <w:vAlign w:val="bottom"/>
          </w:tcPr>
          <w:p w14:paraId="33FFF2F8" w14:textId="62378314" w:rsidR="00144760" w:rsidRDefault="00144760" w:rsidP="00144760">
            <w:pPr>
              <w:jc w:val="right"/>
            </w:pPr>
            <w:r>
              <w:t xml:space="preserve">          (2,063)</w:t>
            </w:r>
          </w:p>
        </w:tc>
      </w:tr>
      <w:tr w:rsidR="00144760" w14:paraId="2F8B2BF9" w14:textId="77777777" w:rsidTr="00FC75A1">
        <w:tc>
          <w:tcPr>
            <w:tcW w:w="2122" w:type="dxa"/>
            <w:vAlign w:val="center"/>
          </w:tcPr>
          <w:p w14:paraId="410DB441" w14:textId="5F8029C2" w:rsidR="00144760" w:rsidRPr="00144760" w:rsidRDefault="00144760" w:rsidP="00FC75A1">
            <w:pPr>
              <w:rPr>
                <w:b/>
              </w:rPr>
            </w:pPr>
            <w:r w:rsidRPr="00144760">
              <w:rPr>
                <w:b/>
              </w:rPr>
              <w:t>Carrying amount at start of period</w:t>
            </w:r>
          </w:p>
        </w:tc>
        <w:tc>
          <w:tcPr>
            <w:tcW w:w="2551" w:type="dxa"/>
            <w:vAlign w:val="center"/>
          </w:tcPr>
          <w:p w14:paraId="45C8FA8E" w14:textId="06AC8AEF" w:rsidR="00144760" w:rsidRDefault="00144760" w:rsidP="00FC75A1">
            <w:pPr>
              <w:jc w:val="right"/>
            </w:pPr>
            <w:r>
              <w:rPr>
                <w:b/>
                <w:bCs/>
              </w:rPr>
              <w:t xml:space="preserve">             2,417 </w:t>
            </w:r>
          </w:p>
        </w:tc>
        <w:tc>
          <w:tcPr>
            <w:tcW w:w="1418" w:type="dxa"/>
            <w:vAlign w:val="center"/>
          </w:tcPr>
          <w:p w14:paraId="4A40E45D" w14:textId="245A9F2F" w:rsidR="00144760" w:rsidRDefault="00144760" w:rsidP="00FC75A1">
            <w:pPr>
              <w:jc w:val="right"/>
            </w:pPr>
            <w:r>
              <w:rPr>
                <w:b/>
                <w:bCs/>
              </w:rPr>
              <w:t xml:space="preserve">                  64 </w:t>
            </w:r>
          </w:p>
        </w:tc>
        <w:tc>
          <w:tcPr>
            <w:tcW w:w="1417" w:type="dxa"/>
            <w:vAlign w:val="center"/>
          </w:tcPr>
          <w:p w14:paraId="3685A844" w14:textId="439995EE" w:rsidR="00144760" w:rsidRDefault="00144760" w:rsidP="00FC75A1">
            <w:pPr>
              <w:jc w:val="right"/>
            </w:pPr>
            <w:r>
              <w:rPr>
                <w:b/>
                <w:bCs/>
              </w:rPr>
              <w:t xml:space="preserve">                          4 </w:t>
            </w:r>
          </w:p>
        </w:tc>
        <w:tc>
          <w:tcPr>
            <w:tcW w:w="1508" w:type="dxa"/>
            <w:vAlign w:val="center"/>
          </w:tcPr>
          <w:p w14:paraId="4095026F" w14:textId="7619ACB7" w:rsidR="00144760" w:rsidRDefault="00144760" w:rsidP="00FC75A1">
            <w:pPr>
              <w:jc w:val="right"/>
            </w:pPr>
            <w:r>
              <w:rPr>
                <w:b/>
                <w:bCs/>
              </w:rPr>
              <w:t xml:space="preserve">           2,485 </w:t>
            </w:r>
          </w:p>
        </w:tc>
      </w:tr>
      <w:tr w:rsidR="00FC75A1" w14:paraId="25395D58" w14:textId="77777777" w:rsidTr="00FC75A1">
        <w:tc>
          <w:tcPr>
            <w:tcW w:w="2122" w:type="dxa"/>
            <w:vAlign w:val="bottom"/>
          </w:tcPr>
          <w:p w14:paraId="0922CC86" w14:textId="24DE6750" w:rsidR="00FC75A1" w:rsidRDefault="00FC75A1" w:rsidP="00FC75A1">
            <w:r>
              <w:t>Additions</w:t>
            </w:r>
          </w:p>
        </w:tc>
        <w:tc>
          <w:tcPr>
            <w:tcW w:w="2551" w:type="dxa"/>
            <w:vAlign w:val="bottom"/>
          </w:tcPr>
          <w:p w14:paraId="170CD4B9" w14:textId="6FA12238" w:rsidR="00FC75A1" w:rsidRDefault="00FC75A1" w:rsidP="00FC75A1">
            <w:pPr>
              <w:jc w:val="right"/>
            </w:pPr>
            <w:r>
              <w:t xml:space="preserve">                  -   </w:t>
            </w:r>
          </w:p>
        </w:tc>
        <w:tc>
          <w:tcPr>
            <w:tcW w:w="1418" w:type="dxa"/>
            <w:vAlign w:val="bottom"/>
          </w:tcPr>
          <w:p w14:paraId="62497ED8" w14:textId="13AAC07F" w:rsidR="00FC75A1" w:rsidRDefault="00FC75A1" w:rsidP="00FC75A1">
            <w:pPr>
              <w:jc w:val="right"/>
            </w:pPr>
            <w:r>
              <w:t xml:space="preserve">                   -   </w:t>
            </w:r>
          </w:p>
        </w:tc>
        <w:tc>
          <w:tcPr>
            <w:tcW w:w="1417" w:type="dxa"/>
            <w:vAlign w:val="bottom"/>
          </w:tcPr>
          <w:p w14:paraId="389402CE" w14:textId="18A78F3F" w:rsidR="00FC75A1" w:rsidRDefault="00FC75A1" w:rsidP="00FC75A1">
            <w:pPr>
              <w:jc w:val="right"/>
            </w:pPr>
            <w:r>
              <w:t xml:space="preserve">                        -   </w:t>
            </w:r>
          </w:p>
        </w:tc>
        <w:tc>
          <w:tcPr>
            <w:tcW w:w="1508" w:type="dxa"/>
            <w:vAlign w:val="bottom"/>
          </w:tcPr>
          <w:p w14:paraId="213C669D" w14:textId="6F2F25D2" w:rsidR="00FC75A1" w:rsidRDefault="00FC75A1" w:rsidP="00FC75A1">
            <w:pPr>
              <w:jc w:val="right"/>
            </w:pPr>
            <w:r>
              <w:t xml:space="preserve">                -   </w:t>
            </w:r>
          </w:p>
        </w:tc>
      </w:tr>
      <w:tr w:rsidR="00FC75A1" w14:paraId="11ED37FB" w14:textId="77777777" w:rsidTr="00FC75A1">
        <w:tc>
          <w:tcPr>
            <w:tcW w:w="2122" w:type="dxa"/>
            <w:vAlign w:val="bottom"/>
          </w:tcPr>
          <w:p w14:paraId="24BEB750" w14:textId="032E1B9E" w:rsidR="00FC75A1" w:rsidRDefault="00FC75A1" w:rsidP="00FC75A1">
            <w:r>
              <w:t>Transfer</w:t>
            </w:r>
          </w:p>
        </w:tc>
        <w:tc>
          <w:tcPr>
            <w:tcW w:w="2551" w:type="dxa"/>
            <w:vAlign w:val="bottom"/>
          </w:tcPr>
          <w:p w14:paraId="438B3055" w14:textId="7ECAE37E" w:rsidR="00FC75A1" w:rsidRDefault="00FC75A1" w:rsidP="00FC75A1">
            <w:pPr>
              <w:jc w:val="right"/>
            </w:pPr>
            <w:r>
              <w:t xml:space="preserve">                  -   </w:t>
            </w:r>
          </w:p>
        </w:tc>
        <w:tc>
          <w:tcPr>
            <w:tcW w:w="1418" w:type="dxa"/>
            <w:vAlign w:val="bottom"/>
          </w:tcPr>
          <w:p w14:paraId="4DCA1687" w14:textId="488662DE" w:rsidR="00FC75A1" w:rsidRDefault="00FC75A1" w:rsidP="00FC75A1">
            <w:pPr>
              <w:jc w:val="right"/>
            </w:pPr>
            <w:r>
              <w:t xml:space="preserve">                   -   </w:t>
            </w:r>
          </w:p>
        </w:tc>
        <w:tc>
          <w:tcPr>
            <w:tcW w:w="1417" w:type="dxa"/>
            <w:vAlign w:val="bottom"/>
          </w:tcPr>
          <w:p w14:paraId="5CCF173A" w14:textId="668BAF7E" w:rsidR="00FC75A1" w:rsidRDefault="00FC75A1" w:rsidP="00FC75A1">
            <w:pPr>
              <w:jc w:val="right"/>
            </w:pPr>
            <w:r>
              <w:t xml:space="preserve">                        -   </w:t>
            </w:r>
          </w:p>
        </w:tc>
        <w:tc>
          <w:tcPr>
            <w:tcW w:w="1508" w:type="dxa"/>
            <w:vAlign w:val="bottom"/>
          </w:tcPr>
          <w:p w14:paraId="0FBAF247" w14:textId="17D8749B" w:rsidR="00FC75A1" w:rsidRDefault="00FC75A1" w:rsidP="00FC75A1">
            <w:pPr>
              <w:jc w:val="right"/>
            </w:pPr>
            <w:r>
              <w:t xml:space="preserve">                -   </w:t>
            </w:r>
          </w:p>
        </w:tc>
      </w:tr>
      <w:tr w:rsidR="00FC75A1" w14:paraId="77D544B3" w14:textId="77777777" w:rsidTr="00FC75A1">
        <w:tc>
          <w:tcPr>
            <w:tcW w:w="2122" w:type="dxa"/>
            <w:vAlign w:val="bottom"/>
          </w:tcPr>
          <w:p w14:paraId="548955C6" w14:textId="1AE62EAE" w:rsidR="00FC75A1" w:rsidRDefault="00FC75A1" w:rsidP="00FC75A1">
            <w:r>
              <w:t>Impairment losses reversed</w:t>
            </w:r>
          </w:p>
        </w:tc>
        <w:tc>
          <w:tcPr>
            <w:tcW w:w="2551" w:type="dxa"/>
            <w:vAlign w:val="bottom"/>
          </w:tcPr>
          <w:p w14:paraId="33AC729C" w14:textId="65FE0D23" w:rsidR="00FC75A1" w:rsidRDefault="00FC75A1" w:rsidP="00FC75A1">
            <w:pPr>
              <w:jc w:val="right"/>
            </w:pPr>
            <w:r>
              <w:t xml:space="preserve">                  -   </w:t>
            </w:r>
          </w:p>
        </w:tc>
        <w:tc>
          <w:tcPr>
            <w:tcW w:w="1418" w:type="dxa"/>
            <w:vAlign w:val="bottom"/>
          </w:tcPr>
          <w:p w14:paraId="79B590CD" w14:textId="5E4AE5B5" w:rsidR="00FC75A1" w:rsidRDefault="00FC75A1" w:rsidP="00FC75A1">
            <w:pPr>
              <w:jc w:val="right"/>
            </w:pPr>
            <w:r>
              <w:t xml:space="preserve">                   -   </w:t>
            </w:r>
          </w:p>
        </w:tc>
        <w:tc>
          <w:tcPr>
            <w:tcW w:w="1417" w:type="dxa"/>
            <w:vAlign w:val="bottom"/>
          </w:tcPr>
          <w:p w14:paraId="45810946" w14:textId="7A5B4377" w:rsidR="00FC75A1" w:rsidRDefault="00FC75A1" w:rsidP="00FC75A1">
            <w:pPr>
              <w:jc w:val="right"/>
            </w:pPr>
            <w:r>
              <w:t xml:space="preserve">                        -   </w:t>
            </w:r>
          </w:p>
        </w:tc>
        <w:tc>
          <w:tcPr>
            <w:tcW w:w="1508" w:type="dxa"/>
            <w:vAlign w:val="bottom"/>
          </w:tcPr>
          <w:p w14:paraId="024DA590" w14:textId="1A382FF5" w:rsidR="00FC75A1" w:rsidRDefault="00FC75A1" w:rsidP="00FC75A1">
            <w:pPr>
              <w:jc w:val="right"/>
            </w:pPr>
            <w:r>
              <w:t xml:space="preserve">                -   </w:t>
            </w:r>
          </w:p>
        </w:tc>
      </w:tr>
      <w:tr w:rsidR="00FC75A1" w14:paraId="30144153" w14:textId="77777777" w:rsidTr="00FC75A1">
        <w:tc>
          <w:tcPr>
            <w:tcW w:w="2122" w:type="dxa"/>
            <w:vAlign w:val="bottom"/>
          </w:tcPr>
          <w:p w14:paraId="7F0CAD60" w14:textId="0B99781F" w:rsidR="00FC75A1" w:rsidRDefault="00FC75A1" w:rsidP="00FC75A1">
            <w:r>
              <w:t>Amortisation expense</w:t>
            </w:r>
          </w:p>
        </w:tc>
        <w:tc>
          <w:tcPr>
            <w:tcW w:w="2551" w:type="dxa"/>
            <w:tcBorders>
              <w:bottom w:val="single" w:sz="4" w:space="0" w:color="auto"/>
            </w:tcBorders>
            <w:vAlign w:val="bottom"/>
          </w:tcPr>
          <w:p w14:paraId="24643AE1" w14:textId="78948A11" w:rsidR="00FC75A1" w:rsidRDefault="00FC75A1" w:rsidP="00FC75A1">
            <w:pPr>
              <w:jc w:val="right"/>
            </w:pPr>
            <w:r>
              <w:t xml:space="preserve">               (423)</w:t>
            </w:r>
          </w:p>
        </w:tc>
        <w:tc>
          <w:tcPr>
            <w:tcW w:w="1418" w:type="dxa"/>
            <w:tcBorders>
              <w:bottom w:val="single" w:sz="4" w:space="0" w:color="auto"/>
            </w:tcBorders>
            <w:vAlign w:val="bottom"/>
          </w:tcPr>
          <w:p w14:paraId="34339F15" w14:textId="758193A0" w:rsidR="00FC75A1" w:rsidRDefault="00FC75A1" w:rsidP="00FC75A1">
            <w:pPr>
              <w:jc w:val="right"/>
            </w:pPr>
            <w:r>
              <w:t xml:space="preserve">                 (21)</w:t>
            </w:r>
          </w:p>
        </w:tc>
        <w:tc>
          <w:tcPr>
            <w:tcW w:w="1417" w:type="dxa"/>
            <w:tcBorders>
              <w:bottom w:val="single" w:sz="4" w:space="0" w:color="auto"/>
            </w:tcBorders>
            <w:vAlign w:val="bottom"/>
          </w:tcPr>
          <w:p w14:paraId="3B6ABE33" w14:textId="07095F3C" w:rsidR="00FC75A1" w:rsidRDefault="00FC75A1" w:rsidP="00FC75A1">
            <w:pPr>
              <w:jc w:val="right"/>
            </w:pPr>
            <w:r>
              <w:t xml:space="preserve">                         (4)</w:t>
            </w:r>
          </w:p>
        </w:tc>
        <w:tc>
          <w:tcPr>
            <w:tcW w:w="1508" w:type="dxa"/>
            <w:tcBorders>
              <w:bottom w:val="single" w:sz="4" w:space="0" w:color="auto"/>
            </w:tcBorders>
            <w:vAlign w:val="bottom"/>
          </w:tcPr>
          <w:p w14:paraId="090F6EA4" w14:textId="0D9728E3" w:rsidR="00FC75A1" w:rsidRDefault="00FC75A1" w:rsidP="00FC75A1">
            <w:pPr>
              <w:jc w:val="right"/>
            </w:pPr>
            <w:r>
              <w:t xml:space="preserve">             (448)</w:t>
            </w:r>
          </w:p>
        </w:tc>
      </w:tr>
      <w:tr w:rsidR="00FC75A1" w14:paraId="2C966E5E" w14:textId="77777777" w:rsidTr="00FC75A1">
        <w:tc>
          <w:tcPr>
            <w:tcW w:w="2122" w:type="dxa"/>
            <w:vAlign w:val="bottom"/>
          </w:tcPr>
          <w:p w14:paraId="174D277F" w14:textId="19A1FC81" w:rsidR="00FC75A1" w:rsidRDefault="00FC75A1" w:rsidP="00FC75A1">
            <w:r>
              <w:rPr>
                <w:b/>
                <w:bCs/>
              </w:rPr>
              <w:t>Carrying amount at 30 June 2018</w:t>
            </w:r>
          </w:p>
        </w:tc>
        <w:tc>
          <w:tcPr>
            <w:tcW w:w="2551" w:type="dxa"/>
            <w:tcBorders>
              <w:top w:val="single" w:sz="4" w:space="0" w:color="auto"/>
              <w:bottom w:val="double" w:sz="4" w:space="0" w:color="auto"/>
            </w:tcBorders>
            <w:vAlign w:val="bottom"/>
          </w:tcPr>
          <w:p w14:paraId="05F0E20C" w14:textId="7B0846C1" w:rsidR="00FC75A1" w:rsidRDefault="00FC75A1" w:rsidP="00FC75A1">
            <w:pPr>
              <w:jc w:val="right"/>
            </w:pPr>
            <w:r>
              <w:rPr>
                <w:b/>
                <w:bCs/>
              </w:rPr>
              <w:t xml:space="preserve">             1,994 </w:t>
            </w:r>
          </w:p>
        </w:tc>
        <w:tc>
          <w:tcPr>
            <w:tcW w:w="1418" w:type="dxa"/>
            <w:tcBorders>
              <w:top w:val="single" w:sz="4" w:space="0" w:color="auto"/>
              <w:bottom w:val="double" w:sz="4" w:space="0" w:color="auto"/>
            </w:tcBorders>
            <w:vAlign w:val="bottom"/>
          </w:tcPr>
          <w:p w14:paraId="051C8E9A" w14:textId="078F6675" w:rsidR="00FC75A1" w:rsidRDefault="00FC75A1" w:rsidP="00FC75A1">
            <w:pPr>
              <w:jc w:val="right"/>
            </w:pPr>
            <w:r>
              <w:rPr>
                <w:b/>
                <w:bCs/>
              </w:rPr>
              <w:t xml:space="preserve">                  43 </w:t>
            </w:r>
          </w:p>
        </w:tc>
        <w:tc>
          <w:tcPr>
            <w:tcW w:w="1417" w:type="dxa"/>
            <w:tcBorders>
              <w:top w:val="single" w:sz="4" w:space="0" w:color="auto"/>
              <w:bottom w:val="double" w:sz="4" w:space="0" w:color="auto"/>
            </w:tcBorders>
            <w:vAlign w:val="bottom"/>
          </w:tcPr>
          <w:p w14:paraId="33974BD0" w14:textId="235A5239" w:rsidR="00FC75A1" w:rsidRDefault="00FC75A1" w:rsidP="00FC75A1">
            <w:pPr>
              <w:jc w:val="right"/>
            </w:pPr>
            <w:r>
              <w:rPr>
                <w:b/>
                <w:bCs/>
              </w:rPr>
              <w:t xml:space="preserve">                         (0)</w:t>
            </w:r>
          </w:p>
        </w:tc>
        <w:tc>
          <w:tcPr>
            <w:tcW w:w="1508" w:type="dxa"/>
            <w:tcBorders>
              <w:top w:val="single" w:sz="4" w:space="0" w:color="auto"/>
              <w:bottom w:val="double" w:sz="4" w:space="0" w:color="auto"/>
            </w:tcBorders>
            <w:vAlign w:val="bottom"/>
          </w:tcPr>
          <w:p w14:paraId="4E44484C" w14:textId="5B1125A1" w:rsidR="00FC75A1" w:rsidRDefault="00FC75A1" w:rsidP="00FC75A1">
            <w:pPr>
              <w:jc w:val="right"/>
            </w:pPr>
            <w:r>
              <w:rPr>
                <w:b/>
                <w:bCs/>
              </w:rPr>
              <w:t xml:space="preserve">           2,037 </w:t>
            </w:r>
          </w:p>
        </w:tc>
      </w:tr>
    </w:tbl>
    <w:p w14:paraId="44A0E359" w14:textId="77777777" w:rsidR="00144760" w:rsidRDefault="00144760" w:rsidP="00144760"/>
    <w:p w14:paraId="26DECCC5" w14:textId="067168BF" w:rsidR="00FC75A1" w:rsidRDefault="00FC75A1" w:rsidP="00144760">
      <w:pPr>
        <w:rPr>
          <w:b/>
        </w:rPr>
      </w:pPr>
      <w:r>
        <w:rPr>
          <w:b/>
        </w:rPr>
        <w:t>Initial recognition</w:t>
      </w:r>
    </w:p>
    <w:p w14:paraId="0F8DEB44" w14:textId="7A7FB0BC" w:rsidR="00FC75A1" w:rsidRDefault="00FC75A1" w:rsidP="00FC75A1">
      <w:r>
        <w:t xml:space="preserve">Acquisitions of intangible assets costing $5,000 or more and internally generated intangible assets costing $50,000 or more that comply with the recognition criteria as per AASB 138.57 (as noted below), are capitalised. </w:t>
      </w:r>
    </w:p>
    <w:p w14:paraId="528736E4" w14:textId="0FAC11F0" w:rsidR="00FC75A1" w:rsidRDefault="00FC75A1" w:rsidP="00FC75A1">
      <w:r>
        <w:t>Costs incurred below these thresholds are immediately expensed directly to the Statement of Comprehensive Income.</w:t>
      </w:r>
    </w:p>
    <w:p w14:paraId="15B61C89" w14:textId="5738DE8E" w:rsidR="00FC75A1" w:rsidRDefault="00FC75A1" w:rsidP="00FC75A1">
      <w:r>
        <w:t>Intangible assets are initially recognised at cost. For assets acquired at no cost or for nominal cost, the cost is their fair value at the date of acquisition.</w:t>
      </w:r>
    </w:p>
    <w:p w14:paraId="4CBDA272" w14:textId="0868A329" w:rsidR="00FC75A1" w:rsidRDefault="00FC75A1" w:rsidP="00FC75A1">
      <w:r>
        <w:t>An internally generated intangible asset arising from development (or from the development phase of an internal project) is recognised if, and only if, all of the following are demonstrated:</w:t>
      </w:r>
      <w:r>
        <w:tab/>
      </w:r>
      <w:r>
        <w:tab/>
      </w:r>
      <w:r>
        <w:tab/>
      </w:r>
    </w:p>
    <w:p w14:paraId="220DC775" w14:textId="331B315A" w:rsidR="00FC75A1" w:rsidRDefault="00FC75A1" w:rsidP="00FC75A1">
      <w:r>
        <w:t>(a)   The technical feasibility of completing the intangible asset so that it will be available for use or sale</w:t>
      </w:r>
      <w:r>
        <w:tab/>
      </w:r>
      <w:r>
        <w:tab/>
      </w:r>
      <w:r>
        <w:tab/>
      </w:r>
    </w:p>
    <w:p w14:paraId="05A99765" w14:textId="1BA1971D" w:rsidR="00FC75A1" w:rsidRDefault="00FC75A1" w:rsidP="00FC75A1">
      <w:r>
        <w:t>(b)   An intention to complete the intangible asset and use or sell it</w:t>
      </w:r>
      <w:r>
        <w:tab/>
      </w:r>
      <w:r>
        <w:tab/>
      </w:r>
      <w:r>
        <w:tab/>
      </w:r>
    </w:p>
    <w:p w14:paraId="5621A088" w14:textId="1F92E538" w:rsidR="00FC75A1" w:rsidRDefault="00FC75A1" w:rsidP="00FC75A1">
      <w:r>
        <w:t>(c)   The ability to use or sell the intangible asset</w:t>
      </w:r>
    </w:p>
    <w:p w14:paraId="63186D00" w14:textId="5C7066A3" w:rsidR="00FC75A1" w:rsidRDefault="00FC75A1" w:rsidP="00FC75A1">
      <w:r>
        <w:t>(d)   The intangible asset will generate probable future economic benefit</w:t>
      </w:r>
    </w:p>
    <w:p w14:paraId="3B1A92E9" w14:textId="28F1346D" w:rsidR="00FC75A1" w:rsidRDefault="00FC75A1" w:rsidP="00FC75A1">
      <w:r>
        <w:t>(e)   The availability of adequate technical, financial and other resources to complete the development and to use or sell the intangible asset</w:t>
      </w:r>
    </w:p>
    <w:p w14:paraId="0582BC6E" w14:textId="49C8D74A" w:rsidR="00FC75A1" w:rsidRDefault="00FC75A1" w:rsidP="00FC75A1">
      <w:r>
        <w:t>(f)    The ability to measure reliably the expenditure attributable to the intangible asset during its development</w:t>
      </w:r>
      <w:r>
        <w:tab/>
      </w:r>
      <w:r>
        <w:tab/>
      </w:r>
      <w:r>
        <w:tab/>
      </w:r>
    </w:p>
    <w:p w14:paraId="3BBEDA88" w14:textId="3CBC6C44" w:rsidR="00FC75A1" w:rsidRDefault="00FC75A1" w:rsidP="00FC75A1">
      <w:r>
        <w:t>Costs incurred in the research phase of a project are immediately expensed.</w:t>
      </w:r>
    </w:p>
    <w:p w14:paraId="1DA7783D" w14:textId="3B6FEDC6" w:rsidR="00FC75A1" w:rsidRDefault="00FC75A1" w:rsidP="00FC75A1">
      <w:pPr>
        <w:rPr>
          <w:b/>
        </w:rPr>
      </w:pPr>
      <w:r>
        <w:rPr>
          <w:b/>
        </w:rPr>
        <w:t>Subsequent measurement</w:t>
      </w:r>
    </w:p>
    <w:p w14:paraId="239237B5" w14:textId="54E0C302" w:rsidR="00FC75A1" w:rsidRDefault="00FC75A1" w:rsidP="00FC75A1">
      <w:r w:rsidRPr="00FC75A1">
        <w:t>The cost model is applied for subsequent measurement of intangible assets, requiring the asset to be carried at cost less any accumulated amortisation and acc</w:t>
      </w:r>
      <w:r>
        <w:t>umulated impairment losses.</w:t>
      </w:r>
    </w:p>
    <w:p w14:paraId="4DDA905B" w14:textId="3B12BFBF" w:rsidR="00FC75A1" w:rsidRDefault="007C5E61" w:rsidP="00BA7C82">
      <w:pPr>
        <w:pStyle w:val="Heading4"/>
      </w:pPr>
      <w:r>
        <w:t xml:space="preserve">5.2.1 </w:t>
      </w:r>
      <w:r w:rsidR="00FC75A1">
        <w:t>Amortisation and impairment</w:t>
      </w: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mortisation and impairment"/>
        <w:tblDescription w:val="This table outlines amortisation and impairment of assets for 2017 and 2018. "/>
      </w:tblPr>
      <w:tblGrid>
        <w:gridCol w:w="6521"/>
        <w:gridCol w:w="1073"/>
        <w:gridCol w:w="1591"/>
      </w:tblGrid>
      <w:tr w:rsidR="00955204" w14:paraId="75FA9891" w14:textId="7F1E7621" w:rsidTr="00955204">
        <w:trPr>
          <w:trHeight w:val="880"/>
          <w:tblHeader/>
        </w:trPr>
        <w:tc>
          <w:tcPr>
            <w:tcW w:w="6521" w:type="dxa"/>
          </w:tcPr>
          <w:p w14:paraId="315DE1D4" w14:textId="77777777" w:rsidR="00955204" w:rsidRDefault="00955204" w:rsidP="00F61E4A"/>
        </w:tc>
        <w:tc>
          <w:tcPr>
            <w:tcW w:w="1073" w:type="dxa"/>
            <w:tcBorders>
              <w:bottom w:val="single" w:sz="12" w:space="0" w:color="auto"/>
            </w:tcBorders>
            <w:vAlign w:val="center"/>
          </w:tcPr>
          <w:p w14:paraId="79AD5C14" w14:textId="77777777" w:rsidR="00955204" w:rsidRDefault="00955204" w:rsidP="00F61E4A">
            <w:pPr>
              <w:jc w:val="right"/>
            </w:pPr>
            <w:r w:rsidRPr="00C90C05">
              <w:rPr>
                <w:b/>
              </w:rPr>
              <w:t>2018</w:t>
            </w:r>
            <w:r w:rsidRPr="00C90C05">
              <w:rPr>
                <w:b/>
              </w:rPr>
              <w:br/>
              <w:t>$000</w:t>
            </w:r>
          </w:p>
        </w:tc>
        <w:tc>
          <w:tcPr>
            <w:tcW w:w="1591" w:type="dxa"/>
            <w:tcBorders>
              <w:bottom w:val="single" w:sz="12" w:space="0" w:color="auto"/>
            </w:tcBorders>
            <w:vAlign w:val="center"/>
          </w:tcPr>
          <w:p w14:paraId="0AB251D9" w14:textId="77777777" w:rsidR="00955204" w:rsidRDefault="00955204" w:rsidP="00F61E4A">
            <w:pPr>
              <w:jc w:val="right"/>
            </w:pPr>
            <w:r w:rsidRPr="00C90C05">
              <w:rPr>
                <w:b/>
              </w:rPr>
              <w:t>2017</w:t>
            </w:r>
            <w:r w:rsidRPr="00C90C05">
              <w:rPr>
                <w:b/>
              </w:rPr>
              <w:br/>
              <w:t>$000</w:t>
            </w:r>
          </w:p>
        </w:tc>
      </w:tr>
      <w:tr w:rsidR="00955204" w14:paraId="1D090878" w14:textId="7087F9CE" w:rsidTr="00955204">
        <w:trPr>
          <w:trHeight w:val="561"/>
        </w:trPr>
        <w:tc>
          <w:tcPr>
            <w:tcW w:w="6521" w:type="dxa"/>
            <w:vAlign w:val="bottom"/>
          </w:tcPr>
          <w:p w14:paraId="29BBEF5C" w14:textId="2796FD7F" w:rsidR="00955204" w:rsidRPr="00FC75A1" w:rsidRDefault="00955204" w:rsidP="00FC75A1">
            <w:pPr>
              <w:rPr>
                <w:b/>
                <w:u w:val="single"/>
                <w:lang w:eastAsia="en-AU"/>
              </w:rPr>
            </w:pPr>
            <w:r w:rsidRPr="00FC75A1">
              <w:rPr>
                <w:b/>
              </w:rPr>
              <w:t>Charge for the period</w:t>
            </w:r>
          </w:p>
        </w:tc>
        <w:tc>
          <w:tcPr>
            <w:tcW w:w="1073" w:type="dxa"/>
            <w:tcBorders>
              <w:top w:val="single" w:sz="12" w:space="0" w:color="auto"/>
            </w:tcBorders>
          </w:tcPr>
          <w:p w14:paraId="29DA597D" w14:textId="77777777" w:rsidR="00955204" w:rsidRDefault="00955204" w:rsidP="00FC75A1"/>
        </w:tc>
        <w:tc>
          <w:tcPr>
            <w:tcW w:w="1591" w:type="dxa"/>
            <w:tcBorders>
              <w:top w:val="single" w:sz="12" w:space="0" w:color="auto"/>
            </w:tcBorders>
          </w:tcPr>
          <w:p w14:paraId="38A7EBAC" w14:textId="77777777" w:rsidR="00955204" w:rsidRDefault="00955204" w:rsidP="00FC75A1"/>
        </w:tc>
      </w:tr>
      <w:tr w:rsidR="00955204" w14:paraId="77F0A96B" w14:textId="7E265E0A" w:rsidTr="00955204">
        <w:trPr>
          <w:trHeight w:val="895"/>
        </w:trPr>
        <w:tc>
          <w:tcPr>
            <w:tcW w:w="6521" w:type="dxa"/>
            <w:vAlign w:val="bottom"/>
          </w:tcPr>
          <w:p w14:paraId="7E96950B" w14:textId="6687A85B" w:rsidR="00955204" w:rsidRDefault="00955204" w:rsidP="00FC75A1">
            <w:r>
              <w:t>Computer software</w:t>
            </w:r>
          </w:p>
        </w:tc>
        <w:tc>
          <w:tcPr>
            <w:tcW w:w="1073" w:type="dxa"/>
            <w:vAlign w:val="bottom"/>
          </w:tcPr>
          <w:p w14:paraId="71E0C2B3" w14:textId="18688A1F" w:rsidR="00955204" w:rsidRDefault="00955204" w:rsidP="00FC75A1">
            <w:pPr>
              <w:jc w:val="right"/>
            </w:pPr>
            <w:r>
              <w:t xml:space="preserve">                      423 </w:t>
            </w:r>
          </w:p>
        </w:tc>
        <w:tc>
          <w:tcPr>
            <w:tcW w:w="1591" w:type="dxa"/>
            <w:vAlign w:val="bottom"/>
          </w:tcPr>
          <w:p w14:paraId="569A4908" w14:textId="7D877890" w:rsidR="00955204" w:rsidRDefault="00955204" w:rsidP="00FC75A1">
            <w:pPr>
              <w:jc w:val="right"/>
            </w:pPr>
            <w:r>
              <w:t xml:space="preserve">              369 </w:t>
            </w:r>
          </w:p>
        </w:tc>
      </w:tr>
      <w:tr w:rsidR="00955204" w14:paraId="60D5D104" w14:textId="16D10014" w:rsidTr="00955204">
        <w:trPr>
          <w:trHeight w:val="880"/>
        </w:trPr>
        <w:tc>
          <w:tcPr>
            <w:tcW w:w="6521" w:type="dxa"/>
            <w:vAlign w:val="bottom"/>
          </w:tcPr>
          <w:p w14:paraId="66A07531" w14:textId="7D52A63D" w:rsidR="00955204" w:rsidRDefault="00955204" w:rsidP="00FC75A1">
            <w:r>
              <w:t>Licences</w:t>
            </w:r>
          </w:p>
        </w:tc>
        <w:tc>
          <w:tcPr>
            <w:tcW w:w="1073" w:type="dxa"/>
            <w:vAlign w:val="bottom"/>
          </w:tcPr>
          <w:p w14:paraId="34BCB470" w14:textId="51291A15" w:rsidR="00955204" w:rsidRDefault="00955204" w:rsidP="00FC75A1">
            <w:pPr>
              <w:jc w:val="right"/>
            </w:pPr>
            <w:r>
              <w:t xml:space="preserve">                        21 </w:t>
            </w:r>
          </w:p>
        </w:tc>
        <w:tc>
          <w:tcPr>
            <w:tcW w:w="1591" w:type="dxa"/>
            <w:vAlign w:val="bottom"/>
          </w:tcPr>
          <w:p w14:paraId="46630C25" w14:textId="30DA7584" w:rsidR="00955204" w:rsidRDefault="00955204" w:rsidP="00FC75A1">
            <w:pPr>
              <w:jc w:val="right"/>
            </w:pPr>
            <w:r>
              <w:t xml:space="preserve">                21 </w:t>
            </w:r>
          </w:p>
        </w:tc>
      </w:tr>
      <w:tr w:rsidR="00955204" w14:paraId="2C8BBDF8" w14:textId="7AE09A83" w:rsidTr="00955204">
        <w:trPr>
          <w:trHeight w:val="880"/>
        </w:trPr>
        <w:tc>
          <w:tcPr>
            <w:tcW w:w="6521" w:type="dxa"/>
            <w:vAlign w:val="bottom"/>
          </w:tcPr>
          <w:p w14:paraId="05C05DAC" w14:textId="66C063AD" w:rsidR="00955204" w:rsidRPr="00A3118B" w:rsidRDefault="00955204" w:rsidP="00FC75A1">
            <w:r>
              <w:t xml:space="preserve">Website </w:t>
            </w:r>
          </w:p>
        </w:tc>
        <w:tc>
          <w:tcPr>
            <w:tcW w:w="1073" w:type="dxa"/>
            <w:tcBorders>
              <w:bottom w:val="single" w:sz="4" w:space="0" w:color="auto"/>
            </w:tcBorders>
            <w:vAlign w:val="bottom"/>
          </w:tcPr>
          <w:p w14:paraId="3FD65372" w14:textId="47DB1348" w:rsidR="00955204" w:rsidRPr="00A3118B" w:rsidRDefault="00955204" w:rsidP="00FC75A1">
            <w:pPr>
              <w:jc w:val="right"/>
              <w:rPr>
                <w:b/>
              </w:rPr>
            </w:pPr>
            <w:r>
              <w:t xml:space="preserve">                          4 </w:t>
            </w:r>
          </w:p>
        </w:tc>
        <w:tc>
          <w:tcPr>
            <w:tcW w:w="1591" w:type="dxa"/>
            <w:tcBorders>
              <w:bottom w:val="single" w:sz="4" w:space="0" w:color="auto"/>
            </w:tcBorders>
            <w:vAlign w:val="bottom"/>
          </w:tcPr>
          <w:p w14:paraId="1C4C0C97" w14:textId="3A7F9230" w:rsidR="00955204" w:rsidRPr="00A3118B" w:rsidRDefault="00955204" w:rsidP="00FC75A1">
            <w:pPr>
              <w:jc w:val="right"/>
              <w:rPr>
                <w:b/>
              </w:rPr>
            </w:pPr>
            <w:r>
              <w:t xml:space="preserve">                15 </w:t>
            </w:r>
          </w:p>
        </w:tc>
      </w:tr>
      <w:tr w:rsidR="00955204" w14:paraId="611BA8B8" w14:textId="7EF3F021" w:rsidTr="00955204">
        <w:trPr>
          <w:trHeight w:val="880"/>
        </w:trPr>
        <w:tc>
          <w:tcPr>
            <w:tcW w:w="6521" w:type="dxa"/>
            <w:vAlign w:val="bottom"/>
          </w:tcPr>
          <w:p w14:paraId="316F4F5A" w14:textId="7DBCC4E0" w:rsidR="00955204" w:rsidRPr="00FC75A1" w:rsidRDefault="00955204" w:rsidP="00FC75A1">
            <w:pPr>
              <w:rPr>
                <w:b/>
              </w:rPr>
            </w:pPr>
            <w:r w:rsidRPr="00FC75A1">
              <w:rPr>
                <w:b/>
              </w:rPr>
              <w:t>Total amortisation for the period</w:t>
            </w:r>
          </w:p>
        </w:tc>
        <w:tc>
          <w:tcPr>
            <w:tcW w:w="1073" w:type="dxa"/>
            <w:tcBorders>
              <w:top w:val="single" w:sz="4" w:space="0" w:color="auto"/>
              <w:bottom w:val="single" w:sz="4" w:space="0" w:color="auto"/>
            </w:tcBorders>
            <w:vAlign w:val="bottom"/>
          </w:tcPr>
          <w:p w14:paraId="1643EB31" w14:textId="4B181DE5" w:rsidR="00955204" w:rsidRPr="00A3118B" w:rsidRDefault="00955204" w:rsidP="00FC75A1">
            <w:pPr>
              <w:jc w:val="right"/>
              <w:rPr>
                <w:b/>
              </w:rPr>
            </w:pPr>
            <w:r>
              <w:rPr>
                <w:b/>
                <w:bCs/>
              </w:rPr>
              <w:t xml:space="preserve">                      448 </w:t>
            </w:r>
          </w:p>
        </w:tc>
        <w:tc>
          <w:tcPr>
            <w:tcW w:w="1591" w:type="dxa"/>
            <w:tcBorders>
              <w:top w:val="single" w:sz="4" w:space="0" w:color="auto"/>
              <w:bottom w:val="single" w:sz="4" w:space="0" w:color="auto"/>
            </w:tcBorders>
            <w:vAlign w:val="bottom"/>
          </w:tcPr>
          <w:p w14:paraId="46A272D1" w14:textId="773FA797" w:rsidR="00955204" w:rsidRPr="00A3118B" w:rsidRDefault="00955204" w:rsidP="00FC75A1">
            <w:pPr>
              <w:jc w:val="right"/>
              <w:rPr>
                <w:b/>
              </w:rPr>
            </w:pPr>
            <w:r>
              <w:rPr>
                <w:b/>
                <w:bCs/>
              </w:rPr>
              <w:t xml:space="preserve">              405 </w:t>
            </w:r>
          </w:p>
        </w:tc>
      </w:tr>
    </w:tbl>
    <w:p w14:paraId="651BA808" w14:textId="7E79D044" w:rsidR="00FC75A1" w:rsidRDefault="00FC75A1" w:rsidP="00FC75A1">
      <w:r>
        <w:br/>
        <w:t>As at 30 June 2018 there were no indications of impairment to intangible assets.</w:t>
      </w:r>
    </w:p>
    <w:p w14:paraId="4DA5F64C" w14:textId="02145E54" w:rsidR="00994513" w:rsidRDefault="00FC75A1" w:rsidP="00FC75A1">
      <w:r>
        <w:t>The Authority held no goodwill or intangible assets with an indefinite useful life during the reporting period. At the end of the reporting period there were no intangible assets not yet available for use.</w:t>
      </w:r>
    </w:p>
    <w:p w14:paraId="627375FC" w14:textId="77777777" w:rsidR="00994513" w:rsidRDefault="00994513">
      <w:pPr>
        <w:keepLines w:val="0"/>
        <w:spacing w:after="0" w:line="240" w:lineRule="auto"/>
      </w:pPr>
      <w:r>
        <w:br w:type="page"/>
      </w:r>
    </w:p>
    <w:p w14:paraId="6C2FD53C" w14:textId="4396E72A" w:rsidR="00FC75A1" w:rsidRDefault="00994513" w:rsidP="00FC75A1">
      <w:r w:rsidRPr="00994513">
        <w:t>Amortisation of finite life intangible assets is calculated on a straight line basis at rates that allocate the asset’s value over its estimated useful life. All intangible assets controlled by the Authority have a finite useful life and zero residual value. Estimated useful l</w:t>
      </w:r>
      <w:r>
        <w:t>ives are reviewed annually.</w:t>
      </w:r>
    </w:p>
    <w:p w14:paraId="72D9EA26" w14:textId="7356998F" w:rsidR="00994513" w:rsidRDefault="00994513" w:rsidP="00FC75A1">
      <w:r w:rsidRPr="00994513">
        <w:t>The estimated useful lives for each cla</w:t>
      </w:r>
      <w:r>
        <w:t>ss of intangible asset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stimated useful lives for intangible assets"/>
        <w:tblDescription w:val="This table outliens the estimated useful lives for each class of intangible asset. "/>
      </w:tblPr>
      <w:tblGrid>
        <w:gridCol w:w="4508"/>
        <w:gridCol w:w="4508"/>
      </w:tblGrid>
      <w:tr w:rsidR="00994513" w14:paraId="3477EBFF" w14:textId="77777777" w:rsidTr="00F11774">
        <w:trPr>
          <w:tblHeader/>
        </w:trPr>
        <w:tc>
          <w:tcPr>
            <w:tcW w:w="4508" w:type="dxa"/>
            <w:vAlign w:val="bottom"/>
          </w:tcPr>
          <w:p w14:paraId="68476EBA" w14:textId="17E7394E" w:rsidR="00994513" w:rsidRDefault="00994513" w:rsidP="00994513">
            <w:r>
              <w:t xml:space="preserve">Computer Software </w:t>
            </w:r>
            <w:r>
              <w:rPr>
                <w:vertAlign w:val="superscript"/>
              </w:rPr>
              <w:t>(a)</w:t>
            </w:r>
            <w:r>
              <w:t xml:space="preserve"> </w:t>
            </w:r>
          </w:p>
        </w:tc>
        <w:tc>
          <w:tcPr>
            <w:tcW w:w="4508" w:type="dxa"/>
            <w:vAlign w:val="bottom"/>
          </w:tcPr>
          <w:p w14:paraId="176FBB7A" w14:textId="1C8E36DC" w:rsidR="00994513" w:rsidRDefault="00994513" w:rsidP="00994513">
            <w:pPr>
              <w:jc w:val="right"/>
            </w:pPr>
            <w:r>
              <w:t>3 to 10 years</w:t>
            </w:r>
          </w:p>
        </w:tc>
      </w:tr>
      <w:tr w:rsidR="00994513" w14:paraId="56DD34E7" w14:textId="77777777" w:rsidTr="00994513">
        <w:tc>
          <w:tcPr>
            <w:tcW w:w="4508" w:type="dxa"/>
            <w:vAlign w:val="bottom"/>
          </w:tcPr>
          <w:p w14:paraId="77A563B5" w14:textId="16DB6161" w:rsidR="00994513" w:rsidRDefault="00994513" w:rsidP="00994513">
            <w:r>
              <w:t xml:space="preserve">Licences </w:t>
            </w:r>
          </w:p>
        </w:tc>
        <w:tc>
          <w:tcPr>
            <w:tcW w:w="4508" w:type="dxa"/>
            <w:vAlign w:val="bottom"/>
          </w:tcPr>
          <w:p w14:paraId="1EEF214C" w14:textId="79337657" w:rsidR="00994513" w:rsidRDefault="00994513" w:rsidP="00994513">
            <w:pPr>
              <w:jc w:val="right"/>
            </w:pPr>
            <w:r>
              <w:t>up to 10 years</w:t>
            </w:r>
          </w:p>
        </w:tc>
      </w:tr>
      <w:tr w:rsidR="00994513" w14:paraId="7AE308EA" w14:textId="77777777" w:rsidTr="00994513">
        <w:tc>
          <w:tcPr>
            <w:tcW w:w="4508" w:type="dxa"/>
            <w:vAlign w:val="bottom"/>
          </w:tcPr>
          <w:p w14:paraId="7F436904" w14:textId="464FD8F9" w:rsidR="00994513" w:rsidRDefault="00994513" w:rsidP="00994513">
            <w:r>
              <w:t>Website costs</w:t>
            </w:r>
          </w:p>
        </w:tc>
        <w:tc>
          <w:tcPr>
            <w:tcW w:w="4508" w:type="dxa"/>
            <w:vAlign w:val="bottom"/>
          </w:tcPr>
          <w:p w14:paraId="5820BC42" w14:textId="00439B8F" w:rsidR="00994513" w:rsidRDefault="00994513" w:rsidP="00994513">
            <w:pPr>
              <w:jc w:val="right"/>
            </w:pPr>
            <w:r>
              <w:t>3 to 5 years</w:t>
            </w:r>
          </w:p>
        </w:tc>
      </w:tr>
    </w:tbl>
    <w:p w14:paraId="1F881B95" w14:textId="0337A448" w:rsidR="00994513" w:rsidRPr="00994513" w:rsidRDefault="00994513" w:rsidP="00994513">
      <w:pPr>
        <w:rPr>
          <w:b/>
        </w:rPr>
      </w:pPr>
      <w:r w:rsidRPr="00994513">
        <w:rPr>
          <w:vertAlign w:val="superscript"/>
        </w:rPr>
        <w:t>(a</w:t>
      </w:r>
      <w:r>
        <w:t xml:space="preserve">) </w:t>
      </w:r>
      <w:r w:rsidRPr="00994513">
        <w:t>Software that is not integral to the operation of any related hardware.</w:t>
      </w:r>
      <w:r>
        <w:br/>
      </w:r>
      <w:r>
        <w:br/>
      </w:r>
      <w:r w:rsidRPr="00994513">
        <w:rPr>
          <w:b/>
        </w:rPr>
        <w:t>Impairment of intangible assets</w:t>
      </w:r>
    </w:p>
    <w:p w14:paraId="09B5FBA4" w14:textId="77EFABDC" w:rsidR="00994513" w:rsidRPr="00994513" w:rsidRDefault="00994513" w:rsidP="00994513">
      <w:r w:rsidRPr="00994513">
        <w:t>Intangible assets with finite useful lives are tested for impairment annually or when an indication of i</w:t>
      </w:r>
      <w:r>
        <w:t>mpairment is identified.</w:t>
      </w:r>
      <w:r w:rsidRPr="00994513">
        <w:tab/>
      </w:r>
      <w:r w:rsidRPr="00994513">
        <w:tab/>
      </w:r>
    </w:p>
    <w:p w14:paraId="5DAB4ED0" w14:textId="3E4E2677" w:rsidR="00994513" w:rsidRDefault="00994513" w:rsidP="00994513">
      <w:r w:rsidRPr="00994513">
        <w:t>The policy in connection with testing for impairment</w:t>
      </w:r>
      <w:r>
        <w:t xml:space="preserve"> is outlined in note 5.1.1.</w:t>
      </w:r>
    </w:p>
    <w:p w14:paraId="40A101EB" w14:textId="737657F9" w:rsidR="00994513" w:rsidRDefault="00994513" w:rsidP="00994513">
      <w:pPr>
        <w:rPr>
          <w:b/>
        </w:rPr>
      </w:pPr>
      <w:r w:rsidRPr="00994513">
        <w:rPr>
          <w:b/>
        </w:rPr>
        <w:t>Licences</w:t>
      </w:r>
    </w:p>
    <w:p w14:paraId="1E19DC3A" w14:textId="5138BD1C" w:rsidR="00994513" w:rsidRDefault="00994513" w:rsidP="00994513">
      <w:r w:rsidRPr="00994513">
        <w:t>Licences have a finite useful life and are carried at cost less accumulated amortisation and accumulated impairment losses.</w:t>
      </w:r>
    </w:p>
    <w:p w14:paraId="08BBCE0A" w14:textId="626545ED" w:rsidR="00994513" w:rsidRDefault="00994513" w:rsidP="00994513">
      <w:pPr>
        <w:rPr>
          <w:b/>
        </w:rPr>
      </w:pPr>
      <w:r w:rsidRPr="00994513">
        <w:rPr>
          <w:b/>
        </w:rPr>
        <w:t>Website Costs</w:t>
      </w:r>
    </w:p>
    <w:p w14:paraId="6238821E" w14:textId="189A3530" w:rsidR="00994513" w:rsidRDefault="00994513" w:rsidP="00994513">
      <w:r w:rsidRPr="00994513">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w:t>
      </w:r>
      <w:r>
        <w:t>onomic benefits.</w:t>
      </w:r>
    </w:p>
    <w:p w14:paraId="2232F97F" w14:textId="19B2DC7A" w:rsidR="00994513" w:rsidRDefault="00994513" w:rsidP="00994513">
      <w:pPr>
        <w:rPr>
          <w:b/>
        </w:rPr>
      </w:pPr>
      <w:r>
        <w:rPr>
          <w:b/>
        </w:rPr>
        <w:t xml:space="preserve">Development Costs </w:t>
      </w:r>
    </w:p>
    <w:p w14:paraId="6EF720D1" w14:textId="0A3C4479" w:rsidR="00994513" w:rsidRDefault="00994513" w:rsidP="00994513">
      <w:r w:rsidRPr="00994513">
        <w:t>Research costs are expensed as incurred. Development costs incurred for an individual project are carried forward when the future economic benefits can be reasonably regarded as assured and the total project costs are likely to exceed $50,000. Other development cost</w:t>
      </w:r>
      <w:r>
        <w:t>s are expensed as incurred.</w:t>
      </w:r>
    </w:p>
    <w:p w14:paraId="6A3B609F" w14:textId="77777777" w:rsidR="00994513" w:rsidRDefault="00994513">
      <w:pPr>
        <w:keepLines w:val="0"/>
        <w:spacing w:after="0" w:line="240" w:lineRule="auto"/>
        <w:rPr>
          <w:b/>
        </w:rPr>
      </w:pPr>
      <w:r>
        <w:rPr>
          <w:b/>
        </w:rPr>
        <w:br w:type="page"/>
      </w:r>
    </w:p>
    <w:p w14:paraId="431B5297" w14:textId="1658DDA3" w:rsidR="00994513" w:rsidRDefault="00994513" w:rsidP="00994513">
      <w:pPr>
        <w:rPr>
          <w:b/>
        </w:rPr>
      </w:pPr>
      <w:r>
        <w:rPr>
          <w:b/>
        </w:rPr>
        <w:t>Computer Software</w:t>
      </w:r>
    </w:p>
    <w:p w14:paraId="451B92B9" w14:textId="1F799514" w:rsidR="00994513" w:rsidRDefault="00994513" w:rsidP="00994513">
      <w:r w:rsidRPr="00994513">
        <w:t xml:space="preserve">Software that is an integral part of the related hardware is recognised as part of the plant, equipment and vehicles. Software that is not an integral part of the related hardware is recognised as an intangible asset. Software costing less than $5,000 is expensed </w:t>
      </w:r>
      <w:r>
        <w:t>in the year of acquisition.</w:t>
      </w:r>
    </w:p>
    <w:p w14:paraId="02F6ACA0" w14:textId="1208EA7B" w:rsidR="00994513" w:rsidRDefault="00994513" w:rsidP="00026A6F">
      <w:pPr>
        <w:pStyle w:val="Heading2nonumber"/>
        <w:numPr>
          <w:ilvl w:val="0"/>
          <w:numId w:val="50"/>
        </w:numPr>
      </w:pPr>
      <w:bookmarkStart w:id="788" w:name="_Toc525122184"/>
      <w:r>
        <w:t>Other assets and liabilities</w:t>
      </w:r>
      <w:bookmarkEnd w:id="788"/>
      <w:r>
        <w:t xml:space="preserve"> </w:t>
      </w:r>
    </w:p>
    <w:p w14:paraId="58175446" w14:textId="41CD4B50" w:rsidR="00994513" w:rsidRDefault="00994513" w:rsidP="00994513">
      <w:r w:rsidRPr="00994513">
        <w:t>This section sets out those assets and liabilities that arose from the Authority’s controlled operations and includes other assets utilised for economic benefits and liabilities incurre</w:t>
      </w:r>
      <w:r>
        <w:t>d during normal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ther assets and liabilities "/>
        <w:tblDescription w:val="This table outlines assets and liabilities that arose from the Authority's controlled operations. "/>
      </w:tblPr>
      <w:tblGrid>
        <w:gridCol w:w="4390"/>
        <w:gridCol w:w="1417"/>
        <w:gridCol w:w="1559"/>
        <w:gridCol w:w="1650"/>
      </w:tblGrid>
      <w:tr w:rsidR="00994513" w14:paraId="5724AAA8" w14:textId="77777777" w:rsidTr="00F11774">
        <w:trPr>
          <w:tblHeader/>
        </w:trPr>
        <w:tc>
          <w:tcPr>
            <w:tcW w:w="4390" w:type="dxa"/>
          </w:tcPr>
          <w:p w14:paraId="61C3FCDA" w14:textId="77777777" w:rsidR="00994513" w:rsidRDefault="00994513" w:rsidP="00994513"/>
        </w:tc>
        <w:tc>
          <w:tcPr>
            <w:tcW w:w="1417" w:type="dxa"/>
          </w:tcPr>
          <w:p w14:paraId="36C82378" w14:textId="6754EE5B" w:rsidR="00994513" w:rsidRPr="00994513" w:rsidRDefault="00994513" w:rsidP="00994513">
            <w:pPr>
              <w:jc w:val="center"/>
              <w:rPr>
                <w:b/>
              </w:rPr>
            </w:pPr>
            <w:r>
              <w:rPr>
                <w:b/>
              </w:rPr>
              <w:t>Notes</w:t>
            </w:r>
          </w:p>
        </w:tc>
        <w:tc>
          <w:tcPr>
            <w:tcW w:w="1559" w:type="dxa"/>
            <w:tcBorders>
              <w:bottom w:val="single" w:sz="12" w:space="0" w:color="auto"/>
            </w:tcBorders>
          </w:tcPr>
          <w:p w14:paraId="37057821" w14:textId="4049125E" w:rsidR="00994513" w:rsidRPr="00994513" w:rsidRDefault="00994513" w:rsidP="00994513">
            <w:pPr>
              <w:jc w:val="right"/>
              <w:rPr>
                <w:b/>
              </w:rPr>
            </w:pPr>
            <w:r>
              <w:rPr>
                <w:b/>
              </w:rPr>
              <w:t>2018</w:t>
            </w:r>
            <w:r>
              <w:rPr>
                <w:b/>
              </w:rPr>
              <w:br/>
              <w:t>$000</w:t>
            </w:r>
          </w:p>
        </w:tc>
        <w:tc>
          <w:tcPr>
            <w:tcW w:w="1650" w:type="dxa"/>
            <w:tcBorders>
              <w:bottom w:val="single" w:sz="12" w:space="0" w:color="auto"/>
            </w:tcBorders>
          </w:tcPr>
          <w:p w14:paraId="67DE530B" w14:textId="4E527CE9" w:rsidR="00994513" w:rsidRPr="00994513" w:rsidRDefault="00994513" w:rsidP="00994513">
            <w:pPr>
              <w:jc w:val="right"/>
              <w:rPr>
                <w:b/>
              </w:rPr>
            </w:pPr>
            <w:r>
              <w:rPr>
                <w:b/>
              </w:rPr>
              <w:t>2017</w:t>
            </w:r>
            <w:r>
              <w:rPr>
                <w:b/>
              </w:rPr>
              <w:br/>
              <w:t>$000</w:t>
            </w:r>
          </w:p>
        </w:tc>
      </w:tr>
      <w:tr w:rsidR="00994513" w14:paraId="1CA5C539" w14:textId="77777777" w:rsidTr="00994513">
        <w:tc>
          <w:tcPr>
            <w:tcW w:w="4390" w:type="dxa"/>
          </w:tcPr>
          <w:p w14:paraId="34B3CAD2" w14:textId="2B31423D" w:rsidR="00994513" w:rsidRDefault="00994513" w:rsidP="00994513">
            <w:r w:rsidRPr="006A7581">
              <w:t>Receivables</w:t>
            </w:r>
          </w:p>
        </w:tc>
        <w:tc>
          <w:tcPr>
            <w:tcW w:w="1417" w:type="dxa"/>
          </w:tcPr>
          <w:p w14:paraId="7078A152" w14:textId="34234573" w:rsidR="00994513" w:rsidRDefault="00994513" w:rsidP="00994513">
            <w:pPr>
              <w:jc w:val="center"/>
            </w:pPr>
            <w:r w:rsidRPr="00AD08D7">
              <w:t>6.1</w:t>
            </w:r>
          </w:p>
        </w:tc>
        <w:tc>
          <w:tcPr>
            <w:tcW w:w="1559" w:type="dxa"/>
            <w:tcBorders>
              <w:top w:val="single" w:sz="12" w:space="0" w:color="auto"/>
            </w:tcBorders>
          </w:tcPr>
          <w:p w14:paraId="5ED1A81F" w14:textId="482C2D79" w:rsidR="00994513" w:rsidRDefault="00994513" w:rsidP="00994513">
            <w:pPr>
              <w:jc w:val="right"/>
            </w:pPr>
            <w:r w:rsidRPr="00AD08D7">
              <w:t>1,278</w:t>
            </w:r>
          </w:p>
        </w:tc>
        <w:tc>
          <w:tcPr>
            <w:tcW w:w="1650" w:type="dxa"/>
            <w:tcBorders>
              <w:top w:val="single" w:sz="12" w:space="0" w:color="auto"/>
            </w:tcBorders>
          </w:tcPr>
          <w:p w14:paraId="2C2B854E" w14:textId="61D9513C" w:rsidR="00994513" w:rsidRDefault="00994513" w:rsidP="00994513">
            <w:pPr>
              <w:jc w:val="right"/>
            </w:pPr>
            <w:r w:rsidRPr="00AD08D7">
              <w:t>1,069</w:t>
            </w:r>
          </w:p>
        </w:tc>
      </w:tr>
      <w:tr w:rsidR="00994513" w14:paraId="386B3606" w14:textId="77777777" w:rsidTr="00994513">
        <w:tc>
          <w:tcPr>
            <w:tcW w:w="4390" w:type="dxa"/>
          </w:tcPr>
          <w:p w14:paraId="1E8BE4EA" w14:textId="1BC6DA7B" w:rsidR="00994513" w:rsidRDefault="00994513" w:rsidP="00994513">
            <w:r w:rsidRPr="006A7581">
              <w:t>Other assets</w:t>
            </w:r>
          </w:p>
        </w:tc>
        <w:tc>
          <w:tcPr>
            <w:tcW w:w="1417" w:type="dxa"/>
          </w:tcPr>
          <w:p w14:paraId="77D9AA3D" w14:textId="690E5DE2" w:rsidR="00994513" w:rsidRDefault="00994513" w:rsidP="00994513">
            <w:pPr>
              <w:jc w:val="center"/>
            </w:pPr>
            <w:r w:rsidRPr="00AD08D7">
              <w:t>6.2</w:t>
            </w:r>
          </w:p>
        </w:tc>
        <w:tc>
          <w:tcPr>
            <w:tcW w:w="1559" w:type="dxa"/>
          </w:tcPr>
          <w:p w14:paraId="7464E011" w14:textId="6734A74D" w:rsidR="00994513" w:rsidRDefault="00994513" w:rsidP="00994513">
            <w:pPr>
              <w:jc w:val="right"/>
            </w:pPr>
            <w:r w:rsidRPr="00AD08D7">
              <w:t xml:space="preserve"> 83 </w:t>
            </w:r>
          </w:p>
        </w:tc>
        <w:tc>
          <w:tcPr>
            <w:tcW w:w="1650" w:type="dxa"/>
          </w:tcPr>
          <w:p w14:paraId="5CF4DA65" w14:textId="6A032D01" w:rsidR="00994513" w:rsidRDefault="00994513" w:rsidP="00994513">
            <w:pPr>
              <w:jc w:val="right"/>
            </w:pPr>
            <w:r w:rsidRPr="00AD08D7">
              <w:t xml:space="preserve"> 75 </w:t>
            </w:r>
          </w:p>
        </w:tc>
      </w:tr>
      <w:tr w:rsidR="00994513" w14:paraId="3F240B8E" w14:textId="77777777" w:rsidTr="00994513">
        <w:tc>
          <w:tcPr>
            <w:tcW w:w="4390" w:type="dxa"/>
          </w:tcPr>
          <w:p w14:paraId="04045C26" w14:textId="36B85CA1" w:rsidR="00994513" w:rsidRDefault="00994513" w:rsidP="00994513">
            <w:r w:rsidRPr="006A7581">
              <w:t>Payables</w:t>
            </w:r>
          </w:p>
        </w:tc>
        <w:tc>
          <w:tcPr>
            <w:tcW w:w="1417" w:type="dxa"/>
          </w:tcPr>
          <w:p w14:paraId="364FDAB9" w14:textId="16E27F1E" w:rsidR="00994513" w:rsidRDefault="00994513" w:rsidP="00994513">
            <w:pPr>
              <w:jc w:val="center"/>
            </w:pPr>
            <w:r w:rsidRPr="00AD08D7">
              <w:t>6.3</w:t>
            </w:r>
          </w:p>
        </w:tc>
        <w:tc>
          <w:tcPr>
            <w:tcW w:w="1559" w:type="dxa"/>
          </w:tcPr>
          <w:p w14:paraId="3086B889" w14:textId="0A337021" w:rsidR="00994513" w:rsidRDefault="00994513" w:rsidP="00994513">
            <w:pPr>
              <w:jc w:val="right"/>
            </w:pPr>
            <w:r w:rsidRPr="00AD08D7">
              <w:t xml:space="preserve"> (1,340)</w:t>
            </w:r>
          </w:p>
        </w:tc>
        <w:tc>
          <w:tcPr>
            <w:tcW w:w="1650" w:type="dxa"/>
          </w:tcPr>
          <w:p w14:paraId="3B6224A1" w14:textId="72614760" w:rsidR="00994513" w:rsidRDefault="00994513" w:rsidP="00994513">
            <w:pPr>
              <w:jc w:val="right"/>
            </w:pPr>
            <w:r w:rsidRPr="00AD08D7">
              <w:t xml:space="preserve"> (804)</w:t>
            </w:r>
          </w:p>
        </w:tc>
      </w:tr>
    </w:tbl>
    <w:p w14:paraId="67B9CB78" w14:textId="465FE3AB" w:rsidR="00994513" w:rsidRDefault="00994513" w:rsidP="00026A6F">
      <w:pPr>
        <w:pStyle w:val="Heading3nonumber"/>
        <w:numPr>
          <w:ilvl w:val="1"/>
          <w:numId w:val="50"/>
        </w:numPr>
      </w:pPr>
      <w:bookmarkStart w:id="789" w:name="_Toc525122185"/>
      <w:r>
        <w:t>Receivables</w:t>
      </w:r>
      <w:bookmarkEnd w:id="789"/>
      <w:r>
        <w:t xml:space="preserve"> </w:t>
      </w:r>
    </w:p>
    <w:p w14:paraId="4960CBF1" w14:textId="0CA0FB84" w:rsidR="00994513" w:rsidRDefault="00C070C1" w:rsidP="00994513">
      <w:pPr>
        <w:rPr>
          <w:u w:val="single"/>
        </w:rPr>
      </w:pPr>
      <w:r>
        <w:rPr>
          <w:u w:val="single"/>
        </w:rPr>
        <w:t>Current</w:t>
      </w:r>
    </w:p>
    <w:p w14:paraId="6157D00E" w14:textId="3626E160" w:rsidR="00C070C1" w:rsidRDefault="00C070C1" w:rsidP="00994513">
      <w:pPr>
        <w:rPr>
          <w:u w:val="single"/>
        </w:rPr>
      </w:pPr>
      <w:r>
        <w:rPr>
          <w:u w:val="single"/>
        </w:rPr>
        <w:t>General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eceivables"/>
        <w:tblDescription w:val="This table outlines current receivables on the General Account. "/>
      </w:tblPr>
      <w:tblGrid>
        <w:gridCol w:w="5382"/>
        <w:gridCol w:w="1701"/>
        <w:gridCol w:w="1933"/>
      </w:tblGrid>
      <w:tr w:rsidR="00D528AD" w14:paraId="5E91F580" w14:textId="77777777" w:rsidTr="00D528AD">
        <w:trPr>
          <w:tblHeader/>
        </w:trPr>
        <w:tc>
          <w:tcPr>
            <w:tcW w:w="5382" w:type="dxa"/>
          </w:tcPr>
          <w:p w14:paraId="09172EF9" w14:textId="77777777" w:rsidR="00D528AD" w:rsidRPr="000705FD" w:rsidRDefault="00D528AD" w:rsidP="00D528AD"/>
        </w:tc>
        <w:tc>
          <w:tcPr>
            <w:tcW w:w="1701" w:type="dxa"/>
          </w:tcPr>
          <w:p w14:paraId="5971C6F8" w14:textId="7B3C2AE5" w:rsidR="00D528AD" w:rsidRDefault="00D528AD" w:rsidP="00D528AD">
            <w:pPr>
              <w:jc w:val="right"/>
            </w:pPr>
            <w:r>
              <w:rPr>
                <w:b/>
              </w:rPr>
              <w:t>2018</w:t>
            </w:r>
            <w:r>
              <w:rPr>
                <w:b/>
              </w:rPr>
              <w:br/>
              <w:t>$000</w:t>
            </w:r>
          </w:p>
        </w:tc>
        <w:tc>
          <w:tcPr>
            <w:tcW w:w="1933" w:type="dxa"/>
          </w:tcPr>
          <w:p w14:paraId="7CEB00FD" w14:textId="4E467D24" w:rsidR="00D528AD" w:rsidRDefault="00D528AD" w:rsidP="00D528AD">
            <w:pPr>
              <w:jc w:val="right"/>
            </w:pPr>
            <w:r>
              <w:rPr>
                <w:b/>
              </w:rPr>
              <w:t>2017</w:t>
            </w:r>
            <w:r>
              <w:rPr>
                <w:b/>
              </w:rPr>
              <w:br/>
              <w:t>$000</w:t>
            </w:r>
          </w:p>
        </w:tc>
      </w:tr>
      <w:tr w:rsidR="00B30E34" w14:paraId="420435EC" w14:textId="77777777" w:rsidTr="00B30E34">
        <w:tc>
          <w:tcPr>
            <w:tcW w:w="5382" w:type="dxa"/>
          </w:tcPr>
          <w:p w14:paraId="4ACB2119" w14:textId="4B9D66A1" w:rsidR="00B30E34" w:rsidRDefault="00B30E34" w:rsidP="00B30E34">
            <w:pPr>
              <w:rPr>
                <w:u w:val="single"/>
              </w:rPr>
            </w:pPr>
            <w:r w:rsidRPr="000705FD">
              <w:t>Receivables</w:t>
            </w:r>
          </w:p>
        </w:tc>
        <w:tc>
          <w:tcPr>
            <w:tcW w:w="1701" w:type="dxa"/>
            <w:vAlign w:val="bottom"/>
          </w:tcPr>
          <w:p w14:paraId="6DC19AF0" w14:textId="6C5BC271" w:rsidR="00B30E34" w:rsidRDefault="00B30E34" w:rsidP="00B30E34">
            <w:pPr>
              <w:jc w:val="right"/>
              <w:rPr>
                <w:u w:val="single"/>
              </w:rPr>
            </w:pPr>
            <w:r>
              <w:t xml:space="preserve">                      286 </w:t>
            </w:r>
          </w:p>
        </w:tc>
        <w:tc>
          <w:tcPr>
            <w:tcW w:w="1933" w:type="dxa"/>
            <w:vAlign w:val="bottom"/>
          </w:tcPr>
          <w:p w14:paraId="3761E7BE" w14:textId="173F5F71" w:rsidR="00B30E34" w:rsidRDefault="00B30E34" w:rsidP="00B30E34">
            <w:pPr>
              <w:jc w:val="right"/>
              <w:rPr>
                <w:u w:val="single"/>
              </w:rPr>
            </w:pPr>
            <w:r>
              <w:t xml:space="preserve">              158 </w:t>
            </w:r>
          </w:p>
        </w:tc>
      </w:tr>
      <w:tr w:rsidR="00B30E34" w14:paraId="5E358E02" w14:textId="77777777" w:rsidTr="00B30E34">
        <w:tc>
          <w:tcPr>
            <w:tcW w:w="5382" w:type="dxa"/>
          </w:tcPr>
          <w:p w14:paraId="369566AB" w14:textId="707703D4" w:rsidR="00B30E34" w:rsidRDefault="00B30E34" w:rsidP="00B30E34">
            <w:pPr>
              <w:rPr>
                <w:u w:val="single"/>
              </w:rPr>
            </w:pPr>
            <w:r w:rsidRPr="000705FD">
              <w:t>Fines and penalties</w:t>
            </w:r>
          </w:p>
        </w:tc>
        <w:tc>
          <w:tcPr>
            <w:tcW w:w="1701" w:type="dxa"/>
            <w:vAlign w:val="bottom"/>
          </w:tcPr>
          <w:p w14:paraId="1C906FFC" w14:textId="753D2539" w:rsidR="00B30E34" w:rsidRDefault="00B30E34" w:rsidP="00B30E34">
            <w:pPr>
              <w:jc w:val="right"/>
              <w:rPr>
                <w:u w:val="single"/>
              </w:rPr>
            </w:pPr>
            <w:r>
              <w:t xml:space="preserve">                      596 </w:t>
            </w:r>
          </w:p>
        </w:tc>
        <w:tc>
          <w:tcPr>
            <w:tcW w:w="1933" w:type="dxa"/>
            <w:vAlign w:val="bottom"/>
          </w:tcPr>
          <w:p w14:paraId="6C24E36C" w14:textId="45C9FE3B" w:rsidR="00B30E34" w:rsidRDefault="00B30E34" w:rsidP="00B30E34">
            <w:pPr>
              <w:jc w:val="right"/>
              <w:rPr>
                <w:u w:val="single"/>
              </w:rPr>
            </w:pPr>
            <w:r>
              <w:t xml:space="preserve">              570 </w:t>
            </w:r>
          </w:p>
        </w:tc>
      </w:tr>
      <w:tr w:rsidR="00B30E34" w14:paraId="38924E0C" w14:textId="77777777" w:rsidTr="00B30E34">
        <w:tc>
          <w:tcPr>
            <w:tcW w:w="5382" w:type="dxa"/>
          </w:tcPr>
          <w:p w14:paraId="4795D298" w14:textId="20DAD7F3" w:rsidR="00B30E34" w:rsidRDefault="00B30E34" w:rsidP="00B30E34">
            <w:pPr>
              <w:rPr>
                <w:u w:val="single"/>
              </w:rPr>
            </w:pPr>
            <w:r w:rsidRPr="000705FD">
              <w:t>Allowance for impairment of receivables</w:t>
            </w:r>
          </w:p>
        </w:tc>
        <w:tc>
          <w:tcPr>
            <w:tcW w:w="1701" w:type="dxa"/>
            <w:vAlign w:val="bottom"/>
          </w:tcPr>
          <w:p w14:paraId="59BCF253" w14:textId="712B0774" w:rsidR="00B30E34" w:rsidRDefault="00B30E34" w:rsidP="00B30E34">
            <w:pPr>
              <w:jc w:val="right"/>
              <w:rPr>
                <w:u w:val="single"/>
              </w:rPr>
            </w:pPr>
            <w:r>
              <w:t xml:space="preserve">                     (349)</w:t>
            </w:r>
          </w:p>
        </w:tc>
        <w:tc>
          <w:tcPr>
            <w:tcW w:w="1933" w:type="dxa"/>
            <w:vAlign w:val="bottom"/>
          </w:tcPr>
          <w:p w14:paraId="40A94394" w14:textId="1AC9EE2B" w:rsidR="00B30E34" w:rsidRDefault="00B30E34" w:rsidP="00B30E34">
            <w:pPr>
              <w:jc w:val="right"/>
              <w:rPr>
                <w:u w:val="single"/>
              </w:rPr>
            </w:pPr>
            <w:r>
              <w:t xml:space="preserve">             (311)</w:t>
            </w:r>
          </w:p>
        </w:tc>
      </w:tr>
      <w:tr w:rsidR="00B30E34" w14:paraId="23E9FBB2" w14:textId="77777777" w:rsidTr="00B30E34">
        <w:tc>
          <w:tcPr>
            <w:tcW w:w="5382" w:type="dxa"/>
          </w:tcPr>
          <w:p w14:paraId="5FC8EE8F" w14:textId="069B498A" w:rsidR="00B30E34" w:rsidRDefault="00B30E34" w:rsidP="00B30E34">
            <w:pPr>
              <w:rPr>
                <w:u w:val="single"/>
              </w:rPr>
            </w:pPr>
            <w:r w:rsidRPr="000705FD">
              <w:t>Accrued interest</w:t>
            </w:r>
          </w:p>
        </w:tc>
        <w:tc>
          <w:tcPr>
            <w:tcW w:w="1701" w:type="dxa"/>
            <w:vAlign w:val="bottom"/>
          </w:tcPr>
          <w:p w14:paraId="3A74D9BD" w14:textId="4FC2B95E" w:rsidR="00B30E34" w:rsidRDefault="00B30E34" w:rsidP="00B30E34">
            <w:pPr>
              <w:jc w:val="right"/>
              <w:rPr>
                <w:u w:val="single"/>
              </w:rPr>
            </w:pPr>
            <w:r>
              <w:t xml:space="preserve">                      218 </w:t>
            </w:r>
          </w:p>
        </w:tc>
        <w:tc>
          <w:tcPr>
            <w:tcW w:w="1933" w:type="dxa"/>
            <w:vAlign w:val="bottom"/>
          </w:tcPr>
          <w:p w14:paraId="2FD1EFD1" w14:textId="7C4E2B81" w:rsidR="00B30E34" w:rsidRDefault="00B30E34" w:rsidP="00B30E34">
            <w:pPr>
              <w:jc w:val="right"/>
              <w:rPr>
                <w:u w:val="single"/>
              </w:rPr>
            </w:pPr>
            <w:r>
              <w:t xml:space="preserve">              156 </w:t>
            </w:r>
          </w:p>
        </w:tc>
      </w:tr>
      <w:tr w:rsidR="00B30E34" w14:paraId="229BAA96" w14:textId="77777777" w:rsidTr="002F1CC4">
        <w:tc>
          <w:tcPr>
            <w:tcW w:w="5382" w:type="dxa"/>
          </w:tcPr>
          <w:p w14:paraId="62699C2D" w14:textId="75BE023E" w:rsidR="00B30E34" w:rsidRDefault="00D528AD" w:rsidP="00B30E34">
            <w:pPr>
              <w:rPr>
                <w:u w:val="single"/>
              </w:rPr>
            </w:pPr>
            <w:r>
              <w:br/>
            </w:r>
            <w:r>
              <w:br/>
            </w:r>
            <w:r w:rsidR="00B30E34" w:rsidRPr="000705FD">
              <w:t>GST receivable</w:t>
            </w:r>
          </w:p>
        </w:tc>
        <w:tc>
          <w:tcPr>
            <w:tcW w:w="1701" w:type="dxa"/>
            <w:tcBorders>
              <w:bottom w:val="single" w:sz="4" w:space="0" w:color="auto"/>
            </w:tcBorders>
            <w:vAlign w:val="bottom"/>
          </w:tcPr>
          <w:p w14:paraId="08995340" w14:textId="5DE7E454" w:rsidR="00B30E34" w:rsidRDefault="00B30E34" w:rsidP="00B30E34">
            <w:pPr>
              <w:jc w:val="right"/>
              <w:rPr>
                <w:u w:val="single"/>
              </w:rPr>
            </w:pPr>
            <w:r>
              <w:t xml:space="preserve">                          2 </w:t>
            </w:r>
          </w:p>
        </w:tc>
        <w:tc>
          <w:tcPr>
            <w:tcW w:w="1933" w:type="dxa"/>
            <w:tcBorders>
              <w:bottom w:val="single" w:sz="4" w:space="0" w:color="auto"/>
            </w:tcBorders>
            <w:vAlign w:val="bottom"/>
          </w:tcPr>
          <w:p w14:paraId="7D1B7D1D" w14:textId="242F5D15" w:rsidR="00B30E34" w:rsidRDefault="00B30E34" w:rsidP="00B30E34">
            <w:pPr>
              <w:jc w:val="right"/>
              <w:rPr>
                <w:u w:val="single"/>
              </w:rPr>
            </w:pPr>
            <w:r>
              <w:t xml:space="preserve">                12 </w:t>
            </w:r>
          </w:p>
        </w:tc>
      </w:tr>
      <w:tr w:rsidR="00B30E34" w14:paraId="6F99B9B3" w14:textId="77777777" w:rsidTr="002F1CC4">
        <w:tc>
          <w:tcPr>
            <w:tcW w:w="5382" w:type="dxa"/>
          </w:tcPr>
          <w:p w14:paraId="198AB5EB" w14:textId="064E930C" w:rsidR="00B30E34" w:rsidRPr="000705FD" w:rsidRDefault="00D528AD" w:rsidP="00B30E34">
            <w:r>
              <w:br/>
            </w:r>
          </w:p>
        </w:tc>
        <w:tc>
          <w:tcPr>
            <w:tcW w:w="1701" w:type="dxa"/>
            <w:tcBorders>
              <w:top w:val="single" w:sz="4" w:space="0" w:color="auto"/>
              <w:bottom w:val="single" w:sz="4" w:space="0" w:color="auto"/>
            </w:tcBorders>
            <w:vAlign w:val="bottom"/>
          </w:tcPr>
          <w:p w14:paraId="7971C9BD" w14:textId="4812BE0D" w:rsidR="00B30E34" w:rsidRDefault="00B30E34" w:rsidP="00B30E34">
            <w:pPr>
              <w:jc w:val="right"/>
              <w:rPr>
                <w:u w:val="single"/>
              </w:rPr>
            </w:pPr>
            <w:r>
              <w:t xml:space="preserve">                      753 </w:t>
            </w:r>
          </w:p>
        </w:tc>
        <w:tc>
          <w:tcPr>
            <w:tcW w:w="1933" w:type="dxa"/>
            <w:tcBorders>
              <w:top w:val="single" w:sz="4" w:space="0" w:color="auto"/>
              <w:bottom w:val="single" w:sz="4" w:space="0" w:color="auto"/>
            </w:tcBorders>
            <w:vAlign w:val="bottom"/>
          </w:tcPr>
          <w:p w14:paraId="1D5561E8" w14:textId="1211E73F" w:rsidR="00B30E34" w:rsidRDefault="00B30E34" w:rsidP="00B30E34">
            <w:pPr>
              <w:jc w:val="right"/>
              <w:rPr>
                <w:u w:val="single"/>
              </w:rPr>
            </w:pPr>
            <w:r>
              <w:t xml:space="preserve">              585 </w:t>
            </w:r>
          </w:p>
        </w:tc>
      </w:tr>
      <w:tr w:rsidR="00D528AD" w14:paraId="1B8B1F29" w14:textId="77777777" w:rsidTr="002F1CC4">
        <w:tc>
          <w:tcPr>
            <w:tcW w:w="5382" w:type="dxa"/>
          </w:tcPr>
          <w:p w14:paraId="5727C8A4" w14:textId="0D302063" w:rsidR="00D528AD" w:rsidRPr="002F1CC4" w:rsidRDefault="002F1CC4" w:rsidP="00B30E34">
            <w:pPr>
              <w:rPr>
                <w:u w:val="single"/>
              </w:rPr>
            </w:pPr>
            <w:r w:rsidRPr="002F1CC4">
              <w:rPr>
                <w:u w:val="single"/>
              </w:rPr>
              <w:t>Employers' Indemnity Supplementation Fund (see note 4.3)</w:t>
            </w:r>
          </w:p>
        </w:tc>
        <w:tc>
          <w:tcPr>
            <w:tcW w:w="1701" w:type="dxa"/>
            <w:tcBorders>
              <w:top w:val="single" w:sz="4" w:space="0" w:color="auto"/>
            </w:tcBorders>
            <w:vAlign w:val="bottom"/>
          </w:tcPr>
          <w:p w14:paraId="2C4925AE" w14:textId="77777777" w:rsidR="00D528AD" w:rsidRDefault="00D528AD" w:rsidP="00B30E34">
            <w:pPr>
              <w:jc w:val="right"/>
            </w:pPr>
          </w:p>
        </w:tc>
        <w:tc>
          <w:tcPr>
            <w:tcW w:w="1933" w:type="dxa"/>
            <w:tcBorders>
              <w:top w:val="single" w:sz="4" w:space="0" w:color="auto"/>
            </w:tcBorders>
            <w:vAlign w:val="bottom"/>
          </w:tcPr>
          <w:p w14:paraId="0D373F7C" w14:textId="77777777" w:rsidR="00D528AD" w:rsidRDefault="00D528AD" w:rsidP="00B30E34">
            <w:pPr>
              <w:jc w:val="right"/>
            </w:pPr>
          </w:p>
        </w:tc>
      </w:tr>
      <w:tr w:rsidR="002F1CC4" w14:paraId="66AEA516" w14:textId="77777777" w:rsidTr="00F61E4A">
        <w:tc>
          <w:tcPr>
            <w:tcW w:w="5382" w:type="dxa"/>
            <w:vAlign w:val="bottom"/>
          </w:tcPr>
          <w:p w14:paraId="198AF137" w14:textId="53FD712A" w:rsidR="002F1CC4" w:rsidRPr="000705FD" w:rsidRDefault="002F1CC4" w:rsidP="002F1CC4">
            <w:r>
              <w:t>Accrued interest</w:t>
            </w:r>
          </w:p>
        </w:tc>
        <w:tc>
          <w:tcPr>
            <w:tcW w:w="1701" w:type="dxa"/>
            <w:vAlign w:val="bottom"/>
          </w:tcPr>
          <w:p w14:paraId="02548880" w14:textId="54455E2E" w:rsidR="002F1CC4" w:rsidRDefault="002F1CC4" w:rsidP="002F1CC4">
            <w:pPr>
              <w:jc w:val="right"/>
            </w:pPr>
            <w:r>
              <w:t xml:space="preserve">                      459 </w:t>
            </w:r>
          </w:p>
        </w:tc>
        <w:tc>
          <w:tcPr>
            <w:tcW w:w="1933" w:type="dxa"/>
            <w:vAlign w:val="bottom"/>
          </w:tcPr>
          <w:p w14:paraId="00054EDA" w14:textId="043AED52" w:rsidR="002F1CC4" w:rsidRDefault="002F1CC4" w:rsidP="002F1CC4">
            <w:pPr>
              <w:jc w:val="right"/>
            </w:pPr>
            <w:r>
              <w:t xml:space="preserve">              424 </w:t>
            </w:r>
          </w:p>
        </w:tc>
      </w:tr>
      <w:tr w:rsidR="002F1CC4" w14:paraId="64FD6B59" w14:textId="77777777" w:rsidTr="002F1CC4">
        <w:tc>
          <w:tcPr>
            <w:tcW w:w="5382" w:type="dxa"/>
            <w:vAlign w:val="bottom"/>
          </w:tcPr>
          <w:p w14:paraId="0F367BA2" w14:textId="3CEB455B" w:rsidR="002F1CC4" w:rsidRPr="000705FD" w:rsidRDefault="002F1CC4" w:rsidP="002F1CC4">
            <w:r>
              <w:t>GST receivable</w:t>
            </w:r>
          </w:p>
        </w:tc>
        <w:tc>
          <w:tcPr>
            <w:tcW w:w="1701" w:type="dxa"/>
            <w:tcBorders>
              <w:bottom w:val="single" w:sz="4" w:space="0" w:color="auto"/>
            </w:tcBorders>
            <w:vAlign w:val="bottom"/>
          </w:tcPr>
          <w:p w14:paraId="3831B5FE" w14:textId="63AF17C3" w:rsidR="002F1CC4" w:rsidRDefault="002F1CC4" w:rsidP="002F1CC4">
            <w:pPr>
              <w:jc w:val="right"/>
            </w:pPr>
            <w:r>
              <w:t xml:space="preserve">                        66 </w:t>
            </w:r>
          </w:p>
        </w:tc>
        <w:tc>
          <w:tcPr>
            <w:tcW w:w="1933" w:type="dxa"/>
            <w:tcBorders>
              <w:bottom w:val="single" w:sz="4" w:space="0" w:color="auto"/>
            </w:tcBorders>
            <w:vAlign w:val="bottom"/>
          </w:tcPr>
          <w:p w14:paraId="661F9754" w14:textId="4F2F7DCA" w:rsidR="002F1CC4" w:rsidRDefault="002F1CC4" w:rsidP="002F1CC4">
            <w:pPr>
              <w:jc w:val="right"/>
            </w:pPr>
            <w:r>
              <w:t xml:space="preserve">                60 </w:t>
            </w:r>
          </w:p>
        </w:tc>
      </w:tr>
      <w:tr w:rsidR="002F1CC4" w14:paraId="409DDF09" w14:textId="77777777" w:rsidTr="002F1CC4">
        <w:tc>
          <w:tcPr>
            <w:tcW w:w="5382" w:type="dxa"/>
          </w:tcPr>
          <w:p w14:paraId="2B97AB8E" w14:textId="77777777" w:rsidR="002F1CC4" w:rsidRPr="000705FD" w:rsidRDefault="002F1CC4" w:rsidP="002F1CC4"/>
        </w:tc>
        <w:tc>
          <w:tcPr>
            <w:tcW w:w="1701" w:type="dxa"/>
            <w:tcBorders>
              <w:top w:val="single" w:sz="4" w:space="0" w:color="auto"/>
              <w:bottom w:val="single" w:sz="4" w:space="0" w:color="auto"/>
            </w:tcBorders>
            <w:vAlign w:val="bottom"/>
          </w:tcPr>
          <w:p w14:paraId="749D254C" w14:textId="060D13B8" w:rsidR="002F1CC4" w:rsidRDefault="002F1CC4" w:rsidP="002F1CC4">
            <w:pPr>
              <w:jc w:val="right"/>
            </w:pPr>
            <w:r>
              <w:t xml:space="preserve">                      525 </w:t>
            </w:r>
          </w:p>
        </w:tc>
        <w:tc>
          <w:tcPr>
            <w:tcW w:w="1933" w:type="dxa"/>
            <w:tcBorders>
              <w:top w:val="single" w:sz="4" w:space="0" w:color="auto"/>
              <w:bottom w:val="single" w:sz="4" w:space="0" w:color="auto"/>
            </w:tcBorders>
            <w:vAlign w:val="bottom"/>
          </w:tcPr>
          <w:p w14:paraId="4BACD616" w14:textId="3EBA3F27" w:rsidR="002F1CC4" w:rsidRDefault="002F1CC4" w:rsidP="002F1CC4">
            <w:pPr>
              <w:jc w:val="right"/>
            </w:pPr>
            <w:r>
              <w:t xml:space="preserve">              484 </w:t>
            </w:r>
          </w:p>
        </w:tc>
      </w:tr>
      <w:tr w:rsidR="002F1CC4" w14:paraId="23C75DE0" w14:textId="77777777" w:rsidTr="002F1CC4">
        <w:tc>
          <w:tcPr>
            <w:tcW w:w="5382" w:type="dxa"/>
          </w:tcPr>
          <w:p w14:paraId="1CD02AFB" w14:textId="14CCE931" w:rsidR="002F1CC4" w:rsidRPr="002F1CC4" w:rsidRDefault="002F1CC4" w:rsidP="002F1CC4">
            <w:pPr>
              <w:rPr>
                <w:b/>
              </w:rPr>
            </w:pPr>
            <w:r w:rsidRPr="002F1CC4">
              <w:rPr>
                <w:b/>
              </w:rPr>
              <w:t>Total current</w:t>
            </w:r>
          </w:p>
        </w:tc>
        <w:tc>
          <w:tcPr>
            <w:tcW w:w="1701" w:type="dxa"/>
            <w:tcBorders>
              <w:top w:val="single" w:sz="4" w:space="0" w:color="auto"/>
              <w:bottom w:val="single" w:sz="4" w:space="0" w:color="auto"/>
            </w:tcBorders>
            <w:vAlign w:val="bottom"/>
          </w:tcPr>
          <w:p w14:paraId="790D932E" w14:textId="6FB8AB49" w:rsidR="002F1CC4" w:rsidRPr="002F1CC4" w:rsidRDefault="002F1CC4" w:rsidP="002F1CC4">
            <w:pPr>
              <w:jc w:val="right"/>
              <w:rPr>
                <w:b/>
              </w:rPr>
            </w:pPr>
            <w:r w:rsidRPr="002F1CC4">
              <w:rPr>
                <w:b/>
              </w:rPr>
              <w:t xml:space="preserve">                   1,278 </w:t>
            </w:r>
          </w:p>
        </w:tc>
        <w:tc>
          <w:tcPr>
            <w:tcW w:w="1933" w:type="dxa"/>
            <w:tcBorders>
              <w:top w:val="single" w:sz="4" w:space="0" w:color="auto"/>
              <w:bottom w:val="single" w:sz="4" w:space="0" w:color="auto"/>
            </w:tcBorders>
            <w:vAlign w:val="bottom"/>
          </w:tcPr>
          <w:p w14:paraId="18D44E2A" w14:textId="1A8FF5B9" w:rsidR="002F1CC4" w:rsidRPr="002F1CC4" w:rsidRDefault="002F1CC4" w:rsidP="002F1CC4">
            <w:pPr>
              <w:jc w:val="right"/>
              <w:rPr>
                <w:b/>
              </w:rPr>
            </w:pPr>
            <w:r w:rsidRPr="002F1CC4">
              <w:rPr>
                <w:b/>
              </w:rPr>
              <w:t xml:space="preserve">           1,069 </w:t>
            </w:r>
          </w:p>
        </w:tc>
      </w:tr>
      <w:tr w:rsidR="002F1CC4" w14:paraId="7A2EF755" w14:textId="77777777" w:rsidTr="002F1CC4">
        <w:tc>
          <w:tcPr>
            <w:tcW w:w="5382" w:type="dxa"/>
          </w:tcPr>
          <w:p w14:paraId="474EC333" w14:textId="5EA4CEA3" w:rsidR="002F1CC4" w:rsidRPr="002F1CC4" w:rsidRDefault="002F1CC4" w:rsidP="00B30E34">
            <w:pPr>
              <w:rPr>
                <w:u w:val="single"/>
              </w:rPr>
            </w:pPr>
            <w:r>
              <w:rPr>
                <w:u w:val="single"/>
              </w:rPr>
              <w:t>Non-current</w:t>
            </w:r>
          </w:p>
        </w:tc>
        <w:tc>
          <w:tcPr>
            <w:tcW w:w="1701" w:type="dxa"/>
            <w:tcBorders>
              <w:top w:val="single" w:sz="4" w:space="0" w:color="auto"/>
            </w:tcBorders>
            <w:vAlign w:val="bottom"/>
          </w:tcPr>
          <w:p w14:paraId="33A359B7" w14:textId="77777777" w:rsidR="002F1CC4" w:rsidRDefault="002F1CC4" w:rsidP="00B30E34">
            <w:pPr>
              <w:jc w:val="right"/>
            </w:pPr>
          </w:p>
        </w:tc>
        <w:tc>
          <w:tcPr>
            <w:tcW w:w="1933" w:type="dxa"/>
            <w:tcBorders>
              <w:top w:val="single" w:sz="4" w:space="0" w:color="auto"/>
            </w:tcBorders>
            <w:vAlign w:val="bottom"/>
          </w:tcPr>
          <w:p w14:paraId="1CB58152" w14:textId="77777777" w:rsidR="002F1CC4" w:rsidRDefault="002F1CC4" w:rsidP="00B30E34">
            <w:pPr>
              <w:jc w:val="right"/>
            </w:pPr>
          </w:p>
        </w:tc>
      </w:tr>
      <w:tr w:rsidR="002F1CC4" w14:paraId="17902BC1" w14:textId="77777777" w:rsidTr="00D528AD">
        <w:tc>
          <w:tcPr>
            <w:tcW w:w="5382" w:type="dxa"/>
          </w:tcPr>
          <w:p w14:paraId="3DD70E88" w14:textId="79ADC1A7" w:rsidR="002F1CC4" w:rsidRDefault="002F1CC4" w:rsidP="00B30E34">
            <w:pPr>
              <w:rPr>
                <w:u w:val="single"/>
              </w:rPr>
            </w:pPr>
            <w:r>
              <w:rPr>
                <w:u w:val="single"/>
              </w:rPr>
              <w:t xml:space="preserve">General Account </w:t>
            </w:r>
          </w:p>
        </w:tc>
        <w:tc>
          <w:tcPr>
            <w:tcW w:w="1701" w:type="dxa"/>
            <w:vAlign w:val="bottom"/>
          </w:tcPr>
          <w:p w14:paraId="7E555DFB" w14:textId="77777777" w:rsidR="002F1CC4" w:rsidRDefault="002F1CC4" w:rsidP="00B30E34">
            <w:pPr>
              <w:jc w:val="right"/>
            </w:pPr>
          </w:p>
        </w:tc>
        <w:tc>
          <w:tcPr>
            <w:tcW w:w="1933" w:type="dxa"/>
            <w:vAlign w:val="bottom"/>
          </w:tcPr>
          <w:p w14:paraId="2C035993" w14:textId="77777777" w:rsidR="002F1CC4" w:rsidRDefault="002F1CC4" w:rsidP="00B30E34">
            <w:pPr>
              <w:jc w:val="right"/>
            </w:pPr>
          </w:p>
        </w:tc>
      </w:tr>
      <w:tr w:rsidR="002F1CC4" w14:paraId="514B121D" w14:textId="77777777" w:rsidTr="00D528AD">
        <w:tc>
          <w:tcPr>
            <w:tcW w:w="5382" w:type="dxa"/>
          </w:tcPr>
          <w:p w14:paraId="54CE59A7" w14:textId="40541394" w:rsidR="002F1CC4" w:rsidRPr="002F1CC4" w:rsidRDefault="002F1CC4" w:rsidP="00B30E34">
            <w:r>
              <w:t xml:space="preserve">Receivables </w:t>
            </w:r>
          </w:p>
        </w:tc>
        <w:tc>
          <w:tcPr>
            <w:tcW w:w="1701" w:type="dxa"/>
            <w:vAlign w:val="bottom"/>
          </w:tcPr>
          <w:p w14:paraId="0B522E8B" w14:textId="747FDD38" w:rsidR="002F1CC4" w:rsidRDefault="002F1CC4" w:rsidP="00B30E34">
            <w:pPr>
              <w:jc w:val="right"/>
            </w:pPr>
            <w:r>
              <w:t>418</w:t>
            </w:r>
          </w:p>
        </w:tc>
        <w:tc>
          <w:tcPr>
            <w:tcW w:w="1933" w:type="dxa"/>
            <w:vAlign w:val="bottom"/>
          </w:tcPr>
          <w:p w14:paraId="6AD039EC" w14:textId="68569FFB" w:rsidR="002F1CC4" w:rsidRDefault="002F1CC4" w:rsidP="00B30E34">
            <w:pPr>
              <w:jc w:val="right"/>
            </w:pPr>
            <w:r>
              <w:t>418</w:t>
            </w:r>
          </w:p>
        </w:tc>
      </w:tr>
      <w:tr w:rsidR="002F1CC4" w14:paraId="41FB2B65" w14:textId="77777777" w:rsidTr="002F1CC4">
        <w:tc>
          <w:tcPr>
            <w:tcW w:w="5382" w:type="dxa"/>
          </w:tcPr>
          <w:p w14:paraId="1D4BACB0" w14:textId="512B903D" w:rsidR="002F1CC4" w:rsidRDefault="002F1CC4" w:rsidP="002F1CC4">
            <w:r w:rsidRPr="002F1CC4">
              <w:t>Allowance for impairment of receivables</w:t>
            </w:r>
          </w:p>
        </w:tc>
        <w:tc>
          <w:tcPr>
            <w:tcW w:w="1701" w:type="dxa"/>
            <w:tcBorders>
              <w:bottom w:val="single" w:sz="4" w:space="0" w:color="auto"/>
            </w:tcBorders>
            <w:vAlign w:val="bottom"/>
          </w:tcPr>
          <w:p w14:paraId="7B2CB027" w14:textId="6AA8FA33" w:rsidR="002F1CC4" w:rsidRDefault="002F1CC4" w:rsidP="002F1CC4">
            <w:pPr>
              <w:jc w:val="right"/>
            </w:pPr>
            <w:r>
              <w:t xml:space="preserve">                  (418)</w:t>
            </w:r>
          </w:p>
        </w:tc>
        <w:tc>
          <w:tcPr>
            <w:tcW w:w="1933" w:type="dxa"/>
            <w:tcBorders>
              <w:bottom w:val="single" w:sz="4" w:space="0" w:color="auto"/>
            </w:tcBorders>
            <w:vAlign w:val="bottom"/>
          </w:tcPr>
          <w:p w14:paraId="7C6ECEA9" w14:textId="26E372F8" w:rsidR="002F1CC4" w:rsidRDefault="002F1CC4" w:rsidP="002F1CC4">
            <w:pPr>
              <w:jc w:val="right"/>
            </w:pPr>
            <w:r>
              <w:t xml:space="preserve">             (418)</w:t>
            </w:r>
          </w:p>
        </w:tc>
      </w:tr>
      <w:tr w:rsidR="002F1CC4" w14:paraId="7A893873" w14:textId="77777777" w:rsidTr="002A1AFF">
        <w:tc>
          <w:tcPr>
            <w:tcW w:w="5382" w:type="dxa"/>
          </w:tcPr>
          <w:p w14:paraId="47D99C12" w14:textId="5257880F" w:rsidR="002F1CC4" w:rsidRPr="002F1CC4" w:rsidRDefault="002F1CC4" w:rsidP="002F1CC4">
            <w:pPr>
              <w:rPr>
                <w:b/>
                <w:lang w:eastAsia="en-AU"/>
              </w:rPr>
            </w:pPr>
            <w:r w:rsidRPr="002F1CC4">
              <w:rPr>
                <w:b/>
              </w:rPr>
              <w:t>Total non-current</w:t>
            </w:r>
          </w:p>
        </w:tc>
        <w:tc>
          <w:tcPr>
            <w:tcW w:w="1701" w:type="dxa"/>
            <w:tcBorders>
              <w:top w:val="single" w:sz="4" w:space="0" w:color="auto"/>
              <w:bottom w:val="single" w:sz="4" w:space="0" w:color="auto"/>
            </w:tcBorders>
            <w:vAlign w:val="bottom"/>
          </w:tcPr>
          <w:p w14:paraId="024549EA" w14:textId="2E2A0759" w:rsidR="002F1CC4" w:rsidRDefault="002F1CC4" w:rsidP="002F1CC4">
            <w:pPr>
              <w:jc w:val="right"/>
            </w:pPr>
            <w:r>
              <w:rPr>
                <w:rFonts w:cs="Arial"/>
                <w:b/>
                <w:bCs/>
                <w:sz w:val="20"/>
                <w:szCs w:val="20"/>
              </w:rPr>
              <w:t xml:space="preserve">                        -   </w:t>
            </w:r>
          </w:p>
        </w:tc>
        <w:tc>
          <w:tcPr>
            <w:tcW w:w="1933" w:type="dxa"/>
            <w:tcBorders>
              <w:top w:val="single" w:sz="4" w:space="0" w:color="auto"/>
              <w:bottom w:val="single" w:sz="4" w:space="0" w:color="auto"/>
            </w:tcBorders>
            <w:vAlign w:val="bottom"/>
          </w:tcPr>
          <w:p w14:paraId="373154A6" w14:textId="1D68B734" w:rsidR="002F1CC4" w:rsidRDefault="002F1CC4" w:rsidP="002F1CC4">
            <w:pPr>
              <w:jc w:val="right"/>
            </w:pPr>
            <w:r>
              <w:rPr>
                <w:rFonts w:cs="Arial"/>
                <w:b/>
                <w:bCs/>
                <w:sz w:val="20"/>
                <w:szCs w:val="20"/>
              </w:rPr>
              <w:t xml:space="preserve">                -   </w:t>
            </w:r>
          </w:p>
        </w:tc>
      </w:tr>
      <w:tr w:rsidR="002F1CC4" w14:paraId="1EE70E09" w14:textId="77777777" w:rsidTr="002A1AFF">
        <w:tc>
          <w:tcPr>
            <w:tcW w:w="5382" w:type="dxa"/>
          </w:tcPr>
          <w:p w14:paraId="36CB4219" w14:textId="2A7A421A" w:rsidR="002F1CC4" w:rsidRPr="002F1CC4" w:rsidRDefault="002F1CC4" w:rsidP="002F1CC4">
            <w:pPr>
              <w:jc w:val="both"/>
              <w:rPr>
                <w:b/>
              </w:rPr>
            </w:pPr>
            <w:r w:rsidRPr="002F1CC4">
              <w:rPr>
                <w:b/>
              </w:rPr>
              <w:t>Total receivables</w:t>
            </w:r>
          </w:p>
        </w:tc>
        <w:tc>
          <w:tcPr>
            <w:tcW w:w="1701" w:type="dxa"/>
            <w:tcBorders>
              <w:top w:val="single" w:sz="4" w:space="0" w:color="auto"/>
              <w:bottom w:val="double" w:sz="4" w:space="0" w:color="auto"/>
            </w:tcBorders>
          </w:tcPr>
          <w:p w14:paraId="2EB39B3D" w14:textId="296803BF" w:rsidR="002F1CC4" w:rsidRPr="002F1CC4" w:rsidRDefault="002F1CC4" w:rsidP="002F1CC4">
            <w:pPr>
              <w:jc w:val="right"/>
              <w:rPr>
                <w:b/>
              </w:rPr>
            </w:pPr>
            <w:r w:rsidRPr="002F1CC4">
              <w:rPr>
                <w:b/>
              </w:rPr>
              <w:t xml:space="preserve"> 1,278 </w:t>
            </w:r>
          </w:p>
        </w:tc>
        <w:tc>
          <w:tcPr>
            <w:tcW w:w="1933" w:type="dxa"/>
            <w:tcBorders>
              <w:top w:val="single" w:sz="4" w:space="0" w:color="auto"/>
              <w:bottom w:val="double" w:sz="4" w:space="0" w:color="auto"/>
            </w:tcBorders>
          </w:tcPr>
          <w:p w14:paraId="3B574B0D" w14:textId="1664740E" w:rsidR="002F1CC4" w:rsidRPr="002F1CC4" w:rsidRDefault="002F1CC4" w:rsidP="002F1CC4">
            <w:pPr>
              <w:jc w:val="right"/>
              <w:rPr>
                <w:b/>
              </w:rPr>
            </w:pPr>
            <w:r w:rsidRPr="002F1CC4">
              <w:rPr>
                <w:b/>
              </w:rPr>
              <w:t xml:space="preserve"> 1,069 </w:t>
            </w:r>
          </w:p>
        </w:tc>
      </w:tr>
    </w:tbl>
    <w:p w14:paraId="06A337E9" w14:textId="77777777" w:rsidR="00C070C1" w:rsidRDefault="00C070C1" w:rsidP="00994513">
      <w:pPr>
        <w:rPr>
          <w:u w:val="single"/>
        </w:rPr>
      </w:pPr>
    </w:p>
    <w:p w14:paraId="78E661B5" w14:textId="77777777" w:rsidR="002A1AFF" w:rsidRDefault="002A1AFF" w:rsidP="00994513">
      <w:r w:rsidRPr="002A1AFF">
        <w:t xml:space="preserve">The Authority does not hold any collateral or other credit enhancements </w:t>
      </w:r>
      <w:r>
        <w:t>as security for receivables.</w:t>
      </w:r>
    </w:p>
    <w:p w14:paraId="00DE61FA" w14:textId="31DA0EB3" w:rsidR="00C070C1" w:rsidRDefault="002A1AFF" w:rsidP="00994513">
      <w:r w:rsidRPr="002A1AFF">
        <w:t>Receivables are recognised at original invoice amount less any allowances for uncollectible amounts (i.e. impairment). The carrying amount of net trade receivables is equivalent to fair value as it is due for</w:t>
      </w:r>
      <w:r>
        <w:t xml:space="preserve"> settlement within 30 days.</w:t>
      </w:r>
    </w:p>
    <w:p w14:paraId="1572A785" w14:textId="5286C01F" w:rsidR="002A1AFF" w:rsidRDefault="00024979" w:rsidP="00024979">
      <w:pPr>
        <w:pStyle w:val="Heading4colour"/>
      </w:pPr>
      <w:r w:rsidRPr="00024979">
        <w:rPr>
          <w:color w:val="auto"/>
        </w:rPr>
        <w:t xml:space="preserve">6.1.1 </w:t>
      </w:r>
      <w:r w:rsidR="002A1AFF" w:rsidRPr="00024979">
        <w:rPr>
          <w:color w:val="auto"/>
        </w:rPr>
        <w:t xml:space="preserve">Movement of the allowance for impairment of receivables </w:t>
      </w:r>
    </w:p>
    <w:p w14:paraId="7E25FE8D" w14:textId="327A136F" w:rsidR="002A1AFF" w:rsidRDefault="002A1AFF" w:rsidP="00BA7C82">
      <w:pPr>
        <w:pStyle w:val="Heading4"/>
      </w:pPr>
      <w:r>
        <w:t xml:space="preserve">Reconciliation of changes in allowance for impairment of receivables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Movement of the allowance for impairment of receivables"/>
        <w:tblDescription w:val="This table outlines the reconciliation of changes in allowance for impairment of receivables. "/>
      </w:tblPr>
      <w:tblGrid>
        <w:gridCol w:w="5665"/>
        <w:gridCol w:w="1701"/>
        <w:gridCol w:w="1650"/>
      </w:tblGrid>
      <w:tr w:rsidR="002A1AFF" w14:paraId="114BFE33" w14:textId="77777777" w:rsidTr="00F11774">
        <w:trPr>
          <w:tblHeader/>
        </w:trPr>
        <w:tc>
          <w:tcPr>
            <w:tcW w:w="5665" w:type="dxa"/>
          </w:tcPr>
          <w:p w14:paraId="62F6803E" w14:textId="77777777" w:rsidR="002A1AFF" w:rsidRDefault="002A1AFF" w:rsidP="002A1AFF">
            <w:pPr>
              <w:rPr>
                <w:b/>
                <w:lang w:val="en-US" w:eastAsia="en-AU"/>
              </w:rPr>
            </w:pPr>
          </w:p>
        </w:tc>
        <w:tc>
          <w:tcPr>
            <w:tcW w:w="1701" w:type="dxa"/>
          </w:tcPr>
          <w:p w14:paraId="25A2B12D" w14:textId="0A0F1A41" w:rsidR="002A1AFF" w:rsidRDefault="002A1AFF" w:rsidP="002A1AFF">
            <w:pPr>
              <w:jc w:val="right"/>
              <w:rPr>
                <w:b/>
                <w:lang w:val="en-US" w:eastAsia="en-AU"/>
              </w:rPr>
            </w:pPr>
            <w:r>
              <w:rPr>
                <w:b/>
              </w:rPr>
              <w:t>2018</w:t>
            </w:r>
            <w:r>
              <w:rPr>
                <w:b/>
              </w:rPr>
              <w:br/>
              <w:t>$000</w:t>
            </w:r>
          </w:p>
        </w:tc>
        <w:tc>
          <w:tcPr>
            <w:tcW w:w="1650" w:type="dxa"/>
          </w:tcPr>
          <w:p w14:paraId="6D73DF57" w14:textId="006EDF1F" w:rsidR="002A1AFF" w:rsidRDefault="002A1AFF" w:rsidP="002A1AFF">
            <w:pPr>
              <w:jc w:val="right"/>
              <w:rPr>
                <w:b/>
                <w:lang w:val="en-US" w:eastAsia="en-AU"/>
              </w:rPr>
            </w:pPr>
            <w:r>
              <w:rPr>
                <w:b/>
              </w:rPr>
              <w:t>2017</w:t>
            </w:r>
            <w:r>
              <w:rPr>
                <w:b/>
              </w:rPr>
              <w:br/>
              <w:t>$000</w:t>
            </w:r>
          </w:p>
        </w:tc>
      </w:tr>
      <w:tr w:rsidR="002A1AFF" w14:paraId="17F46140" w14:textId="77777777" w:rsidTr="002A1AFF">
        <w:tc>
          <w:tcPr>
            <w:tcW w:w="5665" w:type="dxa"/>
            <w:vAlign w:val="bottom"/>
          </w:tcPr>
          <w:p w14:paraId="08919DB3" w14:textId="0CAEA4F1" w:rsidR="002A1AFF" w:rsidRDefault="002A1AFF" w:rsidP="002A1AFF">
            <w:pPr>
              <w:rPr>
                <w:b/>
                <w:lang w:val="en-US" w:eastAsia="en-AU"/>
              </w:rPr>
            </w:pPr>
            <w:r>
              <w:t>Balance at start of period</w:t>
            </w:r>
          </w:p>
        </w:tc>
        <w:tc>
          <w:tcPr>
            <w:tcW w:w="1701" w:type="dxa"/>
            <w:vAlign w:val="bottom"/>
          </w:tcPr>
          <w:p w14:paraId="555B8529" w14:textId="2191F777" w:rsidR="002A1AFF" w:rsidRDefault="002A1AFF" w:rsidP="002A1AFF">
            <w:pPr>
              <w:jc w:val="right"/>
              <w:rPr>
                <w:b/>
                <w:lang w:val="en-US" w:eastAsia="en-AU"/>
              </w:rPr>
            </w:pPr>
            <w:r>
              <w:t xml:space="preserve">                      311 </w:t>
            </w:r>
          </w:p>
        </w:tc>
        <w:tc>
          <w:tcPr>
            <w:tcW w:w="1650" w:type="dxa"/>
            <w:vAlign w:val="bottom"/>
          </w:tcPr>
          <w:p w14:paraId="33106B62" w14:textId="77CF443A" w:rsidR="002A1AFF" w:rsidRDefault="002A1AFF" w:rsidP="002A1AFF">
            <w:pPr>
              <w:jc w:val="right"/>
              <w:rPr>
                <w:b/>
                <w:lang w:val="en-US" w:eastAsia="en-AU"/>
              </w:rPr>
            </w:pPr>
            <w:r>
              <w:t xml:space="preserve">              274 </w:t>
            </w:r>
          </w:p>
        </w:tc>
      </w:tr>
      <w:tr w:rsidR="002A1AFF" w14:paraId="356DFFBE" w14:textId="77777777" w:rsidTr="002A1AFF">
        <w:tc>
          <w:tcPr>
            <w:tcW w:w="5665" w:type="dxa"/>
            <w:vAlign w:val="bottom"/>
          </w:tcPr>
          <w:p w14:paraId="2B63AC17" w14:textId="22FA6A46" w:rsidR="002A1AFF" w:rsidRDefault="002A1AFF" w:rsidP="002A1AFF">
            <w:pPr>
              <w:rPr>
                <w:b/>
                <w:lang w:val="en-US" w:eastAsia="en-AU"/>
              </w:rPr>
            </w:pPr>
            <w:r>
              <w:t>Doubtful debts expense</w:t>
            </w:r>
          </w:p>
        </w:tc>
        <w:tc>
          <w:tcPr>
            <w:tcW w:w="1701" w:type="dxa"/>
            <w:vAlign w:val="bottom"/>
          </w:tcPr>
          <w:p w14:paraId="29CDC5B9" w14:textId="65796785" w:rsidR="002A1AFF" w:rsidRDefault="002A1AFF" w:rsidP="002A1AFF">
            <w:pPr>
              <w:jc w:val="right"/>
              <w:rPr>
                <w:b/>
                <w:lang w:val="en-US" w:eastAsia="en-AU"/>
              </w:rPr>
            </w:pPr>
            <w:r>
              <w:t xml:space="preserve">                        38 </w:t>
            </w:r>
          </w:p>
        </w:tc>
        <w:tc>
          <w:tcPr>
            <w:tcW w:w="1650" w:type="dxa"/>
            <w:vAlign w:val="bottom"/>
          </w:tcPr>
          <w:p w14:paraId="56271C1A" w14:textId="7D853C4B" w:rsidR="002A1AFF" w:rsidRDefault="002A1AFF" w:rsidP="002A1AFF">
            <w:pPr>
              <w:jc w:val="right"/>
              <w:rPr>
                <w:b/>
                <w:lang w:val="en-US" w:eastAsia="en-AU"/>
              </w:rPr>
            </w:pPr>
            <w:r>
              <w:t xml:space="preserve">                63 </w:t>
            </w:r>
          </w:p>
        </w:tc>
      </w:tr>
      <w:tr w:rsidR="002A1AFF" w14:paraId="6FE17008" w14:textId="77777777" w:rsidTr="002A1AFF">
        <w:tc>
          <w:tcPr>
            <w:tcW w:w="5665" w:type="dxa"/>
            <w:vAlign w:val="bottom"/>
          </w:tcPr>
          <w:p w14:paraId="57F8DDE2" w14:textId="7BCBC629" w:rsidR="002A1AFF" w:rsidRDefault="002A1AFF" w:rsidP="002A1AFF">
            <w:pPr>
              <w:rPr>
                <w:b/>
                <w:lang w:val="en-US" w:eastAsia="en-AU"/>
              </w:rPr>
            </w:pPr>
            <w:r>
              <w:t>Amounts written off during the period</w:t>
            </w:r>
          </w:p>
        </w:tc>
        <w:tc>
          <w:tcPr>
            <w:tcW w:w="1701" w:type="dxa"/>
            <w:tcBorders>
              <w:bottom w:val="single" w:sz="4" w:space="0" w:color="auto"/>
            </w:tcBorders>
            <w:vAlign w:val="bottom"/>
          </w:tcPr>
          <w:p w14:paraId="01651A58" w14:textId="7B67076C" w:rsidR="002A1AFF" w:rsidRDefault="002A1AFF" w:rsidP="002A1AFF">
            <w:pPr>
              <w:jc w:val="right"/>
              <w:rPr>
                <w:b/>
                <w:lang w:val="en-US" w:eastAsia="en-AU"/>
              </w:rPr>
            </w:pPr>
            <w:r>
              <w:t xml:space="preserve">                        -   </w:t>
            </w:r>
          </w:p>
        </w:tc>
        <w:tc>
          <w:tcPr>
            <w:tcW w:w="1650" w:type="dxa"/>
            <w:tcBorders>
              <w:bottom w:val="single" w:sz="4" w:space="0" w:color="auto"/>
            </w:tcBorders>
            <w:vAlign w:val="bottom"/>
          </w:tcPr>
          <w:p w14:paraId="1EB06362" w14:textId="3A94B5F1" w:rsidR="002A1AFF" w:rsidRDefault="002A1AFF" w:rsidP="002A1AFF">
            <w:pPr>
              <w:jc w:val="right"/>
              <w:rPr>
                <w:b/>
                <w:lang w:val="en-US" w:eastAsia="en-AU"/>
              </w:rPr>
            </w:pPr>
            <w:r>
              <w:t xml:space="preserve">               (26)</w:t>
            </w:r>
          </w:p>
        </w:tc>
      </w:tr>
      <w:tr w:rsidR="002A1AFF" w14:paraId="44CF1A1A" w14:textId="77777777" w:rsidTr="002A1AFF">
        <w:tc>
          <w:tcPr>
            <w:tcW w:w="5665" w:type="dxa"/>
            <w:vAlign w:val="bottom"/>
          </w:tcPr>
          <w:p w14:paraId="3693C88C" w14:textId="537DFEB7" w:rsidR="002A1AFF" w:rsidRDefault="002A1AFF" w:rsidP="002A1AFF">
            <w:pPr>
              <w:rPr>
                <w:b/>
                <w:lang w:val="en-US" w:eastAsia="en-AU"/>
              </w:rPr>
            </w:pPr>
            <w:r>
              <w:rPr>
                <w:b/>
                <w:bCs/>
              </w:rPr>
              <w:t>Balance at end of period</w:t>
            </w:r>
          </w:p>
        </w:tc>
        <w:tc>
          <w:tcPr>
            <w:tcW w:w="1701" w:type="dxa"/>
            <w:tcBorders>
              <w:top w:val="single" w:sz="4" w:space="0" w:color="auto"/>
              <w:bottom w:val="double" w:sz="4" w:space="0" w:color="auto"/>
            </w:tcBorders>
            <w:vAlign w:val="bottom"/>
          </w:tcPr>
          <w:p w14:paraId="5E8178CD" w14:textId="7614B431" w:rsidR="002A1AFF" w:rsidRDefault="002A1AFF" w:rsidP="002A1AFF">
            <w:pPr>
              <w:jc w:val="right"/>
              <w:rPr>
                <w:b/>
                <w:lang w:val="en-US" w:eastAsia="en-AU"/>
              </w:rPr>
            </w:pPr>
            <w:r>
              <w:rPr>
                <w:b/>
                <w:bCs/>
              </w:rPr>
              <w:t xml:space="preserve">                      349 </w:t>
            </w:r>
          </w:p>
        </w:tc>
        <w:tc>
          <w:tcPr>
            <w:tcW w:w="1650" w:type="dxa"/>
            <w:tcBorders>
              <w:top w:val="single" w:sz="4" w:space="0" w:color="auto"/>
              <w:bottom w:val="double" w:sz="4" w:space="0" w:color="auto"/>
            </w:tcBorders>
            <w:vAlign w:val="bottom"/>
          </w:tcPr>
          <w:p w14:paraId="2804376D" w14:textId="1351AD3F" w:rsidR="002A1AFF" w:rsidRDefault="002A1AFF" w:rsidP="002A1AFF">
            <w:pPr>
              <w:jc w:val="right"/>
              <w:rPr>
                <w:b/>
                <w:lang w:val="en-US" w:eastAsia="en-AU"/>
              </w:rPr>
            </w:pPr>
            <w:r>
              <w:rPr>
                <w:b/>
                <w:bCs/>
              </w:rPr>
              <w:t xml:space="preserve">              311 </w:t>
            </w:r>
          </w:p>
        </w:tc>
      </w:tr>
    </w:tbl>
    <w:p w14:paraId="1FEBC1E4" w14:textId="47B9C80D" w:rsidR="002A1AFF" w:rsidRDefault="00BB4890" w:rsidP="00BB4890">
      <w:pPr>
        <w:rPr>
          <w:lang w:val="en-US" w:eastAsia="en-AU"/>
        </w:rPr>
      </w:pPr>
      <w:r>
        <w:rPr>
          <w:lang w:val="en-US" w:eastAsia="en-AU"/>
        </w:rPr>
        <w:br/>
      </w:r>
      <w:r w:rsidRPr="00BB4890">
        <w:rPr>
          <w:lang w:val="en-US" w:eastAsia="en-AU"/>
        </w:rPr>
        <w:t>The collectability of receivables is reviewed on an ongoing basis and any receivables identified as uncollectible are written-off against the allowance account. The allowance for uncollectible amounts (doubtful debts) is raised when there is objective evidence that the Authority will not be</w:t>
      </w:r>
      <w:r>
        <w:rPr>
          <w:lang w:val="en-US" w:eastAsia="en-AU"/>
        </w:rPr>
        <w:t xml:space="preserve"> able to collect the debts.</w:t>
      </w:r>
    </w:p>
    <w:p w14:paraId="3D3C728A" w14:textId="30A44573" w:rsidR="00BB4890" w:rsidRDefault="000F189E" w:rsidP="00026A6F">
      <w:pPr>
        <w:pStyle w:val="Heading3nonumber"/>
        <w:numPr>
          <w:ilvl w:val="1"/>
          <w:numId w:val="50"/>
        </w:numPr>
        <w:rPr>
          <w:lang w:val="en-US" w:eastAsia="en-AU"/>
        </w:rPr>
      </w:pPr>
      <w:bookmarkStart w:id="790" w:name="_Toc525122186"/>
      <w:r>
        <w:rPr>
          <w:lang w:val="en-US" w:eastAsia="en-AU"/>
        </w:rPr>
        <w:t>Other assets</w:t>
      </w:r>
      <w:bookmarkEnd w:id="790"/>
      <w:r>
        <w:rPr>
          <w:lang w:val="en-US" w:eastAsia="en-AU"/>
        </w:rPr>
        <w:t xml:space="preserve"> </w:t>
      </w:r>
    </w:p>
    <w:p w14:paraId="29D28032" w14:textId="2D34DD56" w:rsidR="000F189E" w:rsidRDefault="0076651A" w:rsidP="0076651A">
      <w:pPr>
        <w:rPr>
          <w:u w:val="single"/>
          <w:lang w:val="en-US" w:eastAsia="en-AU"/>
        </w:rPr>
      </w:pPr>
      <w:r>
        <w:rPr>
          <w:u w:val="single"/>
          <w:lang w:val="en-US" w:eastAsia="en-AU"/>
        </w:rPr>
        <w:t>Current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ther assets"/>
        <w:tblDescription w:val="This table outlines the current other assets for the Authority. "/>
      </w:tblPr>
      <w:tblGrid>
        <w:gridCol w:w="5382"/>
        <w:gridCol w:w="1701"/>
        <w:gridCol w:w="1933"/>
      </w:tblGrid>
      <w:tr w:rsidR="0076651A" w14:paraId="55713D4B" w14:textId="77777777" w:rsidTr="00F11774">
        <w:trPr>
          <w:trHeight w:val="794"/>
          <w:tblHeader/>
        </w:trPr>
        <w:tc>
          <w:tcPr>
            <w:tcW w:w="5382" w:type="dxa"/>
          </w:tcPr>
          <w:p w14:paraId="0BFD3FB3" w14:textId="77777777" w:rsidR="0076651A" w:rsidRDefault="0076651A" w:rsidP="0076651A">
            <w:pPr>
              <w:rPr>
                <w:lang w:val="en-US" w:eastAsia="en-AU"/>
              </w:rPr>
            </w:pPr>
          </w:p>
        </w:tc>
        <w:tc>
          <w:tcPr>
            <w:tcW w:w="1701" w:type="dxa"/>
          </w:tcPr>
          <w:p w14:paraId="0D815C65" w14:textId="5F780D81" w:rsidR="0076651A" w:rsidRDefault="0076651A" w:rsidP="0076651A">
            <w:pPr>
              <w:jc w:val="right"/>
              <w:rPr>
                <w:lang w:val="en-US" w:eastAsia="en-AU"/>
              </w:rPr>
            </w:pPr>
            <w:r>
              <w:rPr>
                <w:b/>
              </w:rPr>
              <w:t>2018</w:t>
            </w:r>
            <w:r>
              <w:rPr>
                <w:b/>
              </w:rPr>
              <w:br/>
              <w:t>$000</w:t>
            </w:r>
          </w:p>
        </w:tc>
        <w:tc>
          <w:tcPr>
            <w:tcW w:w="1933" w:type="dxa"/>
          </w:tcPr>
          <w:p w14:paraId="36C2422B" w14:textId="1BAB0647" w:rsidR="0076651A" w:rsidRDefault="0076651A" w:rsidP="0076651A">
            <w:pPr>
              <w:jc w:val="right"/>
              <w:rPr>
                <w:lang w:val="en-US" w:eastAsia="en-AU"/>
              </w:rPr>
            </w:pPr>
            <w:r>
              <w:rPr>
                <w:b/>
              </w:rPr>
              <w:t>2017</w:t>
            </w:r>
            <w:r>
              <w:rPr>
                <w:b/>
              </w:rPr>
              <w:br/>
              <w:t>$000</w:t>
            </w:r>
          </w:p>
        </w:tc>
      </w:tr>
      <w:tr w:rsidR="0076651A" w14:paraId="1C04CAD1" w14:textId="77777777" w:rsidTr="0076651A">
        <w:tc>
          <w:tcPr>
            <w:tcW w:w="5382" w:type="dxa"/>
          </w:tcPr>
          <w:p w14:paraId="74493FA2" w14:textId="542D05D0" w:rsidR="0076651A" w:rsidRDefault="0076651A" w:rsidP="0076651A">
            <w:pPr>
              <w:jc w:val="both"/>
              <w:rPr>
                <w:lang w:val="en-US" w:eastAsia="en-AU"/>
              </w:rPr>
            </w:pPr>
            <w:r w:rsidRPr="0076651A">
              <w:rPr>
                <w:lang w:val="en-US" w:eastAsia="en-AU"/>
              </w:rPr>
              <w:t>Prepayments</w:t>
            </w:r>
          </w:p>
        </w:tc>
        <w:tc>
          <w:tcPr>
            <w:tcW w:w="1701" w:type="dxa"/>
            <w:tcBorders>
              <w:bottom w:val="single" w:sz="4" w:space="0" w:color="auto"/>
            </w:tcBorders>
            <w:vAlign w:val="bottom"/>
          </w:tcPr>
          <w:p w14:paraId="391B1E71" w14:textId="2BFAF6BF" w:rsidR="0076651A" w:rsidRDefault="0076651A" w:rsidP="0076651A">
            <w:pPr>
              <w:jc w:val="right"/>
              <w:rPr>
                <w:lang w:val="en-US" w:eastAsia="en-AU"/>
              </w:rPr>
            </w:pPr>
            <w:r>
              <w:t xml:space="preserve">                        83 </w:t>
            </w:r>
          </w:p>
        </w:tc>
        <w:tc>
          <w:tcPr>
            <w:tcW w:w="1933" w:type="dxa"/>
            <w:tcBorders>
              <w:bottom w:val="single" w:sz="4" w:space="0" w:color="auto"/>
            </w:tcBorders>
            <w:vAlign w:val="bottom"/>
          </w:tcPr>
          <w:p w14:paraId="606BA0CD" w14:textId="55D8BBE0" w:rsidR="0076651A" w:rsidRDefault="0076651A" w:rsidP="0076651A">
            <w:pPr>
              <w:jc w:val="right"/>
              <w:rPr>
                <w:lang w:val="en-US" w:eastAsia="en-AU"/>
              </w:rPr>
            </w:pPr>
            <w:r>
              <w:t xml:space="preserve">                75 </w:t>
            </w:r>
          </w:p>
        </w:tc>
      </w:tr>
      <w:tr w:rsidR="0076651A" w14:paraId="4D5B2BAC" w14:textId="77777777" w:rsidTr="0076651A">
        <w:tc>
          <w:tcPr>
            <w:tcW w:w="5382" w:type="dxa"/>
          </w:tcPr>
          <w:p w14:paraId="7EE56E71" w14:textId="2BEECC0D" w:rsidR="0076651A" w:rsidRPr="0076651A" w:rsidRDefault="0076651A" w:rsidP="0076651A">
            <w:pPr>
              <w:jc w:val="both"/>
              <w:rPr>
                <w:b/>
                <w:lang w:val="en-US" w:eastAsia="en-AU"/>
              </w:rPr>
            </w:pPr>
            <w:r w:rsidRPr="0076651A">
              <w:rPr>
                <w:b/>
                <w:lang w:val="en-US" w:eastAsia="en-AU"/>
              </w:rPr>
              <w:t>Balance at end of period</w:t>
            </w:r>
          </w:p>
        </w:tc>
        <w:tc>
          <w:tcPr>
            <w:tcW w:w="1701" w:type="dxa"/>
            <w:tcBorders>
              <w:top w:val="single" w:sz="4" w:space="0" w:color="auto"/>
              <w:bottom w:val="double" w:sz="4" w:space="0" w:color="auto"/>
            </w:tcBorders>
            <w:vAlign w:val="bottom"/>
          </w:tcPr>
          <w:p w14:paraId="42CADFEF" w14:textId="62A5B19E" w:rsidR="0076651A" w:rsidRPr="0076651A" w:rsidRDefault="0076651A" w:rsidP="0076651A">
            <w:pPr>
              <w:jc w:val="right"/>
              <w:rPr>
                <w:b/>
                <w:lang w:val="en-US" w:eastAsia="en-AU"/>
              </w:rPr>
            </w:pPr>
            <w:r w:rsidRPr="0076651A">
              <w:rPr>
                <w:b/>
              </w:rPr>
              <w:t xml:space="preserve">                        83 </w:t>
            </w:r>
          </w:p>
        </w:tc>
        <w:tc>
          <w:tcPr>
            <w:tcW w:w="1933" w:type="dxa"/>
            <w:tcBorders>
              <w:top w:val="single" w:sz="4" w:space="0" w:color="auto"/>
              <w:bottom w:val="double" w:sz="4" w:space="0" w:color="auto"/>
            </w:tcBorders>
            <w:vAlign w:val="bottom"/>
          </w:tcPr>
          <w:p w14:paraId="7BFDA977" w14:textId="099BDBBC" w:rsidR="0076651A" w:rsidRPr="0076651A" w:rsidRDefault="0076651A" w:rsidP="0076651A">
            <w:pPr>
              <w:jc w:val="right"/>
              <w:rPr>
                <w:b/>
                <w:lang w:val="en-US" w:eastAsia="en-AU"/>
              </w:rPr>
            </w:pPr>
            <w:r w:rsidRPr="0076651A">
              <w:rPr>
                <w:b/>
              </w:rPr>
              <w:t xml:space="preserve">                75 </w:t>
            </w:r>
          </w:p>
        </w:tc>
      </w:tr>
    </w:tbl>
    <w:p w14:paraId="3EE9DFA0" w14:textId="77777777" w:rsidR="0076651A" w:rsidRDefault="0076651A" w:rsidP="0076651A">
      <w:pPr>
        <w:rPr>
          <w:lang w:val="en-US" w:eastAsia="en-AU"/>
        </w:rPr>
      </w:pPr>
    </w:p>
    <w:p w14:paraId="6FD6F5B8" w14:textId="2C43B639" w:rsidR="0076651A" w:rsidRDefault="0076651A" w:rsidP="0076651A">
      <w:pPr>
        <w:rPr>
          <w:lang w:val="en-US" w:eastAsia="en-AU"/>
        </w:rPr>
      </w:pPr>
      <w:r w:rsidRPr="0076651A">
        <w:rPr>
          <w:lang w:val="en-US" w:eastAsia="en-AU"/>
        </w:rPr>
        <w:t>Other non-financial assets include prepayments which represent payments in advance of receipt of goods or services or that part of expenditure made in one accounting period covering a term ex</w:t>
      </w:r>
      <w:r>
        <w:rPr>
          <w:lang w:val="en-US" w:eastAsia="en-AU"/>
        </w:rPr>
        <w:t>tending beyond that period.</w:t>
      </w:r>
    </w:p>
    <w:p w14:paraId="0395FE26" w14:textId="7F2D919B" w:rsidR="0076651A" w:rsidRDefault="0076651A" w:rsidP="00026A6F">
      <w:pPr>
        <w:pStyle w:val="Heading3nonumber"/>
        <w:numPr>
          <w:ilvl w:val="1"/>
          <w:numId w:val="50"/>
        </w:numPr>
        <w:rPr>
          <w:lang w:val="en-US" w:eastAsia="en-AU"/>
        </w:rPr>
      </w:pPr>
      <w:bookmarkStart w:id="791" w:name="_Toc525122187"/>
      <w:r>
        <w:rPr>
          <w:lang w:val="en-US" w:eastAsia="en-AU"/>
        </w:rPr>
        <w:t>Payables</w:t>
      </w:r>
      <w:bookmarkEnd w:id="791"/>
      <w:r>
        <w:rPr>
          <w:lang w:val="en-US" w:eastAsia="en-AU"/>
        </w:rPr>
        <w:t xml:space="preserve"> </w:t>
      </w:r>
    </w:p>
    <w:p w14:paraId="4825E6C8" w14:textId="77777777" w:rsidR="008160F0" w:rsidRDefault="008160F0" w:rsidP="008160F0">
      <w:pPr>
        <w:rPr>
          <w:u w:val="single"/>
        </w:rPr>
      </w:pPr>
      <w:r>
        <w:rPr>
          <w:u w:val="single"/>
        </w:rPr>
        <w:t>Current</w:t>
      </w:r>
    </w:p>
    <w:p w14:paraId="71135ECF" w14:textId="77777777" w:rsidR="008160F0" w:rsidRDefault="008160F0" w:rsidP="008160F0">
      <w:pPr>
        <w:rPr>
          <w:u w:val="single"/>
        </w:rPr>
      </w:pPr>
      <w:r>
        <w:rPr>
          <w:u w:val="single"/>
        </w:rPr>
        <w:t>General Account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ayables"/>
        <w:tblDescription w:val="This table outlines current payables on the General Account. "/>
      </w:tblPr>
      <w:tblGrid>
        <w:gridCol w:w="5382"/>
        <w:gridCol w:w="1701"/>
        <w:gridCol w:w="1933"/>
      </w:tblGrid>
      <w:tr w:rsidR="008160F0" w14:paraId="7D693D75" w14:textId="77777777" w:rsidTr="008160F0">
        <w:trPr>
          <w:tblHeader/>
        </w:trPr>
        <w:tc>
          <w:tcPr>
            <w:tcW w:w="5382" w:type="dxa"/>
          </w:tcPr>
          <w:p w14:paraId="0F290CC2" w14:textId="77777777" w:rsidR="008160F0" w:rsidRPr="000705FD" w:rsidRDefault="008160F0" w:rsidP="00F61E4A"/>
        </w:tc>
        <w:tc>
          <w:tcPr>
            <w:tcW w:w="1701" w:type="dxa"/>
            <w:tcBorders>
              <w:bottom w:val="single" w:sz="12" w:space="0" w:color="auto"/>
            </w:tcBorders>
          </w:tcPr>
          <w:p w14:paraId="34DB3523" w14:textId="77777777" w:rsidR="008160F0" w:rsidRDefault="008160F0" w:rsidP="00F61E4A">
            <w:pPr>
              <w:jc w:val="right"/>
            </w:pPr>
            <w:r>
              <w:rPr>
                <w:b/>
              </w:rPr>
              <w:t>2018</w:t>
            </w:r>
            <w:r>
              <w:rPr>
                <w:b/>
              </w:rPr>
              <w:br/>
              <w:t>$000</w:t>
            </w:r>
          </w:p>
        </w:tc>
        <w:tc>
          <w:tcPr>
            <w:tcW w:w="1933" w:type="dxa"/>
            <w:tcBorders>
              <w:bottom w:val="single" w:sz="12" w:space="0" w:color="auto"/>
            </w:tcBorders>
          </w:tcPr>
          <w:p w14:paraId="58923E34" w14:textId="77777777" w:rsidR="008160F0" w:rsidRDefault="008160F0" w:rsidP="00F61E4A">
            <w:pPr>
              <w:jc w:val="right"/>
            </w:pPr>
            <w:r>
              <w:rPr>
                <w:b/>
              </w:rPr>
              <w:t>2017</w:t>
            </w:r>
            <w:r>
              <w:rPr>
                <w:b/>
              </w:rPr>
              <w:br/>
              <w:t>$000</w:t>
            </w:r>
          </w:p>
        </w:tc>
      </w:tr>
      <w:tr w:rsidR="008160F0" w14:paraId="0953C09E" w14:textId="77777777" w:rsidTr="008160F0">
        <w:tc>
          <w:tcPr>
            <w:tcW w:w="5382" w:type="dxa"/>
            <w:vAlign w:val="bottom"/>
          </w:tcPr>
          <w:p w14:paraId="4967B946" w14:textId="12E2DFC6" w:rsidR="008160F0" w:rsidRDefault="008160F0" w:rsidP="008160F0">
            <w:pPr>
              <w:rPr>
                <w:u w:val="single"/>
              </w:rPr>
            </w:pPr>
            <w:r>
              <w:t>Trade payables</w:t>
            </w:r>
          </w:p>
        </w:tc>
        <w:tc>
          <w:tcPr>
            <w:tcW w:w="1701" w:type="dxa"/>
            <w:tcBorders>
              <w:top w:val="single" w:sz="12" w:space="0" w:color="auto"/>
            </w:tcBorders>
            <w:vAlign w:val="bottom"/>
          </w:tcPr>
          <w:p w14:paraId="2B3B915E" w14:textId="2F6840BD" w:rsidR="008160F0" w:rsidRDefault="008160F0" w:rsidP="008160F0">
            <w:pPr>
              <w:jc w:val="right"/>
              <w:rPr>
                <w:u w:val="single"/>
              </w:rPr>
            </w:pPr>
            <w:r>
              <w:t xml:space="preserve">                        83 </w:t>
            </w:r>
          </w:p>
        </w:tc>
        <w:tc>
          <w:tcPr>
            <w:tcW w:w="1933" w:type="dxa"/>
            <w:tcBorders>
              <w:top w:val="single" w:sz="12" w:space="0" w:color="auto"/>
            </w:tcBorders>
            <w:vAlign w:val="bottom"/>
          </w:tcPr>
          <w:p w14:paraId="27447BF2" w14:textId="4D886ED2" w:rsidR="008160F0" w:rsidRDefault="008160F0" w:rsidP="008160F0">
            <w:pPr>
              <w:jc w:val="right"/>
              <w:rPr>
                <w:u w:val="single"/>
              </w:rPr>
            </w:pPr>
            <w:r>
              <w:t xml:space="preserve">              177 </w:t>
            </w:r>
          </w:p>
        </w:tc>
      </w:tr>
      <w:tr w:rsidR="008160F0" w14:paraId="27A068E1" w14:textId="77777777" w:rsidTr="00F61E4A">
        <w:tc>
          <w:tcPr>
            <w:tcW w:w="5382" w:type="dxa"/>
            <w:vAlign w:val="bottom"/>
          </w:tcPr>
          <w:p w14:paraId="7ADF4481" w14:textId="24AF5B97" w:rsidR="008160F0" w:rsidRDefault="008160F0" w:rsidP="008160F0">
            <w:pPr>
              <w:rPr>
                <w:u w:val="single"/>
              </w:rPr>
            </w:pPr>
            <w:r>
              <w:t>Accrued expenses</w:t>
            </w:r>
          </w:p>
        </w:tc>
        <w:tc>
          <w:tcPr>
            <w:tcW w:w="1701" w:type="dxa"/>
            <w:vAlign w:val="bottom"/>
          </w:tcPr>
          <w:p w14:paraId="6253FC1A" w14:textId="0610582B" w:rsidR="008160F0" w:rsidRDefault="008160F0" w:rsidP="008160F0">
            <w:pPr>
              <w:jc w:val="right"/>
              <w:rPr>
                <w:u w:val="single"/>
              </w:rPr>
            </w:pPr>
            <w:r>
              <w:t xml:space="preserve">                      425 </w:t>
            </w:r>
          </w:p>
        </w:tc>
        <w:tc>
          <w:tcPr>
            <w:tcW w:w="1933" w:type="dxa"/>
            <w:vAlign w:val="bottom"/>
          </w:tcPr>
          <w:p w14:paraId="4AFB595F" w14:textId="3C130FFC" w:rsidR="008160F0" w:rsidRDefault="008160F0" w:rsidP="008160F0">
            <w:pPr>
              <w:jc w:val="right"/>
              <w:rPr>
                <w:u w:val="single"/>
              </w:rPr>
            </w:pPr>
            <w:r>
              <w:t xml:space="preserve">              354 </w:t>
            </w:r>
          </w:p>
        </w:tc>
      </w:tr>
      <w:tr w:rsidR="008160F0" w14:paraId="05347755" w14:textId="77777777" w:rsidTr="00F61E4A">
        <w:tc>
          <w:tcPr>
            <w:tcW w:w="5382" w:type="dxa"/>
            <w:vAlign w:val="bottom"/>
          </w:tcPr>
          <w:p w14:paraId="33016600" w14:textId="76596D38" w:rsidR="008160F0" w:rsidRDefault="008160F0" w:rsidP="008160F0">
            <w:pPr>
              <w:rPr>
                <w:u w:val="single"/>
              </w:rPr>
            </w:pPr>
            <w:r>
              <w:t>Accrued salaries</w:t>
            </w:r>
          </w:p>
        </w:tc>
        <w:tc>
          <w:tcPr>
            <w:tcW w:w="1701" w:type="dxa"/>
            <w:vAlign w:val="bottom"/>
          </w:tcPr>
          <w:p w14:paraId="57B2CF69" w14:textId="42591063" w:rsidR="008160F0" w:rsidRDefault="008160F0" w:rsidP="008160F0">
            <w:pPr>
              <w:jc w:val="right"/>
              <w:rPr>
                <w:u w:val="single"/>
              </w:rPr>
            </w:pPr>
            <w:r>
              <w:t xml:space="preserve">                      692 </w:t>
            </w:r>
          </w:p>
        </w:tc>
        <w:tc>
          <w:tcPr>
            <w:tcW w:w="1933" w:type="dxa"/>
            <w:vAlign w:val="bottom"/>
          </w:tcPr>
          <w:p w14:paraId="01CBDEF1" w14:textId="6DD677A2" w:rsidR="008160F0" w:rsidRDefault="008160F0" w:rsidP="008160F0">
            <w:pPr>
              <w:jc w:val="right"/>
              <w:rPr>
                <w:u w:val="single"/>
              </w:rPr>
            </w:pPr>
            <w:r>
              <w:t xml:space="preserve">              143 </w:t>
            </w:r>
          </w:p>
        </w:tc>
      </w:tr>
      <w:tr w:rsidR="008160F0" w14:paraId="2A5DC49B" w14:textId="77777777" w:rsidTr="00F61E4A">
        <w:tc>
          <w:tcPr>
            <w:tcW w:w="5382" w:type="dxa"/>
            <w:vAlign w:val="bottom"/>
          </w:tcPr>
          <w:p w14:paraId="5397C522" w14:textId="5FBFF47A" w:rsidR="008160F0" w:rsidRDefault="008160F0" w:rsidP="008160F0">
            <w:pPr>
              <w:rPr>
                <w:u w:val="single"/>
              </w:rPr>
            </w:pPr>
            <w:r>
              <w:t>Other payables</w:t>
            </w:r>
          </w:p>
        </w:tc>
        <w:tc>
          <w:tcPr>
            <w:tcW w:w="1701" w:type="dxa"/>
            <w:vAlign w:val="bottom"/>
          </w:tcPr>
          <w:p w14:paraId="007292C8" w14:textId="57B8819A" w:rsidR="008160F0" w:rsidRDefault="008160F0" w:rsidP="008160F0">
            <w:pPr>
              <w:jc w:val="right"/>
              <w:rPr>
                <w:u w:val="single"/>
              </w:rPr>
            </w:pPr>
            <w:r>
              <w:t xml:space="preserve">                      113 </w:t>
            </w:r>
          </w:p>
        </w:tc>
        <w:tc>
          <w:tcPr>
            <w:tcW w:w="1933" w:type="dxa"/>
            <w:vAlign w:val="bottom"/>
          </w:tcPr>
          <w:p w14:paraId="4675A593" w14:textId="5C50E59B" w:rsidR="008160F0" w:rsidRDefault="008160F0" w:rsidP="008160F0">
            <w:pPr>
              <w:jc w:val="right"/>
              <w:rPr>
                <w:u w:val="single"/>
              </w:rPr>
            </w:pPr>
            <w:r>
              <w:t xml:space="preserve">                26 </w:t>
            </w:r>
          </w:p>
        </w:tc>
      </w:tr>
      <w:tr w:rsidR="008160F0" w14:paraId="06C855FE" w14:textId="77777777" w:rsidTr="00F61E4A">
        <w:tc>
          <w:tcPr>
            <w:tcW w:w="9016" w:type="dxa"/>
            <w:gridSpan w:val="3"/>
          </w:tcPr>
          <w:p w14:paraId="706250F2" w14:textId="460442DD" w:rsidR="008160F0" w:rsidRDefault="008160F0" w:rsidP="008160F0">
            <w:pPr>
              <w:rPr>
                <w:u w:val="single"/>
              </w:rPr>
            </w:pPr>
            <w:r w:rsidRPr="008160F0">
              <w:rPr>
                <w:u w:val="single"/>
              </w:rPr>
              <w:t>Employers' Indemnity Supplementation Fund (see note 4.3b)</w:t>
            </w:r>
          </w:p>
        </w:tc>
      </w:tr>
      <w:tr w:rsidR="008160F0" w14:paraId="761DC9D7" w14:textId="77777777" w:rsidTr="008160F0">
        <w:tc>
          <w:tcPr>
            <w:tcW w:w="5382" w:type="dxa"/>
          </w:tcPr>
          <w:p w14:paraId="59B2205E" w14:textId="63588634" w:rsidR="008160F0" w:rsidRPr="008160F0" w:rsidRDefault="008160F0" w:rsidP="008160F0">
            <w:pPr>
              <w:rPr>
                <w:lang w:eastAsia="en-AU"/>
              </w:rPr>
            </w:pPr>
            <w:r>
              <w:t>Claim payments</w:t>
            </w:r>
          </w:p>
        </w:tc>
        <w:tc>
          <w:tcPr>
            <w:tcW w:w="1701" w:type="dxa"/>
            <w:tcBorders>
              <w:bottom w:val="single" w:sz="4" w:space="0" w:color="auto"/>
            </w:tcBorders>
            <w:vAlign w:val="bottom"/>
          </w:tcPr>
          <w:p w14:paraId="2190A711" w14:textId="27AFE5E8" w:rsidR="008160F0" w:rsidRDefault="008160F0" w:rsidP="008160F0">
            <w:pPr>
              <w:jc w:val="right"/>
              <w:rPr>
                <w:u w:val="single"/>
              </w:rPr>
            </w:pPr>
            <w:r>
              <w:t xml:space="preserve">                        27 </w:t>
            </w:r>
          </w:p>
        </w:tc>
        <w:tc>
          <w:tcPr>
            <w:tcW w:w="1933" w:type="dxa"/>
            <w:tcBorders>
              <w:bottom w:val="single" w:sz="4" w:space="0" w:color="auto"/>
            </w:tcBorders>
            <w:vAlign w:val="bottom"/>
          </w:tcPr>
          <w:p w14:paraId="456606C0" w14:textId="2213AE9B" w:rsidR="008160F0" w:rsidRDefault="008160F0" w:rsidP="008160F0">
            <w:pPr>
              <w:jc w:val="right"/>
              <w:rPr>
                <w:u w:val="single"/>
              </w:rPr>
            </w:pPr>
            <w:r>
              <w:t xml:space="preserve">              104 </w:t>
            </w:r>
          </w:p>
        </w:tc>
      </w:tr>
      <w:tr w:rsidR="008160F0" w14:paraId="08679353" w14:textId="77777777" w:rsidTr="008160F0">
        <w:tc>
          <w:tcPr>
            <w:tcW w:w="5382" w:type="dxa"/>
          </w:tcPr>
          <w:p w14:paraId="0988C1DE" w14:textId="77777777" w:rsidR="008160F0" w:rsidRDefault="008160F0" w:rsidP="008160F0"/>
        </w:tc>
        <w:tc>
          <w:tcPr>
            <w:tcW w:w="1701" w:type="dxa"/>
            <w:tcBorders>
              <w:top w:val="single" w:sz="4" w:space="0" w:color="auto"/>
              <w:bottom w:val="double" w:sz="4" w:space="0" w:color="auto"/>
            </w:tcBorders>
            <w:vAlign w:val="bottom"/>
          </w:tcPr>
          <w:p w14:paraId="5E820B4F" w14:textId="35788391" w:rsidR="008160F0" w:rsidRPr="008160F0" w:rsidRDefault="008160F0" w:rsidP="008160F0">
            <w:pPr>
              <w:jc w:val="right"/>
              <w:rPr>
                <w:b/>
              </w:rPr>
            </w:pPr>
            <w:r w:rsidRPr="008160F0">
              <w:rPr>
                <w:b/>
              </w:rPr>
              <w:t xml:space="preserve">                   1,340 </w:t>
            </w:r>
          </w:p>
        </w:tc>
        <w:tc>
          <w:tcPr>
            <w:tcW w:w="1933" w:type="dxa"/>
            <w:tcBorders>
              <w:top w:val="single" w:sz="4" w:space="0" w:color="auto"/>
              <w:bottom w:val="double" w:sz="4" w:space="0" w:color="auto"/>
            </w:tcBorders>
            <w:vAlign w:val="bottom"/>
          </w:tcPr>
          <w:p w14:paraId="3DF8AF3D" w14:textId="6B5C16D5" w:rsidR="008160F0" w:rsidRPr="008160F0" w:rsidRDefault="008160F0" w:rsidP="008160F0">
            <w:pPr>
              <w:jc w:val="right"/>
              <w:rPr>
                <w:b/>
              </w:rPr>
            </w:pPr>
            <w:r w:rsidRPr="008160F0">
              <w:rPr>
                <w:b/>
              </w:rPr>
              <w:t xml:space="preserve">              804 </w:t>
            </w:r>
          </w:p>
        </w:tc>
      </w:tr>
    </w:tbl>
    <w:p w14:paraId="3CB267F2" w14:textId="77777777" w:rsidR="0076651A" w:rsidRDefault="0076651A" w:rsidP="0076651A">
      <w:pPr>
        <w:rPr>
          <w:lang w:val="en-US" w:eastAsia="en-AU"/>
        </w:rPr>
      </w:pPr>
    </w:p>
    <w:p w14:paraId="6D29C9B4" w14:textId="77777777" w:rsidR="008160F0" w:rsidRDefault="008160F0" w:rsidP="008160F0">
      <w:pPr>
        <w:rPr>
          <w:lang w:eastAsia="en-AU"/>
        </w:rPr>
      </w:pPr>
      <w:r w:rsidRPr="008160F0">
        <w:rPr>
          <w:lang w:eastAsia="en-AU"/>
        </w:rPr>
        <w:t>Payables are recognised at the amounts payable when the Authority becomes obliged to make future payments as a result of a purchase of assets or services. The carrying amount is equivalent to fair value, as settlement is generally within 30 days.</w:t>
      </w:r>
    </w:p>
    <w:p w14:paraId="4BD526BD" w14:textId="77777777" w:rsidR="008160F0" w:rsidRDefault="008160F0" w:rsidP="008160F0">
      <w:pPr>
        <w:rPr>
          <w:lang w:eastAsia="en-AU"/>
        </w:rPr>
      </w:pPr>
      <w:r w:rsidRPr="008160F0">
        <w:rPr>
          <w:lang w:eastAsia="en-AU"/>
        </w:rPr>
        <w:t>Accrued salaries represent the amount due to staff but unpaid at the end of the reporting period. Accrued salaries are settled within a fortnight of the reporting period end. The Authority considers the carrying amount of accrued salaries to be equivalent to its fair value.</w:t>
      </w:r>
    </w:p>
    <w:p w14:paraId="4B3BFEEB" w14:textId="4526F40B" w:rsidR="008160F0" w:rsidRDefault="008160F0" w:rsidP="00026A6F">
      <w:pPr>
        <w:pStyle w:val="Heading2nonumber"/>
        <w:numPr>
          <w:ilvl w:val="0"/>
          <w:numId w:val="50"/>
        </w:numPr>
        <w:rPr>
          <w:lang w:eastAsia="en-AU"/>
        </w:rPr>
      </w:pPr>
      <w:bookmarkStart w:id="792" w:name="_Toc525122188"/>
      <w:r>
        <w:rPr>
          <w:lang w:eastAsia="en-AU"/>
        </w:rPr>
        <w:t>Financing</w:t>
      </w:r>
      <w:bookmarkEnd w:id="792"/>
      <w:r>
        <w:rPr>
          <w:lang w:eastAsia="en-AU"/>
        </w:rPr>
        <w:t xml:space="preserve"> </w:t>
      </w:r>
    </w:p>
    <w:p w14:paraId="3637C336" w14:textId="77777777" w:rsidR="008160F0" w:rsidRDefault="008160F0" w:rsidP="008160F0">
      <w:pPr>
        <w:rPr>
          <w:lang w:eastAsia="en-AU"/>
        </w:rPr>
      </w:pPr>
      <w:r w:rsidRPr="008160F0">
        <w:rPr>
          <w:lang w:eastAsia="en-AU"/>
        </w:rPr>
        <w:t>This section sets out the material balances and disclosures associated with the financing and cashflows of the Authority.</w:t>
      </w:r>
    </w:p>
    <w:p w14:paraId="1448C4DD" w14:textId="46B50862" w:rsidR="008160F0" w:rsidRDefault="008160F0">
      <w:pPr>
        <w:keepLines w:val="0"/>
        <w:spacing w:after="0" w:line="240" w:lineRule="auto"/>
        <w:rPr>
          <w:lang w:eastAsia="en-AU"/>
        </w:rPr>
      </w:pPr>
      <w:r>
        <w:rPr>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utline of section"/>
        <w:tblDescription w:val="This table outlines the various disclosures for the section. "/>
      </w:tblPr>
      <w:tblGrid>
        <w:gridCol w:w="4508"/>
        <w:gridCol w:w="4508"/>
      </w:tblGrid>
      <w:tr w:rsidR="007C5E61" w14:paraId="6E3CDEE2" w14:textId="77777777" w:rsidTr="00F11774">
        <w:trPr>
          <w:tblHeader/>
        </w:trPr>
        <w:tc>
          <w:tcPr>
            <w:tcW w:w="4508" w:type="dxa"/>
          </w:tcPr>
          <w:p w14:paraId="4A382BA8" w14:textId="77777777" w:rsidR="007C5E61" w:rsidRDefault="007C5E61" w:rsidP="008160F0">
            <w:pPr>
              <w:rPr>
                <w:lang w:eastAsia="en-AU"/>
              </w:rPr>
            </w:pPr>
          </w:p>
        </w:tc>
        <w:tc>
          <w:tcPr>
            <w:tcW w:w="4508" w:type="dxa"/>
          </w:tcPr>
          <w:p w14:paraId="67EF9BE7" w14:textId="6969BB57" w:rsidR="007C5E61" w:rsidRDefault="007C5E61" w:rsidP="007C5E61">
            <w:pPr>
              <w:jc w:val="center"/>
              <w:rPr>
                <w:lang w:eastAsia="en-AU"/>
              </w:rPr>
            </w:pPr>
            <w:r>
              <w:rPr>
                <w:lang w:eastAsia="en-AU"/>
              </w:rPr>
              <w:t>Notes</w:t>
            </w:r>
          </w:p>
        </w:tc>
      </w:tr>
      <w:tr w:rsidR="007C5E61" w14:paraId="08878EAF" w14:textId="77777777" w:rsidTr="007C5E61">
        <w:tc>
          <w:tcPr>
            <w:tcW w:w="4508" w:type="dxa"/>
            <w:vAlign w:val="bottom"/>
          </w:tcPr>
          <w:p w14:paraId="303F6882" w14:textId="32F07EFD" w:rsidR="007C5E61" w:rsidRDefault="007C5E61" w:rsidP="007C5E61">
            <w:pPr>
              <w:rPr>
                <w:lang w:eastAsia="en-AU"/>
              </w:rPr>
            </w:pPr>
            <w:r>
              <w:t>Cash and cash equivalents</w:t>
            </w:r>
          </w:p>
        </w:tc>
        <w:tc>
          <w:tcPr>
            <w:tcW w:w="4508" w:type="dxa"/>
            <w:vAlign w:val="bottom"/>
          </w:tcPr>
          <w:p w14:paraId="0B9905FE" w14:textId="60797562" w:rsidR="007C5E61" w:rsidRDefault="007C5E61" w:rsidP="007C5E61">
            <w:pPr>
              <w:jc w:val="center"/>
              <w:rPr>
                <w:lang w:eastAsia="en-AU"/>
              </w:rPr>
            </w:pPr>
            <w:r>
              <w:t>7.1</w:t>
            </w:r>
          </w:p>
        </w:tc>
      </w:tr>
      <w:tr w:rsidR="007C5E61" w14:paraId="7C23C2EC" w14:textId="77777777" w:rsidTr="007C5E61">
        <w:tc>
          <w:tcPr>
            <w:tcW w:w="4508" w:type="dxa"/>
            <w:vAlign w:val="bottom"/>
          </w:tcPr>
          <w:p w14:paraId="537985E5" w14:textId="4F447D76" w:rsidR="007C5E61" w:rsidRDefault="007C5E61" w:rsidP="007C5E61">
            <w:pPr>
              <w:rPr>
                <w:lang w:eastAsia="en-AU"/>
              </w:rPr>
            </w:pPr>
            <w:r>
              <w:t>Reconciliation of cash</w:t>
            </w:r>
          </w:p>
        </w:tc>
        <w:tc>
          <w:tcPr>
            <w:tcW w:w="4508" w:type="dxa"/>
            <w:vAlign w:val="bottom"/>
          </w:tcPr>
          <w:p w14:paraId="7812967A" w14:textId="2E9907E5" w:rsidR="007C5E61" w:rsidRDefault="007C5E61" w:rsidP="007C5E61">
            <w:pPr>
              <w:jc w:val="center"/>
              <w:rPr>
                <w:lang w:eastAsia="en-AU"/>
              </w:rPr>
            </w:pPr>
            <w:r>
              <w:t>7.1.1</w:t>
            </w:r>
          </w:p>
        </w:tc>
      </w:tr>
      <w:tr w:rsidR="007C5E61" w14:paraId="6E650C3F" w14:textId="77777777" w:rsidTr="007C5E61">
        <w:tc>
          <w:tcPr>
            <w:tcW w:w="4508" w:type="dxa"/>
            <w:vAlign w:val="bottom"/>
          </w:tcPr>
          <w:p w14:paraId="02F9DAA3" w14:textId="118DF1A2" w:rsidR="007C5E61" w:rsidRDefault="007C5E61" w:rsidP="007C5E61">
            <w:pPr>
              <w:rPr>
                <w:lang w:eastAsia="en-AU"/>
              </w:rPr>
            </w:pPr>
            <w:r>
              <w:t>Reconciliation of operating activities</w:t>
            </w:r>
          </w:p>
        </w:tc>
        <w:tc>
          <w:tcPr>
            <w:tcW w:w="4508" w:type="dxa"/>
            <w:vAlign w:val="bottom"/>
          </w:tcPr>
          <w:p w14:paraId="46455F47" w14:textId="3FD0A71F" w:rsidR="007C5E61" w:rsidRDefault="007C5E61" w:rsidP="007C5E61">
            <w:pPr>
              <w:jc w:val="center"/>
              <w:rPr>
                <w:lang w:eastAsia="en-AU"/>
              </w:rPr>
            </w:pPr>
            <w:r>
              <w:t>7.1.2</w:t>
            </w:r>
          </w:p>
        </w:tc>
      </w:tr>
      <w:tr w:rsidR="007C5E61" w14:paraId="41D05AA0" w14:textId="77777777" w:rsidTr="007C5E61">
        <w:tc>
          <w:tcPr>
            <w:tcW w:w="4508" w:type="dxa"/>
            <w:vAlign w:val="bottom"/>
          </w:tcPr>
          <w:p w14:paraId="3593BB7B" w14:textId="0D7B9E8F" w:rsidR="007C5E61" w:rsidRDefault="007C5E61" w:rsidP="007C5E61">
            <w:pPr>
              <w:rPr>
                <w:lang w:eastAsia="en-AU"/>
              </w:rPr>
            </w:pPr>
            <w:r>
              <w:t>Other financial assets</w:t>
            </w:r>
          </w:p>
        </w:tc>
        <w:tc>
          <w:tcPr>
            <w:tcW w:w="4508" w:type="dxa"/>
            <w:vAlign w:val="bottom"/>
          </w:tcPr>
          <w:p w14:paraId="7F8C3B6A" w14:textId="42A81C50" w:rsidR="007C5E61" w:rsidRDefault="007C5E61" w:rsidP="007C5E61">
            <w:pPr>
              <w:jc w:val="center"/>
              <w:rPr>
                <w:lang w:eastAsia="en-AU"/>
              </w:rPr>
            </w:pPr>
            <w:r>
              <w:t>7.2</w:t>
            </w:r>
          </w:p>
        </w:tc>
      </w:tr>
      <w:tr w:rsidR="007C5E61" w14:paraId="251D2038" w14:textId="77777777" w:rsidTr="007C5E61">
        <w:tc>
          <w:tcPr>
            <w:tcW w:w="4508" w:type="dxa"/>
            <w:vAlign w:val="bottom"/>
          </w:tcPr>
          <w:p w14:paraId="7131958C" w14:textId="5A7E8B18" w:rsidR="007C5E61" w:rsidRDefault="007C5E61" w:rsidP="007C5E61">
            <w:pPr>
              <w:rPr>
                <w:lang w:eastAsia="en-AU"/>
              </w:rPr>
            </w:pPr>
            <w:r>
              <w:t>Commitments</w:t>
            </w:r>
          </w:p>
        </w:tc>
        <w:tc>
          <w:tcPr>
            <w:tcW w:w="4508" w:type="dxa"/>
            <w:vAlign w:val="bottom"/>
          </w:tcPr>
          <w:p w14:paraId="16430B81" w14:textId="465310EA" w:rsidR="007C5E61" w:rsidRDefault="007C5E61" w:rsidP="007C5E61">
            <w:pPr>
              <w:jc w:val="center"/>
              <w:rPr>
                <w:lang w:eastAsia="en-AU"/>
              </w:rPr>
            </w:pPr>
            <w:r>
              <w:t>7.3</w:t>
            </w:r>
          </w:p>
        </w:tc>
      </w:tr>
    </w:tbl>
    <w:p w14:paraId="2A0F76FD" w14:textId="39281C80" w:rsidR="008160F0" w:rsidRDefault="007C5E61" w:rsidP="007C5E61">
      <w:pPr>
        <w:pStyle w:val="Heading3nonumber"/>
        <w:rPr>
          <w:lang w:eastAsia="en-AU"/>
        </w:rPr>
      </w:pPr>
      <w:r>
        <w:rPr>
          <w:lang w:eastAsia="en-AU"/>
        </w:rPr>
        <w:br/>
      </w:r>
      <w:bookmarkStart w:id="793" w:name="_Toc525122189"/>
      <w:r>
        <w:rPr>
          <w:lang w:eastAsia="en-AU"/>
        </w:rPr>
        <w:t>7.1 Cash and cash equivalents</w:t>
      </w:r>
      <w:bookmarkEnd w:id="793"/>
      <w:r>
        <w:rPr>
          <w:lang w:eastAsia="en-AU"/>
        </w:rPr>
        <w:t xml:space="preserve"> </w:t>
      </w:r>
    </w:p>
    <w:p w14:paraId="76D3DF3D" w14:textId="720EE1FA" w:rsidR="007C5E61" w:rsidRDefault="007C5E61" w:rsidP="00026A6F">
      <w:pPr>
        <w:pStyle w:val="Heading4"/>
        <w:numPr>
          <w:ilvl w:val="2"/>
          <w:numId w:val="50"/>
        </w:numPr>
      </w:pPr>
      <w:r>
        <w:t xml:space="preserve">Reconciliation of cash </w:t>
      </w:r>
    </w:p>
    <w:p w14:paraId="5952E61D" w14:textId="6ADD2F13" w:rsidR="007C5E61" w:rsidRDefault="007C5E61" w:rsidP="007C5E61">
      <w:pPr>
        <w:rPr>
          <w:lang w:val="en-US" w:eastAsia="en-AU"/>
        </w:rPr>
      </w:pPr>
      <w:r w:rsidRPr="007C5E61">
        <w:rPr>
          <w:lang w:val="en-US" w:eastAsia="en-AU"/>
        </w:rPr>
        <w:t>Cash at the end of the reporting period as shown in the Statement of Cash Flows is reconciled to the related items in the Statement of Fin</w:t>
      </w:r>
      <w:r>
        <w:rPr>
          <w:lang w:val="en-US" w:eastAsia="en-AU"/>
        </w:rPr>
        <w:t>ancial Position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econciliation of cash"/>
        <w:tblDescription w:val="This table outlines the reconciliation of cash for the reporting period. "/>
      </w:tblPr>
      <w:tblGrid>
        <w:gridCol w:w="4390"/>
        <w:gridCol w:w="992"/>
        <w:gridCol w:w="1843"/>
        <w:gridCol w:w="1791"/>
      </w:tblGrid>
      <w:tr w:rsidR="007C5E61" w14:paraId="1009ED69" w14:textId="77777777" w:rsidTr="00F11774">
        <w:trPr>
          <w:tblHeader/>
        </w:trPr>
        <w:tc>
          <w:tcPr>
            <w:tcW w:w="4390" w:type="dxa"/>
          </w:tcPr>
          <w:p w14:paraId="3CE6DB07" w14:textId="77777777" w:rsidR="007C5E61" w:rsidRDefault="007C5E61" w:rsidP="007C5E61">
            <w:pPr>
              <w:rPr>
                <w:lang w:val="en-US" w:eastAsia="en-AU"/>
              </w:rPr>
            </w:pPr>
          </w:p>
        </w:tc>
        <w:tc>
          <w:tcPr>
            <w:tcW w:w="992" w:type="dxa"/>
          </w:tcPr>
          <w:p w14:paraId="7F6D6053" w14:textId="77777777" w:rsidR="007C5E61" w:rsidRDefault="007C5E61" w:rsidP="007C5E61">
            <w:pPr>
              <w:rPr>
                <w:lang w:val="en-US" w:eastAsia="en-AU"/>
              </w:rPr>
            </w:pPr>
          </w:p>
        </w:tc>
        <w:tc>
          <w:tcPr>
            <w:tcW w:w="1843" w:type="dxa"/>
          </w:tcPr>
          <w:p w14:paraId="2215469E" w14:textId="4A8DA645" w:rsidR="007C5E61" w:rsidRPr="007C5E61" w:rsidRDefault="007C5E61" w:rsidP="007C5E61">
            <w:pPr>
              <w:jc w:val="right"/>
              <w:rPr>
                <w:b/>
                <w:lang w:val="en-US" w:eastAsia="en-AU"/>
              </w:rPr>
            </w:pPr>
            <w:r>
              <w:rPr>
                <w:b/>
                <w:lang w:val="en-US" w:eastAsia="en-AU"/>
              </w:rPr>
              <w:t>2018</w:t>
            </w:r>
            <w:r>
              <w:rPr>
                <w:b/>
                <w:lang w:val="en-US" w:eastAsia="en-AU"/>
              </w:rPr>
              <w:br/>
              <w:t>$000</w:t>
            </w:r>
          </w:p>
        </w:tc>
        <w:tc>
          <w:tcPr>
            <w:tcW w:w="1791" w:type="dxa"/>
          </w:tcPr>
          <w:p w14:paraId="2542D59F" w14:textId="373080C8" w:rsidR="007C5E61" w:rsidRPr="007C5E61" w:rsidRDefault="007C5E61" w:rsidP="007C5E61">
            <w:pPr>
              <w:jc w:val="right"/>
              <w:rPr>
                <w:b/>
                <w:lang w:val="en-US" w:eastAsia="en-AU"/>
              </w:rPr>
            </w:pPr>
            <w:r>
              <w:rPr>
                <w:b/>
                <w:lang w:val="en-US" w:eastAsia="en-AU"/>
              </w:rPr>
              <w:t>2017</w:t>
            </w:r>
            <w:r>
              <w:rPr>
                <w:b/>
                <w:lang w:val="en-US" w:eastAsia="en-AU"/>
              </w:rPr>
              <w:br/>
              <w:t>$000</w:t>
            </w:r>
          </w:p>
        </w:tc>
      </w:tr>
      <w:tr w:rsidR="007C5E61" w14:paraId="571DA9E4" w14:textId="77777777" w:rsidTr="00497CA0">
        <w:tc>
          <w:tcPr>
            <w:tcW w:w="4390" w:type="dxa"/>
            <w:vAlign w:val="center"/>
          </w:tcPr>
          <w:p w14:paraId="67E594E8" w14:textId="1DCD4B2D" w:rsidR="007C5E61" w:rsidRPr="007C5E61" w:rsidRDefault="007C5E61" w:rsidP="007C5E61">
            <w:pPr>
              <w:rPr>
                <w:lang w:eastAsia="en-AU"/>
              </w:rPr>
            </w:pPr>
            <w:r>
              <w:t>Cash and cash equivalents</w:t>
            </w:r>
          </w:p>
        </w:tc>
        <w:tc>
          <w:tcPr>
            <w:tcW w:w="992" w:type="dxa"/>
            <w:vAlign w:val="center"/>
          </w:tcPr>
          <w:p w14:paraId="6D8E7839" w14:textId="7DAB6D15" w:rsidR="007C5E61" w:rsidRDefault="007C5E61" w:rsidP="007C5E61">
            <w:pPr>
              <w:jc w:val="center"/>
              <w:rPr>
                <w:lang w:val="en-US" w:eastAsia="en-AU"/>
              </w:rPr>
            </w:pPr>
            <w:r>
              <w:rPr>
                <w:lang w:val="en-US" w:eastAsia="en-AU"/>
              </w:rPr>
              <w:t>(a)</w:t>
            </w:r>
          </w:p>
        </w:tc>
        <w:tc>
          <w:tcPr>
            <w:tcW w:w="1843" w:type="dxa"/>
          </w:tcPr>
          <w:p w14:paraId="0DA70AC9" w14:textId="6093E0B3" w:rsidR="007C5E61" w:rsidRDefault="007C5E61" w:rsidP="007C5E61">
            <w:pPr>
              <w:jc w:val="right"/>
              <w:rPr>
                <w:lang w:val="en-US" w:eastAsia="en-AU"/>
              </w:rPr>
            </w:pPr>
            <w:r>
              <w:t xml:space="preserve">              8,157 </w:t>
            </w:r>
          </w:p>
        </w:tc>
        <w:tc>
          <w:tcPr>
            <w:tcW w:w="1791" w:type="dxa"/>
            <w:vAlign w:val="center"/>
          </w:tcPr>
          <w:p w14:paraId="5C558008" w14:textId="67E6B521" w:rsidR="007C5E61" w:rsidRDefault="007C5E61" w:rsidP="007C5E61">
            <w:pPr>
              <w:jc w:val="right"/>
              <w:rPr>
                <w:lang w:val="en-US" w:eastAsia="en-AU"/>
              </w:rPr>
            </w:pPr>
            <w:r>
              <w:t xml:space="preserve">         10,580 </w:t>
            </w:r>
          </w:p>
        </w:tc>
      </w:tr>
      <w:tr w:rsidR="007C5E61" w14:paraId="6349306F" w14:textId="77777777" w:rsidTr="00497CA0">
        <w:tc>
          <w:tcPr>
            <w:tcW w:w="4390" w:type="dxa"/>
          </w:tcPr>
          <w:p w14:paraId="280B7AC1" w14:textId="6F8C85A9" w:rsidR="007C5E61" w:rsidRPr="007C5E61" w:rsidRDefault="007C5E61" w:rsidP="007C5E61">
            <w:pPr>
              <w:rPr>
                <w:lang w:eastAsia="en-AU"/>
              </w:rPr>
            </w:pPr>
            <w:r>
              <w:t xml:space="preserve">Restricted cash and cash equivalents </w:t>
            </w:r>
          </w:p>
        </w:tc>
        <w:tc>
          <w:tcPr>
            <w:tcW w:w="992" w:type="dxa"/>
          </w:tcPr>
          <w:p w14:paraId="5B70F94E" w14:textId="7101A743" w:rsidR="007C5E61" w:rsidRDefault="007C5E61" w:rsidP="007C5E61">
            <w:pPr>
              <w:jc w:val="center"/>
              <w:rPr>
                <w:lang w:val="en-US" w:eastAsia="en-AU"/>
              </w:rPr>
            </w:pPr>
            <w:r>
              <w:rPr>
                <w:lang w:val="en-US" w:eastAsia="en-AU"/>
              </w:rPr>
              <w:t>(b)</w:t>
            </w:r>
          </w:p>
        </w:tc>
        <w:tc>
          <w:tcPr>
            <w:tcW w:w="1843" w:type="dxa"/>
            <w:tcBorders>
              <w:bottom w:val="single" w:sz="4" w:space="0" w:color="auto"/>
            </w:tcBorders>
          </w:tcPr>
          <w:p w14:paraId="18191236" w14:textId="677AAF52" w:rsidR="007C5E61" w:rsidRDefault="007C5E61" w:rsidP="007C5E61">
            <w:pPr>
              <w:jc w:val="right"/>
              <w:rPr>
                <w:lang w:val="en-US" w:eastAsia="en-AU"/>
              </w:rPr>
            </w:pPr>
            <w:r>
              <w:rPr>
                <w:lang w:val="en-US" w:eastAsia="en-AU"/>
              </w:rPr>
              <w:t>86,625</w:t>
            </w:r>
          </w:p>
        </w:tc>
        <w:tc>
          <w:tcPr>
            <w:tcW w:w="1791" w:type="dxa"/>
            <w:tcBorders>
              <w:bottom w:val="single" w:sz="4" w:space="0" w:color="auto"/>
            </w:tcBorders>
          </w:tcPr>
          <w:p w14:paraId="14DC522C" w14:textId="68A4D1E6" w:rsidR="007C5E61" w:rsidRDefault="007C5E61" w:rsidP="007C5E61">
            <w:pPr>
              <w:jc w:val="right"/>
              <w:rPr>
                <w:lang w:val="en-US" w:eastAsia="en-AU"/>
              </w:rPr>
            </w:pPr>
            <w:r>
              <w:rPr>
                <w:lang w:val="en-US" w:eastAsia="en-AU"/>
              </w:rPr>
              <w:t>85,742</w:t>
            </w:r>
          </w:p>
        </w:tc>
      </w:tr>
      <w:tr w:rsidR="007C5E61" w14:paraId="4FC99191" w14:textId="77777777" w:rsidTr="00497CA0">
        <w:tc>
          <w:tcPr>
            <w:tcW w:w="4390" w:type="dxa"/>
          </w:tcPr>
          <w:p w14:paraId="09D3F2FC" w14:textId="16156117" w:rsidR="007C5E61" w:rsidRPr="007C5E61" w:rsidRDefault="007C5E61" w:rsidP="007C5E61">
            <w:pPr>
              <w:rPr>
                <w:b/>
                <w:lang w:val="en-US" w:eastAsia="en-AU"/>
              </w:rPr>
            </w:pPr>
            <w:r>
              <w:rPr>
                <w:b/>
                <w:lang w:val="en-US" w:eastAsia="en-AU"/>
              </w:rPr>
              <w:t>Balance at end of period</w:t>
            </w:r>
          </w:p>
        </w:tc>
        <w:tc>
          <w:tcPr>
            <w:tcW w:w="992" w:type="dxa"/>
          </w:tcPr>
          <w:p w14:paraId="231D6D2A" w14:textId="77777777" w:rsidR="007C5E61" w:rsidRDefault="007C5E61" w:rsidP="007C5E61">
            <w:pPr>
              <w:jc w:val="center"/>
              <w:rPr>
                <w:lang w:val="en-US" w:eastAsia="en-AU"/>
              </w:rPr>
            </w:pPr>
          </w:p>
        </w:tc>
        <w:tc>
          <w:tcPr>
            <w:tcW w:w="1843" w:type="dxa"/>
            <w:tcBorders>
              <w:top w:val="single" w:sz="4" w:space="0" w:color="auto"/>
              <w:bottom w:val="double" w:sz="4" w:space="0" w:color="auto"/>
            </w:tcBorders>
          </w:tcPr>
          <w:p w14:paraId="3AF19FE7" w14:textId="4D3A5E7C" w:rsidR="007C5E61" w:rsidRPr="007C5E61" w:rsidRDefault="007C5E61" w:rsidP="007C5E61">
            <w:pPr>
              <w:jc w:val="right"/>
              <w:rPr>
                <w:b/>
                <w:lang w:val="en-US" w:eastAsia="en-AU"/>
              </w:rPr>
            </w:pPr>
            <w:r>
              <w:rPr>
                <w:b/>
                <w:lang w:val="en-US" w:eastAsia="en-AU"/>
              </w:rPr>
              <w:t>94,782</w:t>
            </w:r>
          </w:p>
        </w:tc>
        <w:tc>
          <w:tcPr>
            <w:tcW w:w="1791" w:type="dxa"/>
            <w:tcBorders>
              <w:top w:val="single" w:sz="4" w:space="0" w:color="auto"/>
              <w:bottom w:val="double" w:sz="4" w:space="0" w:color="auto"/>
            </w:tcBorders>
          </w:tcPr>
          <w:p w14:paraId="62902ADF" w14:textId="53479E8D" w:rsidR="007C5E61" w:rsidRPr="007C5E61" w:rsidRDefault="007C5E61" w:rsidP="007C5E61">
            <w:pPr>
              <w:jc w:val="right"/>
              <w:rPr>
                <w:b/>
                <w:lang w:val="en-US" w:eastAsia="en-AU"/>
              </w:rPr>
            </w:pPr>
            <w:r>
              <w:rPr>
                <w:b/>
                <w:lang w:val="en-US" w:eastAsia="en-AU"/>
              </w:rPr>
              <w:t>96,322</w:t>
            </w:r>
          </w:p>
        </w:tc>
      </w:tr>
    </w:tbl>
    <w:p w14:paraId="080BC002" w14:textId="45D1D448" w:rsidR="00497CA0" w:rsidRDefault="00497CA0" w:rsidP="00497CA0">
      <w:pPr>
        <w:rPr>
          <w:lang w:eastAsia="en-AU"/>
        </w:rPr>
      </w:pPr>
      <w:r>
        <w:rPr>
          <w:lang w:val="en-US" w:eastAsia="en-AU"/>
        </w:rPr>
        <w:br/>
      </w:r>
      <w:r w:rsidRPr="00497CA0">
        <w:rPr>
          <w:lang w:eastAsia="en-AU"/>
        </w:rP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14:paraId="1DC9B9E8" w14:textId="2C172013" w:rsidR="00497CA0" w:rsidRDefault="00497CA0" w:rsidP="00BA7C82">
      <w:pPr>
        <w:pStyle w:val="Heading4"/>
      </w:pPr>
      <w:r>
        <w:t xml:space="preserve">7.1.1(a) Cash and cash equivalents </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ash and cash equivalents"/>
        <w:tblDescription w:val="This table outlines the cash and cash equivalents for the reporting period. "/>
      </w:tblPr>
      <w:tblGrid>
        <w:gridCol w:w="4965"/>
        <w:gridCol w:w="2084"/>
        <w:gridCol w:w="2025"/>
      </w:tblGrid>
      <w:tr w:rsidR="00497CA0" w14:paraId="4EA1434C" w14:textId="77777777" w:rsidTr="00497CA0">
        <w:trPr>
          <w:trHeight w:val="864"/>
          <w:tblHeader/>
        </w:trPr>
        <w:tc>
          <w:tcPr>
            <w:tcW w:w="4965" w:type="dxa"/>
          </w:tcPr>
          <w:p w14:paraId="53AB47DC" w14:textId="77777777" w:rsidR="00497CA0" w:rsidRDefault="00497CA0" w:rsidP="00F61E4A">
            <w:pPr>
              <w:rPr>
                <w:lang w:val="en-US" w:eastAsia="en-AU"/>
              </w:rPr>
            </w:pPr>
          </w:p>
        </w:tc>
        <w:tc>
          <w:tcPr>
            <w:tcW w:w="2084" w:type="dxa"/>
          </w:tcPr>
          <w:p w14:paraId="669DCC4B" w14:textId="77777777" w:rsidR="00497CA0" w:rsidRPr="007C5E61" w:rsidRDefault="00497CA0" w:rsidP="00F61E4A">
            <w:pPr>
              <w:jc w:val="right"/>
              <w:rPr>
                <w:b/>
                <w:lang w:val="en-US" w:eastAsia="en-AU"/>
              </w:rPr>
            </w:pPr>
            <w:r>
              <w:rPr>
                <w:b/>
                <w:lang w:val="en-US" w:eastAsia="en-AU"/>
              </w:rPr>
              <w:t>2018</w:t>
            </w:r>
            <w:r>
              <w:rPr>
                <w:b/>
                <w:lang w:val="en-US" w:eastAsia="en-AU"/>
              </w:rPr>
              <w:br/>
              <w:t>$000</w:t>
            </w:r>
          </w:p>
        </w:tc>
        <w:tc>
          <w:tcPr>
            <w:tcW w:w="2025" w:type="dxa"/>
          </w:tcPr>
          <w:p w14:paraId="4EB3466B" w14:textId="77777777" w:rsidR="00497CA0" w:rsidRPr="007C5E61" w:rsidRDefault="00497CA0" w:rsidP="00F61E4A">
            <w:pPr>
              <w:jc w:val="right"/>
              <w:rPr>
                <w:b/>
                <w:lang w:val="en-US" w:eastAsia="en-AU"/>
              </w:rPr>
            </w:pPr>
            <w:r>
              <w:rPr>
                <w:b/>
                <w:lang w:val="en-US" w:eastAsia="en-AU"/>
              </w:rPr>
              <w:t>2017</w:t>
            </w:r>
            <w:r>
              <w:rPr>
                <w:b/>
                <w:lang w:val="en-US" w:eastAsia="en-AU"/>
              </w:rPr>
              <w:br/>
              <w:t>$000</w:t>
            </w:r>
          </w:p>
        </w:tc>
      </w:tr>
      <w:tr w:rsidR="00497CA0" w14:paraId="122C8D3F" w14:textId="77777777" w:rsidTr="00497CA0">
        <w:trPr>
          <w:trHeight w:val="551"/>
        </w:trPr>
        <w:tc>
          <w:tcPr>
            <w:tcW w:w="4965" w:type="dxa"/>
            <w:vAlign w:val="center"/>
          </w:tcPr>
          <w:p w14:paraId="1B9F9EF1" w14:textId="63C4453A" w:rsidR="00497CA0" w:rsidRPr="00497CA0" w:rsidRDefault="00497CA0" w:rsidP="00F61E4A">
            <w:pPr>
              <w:rPr>
                <w:lang w:eastAsia="en-AU"/>
              </w:rPr>
            </w:pPr>
            <w:r>
              <w:rPr>
                <w:lang w:eastAsia="en-AU"/>
              </w:rPr>
              <w:t>Bank accounts</w:t>
            </w:r>
          </w:p>
        </w:tc>
        <w:tc>
          <w:tcPr>
            <w:tcW w:w="2084" w:type="dxa"/>
          </w:tcPr>
          <w:p w14:paraId="2607EADD" w14:textId="61D99D4B" w:rsidR="00497CA0" w:rsidRDefault="00497CA0" w:rsidP="00F61E4A">
            <w:pPr>
              <w:jc w:val="right"/>
              <w:rPr>
                <w:lang w:val="en-US" w:eastAsia="en-AU"/>
              </w:rPr>
            </w:pPr>
            <w:r>
              <w:rPr>
                <w:lang w:val="en-US" w:eastAsia="en-AU"/>
              </w:rPr>
              <w:t>3,201</w:t>
            </w:r>
          </w:p>
        </w:tc>
        <w:tc>
          <w:tcPr>
            <w:tcW w:w="2025" w:type="dxa"/>
            <w:vAlign w:val="center"/>
          </w:tcPr>
          <w:p w14:paraId="18C9D63C" w14:textId="33BCE99F" w:rsidR="00497CA0" w:rsidRDefault="00497CA0" w:rsidP="00F61E4A">
            <w:pPr>
              <w:jc w:val="right"/>
              <w:rPr>
                <w:lang w:val="en-US" w:eastAsia="en-AU"/>
              </w:rPr>
            </w:pPr>
            <w:r>
              <w:rPr>
                <w:lang w:val="en-US" w:eastAsia="en-AU"/>
              </w:rPr>
              <w:t>2,428</w:t>
            </w:r>
          </w:p>
        </w:tc>
      </w:tr>
      <w:tr w:rsidR="00497CA0" w14:paraId="5992EB62" w14:textId="77777777" w:rsidTr="00497CA0">
        <w:trPr>
          <w:trHeight w:val="566"/>
        </w:trPr>
        <w:tc>
          <w:tcPr>
            <w:tcW w:w="4965" w:type="dxa"/>
          </w:tcPr>
          <w:p w14:paraId="52336E5F" w14:textId="483EB2A8" w:rsidR="00497CA0" w:rsidRPr="00497CA0" w:rsidRDefault="00497CA0" w:rsidP="00F61E4A">
            <w:pPr>
              <w:rPr>
                <w:lang w:eastAsia="en-AU"/>
              </w:rPr>
            </w:pPr>
            <w:r>
              <w:rPr>
                <w:lang w:eastAsia="en-AU"/>
              </w:rPr>
              <w:t>Cash on hand</w:t>
            </w:r>
          </w:p>
        </w:tc>
        <w:tc>
          <w:tcPr>
            <w:tcW w:w="2084" w:type="dxa"/>
          </w:tcPr>
          <w:p w14:paraId="0DE96914" w14:textId="4B9F46D6" w:rsidR="00497CA0" w:rsidRDefault="00497CA0" w:rsidP="00F61E4A">
            <w:pPr>
              <w:jc w:val="right"/>
              <w:rPr>
                <w:lang w:val="en-US" w:eastAsia="en-AU"/>
              </w:rPr>
            </w:pPr>
            <w:r>
              <w:rPr>
                <w:lang w:val="en-US" w:eastAsia="en-AU"/>
              </w:rPr>
              <w:t>1</w:t>
            </w:r>
          </w:p>
        </w:tc>
        <w:tc>
          <w:tcPr>
            <w:tcW w:w="2025" w:type="dxa"/>
          </w:tcPr>
          <w:p w14:paraId="4E70D472" w14:textId="41711015" w:rsidR="00497CA0" w:rsidRDefault="00497CA0" w:rsidP="00F61E4A">
            <w:pPr>
              <w:jc w:val="right"/>
              <w:rPr>
                <w:lang w:val="en-US" w:eastAsia="en-AU"/>
              </w:rPr>
            </w:pPr>
            <w:r>
              <w:rPr>
                <w:lang w:val="en-US" w:eastAsia="en-AU"/>
              </w:rPr>
              <w:t>1</w:t>
            </w:r>
          </w:p>
        </w:tc>
      </w:tr>
      <w:tr w:rsidR="00497CA0" w14:paraId="5A477301" w14:textId="77777777" w:rsidTr="00497CA0">
        <w:trPr>
          <w:trHeight w:val="521"/>
        </w:trPr>
        <w:tc>
          <w:tcPr>
            <w:tcW w:w="4965" w:type="dxa"/>
          </w:tcPr>
          <w:p w14:paraId="745D03DD" w14:textId="6AFBC9F6" w:rsidR="00497CA0" w:rsidRPr="00497CA0" w:rsidRDefault="00497CA0" w:rsidP="00F61E4A">
            <w:pPr>
              <w:rPr>
                <w:lang w:val="en-US" w:eastAsia="en-AU"/>
              </w:rPr>
            </w:pPr>
            <w:r>
              <w:rPr>
                <w:lang w:val="en-US" w:eastAsia="en-AU"/>
              </w:rPr>
              <w:t xml:space="preserve">Term deposits </w:t>
            </w:r>
            <w:r>
              <w:rPr>
                <w:vertAlign w:val="superscript"/>
                <w:lang w:val="en-US" w:eastAsia="en-AU"/>
              </w:rPr>
              <w:t>(i)</w:t>
            </w:r>
            <w:r>
              <w:rPr>
                <w:lang w:val="en-US" w:eastAsia="en-AU"/>
              </w:rPr>
              <w:t xml:space="preserve"> </w:t>
            </w:r>
          </w:p>
        </w:tc>
        <w:tc>
          <w:tcPr>
            <w:tcW w:w="2084" w:type="dxa"/>
          </w:tcPr>
          <w:p w14:paraId="145CDE95" w14:textId="7B290B88" w:rsidR="00497CA0" w:rsidRPr="00497CA0" w:rsidRDefault="00497CA0" w:rsidP="00F61E4A">
            <w:pPr>
              <w:jc w:val="right"/>
              <w:rPr>
                <w:lang w:val="en-US" w:eastAsia="en-AU"/>
              </w:rPr>
            </w:pPr>
            <w:r>
              <w:rPr>
                <w:lang w:val="en-US" w:eastAsia="en-AU"/>
              </w:rPr>
              <w:t>4,955</w:t>
            </w:r>
          </w:p>
        </w:tc>
        <w:tc>
          <w:tcPr>
            <w:tcW w:w="2025" w:type="dxa"/>
          </w:tcPr>
          <w:p w14:paraId="49D3B805" w14:textId="70AC63FA" w:rsidR="00497CA0" w:rsidRPr="00497CA0" w:rsidRDefault="00497CA0" w:rsidP="00F61E4A">
            <w:pPr>
              <w:jc w:val="right"/>
              <w:rPr>
                <w:lang w:val="en-US" w:eastAsia="en-AU"/>
              </w:rPr>
            </w:pPr>
            <w:r>
              <w:rPr>
                <w:lang w:val="en-US" w:eastAsia="en-AU"/>
              </w:rPr>
              <w:t>8,151</w:t>
            </w:r>
          </w:p>
        </w:tc>
      </w:tr>
      <w:tr w:rsidR="00497CA0" w14:paraId="0E0BE6A7" w14:textId="77777777" w:rsidTr="00497CA0">
        <w:trPr>
          <w:trHeight w:val="521"/>
        </w:trPr>
        <w:tc>
          <w:tcPr>
            <w:tcW w:w="4965" w:type="dxa"/>
          </w:tcPr>
          <w:p w14:paraId="11FA378E" w14:textId="77777777" w:rsidR="00497CA0" w:rsidRDefault="00497CA0" w:rsidP="00F61E4A">
            <w:pPr>
              <w:rPr>
                <w:lang w:val="en-US" w:eastAsia="en-AU"/>
              </w:rPr>
            </w:pPr>
          </w:p>
        </w:tc>
        <w:tc>
          <w:tcPr>
            <w:tcW w:w="2084" w:type="dxa"/>
            <w:tcBorders>
              <w:top w:val="single" w:sz="4" w:space="0" w:color="auto"/>
              <w:bottom w:val="double" w:sz="4" w:space="0" w:color="auto"/>
            </w:tcBorders>
          </w:tcPr>
          <w:p w14:paraId="4732086B" w14:textId="2A93669B" w:rsidR="00497CA0" w:rsidRPr="00497CA0" w:rsidRDefault="00497CA0" w:rsidP="00F61E4A">
            <w:pPr>
              <w:jc w:val="right"/>
              <w:rPr>
                <w:b/>
                <w:lang w:val="en-US" w:eastAsia="en-AU"/>
              </w:rPr>
            </w:pPr>
            <w:r>
              <w:rPr>
                <w:b/>
                <w:lang w:val="en-US" w:eastAsia="en-AU"/>
              </w:rPr>
              <w:t>8,157</w:t>
            </w:r>
          </w:p>
        </w:tc>
        <w:tc>
          <w:tcPr>
            <w:tcW w:w="2025" w:type="dxa"/>
            <w:tcBorders>
              <w:top w:val="single" w:sz="4" w:space="0" w:color="auto"/>
              <w:bottom w:val="double" w:sz="4" w:space="0" w:color="auto"/>
            </w:tcBorders>
          </w:tcPr>
          <w:p w14:paraId="6579D5CC" w14:textId="73D412C9" w:rsidR="00497CA0" w:rsidRPr="00497CA0" w:rsidRDefault="00497CA0" w:rsidP="00F61E4A">
            <w:pPr>
              <w:jc w:val="right"/>
              <w:rPr>
                <w:b/>
                <w:lang w:val="en-US" w:eastAsia="en-AU"/>
              </w:rPr>
            </w:pPr>
            <w:r>
              <w:rPr>
                <w:b/>
                <w:lang w:val="en-US" w:eastAsia="en-AU"/>
              </w:rPr>
              <w:t>10,580</w:t>
            </w:r>
          </w:p>
        </w:tc>
      </w:tr>
    </w:tbl>
    <w:p w14:paraId="75C89C0A" w14:textId="29E197FD" w:rsidR="00497CA0" w:rsidRPr="00497CA0" w:rsidRDefault="00497CA0" w:rsidP="00497CA0">
      <w:pPr>
        <w:rPr>
          <w:lang w:val="en-US" w:eastAsia="en-AU"/>
        </w:rPr>
      </w:pPr>
      <w:r>
        <w:rPr>
          <w:vertAlign w:val="superscript"/>
          <w:lang w:val="en-US" w:eastAsia="en-AU"/>
        </w:rPr>
        <w:br/>
      </w:r>
      <w:r w:rsidRPr="00497CA0">
        <w:rPr>
          <w:vertAlign w:val="superscript"/>
          <w:lang w:val="en-US" w:eastAsia="en-AU"/>
        </w:rPr>
        <w:t>(i)</w:t>
      </w:r>
      <w:r w:rsidRPr="00497CA0">
        <w:rPr>
          <w:lang w:val="en-US" w:eastAsia="en-AU"/>
        </w:rPr>
        <w:t xml:space="preserve"> Term deposits are held in order to fund payments as they become due and payable. The term deposits range from 30 days to 3 months.</w:t>
      </w:r>
    </w:p>
    <w:p w14:paraId="578629F2" w14:textId="246FD412" w:rsidR="00497CA0" w:rsidRDefault="001F3F45" w:rsidP="00BA7C82">
      <w:pPr>
        <w:pStyle w:val="Heading4"/>
      </w:pPr>
      <w:r>
        <w:t xml:space="preserve">7.1.1(b) Restricted cash and cash equivalents </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estricted cash and cash equivalents"/>
        <w:tblDescription w:val="This table outlines the restricted cash and cash equivalents for the reporting period. "/>
      </w:tblPr>
      <w:tblGrid>
        <w:gridCol w:w="4965"/>
        <w:gridCol w:w="2084"/>
        <w:gridCol w:w="2025"/>
      </w:tblGrid>
      <w:tr w:rsidR="001F3F45" w14:paraId="70BAD531" w14:textId="77777777" w:rsidTr="00F61E4A">
        <w:trPr>
          <w:trHeight w:val="864"/>
          <w:tblHeader/>
        </w:trPr>
        <w:tc>
          <w:tcPr>
            <w:tcW w:w="4965" w:type="dxa"/>
          </w:tcPr>
          <w:p w14:paraId="59A7ABBF" w14:textId="77777777" w:rsidR="001F3F45" w:rsidRDefault="001F3F45" w:rsidP="00F61E4A">
            <w:pPr>
              <w:rPr>
                <w:lang w:val="en-US" w:eastAsia="en-AU"/>
              </w:rPr>
            </w:pPr>
          </w:p>
        </w:tc>
        <w:tc>
          <w:tcPr>
            <w:tcW w:w="2084" w:type="dxa"/>
          </w:tcPr>
          <w:p w14:paraId="1074B47A" w14:textId="77777777" w:rsidR="001F3F45" w:rsidRPr="007C5E61" w:rsidRDefault="001F3F45" w:rsidP="00F61E4A">
            <w:pPr>
              <w:jc w:val="right"/>
              <w:rPr>
                <w:b/>
                <w:lang w:val="en-US" w:eastAsia="en-AU"/>
              </w:rPr>
            </w:pPr>
            <w:r>
              <w:rPr>
                <w:b/>
                <w:lang w:val="en-US" w:eastAsia="en-AU"/>
              </w:rPr>
              <w:t>2018</w:t>
            </w:r>
            <w:r>
              <w:rPr>
                <w:b/>
                <w:lang w:val="en-US" w:eastAsia="en-AU"/>
              </w:rPr>
              <w:br/>
              <w:t>$000</w:t>
            </w:r>
          </w:p>
        </w:tc>
        <w:tc>
          <w:tcPr>
            <w:tcW w:w="2025" w:type="dxa"/>
          </w:tcPr>
          <w:p w14:paraId="683C69FC" w14:textId="77777777" w:rsidR="001F3F45" w:rsidRPr="007C5E61" w:rsidRDefault="001F3F45" w:rsidP="00F61E4A">
            <w:pPr>
              <w:jc w:val="right"/>
              <w:rPr>
                <w:b/>
                <w:lang w:val="en-US" w:eastAsia="en-AU"/>
              </w:rPr>
            </w:pPr>
            <w:r>
              <w:rPr>
                <w:b/>
                <w:lang w:val="en-US" w:eastAsia="en-AU"/>
              </w:rPr>
              <w:t>2017</w:t>
            </w:r>
            <w:r>
              <w:rPr>
                <w:b/>
                <w:lang w:val="en-US" w:eastAsia="en-AU"/>
              </w:rPr>
              <w:br/>
              <w:t>$000</w:t>
            </w:r>
          </w:p>
        </w:tc>
      </w:tr>
      <w:tr w:rsidR="001F3F45" w14:paraId="00DC6A09" w14:textId="77777777" w:rsidTr="00F61E4A">
        <w:trPr>
          <w:trHeight w:val="551"/>
        </w:trPr>
        <w:tc>
          <w:tcPr>
            <w:tcW w:w="4965" w:type="dxa"/>
            <w:vAlign w:val="center"/>
          </w:tcPr>
          <w:p w14:paraId="4A91A12D" w14:textId="62B2C941" w:rsidR="001F3F45" w:rsidRPr="001F3F45" w:rsidRDefault="001F3F45" w:rsidP="00F61E4A">
            <w:pPr>
              <w:rPr>
                <w:u w:val="single"/>
                <w:lang w:eastAsia="en-AU"/>
              </w:rPr>
            </w:pPr>
            <w:r>
              <w:rPr>
                <w:u w:val="single"/>
                <w:lang w:eastAsia="en-AU"/>
              </w:rPr>
              <w:t>Current</w:t>
            </w:r>
          </w:p>
        </w:tc>
        <w:tc>
          <w:tcPr>
            <w:tcW w:w="2084" w:type="dxa"/>
          </w:tcPr>
          <w:p w14:paraId="4FE1163C" w14:textId="7426CAB7" w:rsidR="001F3F45" w:rsidRDefault="001F3F45" w:rsidP="00F61E4A">
            <w:pPr>
              <w:jc w:val="right"/>
              <w:rPr>
                <w:lang w:val="en-US" w:eastAsia="en-AU"/>
              </w:rPr>
            </w:pPr>
          </w:p>
        </w:tc>
        <w:tc>
          <w:tcPr>
            <w:tcW w:w="2025" w:type="dxa"/>
            <w:vAlign w:val="center"/>
          </w:tcPr>
          <w:p w14:paraId="091EE24D" w14:textId="673B9743" w:rsidR="001F3F45" w:rsidRDefault="001F3F45" w:rsidP="00F61E4A">
            <w:pPr>
              <w:jc w:val="right"/>
              <w:rPr>
                <w:lang w:val="en-US" w:eastAsia="en-AU"/>
              </w:rPr>
            </w:pPr>
          </w:p>
        </w:tc>
      </w:tr>
      <w:tr w:rsidR="001F3F45" w14:paraId="58D0D83E" w14:textId="77777777" w:rsidTr="001F3F45">
        <w:trPr>
          <w:trHeight w:val="566"/>
        </w:trPr>
        <w:tc>
          <w:tcPr>
            <w:tcW w:w="4965" w:type="dxa"/>
          </w:tcPr>
          <w:p w14:paraId="22DC8861" w14:textId="79E5A95B" w:rsidR="001F3F45" w:rsidRPr="001F3F45" w:rsidRDefault="001F3F45" w:rsidP="00F61E4A">
            <w:pPr>
              <w:rPr>
                <w:u w:val="single"/>
                <w:lang w:eastAsia="en-AU"/>
              </w:rPr>
            </w:pPr>
            <w:r>
              <w:rPr>
                <w:u w:val="single"/>
                <w:lang w:eastAsia="en-AU"/>
              </w:rPr>
              <w:t>Employers’ Indemnity Supplementation Fund (See note 4.3(b)(i))</w:t>
            </w:r>
          </w:p>
        </w:tc>
        <w:tc>
          <w:tcPr>
            <w:tcW w:w="2084" w:type="dxa"/>
          </w:tcPr>
          <w:p w14:paraId="0168B20E" w14:textId="171D26BA" w:rsidR="001F3F45" w:rsidRDefault="001F3F45" w:rsidP="00F61E4A">
            <w:pPr>
              <w:jc w:val="right"/>
              <w:rPr>
                <w:lang w:val="en-US" w:eastAsia="en-AU"/>
              </w:rPr>
            </w:pPr>
          </w:p>
        </w:tc>
        <w:tc>
          <w:tcPr>
            <w:tcW w:w="2025" w:type="dxa"/>
          </w:tcPr>
          <w:p w14:paraId="288386A3" w14:textId="03135128" w:rsidR="001F3F45" w:rsidRDefault="001F3F45" w:rsidP="00F61E4A">
            <w:pPr>
              <w:jc w:val="right"/>
              <w:rPr>
                <w:lang w:val="en-US" w:eastAsia="en-AU"/>
              </w:rPr>
            </w:pPr>
          </w:p>
        </w:tc>
      </w:tr>
      <w:tr w:rsidR="001F3F45" w14:paraId="73F39EDF" w14:textId="77777777" w:rsidTr="00F61E4A">
        <w:trPr>
          <w:trHeight w:val="521"/>
        </w:trPr>
        <w:tc>
          <w:tcPr>
            <w:tcW w:w="4965" w:type="dxa"/>
          </w:tcPr>
          <w:p w14:paraId="5F04B8FC" w14:textId="6E2F876C" w:rsidR="001F3F45" w:rsidRPr="00497CA0" w:rsidRDefault="001F3F45" w:rsidP="001F3F45">
            <w:pPr>
              <w:rPr>
                <w:lang w:val="en-US" w:eastAsia="en-AU"/>
              </w:rPr>
            </w:pPr>
            <w:r>
              <w:rPr>
                <w:lang w:val="en-US" w:eastAsia="en-AU"/>
              </w:rPr>
              <w:t xml:space="preserve">Cash balance at Treasury </w:t>
            </w:r>
          </w:p>
        </w:tc>
        <w:tc>
          <w:tcPr>
            <w:tcW w:w="2084" w:type="dxa"/>
          </w:tcPr>
          <w:p w14:paraId="53397C0E" w14:textId="4953AAE9" w:rsidR="001F3F45" w:rsidRPr="00497CA0" w:rsidRDefault="001F3F45" w:rsidP="001F3F45">
            <w:pPr>
              <w:jc w:val="right"/>
              <w:rPr>
                <w:lang w:val="en-US" w:eastAsia="en-AU"/>
              </w:rPr>
            </w:pPr>
            <w:r w:rsidRPr="003C0D7B">
              <w:t xml:space="preserve"> 86,623 </w:t>
            </w:r>
          </w:p>
        </w:tc>
        <w:tc>
          <w:tcPr>
            <w:tcW w:w="2025" w:type="dxa"/>
          </w:tcPr>
          <w:p w14:paraId="5F58FD20" w14:textId="29D081C4" w:rsidR="001F3F45" w:rsidRPr="00497CA0" w:rsidRDefault="001F3F45" w:rsidP="001F3F45">
            <w:pPr>
              <w:jc w:val="right"/>
              <w:rPr>
                <w:lang w:val="en-US" w:eastAsia="en-AU"/>
              </w:rPr>
            </w:pPr>
            <w:r w:rsidRPr="003C0D7B">
              <w:t xml:space="preserve"> 85,736 </w:t>
            </w:r>
          </w:p>
        </w:tc>
      </w:tr>
    </w:tbl>
    <w:p w14:paraId="055EE47A" w14:textId="77777777" w:rsidR="001F3F45" w:rsidRPr="001F3F45" w:rsidRDefault="001F3F45" w:rsidP="001F3F45">
      <w:pPr>
        <w:rPr>
          <w:lang w:val="en-US" w:eastAsia="en-AU"/>
        </w:rPr>
      </w:pPr>
    </w:p>
    <w:p w14:paraId="3CA73D19" w14:textId="77777777" w:rsidR="001F3F45" w:rsidRPr="001F3F45" w:rsidRDefault="001F3F45" w:rsidP="001F3F45">
      <w:pPr>
        <w:rPr>
          <w:u w:val="single"/>
          <w:lang w:eastAsia="en-AU"/>
        </w:rPr>
      </w:pPr>
      <w:r w:rsidRPr="001F3F45">
        <w:rPr>
          <w:u w:val="single"/>
          <w:lang w:eastAsia="en-AU"/>
        </w:rPr>
        <w:t>Commonwealth Funding - Indian Ocean Territories (Christmas &amp; Cocos-Keeling Islands)</w:t>
      </w:r>
    </w:p>
    <w:p w14:paraId="76DFC4D7" w14:textId="77777777" w:rsidR="001F3F45" w:rsidRDefault="001F3F45" w:rsidP="001F3F45">
      <w:pPr>
        <w:rPr>
          <w:lang w:eastAsia="en-AU"/>
        </w:rPr>
      </w:pPr>
      <w:r>
        <w:rPr>
          <w:lang w:eastAsia="en-AU"/>
        </w:rPr>
        <w:t xml:space="preserve">The Commonwealth Government provides funding in accordance with the Service Delivery Arrangement. </w:t>
      </w:r>
    </w:p>
    <w:p w14:paraId="64239C10" w14:textId="018F675E" w:rsidR="008160F0" w:rsidRDefault="001F3F45" w:rsidP="001F3F45">
      <w:pPr>
        <w:rPr>
          <w:lang w:eastAsia="en-AU"/>
        </w:rPr>
      </w:pPr>
      <w:r>
        <w:rPr>
          <w:lang w:eastAsia="en-AU"/>
        </w:rPr>
        <w:t>Under the arrangement, the Authority provides a range of workers' compensation related services.</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mmonwealth funding"/>
        <w:tblDescription w:val="This table outlines the Commonwealth funding in accordance with the Service Delivery Arrangement. "/>
      </w:tblPr>
      <w:tblGrid>
        <w:gridCol w:w="4962"/>
        <w:gridCol w:w="1984"/>
        <w:gridCol w:w="2128"/>
      </w:tblGrid>
      <w:tr w:rsidR="001F3F45" w14:paraId="47FD2701" w14:textId="77777777" w:rsidTr="001F3F45">
        <w:trPr>
          <w:trHeight w:val="864"/>
          <w:tblHeader/>
        </w:trPr>
        <w:tc>
          <w:tcPr>
            <w:tcW w:w="4962" w:type="dxa"/>
          </w:tcPr>
          <w:p w14:paraId="541BD343" w14:textId="77777777" w:rsidR="001F3F45" w:rsidRDefault="001F3F45" w:rsidP="00F61E4A">
            <w:pPr>
              <w:rPr>
                <w:lang w:val="en-US" w:eastAsia="en-AU"/>
              </w:rPr>
            </w:pPr>
          </w:p>
        </w:tc>
        <w:tc>
          <w:tcPr>
            <w:tcW w:w="1984" w:type="dxa"/>
          </w:tcPr>
          <w:p w14:paraId="4A84A328" w14:textId="77777777" w:rsidR="001F3F45" w:rsidRPr="007C5E61" w:rsidRDefault="001F3F45" w:rsidP="00F61E4A">
            <w:pPr>
              <w:jc w:val="right"/>
              <w:rPr>
                <w:b/>
                <w:lang w:val="en-US" w:eastAsia="en-AU"/>
              </w:rPr>
            </w:pPr>
            <w:r>
              <w:rPr>
                <w:b/>
                <w:lang w:val="en-US" w:eastAsia="en-AU"/>
              </w:rPr>
              <w:t>2018</w:t>
            </w:r>
            <w:r>
              <w:rPr>
                <w:b/>
                <w:lang w:val="en-US" w:eastAsia="en-AU"/>
              </w:rPr>
              <w:br/>
              <w:t>$000</w:t>
            </w:r>
          </w:p>
        </w:tc>
        <w:tc>
          <w:tcPr>
            <w:tcW w:w="2128" w:type="dxa"/>
          </w:tcPr>
          <w:p w14:paraId="5D740BFF" w14:textId="77777777" w:rsidR="001F3F45" w:rsidRPr="007C5E61" w:rsidRDefault="001F3F45" w:rsidP="00F61E4A">
            <w:pPr>
              <w:jc w:val="right"/>
              <w:rPr>
                <w:b/>
                <w:lang w:val="en-US" w:eastAsia="en-AU"/>
              </w:rPr>
            </w:pPr>
            <w:r>
              <w:rPr>
                <w:b/>
                <w:lang w:val="en-US" w:eastAsia="en-AU"/>
              </w:rPr>
              <w:t>2017</w:t>
            </w:r>
            <w:r>
              <w:rPr>
                <w:b/>
                <w:lang w:val="en-US" w:eastAsia="en-AU"/>
              </w:rPr>
              <w:br/>
              <w:t>$000</w:t>
            </w:r>
          </w:p>
        </w:tc>
      </w:tr>
      <w:tr w:rsidR="001F3F45" w14:paraId="74B03129" w14:textId="77777777" w:rsidTr="001F3F45">
        <w:trPr>
          <w:trHeight w:val="551"/>
        </w:trPr>
        <w:tc>
          <w:tcPr>
            <w:tcW w:w="4962" w:type="dxa"/>
            <w:vAlign w:val="center"/>
          </w:tcPr>
          <w:p w14:paraId="55CE2462" w14:textId="37803367" w:rsidR="001F3F45" w:rsidRPr="001F3F45" w:rsidRDefault="001F3F45" w:rsidP="00F61E4A">
            <w:pPr>
              <w:rPr>
                <w:lang w:eastAsia="en-AU"/>
              </w:rPr>
            </w:pPr>
            <w:r w:rsidRPr="001F3F45">
              <w:rPr>
                <w:lang w:eastAsia="en-AU"/>
              </w:rPr>
              <w:t>Unspent funds for Indian Ocean Territories</w:t>
            </w:r>
          </w:p>
        </w:tc>
        <w:tc>
          <w:tcPr>
            <w:tcW w:w="1984" w:type="dxa"/>
          </w:tcPr>
          <w:p w14:paraId="6056A754" w14:textId="44774D67" w:rsidR="001F3F45" w:rsidRDefault="001F3F45" w:rsidP="00F61E4A">
            <w:pPr>
              <w:jc w:val="right"/>
              <w:rPr>
                <w:lang w:val="en-US" w:eastAsia="en-AU"/>
              </w:rPr>
            </w:pPr>
            <w:r>
              <w:rPr>
                <w:lang w:val="en-US" w:eastAsia="en-AU"/>
              </w:rPr>
              <w:t>1</w:t>
            </w:r>
          </w:p>
        </w:tc>
        <w:tc>
          <w:tcPr>
            <w:tcW w:w="2128" w:type="dxa"/>
            <w:vAlign w:val="center"/>
          </w:tcPr>
          <w:p w14:paraId="775E38A6" w14:textId="4D97103C" w:rsidR="001F3F45" w:rsidRDefault="001F3F45" w:rsidP="00F61E4A">
            <w:pPr>
              <w:jc w:val="right"/>
              <w:rPr>
                <w:lang w:val="en-US" w:eastAsia="en-AU"/>
              </w:rPr>
            </w:pPr>
            <w:r>
              <w:rPr>
                <w:lang w:val="en-US" w:eastAsia="en-AU"/>
              </w:rPr>
              <w:t>5</w:t>
            </w:r>
          </w:p>
        </w:tc>
      </w:tr>
      <w:tr w:rsidR="001F3F45" w14:paraId="342F06C3" w14:textId="77777777" w:rsidTr="00F61E4A">
        <w:trPr>
          <w:trHeight w:val="566"/>
        </w:trPr>
        <w:tc>
          <w:tcPr>
            <w:tcW w:w="9074" w:type="dxa"/>
            <w:gridSpan w:val="3"/>
          </w:tcPr>
          <w:p w14:paraId="1FFC7C08" w14:textId="761E268C" w:rsidR="001F3F45" w:rsidRDefault="001F3F45" w:rsidP="001F3F45">
            <w:pPr>
              <w:rPr>
                <w:lang w:val="en-US" w:eastAsia="en-AU"/>
              </w:rPr>
            </w:pPr>
            <w:r>
              <w:rPr>
                <w:u w:val="single"/>
                <w:lang w:eastAsia="en-AU"/>
              </w:rPr>
              <w:t>Commonwealth Funding – Paid Parental Leave Scheme</w:t>
            </w:r>
          </w:p>
        </w:tc>
      </w:tr>
      <w:tr w:rsidR="001F3F45" w14:paraId="56527312" w14:textId="77777777" w:rsidTr="001F3F45">
        <w:trPr>
          <w:trHeight w:val="521"/>
        </w:trPr>
        <w:tc>
          <w:tcPr>
            <w:tcW w:w="4962" w:type="dxa"/>
          </w:tcPr>
          <w:p w14:paraId="0B23481A" w14:textId="31B96B16" w:rsidR="001F3F45" w:rsidRPr="00497CA0" w:rsidRDefault="001F3F45" w:rsidP="00F61E4A">
            <w:pPr>
              <w:rPr>
                <w:lang w:val="en-US" w:eastAsia="en-AU"/>
              </w:rPr>
            </w:pPr>
            <w:r>
              <w:rPr>
                <w:lang w:val="en-US" w:eastAsia="en-AU"/>
              </w:rPr>
              <w:t>Cash held</w:t>
            </w:r>
          </w:p>
        </w:tc>
        <w:tc>
          <w:tcPr>
            <w:tcW w:w="1984" w:type="dxa"/>
            <w:tcBorders>
              <w:bottom w:val="single" w:sz="4" w:space="0" w:color="auto"/>
            </w:tcBorders>
          </w:tcPr>
          <w:p w14:paraId="6391B814" w14:textId="314DE5D0" w:rsidR="001F3F45" w:rsidRPr="00497CA0" w:rsidRDefault="001F3F45" w:rsidP="00F61E4A">
            <w:pPr>
              <w:jc w:val="right"/>
              <w:rPr>
                <w:lang w:val="en-US" w:eastAsia="en-AU"/>
              </w:rPr>
            </w:pPr>
            <w:r>
              <w:rPr>
                <w:lang w:val="en-US" w:eastAsia="en-AU"/>
              </w:rPr>
              <w:t>1</w:t>
            </w:r>
          </w:p>
        </w:tc>
        <w:tc>
          <w:tcPr>
            <w:tcW w:w="2128" w:type="dxa"/>
            <w:tcBorders>
              <w:bottom w:val="single" w:sz="4" w:space="0" w:color="auto"/>
            </w:tcBorders>
          </w:tcPr>
          <w:p w14:paraId="684FBEAA" w14:textId="14762698" w:rsidR="001F3F45" w:rsidRPr="00497CA0" w:rsidRDefault="001F3F45" w:rsidP="00F61E4A">
            <w:pPr>
              <w:jc w:val="right"/>
              <w:rPr>
                <w:lang w:val="en-US" w:eastAsia="en-AU"/>
              </w:rPr>
            </w:pPr>
            <w:r>
              <w:rPr>
                <w:lang w:val="en-US" w:eastAsia="en-AU"/>
              </w:rPr>
              <w:t>1</w:t>
            </w:r>
          </w:p>
        </w:tc>
      </w:tr>
      <w:tr w:rsidR="001F3F45" w14:paraId="5700E614" w14:textId="77777777" w:rsidTr="001F3F45">
        <w:trPr>
          <w:trHeight w:val="521"/>
        </w:trPr>
        <w:tc>
          <w:tcPr>
            <w:tcW w:w="4962" w:type="dxa"/>
          </w:tcPr>
          <w:p w14:paraId="1688A6EF" w14:textId="77777777" w:rsidR="001F3F45" w:rsidRDefault="001F3F45" w:rsidP="00F61E4A">
            <w:pPr>
              <w:rPr>
                <w:lang w:val="en-US" w:eastAsia="en-AU"/>
              </w:rPr>
            </w:pPr>
          </w:p>
        </w:tc>
        <w:tc>
          <w:tcPr>
            <w:tcW w:w="1984" w:type="dxa"/>
            <w:tcBorders>
              <w:top w:val="single" w:sz="4" w:space="0" w:color="auto"/>
              <w:bottom w:val="double" w:sz="4" w:space="0" w:color="auto"/>
            </w:tcBorders>
          </w:tcPr>
          <w:p w14:paraId="1378D11B" w14:textId="58877BDC" w:rsidR="001F3F45" w:rsidRPr="001F3F45" w:rsidRDefault="001F3F45" w:rsidP="00F61E4A">
            <w:pPr>
              <w:jc w:val="right"/>
              <w:rPr>
                <w:b/>
                <w:lang w:val="en-US" w:eastAsia="en-AU"/>
              </w:rPr>
            </w:pPr>
            <w:r>
              <w:rPr>
                <w:b/>
                <w:lang w:val="en-US" w:eastAsia="en-AU"/>
              </w:rPr>
              <w:t>86,625</w:t>
            </w:r>
          </w:p>
        </w:tc>
        <w:tc>
          <w:tcPr>
            <w:tcW w:w="2128" w:type="dxa"/>
            <w:tcBorders>
              <w:top w:val="single" w:sz="4" w:space="0" w:color="auto"/>
              <w:bottom w:val="double" w:sz="4" w:space="0" w:color="auto"/>
            </w:tcBorders>
          </w:tcPr>
          <w:p w14:paraId="1CFAA7B7" w14:textId="60A784A8" w:rsidR="001F3F45" w:rsidRPr="001F3F45" w:rsidRDefault="001F3F45" w:rsidP="00F61E4A">
            <w:pPr>
              <w:jc w:val="right"/>
              <w:rPr>
                <w:b/>
                <w:lang w:val="en-US" w:eastAsia="en-AU"/>
              </w:rPr>
            </w:pPr>
            <w:r>
              <w:rPr>
                <w:b/>
                <w:lang w:val="en-US" w:eastAsia="en-AU"/>
              </w:rPr>
              <w:t>85,742</w:t>
            </w:r>
          </w:p>
        </w:tc>
      </w:tr>
    </w:tbl>
    <w:p w14:paraId="03EEFA21" w14:textId="77777777" w:rsidR="001F3F45" w:rsidRPr="008160F0" w:rsidRDefault="001F3F45" w:rsidP="001F3F45">
      <w:pPr>
        <w:rPr>
          <w:lang w:eastAsia="en-AU"/>
        </w:rPr>
      </w:pPr>
    </w:p>
    <w:p w14:paraId="772BF41A" w14:textId="3BF7AD98" w:rsidR="00F61E4A" w:rsidRDefault="00F61E4A">
      <w:pPr>
        <w:keepLines w:val="0"/>
        <w:spacing w:after="0" w:line="240" w:lineRule="auto"/>
        <w:rPr>
          <w:lang w:eastAsia="en-AU"/>
        </w:rPr>
      </w:pPr>
      <w:r>
        <w:rPr>
          <w:lang w:eastAsia="en-AU"/>
        </w:rPr>
        <w:br w:type="page"/>
      </w:r>
    </w:p>
    <w:p w14:paraId="27CB867F" w14:textId="7099A1F3" w:rsidR="008160F0" w:rsidRDefault="00F61E4A" w:rsidP="00024979">
      <w:pPr>
        <w:pStyle w:val="Heading4"/>
      </w:pPr>
      <w:r>
        <w:t xml:space="preserve"> </w:t>
      </w:r>
      <w:r w:rsidR="00024979">
        <w:t xml:space="preserve">7.1.2  </w:t>
      </w:r>
      <w:r>
        <w:t xml:space="preserve">Reconciliation of profit/(loss) to net cash flows provided by/(used in) operating activities </w:t>
      </w:r>
    </w:p>
    <w:tbl>
      <w:tblPr>
        <w:tblStyle w:val="TableGrid"/>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econciliation of profit/(loss) to net cash flows provided by/(used in) operating activities "/>
        <w:tblDescription w:val="This table outlines Reconciliation of profit/(loss) to net cash flows provided by/(used in) operating activities. "/>
      </w:tblPr>
      <w:tblGrid>
        <w:gridCol w:w="5382"/>
        <w:gridCol w:w="1843"/>
        <w:gridCol w:w="1791"/>
        <w:gridCol w:w="58"/>
      </w:tblGrid>
      <w:tr w:rsidR="00F61E4A" w14:paraId="6622DF87" w14:textId="77777777" w:rsidTr="00F11774">
        <w:trPr>
          <w:gridAfter w:val="1"/>
          <w:wAfter w:w="58" w:type="dxa"/>
          <w:tblHeader/>
        </w:trPr>
        <w:tc>
          <w:tcPr>
            <w:tcW w:w="5382" w:type="dxa"/>
          </w:tcPr>
          <w:p w14:paraId="5C5EE902" w14:textId="77777777" w:rsidR="00F61E4A" w:rsidRDefault="00F61E4A" w:rsidP="00F61E4A">
            <w:pPr>
              <w:rPr>
                <w:lang w:eastAsia="en-AU"/>
              </w:rPr>
            </w:pPr>
          </w:p>
        </w:tc>
        <w:tc>
          <w:tcPr>
            <w:tcW w:w="1843" w:type="dxa"/>
          </w:tcPr>
          <w:p w14:paraId="401DDF92" w14:textId="64CB7A8F" w:rsidR="00F61E4A" w:rsidRDefault="00F61E4A" w:rsidP="00F61E4A">
            <w:pPr>
              <w:jc w:val="right"/>
              <w:rPr>
                <w:lang w:eastAsia="en-AU"/>
              </w:rPr>
            </w:pPr>
            <w:r>
              <w:rPr>
                <w:b/>
                <w:lang w:val="en-US" w:eastAsia="en-AU"/>
              </w:rPr>
              <w:t>2018</w:t>
            </w:r>
            <w:r>
              <w:rPr>
                <w:b/>
                <w:lang w:val="en-US" w:eastAsia="en-AU"/>
              </w:rPr>
              <w:br/>
              <w:t>$000</w:t>
            </w:r>
          </w:p>
        </w:tc>
        <w:tc>
          <w:tcPr>
            <w:tcW w:w="1791" w:type="dxa"/>
          </w:tcPr>
          <w:p w14:paraId="5516C8D1" w14:textId="6D29BC54" w:rsidR="00F61E4A" w:rsidRDefault="00F61E4A" w:rsidP="00F61E4A">
            <w:pPr>
              <w:jc w:val="right"/>
              <w:rPr>
                <w:lang w:eastAsia="en-AU"/>
              </w:rPr>
            </w:pPr>
            <w:r>
              <w:rPr>
                <w:b/>
                <w:lang w:val="en-US" w:eastAsia="en-AU"/>
              </w:rPr>
              <w:t>2017</w:t>
            </w:r>
            <w:r>
              <w:rPr>
                <w:b/>
                <w:lang w:val="en-US" w:eastAsia="en-AU"/>
              </w:rPr>
              <w:br/>
              <w:t>$000</w:t>
            </w:r>
          </w:p>
        </w:tc>
      </w:tr>
      <w:tr w:rsidR="00F61E4A" w14:paraId="511B22A5" w14:textId="77777777" w:rsidTr="00FB4134">
        <w:trPr>
          <w:gridAfter w:val="1"/>
          <w:wAfter w:w="58" w:type="dxa"/>
        </w:trPr>
        <w:tc>
          <w:tcPr>
            <w:tcW w:w="5382" w:type="dxa"/>
          </w:tcPr>
          <w:p w14:paraId="62E62392" w14:textId="2B8DAF3E" w:rsidR="00F61E4A" w:rsidRDefault="00F61E4A" w:rsidP="00F61E4A">
            <w:pPr>
              <w:rPr>
                <w:lang w:eastAsia="en-AU"/>
              </w:rPr>
            </w:pPr>
            <w:r w:rsidRPr="00F61E4A">
              <w:rPr>
                <w:lang w:eastAsia="en-AU"/>
              </w:rPr>
              <w:t>Profit/(Loss) after income tax equivalents</w:t>
            </w:r>
          </w:p>
        </w:tc>
        <w:tc>
          <w:tcPr>
            <w:tcW w:w="1843" w:type="dxa"/>
          </w:tcPr>
          <w:p w14:paraId="31EF769A" w14:textId="075613BB" w:rsidR="00F61E4A" w:rsidRDefault="00F61E4A" w:rsidP="00F61E4A">
            <w:pPr>
              <w:jc w:val="right"/>
              <w:rPr>
                <w:lang w:eastAsia="en-AU"/>
              </w:rPr>
            </w:pPr>
            <w:r w:rsidRPr="004700C4">
              <w:t xml:space="preserve"> (355)</w:t>
            </w:r>
          </w:p>
        </w:tc>
        <w:tc>
          <w:tcPr>
            <w:tcW w:w="1791" w:type="dxa"/>
          </w:tcPr>
          <w:p w14:paraId="4AA5AE43" w14:textId="0C3FA1B0" w:rsidR="00F61E4A" w:rsidRDefault="00F61E4A" w:rsidP="00F61E4A">
            <w:pPr>
              <w:jc w:val="right"/>
              <w:rPr>
                <w:lang w:eastAsia="en-AU"/>
              </w:rPr>
            </w:pPr>
            <w:r w:rsidRPr="004700C4">
              <w:t xml:space="preserve"> 4,601 </w:t>
            </w:r>
          </w:p>
        </w:tc>
      </w:tr>
      <w:tr w:rsidR="00F61E4A" w14:paraId="58BC40F3" w14:textId="77777777" w:rsidTr="00FB4134">
        <w:trPr>
          <w:gridAfter w:val="1"/>
          <w:wAfter w:w="58" w:type="dxa"/>
        </w:trPr>
        <w:tc>
          <w:tcPr>
            <w:tcW w:w="5382" w:type="dxa"/>
          </w:tcPr>
          <w:p w14:paraId="190CF9C6" w14:textId="20AABEBC" w:rsidR="00F61E4A" w:rsidRDefault="00F61E4A" w:rsidP="00F61E4A">
            <w:pPr>
              <w:rPr>
                <w:lang w:eastAsia="en-AU"/>
              </w:rPr>
            </w:pPr>
            <w:r w:rsidRPr="00F61E4A">
              <w:rPr>
                <w:lang w:eastAsia="en-AU"/>
              </w:rPr>
              <w:t>Non-cash items:</w:t>
            </w:r>
          </w:p>
        </w:tc>
        <w:tc>
          <w:tcPr>
            <w:tcW w:w="1843" w:type="dxa"/>
          </w:tcPr>
          <w:p w14:paraId="21D6CEA3" w14:textId="77777777" w:rsidR="00F61E4A" w:rsidRDefault="00F61E4A" w:rsidP="00F61E4A">
            <w:pPr>
              <w:rPr>
                <w:lang w:eastAsia="en-AU"/>
              </w:rPr>
            </w:pPr>
          </w:p>
        </w:tc>
        <w:tc>
          <w:tcPr>
            <w:tcW w:w="1791" w:type="dxa"/>
          </w:tcPr>
          <w:p w14:paraId="48C21569" w14:textId="77777777" w:rsidR="00F61E4A" w:rsidRDefault="00F61E4A" w:rsidP="00F61E4A">
            <w:pPr>
              <w:rPr>
                <w:lang w:eastAsia="en-AU"/>
              </w:rPr>
            </w:pPr>
          </w:p>
        </w:tc>
      </w:tr>
      <w:tr w:rsidR="00F61E4A" w14:paraId="3B2C7A82" w14:textId="77777777" w:rsidTr="00FB4134">
        <w:trPr>
          <w:gridAfter w:val="1"/>
          <w:wAfter w:w="58" w:type="dxa"/>
        </w:trPr>
        <w:tc>
          <w:tcPr>
            <w:tcW w:w="5382" w:type="dxa"/>
          </w:tcPr>
          <w:p w14:paraId="49148205" w14:textId="068F5444" w:rsidR="00F61E4A" w:rsidRDefault="00F61E4A" w:rsidP="00F61E4A">
            <w:pPr>
              <w:rPr>
                <w:lang w:eastAsia="en-AU"/>
              </w:rPr>
            </w:pPr>
            <w:r w:rsidRPr="00B1008F">
              <w:t>Depreciation and amortisation expense</w:t>
            </w:r>
          </w:p>
        </w:tc>
        <w:tc>
          <w:tcPr>
            <w:tcW w:w="1843" w:type="dxa"/>
          </w:tcPr>
          <w:p w14:paraId="32CCC831" w14:textId="75A16276" w:rsidR="00F61E4A" w:rsidRDefault="00F61E4A" w:rsidP="00F61E4A">
            <w:pPr>
              <w:jc w:val="right"/>
              <w:rPr>
                <w:lang w:eastAsia="en-AU"/>
              </w:rPr>
            </w:pPr>
            <w:r w:rsidRPr="00E30568">
              <w:t>955</w:t>
            </w:r>
          </w:p>
        </w:tc>
        <w:tc>
          <w:tcPr>
            <w:tcW w:w="1791" w:type="dxa"/>
          </w:tcPr>
          <w:p w14:paraId="7528D97D" w14:textId="4B4B5176" w:rsidR="00F61E4A" w:rsidRDefault="00F61E4A" w:rsidP="00F61E4A">
            <w:pPr>
              <w:jc w:val="right"/>
              <w:rPr>
                <w:lang w:eastAsia="en-AU"/>
              </w:rPr>
            </w:pPr>
            <w:r w:rsidRPr="00E30568">
              <w:t>971</w:t>
            </w:r>
          </w:p>
        </w:tc>
      </w:tr>
      <w:tr w:rsidR="00F61E4A" w14:paraId="54AD5C05" w14:textId="77777777" w:rsidTr="00FB4134">
        <w:trPr>
          <w:gridAfter w:val="1"/>
          <w:wAfter w:w="58" w:type="dxa"/>
        </w:trPr>
        <w:tc>
          <w:tcPr>
            <w:tcW w:w="5382" w:type="dxa"/>
          </w:tcPr>
          <w:p w14:paraId="3464AEDC" w14:textId="43A0652F" w:rsidR="00F61E4A" w:rsidRDefault="00F61E4A" w:rsidP="00F61E4A">
            <w:pPr>
              <w:rPr>
                <w:lang w:eastAsia="en-AU"/>
              </w:rPr>
            </w:pPr>
            <w:r w:rsidRPr="00B1008F">
              <w:t>Net (gain)/loss on sale of property, plant and equipment</w:t>
            </w:r>
          </w:p>
        </w:tc>
        <w:tc>
          <w:tcPr>
            <w:tcW w:w="1843" w:type="dxa"/>
          </w:tcPr>
          <w:p w14:paraId="1594FB67" w14:textId="2380FACE" w:rsidR="00F61E4A" w:rsidRDefault="00F61E4A" w:rsidP="00F61E4A">
            <w:pPr>
              <w:jc w:val="right"/>
              <w:rPr>
                <w:lang w:eastAsia="en-AU"/>
              </w:rPr>
            </w:pPr>
            <w:r w:rsidRPr="00E30568">
              <w:t>3</w:t>
            </w:r>
          </w:p>
        </w:tc>
        <w:tc>
          <w:tcPr>
            <w:tcW w:w="1791" w:type="dxa"/>
          </w:tcPr>
          <w:p w14:paraId="0F7D4ADB" w14:textId="262269A2" w:rsidR="00F61E4A" w:rsidRDefault="00F61E4A" w:rsidP="00F61E4A">
            <w:pPr>
              <w:jc w:val="right"/>
              <w:rPr>
                <w:lang w:eastAsia="en-AU"/>
              </w:rPr>
            </w:pPr>
            <w:r w:rsidRPr="00E30568">
              <w:t>5</w:t>
            </w:r>
          </w:p>
        </w:tc>
      </w:tr>
      <w:tr w:rsidR="00F61E4A" w14:paraId="759E60CD" w14:textId="77777777" w:rsidTr="00FB4134">
        <w:trPr>
          <w:gridAfter w:val="1"/>
          <w:wAfter w:w="58" w:type="dxa"/>
        </w:trPr>
        <w:tc>
          <w:tcPr>
            <w:tcW w:w="5382" w:type="dxa"/>
          </w:tcPr>
          <w:p w14:paraId="19B008F4" w14:textId="7B56838D" w:rsidR="00F61E4A" w:rsidRDefault="00F61E4A" w:rsidP="00F61E4A">
            <w:pPr>
              <w:rPr>
                <w:lang w:eastAsia="en-AU"/>
              </w:rPr>
            </w:pPr>
            <w:r w:rsidRPr="00B1008F">
              <w:t>Remeasurements of defined benefit liability</w:t>
            </w:r>
          </w:p>
        </w:tc>
        <w:tc>
          <w:tcPr>
            <w:tcW w:w="1843" w:type="dxa"/>
          </w:tcPr>
          <w:p w14:paraId="11544A04" w14:textId="113B398E" w:rsidR="00F61E4A" w:rsidRDefault="00F61E4A" w:rsidP="00F61E4A">
            <w:pPr>
              <w:jc w:val="right"/>
              <w:rPr>
                <w:lang w:eastAsia="en-AU"/>
              </w:rPr>
            </w:pPr>
            <w:r w:rsidRPr="00E30568">
              <w:t xml:space="preserve"> (213)</w:t>
            </w:r>
          </w:p>
        </w:tc>
        <w:tc>
          <w:tcPr>
            <w:tcW w:w="1791" w:type="dxa"/>
          </w:tcPr>
          <w:p w14:paraId="69A838F8" w14:textId="281BBDED" w:rsidR="00F61E4A" w:rsidRDefault="00F61E4A" w:rsidP="00F61E4A">
            <w:pPr>
              <w:jc w:val="right"/>
              <w:rPr>
                <w:lang w:eastAsia="en-AU"/>
              </w:rPr>
            </w:pPr>
            <w:r w:rsidRPr="00E30568">
              <w:t>749</w:t>
            </w:r>
          </w:p>
        </w:tc>
      </w:tr>
      <w:tr w:rsidR="00F61E4A" w14:paraId="58179EB1" w14:textId="77777777" w:rsidTr="00FB4134">
        <w:trPr>
          <w:gridAfter w:val="1"/>
          <w:wAfter w:w="58" w:type="dxa"/>
        </w:trPr>
        <w:tc>
          <w:tcPr>
            <w:tcW w:w="5382" w:type="dxa"/>
          </w:tcPr>
          <w:p w14:paraId="57F48917" w14:textId="4AB39070" w:rsidR="00F61E4A" w:rsidRDefault="00F61E4A" w:rsidP="00F61E4A">
            <w:pPr>
              <w:rPr>
                <w:lang w:eastAsia="en-AU"/>
              </w:rPr>
            </w:pPr>
            <w:r w:rsidRPr="00F61E4A">
              <w:rPr>
                <w:lang w:eastAsia="en-AU"/>
              </w:rPr>
              <w:t>Decrease/(increase) in assets:</w:t>
            </w:r>
          </w:p>
        </w:tc>
        <w:tc>
          <w:tcPr>
            <w:tcW w:w="1843" w:type="dxa"/>
          </w:tcPr>
          <w:p w14:paraId="5B3C117E" w14:textId="77777777" w:rsidR="00F61E4A" w:rsidRDefault="00F61E4A" w:rsidP="00F61E4A">
            <w:pPr>
              <w:rPr>
                <w:lang w:eastAsia="en-AU"/>
              </w:rPr>
            </w:pPr>
          </w:p>
        </w:tc>
        <w:tc>
          <w:tcPr>
            <w:tcW w:w="1791" w:type="dxa"/>
          </w:tcPr>
          <w:p w14:paraId="2A77FC52" w14:textId="77777777" w:rsidR="00F61E4A" w:rsidRDefault="00F61E4A" w:rsidP="00F61E4A">
            <w:pPr>
              <w:rPr>
                <w:lang w:eastAsia="en-AU"/>
              </w:rPr>
            </w:pPr>
          </w:p>
        </w:tc>
      </w:tr>
      <w:tr w:rsidR="00F61E4A" w14:paraId="15F656C0" w14:textId="77777777" w:rsidTr="00FB4134">
        <w:trPr>
          <w:gridAfter w:val="1"/>
          <w:wAfter w:w="58" w:type="dxa"/>
        </w:trPr>
        <w:tc>
          <w:tcPr>
            <w:tcW w:w="5382" w:type="dxa"/>
          </w:tcPr>
          <w:p w14:paraId="1D2FE264" w14:textId="6E76469F" w:rsidR="00F61E4A" w:rsidRDefault="00F61E4A" w:rsidP="00F61E4A">
            <w:pPr>
              <w:rPr>
                <w:lang w:eastAsia="en-AU"/>
              </w:rPr>
            </w:pPr>
            <w:r w:rsidRPr="005E05AC">
              <w:t>Current receivables</w:t>
            </w:r>
          </w:p>
        </w:tc>
        <w:tc>
          <w:tcPr>
            <w:tcW w:w="1843" w:type="dxa"/>
          </w:tcPr>
          <w:p w14:paraId="510CD3FE" w14:textId="0712043A" w:rsidR="00F61E4A" w:rsidRDefault="00F61E4A" w:rsidP="00F61E4A">
            <w:pPr>
              <w:jc w:val="right"/>
              <w:rPr>
                <w:lang w:eastAsia="en-AU"/>
              </w:rPr>
            </w:pPr>
            <w:r w:rsidRPr="008D045A">
              <w:t xml:space="preserve"> (213)</w:t>
            </w:r>
          </w:p>
        </w:tc>
        <w:tc>
          <w:tcPr>
            <w:tcW w:w="1791" w:type="dxa"/>
          </w:tcPr>
          <w:p w14:paraId="742DA3EB" w14:textId="5938D9BE" w:rsidR="00F61E4A" w:rsidRDefault="00F61E4A" w:rsidP="00F61E4A">
            <w:pPr>
              <w:jc w:val="right"/>
              <w:rPr>
                <w:lang w:eastAsia="en-AU"/>
              </w:rPr>
            </w:pPr>
            <w:r w:rsidRPr="008D045A">
              <w:t xml:space="preserve"> 22 </w:t>
            </w:r>
          </w:p>
        </w:tc>
      </w:tr>
      <w:tr w:rsidR="00F61E4A" w14:paraId="60628292" w14:textId="77777777" w:rsidTr="00FB4134">
        <w:trPr>
          <w:gridAfter w:val="1"/>
          <w:wAfter w:w="58" w:type="dxa"/>
        </w:trPr>
        <w:tc>
          <w:tcPr>
            <w:tcW w:w="5382" w:type="dxa"/>
          </w:tcPr>
          <w:p w14:paraId="266AB847" w14:textId="4A802411" w:rsidR="00F61E4A" w:rsidRDefault="00F61E4A" w:rsidP="00F61E4A">
            <w:pPr>
              <w:rPr>
                <w:lang w:eastAsia="en-AU"/>
              </w:rPr>
            </w:pPr>
            <w:r w:rsidRPr="005E05AC">
              <w:t>Other Assets</w:t>
            </w:r>
          </w:p>
        </w:tc>
        <w:tc>
          <w:tcPr>
            <w:tcW w:w="1843" w:type="dxa"/>
          </w:tcPr>
          <w:p w14:paraId="672C3BEE" w14:textId="75064276" w:rsidR="00F61E4A" w:rsidRDefault="00F61E4A" w:rsidP="00F61E4A">
            <w:pPr>
              <w:jc w:val="right"/>
              <w:rPr>
                <w:lang w:eastAsia="en-AU"/>
              </w:rPr>
            </w:pPr>
            <w:r w:rsidRPr="008D045A">
              <w:t xml:space="preserve"> (8)</w:t>
            </w:r>
          </w:p>
        </w:tc>
        <w:tc>
          <w:tcPr>
            <w:tcW w:w="1791" w:type="dxa"/>
          </w:tcPr>
          <w:p w14:paraId="270405E2" w14:textId="0C308D0D" w:rsidR="00F61E4A" w:rsidRDefault="00F61E4A" w:rsidP="00F61E4A">
            <w:pPr>
              <w:jc w:val="right"/>
              <w:rPr>
                <w:lang w:eastAsia="en-AU"/>
              </w:rPr>
            </w:pPr>
            <w:r w:rsidRPr="008D045A">
              <w:t xml:space="preserve"> (75)</w:t>
            </w:r>
          </w:p>
        </w:tc>
      </w:tr>
      <w:tr w:rsidR="00F61E4A" w14:paraId="71179016" w14:textId="77777777" w:rsidTr="00FB4134">
        <w:trPr>
          <w:gridAfter w:val="1"/>
          <w:wAfter w:w="58" w:type="dxa"/>
        </w:trPr>
        <w:tc>
          <w:tcPr>
            <w:tcW w:w="5382" w:type="dxa"/>
          </w:tcPr>
          <w:p w14:paraId="3E380237" w14:textId="4EC9BE75" w:rsidR="00F61E4A" w:rsidRDefault="00F61E4A" w:rsidP="00F61E4A">
            <w:pPr>
              <w:rPr>
                <w:lang w:eastAsia="en-AU"/>
              </w:rPr>
            </w:pPr>
            <w:r w:rsidRPr="00F61E4A">
              <w:rPr>
                <w:lang w:eastAsia="en-AU"/>
              </w:rPr>
              <w:t>Increase/(decrease) in liabilities:</w:t>
            </w:r>
          </w:p>
        </w:tc>
        <w:tc>
          <w:tcPr>
            <w:tcW w:w="1843" w:type="dxa"/>
          </w:tcPr>
          <w:p w14:paraId="05B9D665" w14:textId="77777777" w:rsidR="00F61E4A" w:rsidRDefault="00F61E4A" w:rsidP="00F61E4A">
            <w:pPr>
              <w:rPr>
                <w:lang w:eastAsia="en-AU"/>
              </w:rPr>
            </w:pPr>
          </w:p>
        </w:tc>
        <w:tc>
          <w:tcPr>
            <w:tcW w:w="1791" w:type="dxa"/>
          </w:tcPr>
          <w:p w14:paraId="45628F12" w14:textId="77777777" w:rsidR="00F61E4A" w:rsidRDefault="00F61E4A" w:rsidP="00F61E4A">
            <w:pPr>
              <w:rPr>
                <w:lang w:eastAsia="en-AU"/>
              </w:rPr>
            </w:pPr>
          </w:p>
        </w:tc>
      </w:tr>
      <w:tr w:rsidR="00F61E4A" w14:paraId="51C55911" w14:textId="77777777" w:rsidTr="00FB4134">
        <w:trPr>
          <w:gridAfter w:val="1"/>
          <w:wAfter w:w="58" w:type="dxa"/>
        </w:trPr>
        <w:tc>
          <w:tcPr>
            <w:tcW w:w="5382" w:type="dxa"/>
            <w:vAlign w:val="bottom"/>
          </w:tcPr>
          <w:p w14:paraId="2FFF8112" w14:textId="59993B5B" w:rsidR="00F61E4A" w:rsidRDefault="00F61E4A" w:rsidP="00F61E4A">
            <w:pPr>
              <w:rPr>
                <w:lang w:eastAsia="en-AU"/>
              </w:rPr>
            </w:pPr>
            <w:r>
              <w:t>Current payables</w:t>
            </w:r>
            <w:r>
              <w:rPr>
                <w:vertAlign w:val="superscript"/>
              </w:rPr>
              <w:t>(a)</w:t>
            </w:r>
          </w:p>
        </w:tc>
        <w:tc>
          <w:tcPr>
            <w:tcW w:w="1843" w:type="dxa"/>
          </w:tcPr>
          <w:p w14:paraId="78076AB9" w14:textId="49AF5CA4" w:rsidR="00F61E4A" w:rsidRDefault="00F61E4A" w:rsidP="00F61E4A">
            <w:pPr>
              <w:jc w:val="right"/>
              <w:rPr>
                <w:lang w:eastAsia="en-AU"/>
              </w:rPr>
            </w:pPr>
            <w:r w:rsidRPr="00E14B65">
              <w:t xml:space="preserve"> 502 </w:t>
            </w:r>
          </w:p>
        </w:tc>
        <w:tc>
          <w:tcPr>
            <w:tcW w:w="1791" w:type="dxa"/>
          </w:tcPr>
          <w:p w14:paraId="4F963D95" w14:textId="6781D405" w:rsidR="00F61E4A" w:rsidRDefault="00F61E4A" w:rsidP="00F61E4A">
            <w:pPr>
              <w:jc w:val="right"/>
              <w:rPr>
                <w:lang w:eastAsia="en-AU"/>
              </w:rPr>
            </w:pPr>
            <w:r w:rsidRPr="00E14B65">
              <w:t xml:space="preserve"> 101 </w:t>
            </w:r>
          </w:p>
        </w:tc>
      </w:tr>
      <w:tr w:rsidR="00F61E4A" w14:paraId="1D05A580" w14:textId="77777777" w:rsidTr="00FB4134">
        <w:trPr>
          <w:gridAfter w:val="1"/>
          <w:wAfter w:w="58" w:type="dxa"/>
        </w:trPr>
        <w:tc>
          <w:tcPr>
            <w:tcW w:w="5382" w:type="dxa"/>
            <w:vAlign w:val="bottom"/>
          </w:tcPr>
          <w:p w14:paraId="1AF6B626" w14:textId="6686FE1A" w:rsidR="00F61E4A" w:rsidRDefault="00F61E4A" w:rsidP="00F61E4A">
            <w:pPr>
              <w:rPr>
                <w:lang w:eastAsia="en-AU"/>
              </w:rPr>
            </w:pPr>
            <w:r>
              <w:t>Current provisions</w:t>
            </w:r>
          </w:p>
        </w:tc>
        <w:tc>
          <w:tcPr>
            <w:tcW w:w="1843" w:type="dxa"/>
          </w:tcPr>
          <w:p w14:paraId="05B68289" w14:textId="7AAFB8DA" w:rsidR="00F61E4A" w:rsidRDefault="00F61E4A" w:rsidP="00F61E4A">
            <w:pPr>
              <w:jc w:val="right"/>
              <w:rPr>
                <w:lang w:eastAsia="en-AU"/>
              </w:rPr>
            </w:pPr>
            <w:r w:rsidRPr="00E14B65">
              <w:t xml:space="preserve"> 2,145 </w:t>
            </w:r>
          </w:p>
        </w:tc>
        <w:tc>
          <w:tcPr>
            <w:tcW w:w="1791" w:type="dxa"/>
          </w:tcPr>
          <w:p w14:paraId="45BA741F" w14:textId="425378C2" w:rsidR="00F61E4A" w:rsidRDefault="00F61E4A" w:rsidP="00F61E4A">
            <w:pPr>
              <w:jc w:val="right"/>
              <w:rPr>
                <w:lang w:eastAsia="en-AU"/>
              </w:rPr>
            </w:pPr>
            <w:r w:rsidRPr="00E14B65">
              <w:t xml:space="preserve"> (987)</w:t>
            </w:r>
          </w:p>
        </w:tc>
      </w:tr>
      <w:tr w:rsidR="00F61E4A" w14:paraId="4AEBB89A" w14:textId="77777777" w:rsidTr="00FB4134">
        <w:trPr>
          <w:gridAfter w:val="1"/>
          <w:wAfter w:w="58" w:type="dxa"/>
        </w:trPr>
        <w:tc>
          <w:tcPr>
            <w:tcW w:w="5382" w:type="dxa"/>
            <w:vAlign w:val="bottom"/>
          </w:tcPr>
          <w:p w14:paraId="7CAAE9FA" w14:textId="63CF28CC" w:rsidR="00F61E4A" w:rsidRDefault="00F61E4A" w:rsidP="00F61E4A">
            <w:pPr>
              <w:rPr>
                <w:lang w:eastAsia="en-AU"/>
              </w:rPr>
            </w:pPr>
            <w:r>
              <w:t>Non-current provisions</w:t>
            </w:r>
          </w:p>
        </w:tc>
        <w:tc>
          <w:tcPr>
            <w:tcW w:w="1843" w:type="dxa"/>
          </w:tcPr>
          <w:p w14:paraId="43DF0ACA" w14:textId="174C842B" w:rsidR="00F61E4A" w:rsidRDefault="00F61E4A" w:rsidP="00F61E4A">
            <w:pPr>
              <w:jc w:val="right"/>
              <w:rPr>
                <w:lang w:eastAsia="en-AU"/>
              </w:rPr>
            </w:pPr>
            <w:r w:rsidRPr="00E14B65">
              <w:t xml:space="preserve"> (265)</w:t>
            </w:r>
          </w:p>
        </w:tc>
        <w:tc>
          <w:tcPr>
            <w:tcW w:w="1791" w:type="dxa"/>
          </w:tcPr>
          <w:p w14:paraId="5EADC1AB" w14:textId="6D77295B" w:rsidR="00F61E4A" w:rsidRDefault="00F61E4A" w:rsidP="00F61E4A">
            <w:pPr>
              <w:jc w:val="right"/>
              <w:rPr>
                <w:lang w:eastAsia="en-AU"/>
              </w:rPr>
            </w:pPr>
            <w:r w:rsidRPr="00E14B65">
              <w:t xml:space="preserve"> (3,344)</w:t>
            </w:r>
          </w:p>
        </w:tc>
      </w:tr>
      <w:tr w:rsidR="00FB4134" w14:paraId="1E41444A" w14:textId="77777777" w:rsidTr="00FB4134">
        <w:trPr>
          <w:gridAfter w:val="1"/>
          <w:wAfter w:w="58" w:type="dxa"/>
        </w:trPr>
        <w:tc>
          <w:tcPr>
            <w:tcW w:w="5382" w:type="dxa"/>
          </w:tcPr>
          <w:p w14:paraId="5015D2F9" w14:textId="519473ED" w:rsidR="00FB4134" w:rsidRPr="00F61E4A" w:rsidRDefault="00FB4134" w:rsidP="00FB4134">
            <w:pPr>
              <w:rPr>
                <w:vertAlign w:val="superscript"/>
                <w:lang w:eastAsia="en-AU"/>
              </w:rPr>
            </w:pPr>
            <w:r>
              <w:t>Net GST receipts/(payments)</w:t>
            </w:r>
            <w:r>
              <w:rPr>
                <w:vertAlign w:val="superscript"/>
              </w:rPr>
              <w:t>(b)</w:t>
            </w:r>
          </w:p>
        </w:tc>
        <w:tc>
          <w:tcPr>
            <w:tcW w:w="1843" w:type="dxa"/>
          </w:tcPr>
          <w:p w14:paraId="704B6AED" w14:textId="6C0B7265" w:rsidR="00FB4134" w:rsidRDefault="00FB4134" w:rsidP="00FB4134">
            <w:pPr>
              <w:jc w:val="right"/>
              <w:rPr>
                <w:lang w:eastAsia="en-AU"/>
              </w:rPr>
            </w:pPr>
            <w:r w:rsidRPr="00734251">
              <w:t xml:space="preserve"> (5)</w:t>
            </w:r>
          </w:p>
        </w:tc>
        <w:tc>
          <w:tcPr>
            <w:tcW w:w="1791" w:type="dxa"/>
          </w:tcPr>
          <w:p w14:paraId="18520973" w14:textId="0E307F56" w:rsidR="00FB4134" w:rsidRDefault="00FB4134" w:rsidP="00FB4134">
            <w:pPr>
              <w:jc w:val="right"/>
              <w:rPr>
                <w:lang w:eastAsia="en-AU"/>
              </w:rPr>
            </w:pPr>
            <w:r w:rsidRPr="00734251">
              <w:t xml:space="preserve"> 3 </w:t>
            </w:r>
          </w:p>
        </w:tc>
      </w:tr>
      <w:tr w:rsidR="00FB4134" w14:paraId="5AAA27BA" w14:textId="77777777" w:rsidTr="00FB4134">
        <w:trPr>
          <w:gridAfter w:val="1"/>
          <w:wAfter w:w="58" w:type="dxa"/>
        </w:trPr>
        <w:tc>
          <w:tcPr>
            <w:tcW w:w="5382" w:type="dxa"/>
          </w:tcPr>
          <w:p w14:paraId="48E5979C" w14:textId="5B143642" w:rsidR="00FB4134" w:rsidRPr="00F61E4A" w:rsidRDefault="00FB4134" w:rsidP="00FB4134">
            <w:pPr>
              <w:rPr>
                <w:vertAlign w:val="superscript"/>
                <w:lang w:eastAsia="en-AU"/>
              </w:rPr>
            </w:pPr>
            <w:r w:rsidRPr="00A3255E">
              <w:t xml:space="preserve">Change </w:t>
            </w:r>
            <w:r>
              <w:t>in GST receivables/(payables)</w:t>
            </w:r>
            <w:r>
              <w:rPr>
                <w:vertAlign w:val="superscript"/>
              </w:rPr>
              <w:t>(c)</w:t>
            </w:r>
          </w:p>
        </w:tc>
        <w:tc>
          <w:tcPr>
            <w:tcW w:w="1843" w:type="dxa"/>
            <w:tcBorders>
              <w:bottom w:val="single" w:sz="4" w:space="0" w:color="auto"/>
            </w:tcBorders>
          </w:tcPr>
          <w:p w14:paraId="2AF61583" w14:textId="7591B66B" w:rsidR="00FB4134" w:rsidRDefault="00FB4134" w:rsidP="00FB4134">
            <w:pPr>
              <w:jc w:val="right"/>
              <w:rPr>
                <w:lang w:eastAsia="en-AU"/>
              </w:rPr>
            </w:pPr>
            <w:r w:rsidRPr="00734251">
              <w:t xml:space="preserve"> 9 </w:t>
            </w:r>
          </w:p>
        </w:tc>
        <w:tc>
          <w:tcPr>
            <w:tcW w:w="1791" w:type="dxa"/>
            <w:tcBorders>
              <w:bottom w:val="single" w:sz="4" w:space="0" w:color="auto"/>
            </w:tcBorders>
          </w:tcPr>
          <w:p w14:paraId="3DA41443" w14:textId="72101F34" w:rsidR="00FB4134" w:rsidRDefault="00FB4134" w:rsidP="00FB4134">
            <w:pPr>
              <w:jc w:val="right"/>
              <w:rPr>
                <w:lang w:eastAsia="en-AU"/>
              </w:rPr>
            </w:pPr>
            <w:r w:rsidRPr="00734251">
              <w:t xml:space="preserve"> 3 </w:t>
            </w:r>
          </w:p>
        </w:tc>
      </w:tr>
      <w:tr w:rsidR="00FB4134" w:rsidRPr="001F3F45" w14:paraId="37AE249F" w14:textId="77777777" w:rsidTr="00FB4134">
        <w:trPr>
          <w:trHeight w:val="521"/>
        </w:trPr>
        <w:tc>
          <w:tcPr>
            <w:tcW w:w="5382" w:type="dxa"/>
          </w:tcPr>
          <w:p w14:paraId="26E4912D" w14:textId="4811AB04" w:rsidR="00FB4134" w:rsidRDefault="00FB4134" w:rsidP="00BA7C82">
            <w:pPr>
              <w:rPr>
                <w:lang w:val="en-US" w:eastAsia="en-AU"/>
              </w:rPr>
            </w:pPr>
            <w:r w:rsidRPr="00A3255E">
              <w:t>Net cash provided by operating activities</w:t>
            </w:r>
          </w:p>
        </w:tc>
        <w:tc>
          <w:tcPr>
            <w:tcW w:w="1843" w:type="dxa"/>
            <w:tcBorders>
              <w:top w:val="single" w:sz="4" w:space="0" w:color="auto"/>
              <w:bottom w:val="double" w:sz="4" w:space="0" w:color="auto"/>
            </w:tcBorders>
          </w:tcPr>
          <w:p w14:paraId="29A22232" w14:textId="561C2C25" w:rsidR="00FB4134" w:rsidRPr="001F3F45" w:rsidRDefault="00FB4134" w:rsidP="00FB4134">
            <w:pPr>
              <w:jc w:val="right"/>
              <w:rPr>
                <w:b/>
                <w:lang w:val="en-US" w:eastAsia="en-AU"/>
              </w:rPr>
            </w:pPr>
            <w:r w:rsidRPr="00FB4134">
              <w:rPr>
                <w:b/>
              </w:rPr>
              <w:t>2,555</w:t>
            </w:r>
          </w:p>
        </w:tc>
        <w:tc>
          <w:tcPr>
            <w:tcW w:w="1849" w:type="dxa"/>
            <w:gridSpan w:val="2"/>
            <w:tcBorders>
              <w:top w:val="single" w:sz="4" w:space="0" w:color="auto"/>
              <w:bottom w:val="double" w:sz="4" w:space="0" w:color="auto"/>
            </w:tcBorders>
          </w:tcPr>
          <w:p w14:paraId="4C06B081" w14:textId="566E0198" w:rsidR="00FB4134" w:rsidRPr="001F3F45" w:rsidRDefault="00FB4134" w:rsidP="00FB4134">
            <w:pPr>
              <w:jc w:val="right"/>
              <w:rPr>
                <w:b/>
                <w:lang w:val="en-US" w:eastAsia="en-AU"/>
              </w:rPr>
            </w:pPr>
            <w:r w:rsidRPr="00FB4134">
              <w:rPr>
                <w:b/>
              </w:rPr>
              <w:t>2,049</w:t>
            </w:r>
          </w:p>
        </w:tc>
      </w:tr>
      <w:tr w:rsidR="00FB4134" w14:paraId="7D55C6B5" w14:textId="77777777" w:rsidTr="00FB4134">
        <w:trPr>
          <w:gridAfter w:val="1"/>
          <w:wAfter w:w="58" w:type="dxa"/>
        </w:trPr>
        <w:tc>
          <w:tcPr>
            <w:tcW w:w="5382" w:type="dxa"/>
          </w:tcPr>
          <w:p w14:paraId="264ED13C" w14:textId="036EADE4" w:rsidR="00FB4134" w:rsidRPr="00A3255E" w:rsidRDefault="00FB4134" w:rsidP="00FB4134"/>
        </w:tc>
        <w:tc>
          <w:tcPr>
            <w:tcW w:w="1843" w:type="dxa"/>
            <w:tcBorders>
              <w:top w:val="single" w:sz="4" w:space="0" w:color="auto"/>
            </w:tcBorders>
          </w:tcPr>
          <w:p w14:paraId="38BDBE91" w14:textId="39415EDD" w:rsidR="00FB4134" w:rsidRPr="00FB4134" w:rsidRDefault="00FB4134" w:rsidP="00FB4134">
            <w:pPr>
              <w:jc w:val="right"/>
              <w:rPr>
                <w:b/>
              </w:rPr>
            </w:pPr>
          </w:p>
        </w:tc>
        <w:tc>
          <w:tcPr>
            <w:tcW w:w="1791" w:type="dxa"/>
            <w:tcBorders>
              <w:top w:val="single" w:sz="4" w:space="0" w:color="auto"/>
            </w:tcBorders>
          </w:tcPr>
          <w:p w14:paraId="62449D5C" w14:textId="36215EDF" w:rsidR="00FB4134" w:rsidRPr="00FB4134" w:rsidRDefault="00FB4134" w:rsidP="00FB4134">
            <w:pPr>
              <w:jc w:val="right"/>
              <w:rPr>
                <w:b/>
              </w:rPr>
            </w:pPr>
          </w:p>
        </w:tc>
      </w:tr>
    </w:tbl>
    <w:p w14:paraId="28AD9A9E" w14:textId="22ECB083" w:rsidR="00EC16A9" w:rsidRDefault="00EC16A9" w:rsidP="00EC16A9">
      <w:pPr>
        <w:rPr>
          <w:lang w:eastAsia="en-AU"/>
        </w:rPr>
      </w:pPr>
      <w:r w:rsidRPr="00EC16A9">
        <w:rPr>
          <w:vertAlign w:val="superscript"/>
          <w:lang w:eastAsia="en-AU"/>
        </w:rPr>
        <w:t>(a)</w:t>
      </w:r>
      <w:r>
        <w:rPr>
          <w:lang w:eastAsia="en-AU"/>
        </w:rPr>
        <w:t xml:space="preserve"> Note that the Australian Taxation Office (ATO) receivable/payable in respect of GST and the receivable/payable in respect of the sale/purchase of non-current assets are not included in these items as they do not form part of the reconciling items.</w:t>
      </w:r>
      <w:r>
        <w:rPr>
          <w:lang w:eastAsia="en-AU"/>
        </w:rPr>
        <w:tab/>
      </w:r>
      <w:r>
        <w:rPr>
          <w:lang w:eastAsia="en-AU"/>
        </w:rPr>
        <w:tab/>
      </w:r>
      <w:r>
        <w:rPr>
          <w:lang w:eastAsia="en-AU"/>
        </w:rPr>
        <w:tab/>
      </w:r>
    </w:p>
    <w:p w14:paraId="271174AB" w14:textId="59C30869" w:rsidR="00EC16A9" w:rsidRDefault="00EC16A9" w:rsidP="00EC16A9">
      <w:pPr>
        <w:rPr>
          <w:lang w:eastAsia="en-AU"/>
        </w:rPr>
      </w:pPr>
      <w:r w:rsidRPr="00EC16A9">
        <w:rPr>
          <w:vertAlign w:val="superscript"/>
          <w:lang w:eastAsia="en-AU"/>
        </w:rPr>
        <w:t>(b)</w:t>
      </w:r>
      <w:r>
        <w:rPr>
          <w:lang w:eastAsia="en-AU"/>
        </w:rPr>
        <w:t xml:space="preserve"> This is the net GST paid/received, i.e. cash transactions.</w:t>
      </w:r>
    </w:p>
    <w:p w14:paraId="61AB0F4A" w14:textId="77777777" w:rsidR="00EC16A9" w:rsidRDefault="00EC16A9" w:rsidP="00EC16A9">
      <w:pPr>
        <w:rPr>
          <w:lang w:eastAsia="en-AU"/>
        </w:rPr>
      </w:pPr>
      <w:r w:rsidRPr="00EC16A9">
        <w:rPr>
          <w:vertAlign w:val="superscript"/>
          <w:lang w:eastAsia="en-AU"/>
        </w:rPr>
        <w:t>(c)</w:t>
      </w:r>
      <w:r>
        <w:rPr>
          <w:lang w:eastAsia="en-AU"/>
        </w:rPr>
        <w:t xml:space="preserve"> This reverses out the GST in receivables and payables.</w:t>
      </w:r>
    </w:p>
    <w:p w14:paraId="065B578E" w14:textId="41B1CD34" w:rsidR="00F61E4A" w:rsidRDefault="00EC16A9" w:rsidP="00EC16A9">
      <w:pPr>
        <w:pStyle w:val="Heading3nonumber"/>
        <w:rPr>
          <w:lang w:eastAsia="en-AU"/>
        </w:rPr>
      </w:pPr>
      <w:bookmarkStart w:id="794" w:name="_Toc525122190"/>
      <w:r>
        <w:rPr>
          <w:lang w:eastAsia="en-AU"/>
        </w:rPr>
        <w:t>7.2 Other financial assets</w:t>
      </w:r>
      <w:bookmarkEnd w:id="794"/>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ther financial assets"/>
        <w:tblDescription w:val="This table outlines other financial assets for the reporting period. "/>
      </w:tblPr>
      <w:tblGrid>
        <w:gridCol w:w="5382"/>
        <w:gridCol w:w="1843"/>
        <w:gridCol w:w="1791"/>
      </w:tblGrid>
      <w:tr w:rsidR="00EC16A9" w14:paraId="61729906" w14:textId="77777777" w:rsidTr="00F11774">
        <w:trPr>
          <w:tblHeader/>
        </w:trPr>
        <w:tc>
          <w:tcPr>
            <w:tcW w:w="5382" w:type="dxa"/>
          </w:tcPr>
          <w:p w14:paraId="4F85CE80" w14:textId="77777777" w:rsidR="00EC16A9" w:rsidRDefault="00EC16A9" w:rsidP="00BA7C82">
            <w:pPr>
              <w:rPr>
                <w:lang w:eastAsia="en-AU"/>
              </w:rPr>
            </w:pPr>
          </w:p>
        </w:tc>
        <w:tc>
          <w:tcPr>
            <w:tcW w:w="1843" w:type="dxa"/>
          </w:tcPr>
          <w:p w14:paraId="5B4FDC64" w14:textId="77777777" w:rsidR="00EC16A9" w:rsidRDefault="00EC16A9" w:rsidP="00BA7C82">
            <w:pPr>
              <w:jc w:val="right"/>
              <w:rPr>
                <w:lang w:eastAsia="en-AU"/>
              </w:rPr>
            </w:pPr>
            <w:r>
              <w:rPr>
                <w:b/>
                <w:lang w:val="en-US" w:eastAsia="en-AU"/>
              </w:rPr>
              <w:t>2018</w:t>
            </w:r>
            <w:r>
              <w:rPr>
                <w:b/>
                <w:lang w:val="en-US" w:eastAsia="en-AU"/>
              </w:rPr>
              <w:br/>
              <w:t>$000</w:t>
            </w:r>
          </w:p>
        </w:tc>
        <w:tc>
          <w:tcPr>
            <w:tcW w:w="1791" w:type="dxa"/>
          </w:tcPr>
          <w:p w14:paraId="21C6C4A4" w14:textId="77777777" w:rsidR="00EC16A9" w:rsidRDefault="00EC16A9" w:rsidP="00BA7C82">
            <w:pPr>
              <w:jc w:val="right"/>
              <w:rPr>
                <w:lang w:eastAsia="en-AU"/>
              </w:rPr>
            </w:pPr>
            <w:r>
              <w:rPr>
                <w:b/>
                <w:lang w:val="en-US" w:eastAsia="en-AU"/>
              </w:rPr>
              <w:t>2017</w:t>
            </w:r>
            <w:r>
              <w:rPr>
                <w:b/>
                <w:lang w:val="en-US" w:eastAsia="en-AU"/>
              </w:rPr>
              <w:br/>
              <w:t>$000</w:t>
            </w:r>
          </w:p>
        </w:tc>
      </w:tr>
      <w:tr w:rsidR="00EC16A9" w14:paraId="525DEABA" w14:textId="77777777" w:rsidTr="00EC16A9">
        <w:tc>
          <w:tcPr>
            <w:tcW w:w="5382" w:type="dxa"/>
          </w:tcPr>
          <w:p w14:paraId="04656608" w14:textId="4A3B84D6" w:rsidR="00EC16A9" w:rsidRPr="00EC16A9" w:rsidRDefault="00EC16A9" w:rsidP="00BA7C82">
            <w:pPr>
              <w:rPr>
                <w:u w:val="single"/>
                <w:lang w:eastAsia="en-AU"/>
              </w:rPr>
            </w:pPr>
            <w:r w:rsidRPr="00EC16A9">
              <w:rPr>
                <w:u w:val="single"/>
                <w:lang w:eastAsia="en-AU"/>
              </w:rPr>
              <w:t>Current</w:t>
            </w:r>
          </w:p>
        </w:tc>
        <w:tc>
          <w:tcPr>
            <w:tcW w:w="1843" w:type="dxa"/>
          </w:tcPr>
          <w:p w14:paraId="4107F522" w14:textId="54F568D9" w:rsidR="00EC16A9" w:rsidRDefault="00EC16A9" w:rsidP="00BA7C82">
            <w:pPr>
              <w:jc w:val="right"/>
              <w:rPr>
                <w:lang w:eastAsia="en-AU"/>
              </w:rPr>
            </w:pPr>
          </w:p>
        </w:tc>
        <w:tc>
          <w:tcPr>
            <w:tcW w:w="1791" w:type="dxa"/>
          </w:tcPr>
          <w:p w14:paraId="6953E3FA" w14:textId="656B003F" w:rsidR="00EC16A9" w:rsidRDefault="00EC16A9" w:rsidP="00BA7C82">
            <w:pPr>
              <w:jc w:val="right"/>
              <w:rPr>
                <w:lang w:eastAsia="en-AU"/>
              </w:rPr>
            </w:pPr>
          </w:p>
        </w:tc>
      </w:tr>
      <w:tr w:rsidR="00EC16A9" w14:paraId="59E5E73B" w14:textId="77777777" w:rsidTr="00EC16A9">
        <w:tc>
          <w:tcPr>
            <w:tcW w:w="5382" w:type="dxa"/>
          </w:tcPr>
          <w:p w14:paraId="7802B38A" w14:textId="15E68E22" w:rsidR="00EC16A9" w:rsidRDefault="00EC16A9" w:rsidP="00BA7C82">
            <w:pPr>
              <w:rPr>
                <w:lang w:eastAsia="en-AU"/>
              </w:rPr>
            </w:pPr>
            <w:r>
              <w:rPr>
                <w:lang w:eastAsia="en-AU"/>
              </w:rPr>
              <w:t>At Cost:</w:t>
            </w:r>
          </w:p>
        </w:tc>
        <w:tc>
          <w:tcPr>
            <w:tcW w:w="1843" w:type="dxa"/>
          </w:tcPr>
          <w:p w14:paraId="1AAEAA66" w14:textId="77777777" w:rsidR="00EC16A9" w:rsidRDefault="00EC16A9" w:rsidP="00BA7C82">
            <w:pPr>
              <w:rPr>
                <w:lang w:eastAsia="en-AU"/>
              </w:rPr>
            </w:pPr>
          </w:p>
        </w:tc>
        <w:tc>
          <w:tcPr>
            <w:tcW w:w="1791" w:type="dxa"/>
          </w:tcPr>
          <w:p w14:paraId="39CBC8DF" w14:textId="77777777" w:rsidR="00EC16A9" w:rsidRDefault="00EC16A9" w:rsidP="00BA7C82">
            <w:pPr>
              <w:rPr>
                <w:lang w:eastAsia="en-AU"/>
              </w:rPr>
            </w:pPr>
          </w:p>
        </w:tc>
      </w:tr>
      <w:tr w:rsidR="00EC16A9" w14:paraId="0E774A01" w14:textId="77777777" w:rsidTr="008728F4">
        <w:tc>
          <w:tcPr>
            <w:tcW w:w="5382" w:type="dxa"/>
            <w:vAlign w:val="center"/>
          </w:tcPr>
          <w:p w14:paraId="63E4A291" w14:textId="70AC3A5B" w:rsidR="00EC16A9" w:rsidRPr="00EC16A9" w:rsidRDefault="00EC16A9" w:rsidP="00EC16A9">
            <w:pPr>
              <w:rPr>
                <w:vertAlign w:val="superscript"/>
                <w:lang w:eastAsia="en-AU"/>
              </w:rPr>
            </w:pPr>
            <w:r>
              <w:rPr>
                <w:lang w:eastAsia="en-AU"/>
              </w:rPr>
              <w:t>Term deposits</w:t>
            </w:r>
            <w:r>
              <w:rPr>
                <w:vertAlign w:val="superscript"/>
                <w:lang w:eastAsia="en-AU"/>
              </w:rPr>
              <w:t>(a)</w:t>
            </w:r>
          </w:p>
        </w:tc>
        <w:tc>
          <w:tcPr>
            <w:tcW w:w="1843" w:type="dxa"/>
            <w:tcBorders>
              <w:bottom w:val="single" w:sz="4" w:space="0" w:color="auto"/>
            </w:tcBorders>
            <w:vAlign w:val="bottom"/>
          </w:tcPr>
          <w:p w14:paraId="553D703D" w14:textId="2DCDBC05" w:rsidR="00EC16A9" w:rsidRDefault="00EC16A9" w:rsidP="00EC16A9">
            <w:pPr>
              <w:jc w:val="right"/>
              <w:rPr>
                <w:lang w:eastAsia="en-AU"/>
              </w:rPr>
            </w:pPr>
            <w:r>
              <w:t xml:space="preserve">               18,024 </w:t>
            </w:r>
          </w:p>
        </w:tc>
        <w:tc>
          <w:tcPr>
            <w:tcW w:w="1791" w:type="dxa"/>
            <w:tcBorders>
              <w:bottom w:val="single" w:sz="4" w:space="0" w:color="auto"/>
            </w:tcBorders>
            <w:vAlign w:val="bottom"/>
          </w:tcPr>
          <w:p w14:paraId="3107ACA7" w14:textId="12A289E3" w:rsidR="00EC16A9" w:rsidRDefault="00EC16A9" w:rsidP="00EC16A9">
            <w:pPr>
              <w:jc w:val="right"/>
              <w:rPr>
                <w:lang w:eastAsia="en-AU"/>
              </w:rPr>
            </w:pPr>
            <w:r>
              <w:t xml:space="preserve">      14,529 </w:t>
            </w:r>
          </w:p>
        </w:tc>
      </w:tr>
      <w:tr w:rsidR="008728F4" w14:paraId="08AB4729" w14:textId="77777777" w:rsidTr="008728F4">
        <w:tc>
          <w:tcPr>
            <w:tcW w:w="5382" w:type="dxa"/>
            <w:vAlign w:val="center"/>
          </w:tcPr>
          <w:p w14:paraId="05CBBFCB" w14:textId="77777777" w:rsidR="008728F4" w:rsidRDefault="008728F4" w:rsidP="008728F4">
            <w:pPr>
              <w:rPr>
                <w:lang w:eastAsia="en-AU"/>
              </w:rPr>
            </w:pPr>
          </w:p>
        </w:tc>
        <w:tc>
          <w:tcPr>
            <w:tcW w:w="1843" w:type="dxa"/>
            <w:tcBorders>
              <w:top w:val="single" w:sz="4" w:space="0" w:color="auto"/>
              <w:bottom w:val="double" w:sz="4" w:space="0" w:color="auto"/>
            </w:tcBorders>
            <w:vAlign w:val="bottom"/>
          </w:tcPr>
          <w:p w14:paraId="748988D0" w14:textId="05C97535" w:rsidR="008728F4" w:rsidRPr="008728F4" w:rsidRDefault="008728F4" w:rsidP="008728F4">
            <w:pPr>
              <w:jc w:val="right"/>
              <w:rPr>
                <w:b/>
              </w:rPr>
            </w:pPr>
            <w:r w:rsidRPr="008728F4">
              <w:rPr>
                <w:b/>
              </w:rPr>
              <w:t xml:space="preserve">                  18,024 </w:t>
            </w:r>
          </w:p>
        </w:tc>
        <w:tc>
          <w:tcPr>
            <w:tcW w:w="1791" w:type="dxa"/>
            <w:tcBorders>
              <w:top w:val="single" w:sz="4" w:space="0" w:color="auto"/>
              <w:bottom w:val="double" w:sz="4" w:space="0" w:color="auto"/>
            </w:tcBorders>
            <w:vAlign w:val="bottom"/>
          </w:tcPr>
          <w:p w14:paraId="5B528AFF" w14:textId="1CA231B8" w:rsidR="008728F4" w:rsidRPr="008728F4" w:rsidRDefault="008728F4" w:rsidP="008728F4">
            <w:pPr>
              <w:jc w:val="right"/>
              <w:rPr>
                <w:b/>
              </w:rPr>
            </w:pPr>
            <w:r w:rsidRPr="008728F4">
              <w:rPr>
                <w:b/>
              </w:rPr>
              <w:t xml:space="preserve">         14,529 </w:t>
            </w:r>
          </w:p>
        </w:tc>
      </w:tr>
    </w:tbl>
    <w:p w14:paraId="5D1A2838" w14:textId="6647A62E" w:rsidR="00EC16A9" w:rsidRDefault="008728F4" w:rsidP="008728F4">
      <w:pPr>
        <w:rPr>
          <w:lang w:eastAsia="en-AU"/>
        </w:rPr>
      </w:pPr>
      <w:r>
        <w:rPr>
          <w:vertAlign w:val="superscript"/>
          <w:lang w:eastAsia="en-AU"/>
        </w:rPr>
        <w:br/>
      </w:r>
      <w:r w:rsidRPr="008728F4">
        <w:rPr>
          <w:vertAlign w:val="superscript"/>
          <w:lang w:eastAsia="en-AU"/>
        </w:rPr>
        <w:t>(a)</w:t>
      </w:r>
      <w:r>
        <w:rPr>
          <w:lang w:eastAsia="en-AU"/>
        </w:rPr>
        <w:t xml:space="preserve"> The term deposits range from 90 days to 365 days. </w:t>
      </w:r>
    </w:p>
    <w:p w14:paraId="0C4593C2" w14:textId="21D4AB5D" w:rsidR="008728F4" w:rsidRDefault="008728F4" w:rsidP="008728F4">
      <w:pPr>
        <w:rPr>
          <w:lang w:eastAsia="en-AU"/>
        </w:rPr>
      </w:pPr>
      <w:r>
        <w:rPr>
          <w:lang w:eastAsia="en-AU"/>
        </w:rPr>
        <w:t>Other financial assets represent the cash investments by the Authority.</w:t>
      </w:r>
    </w:p>
    <w:p w14:paraId="5B0DEF70" w14:textId="693CFCD9" w:rsidR="008728F4" w:rsidRDefault="008728F4" w:rsidP="008728F4">
      <w:pPr>
        <w:rPr>
          <w:lang w:eastAsia="en-AU"/>
        </w:rPr>
      </w:pPr>
      <w:r>
        <w:rPr>
          <w:lang w:eastAsia="en-AU"/>
        </w:rPr>
        <w:t>The Authority maintains cash balances to meet general operational costs throughout the year, the future settlement of existing liabilities and asset replacements. The cash balances are invested into term deposits that range from 90 days to 365 days.</w:t>
      </w:r>
    </w:p>
    <w:p w14:paraId="566603A3" w14:textId="34E03D67" w:rsidR="008160F0" w:rsidRDefault="008728F4" w:rsidP="0076651A">
      <w:pPr>
        <w:rPr>
          <w:lang w:eastAsia="en-AU"/>
        </w:rPr>
      </w:pPr>
      <w:r>
        <w:rPr>
          <w:lang w:eastAsia="en-AU"/>
        </w:rPr>
        <w:t>The Authority assesses at each balance date whether there is objective evidence that a financial asset or group of financial assets is impaired.</w:t>
      </w:r>
    </w:p>
    <w:p w14:paraId="19A07974" w14:textId="30971A5B" w:rsidR="008728F4" w:rsidRDefault="008728F4" w:rsidP="00026A6F">
      <w:pPr>
        <w:pStyle w:val="Heading3nonumber"/>
        <w:numPr>
          <w:ilvl w:val="1"/>
          <w:numId w:val="50"/>
        </w:numPr>
        <w:rPr>
          <w:lang w:eastAsia="en-AU"/>
        </w:rPr>
      </w:pPr>
      <w:bookmarkStart w:id="795" w:name="_Toc525122191"/>
      <w:r>
        <w:rPr>
          <w:lang w:eastAsia="en-AU"/>
        </w:rPr>
        <w:t>Commitments</w:t>
      </w:r>
      <w:bookmarkEnd w:id="795"/>
      <w:r>
        <w:rPr>
          <w:lang w:eastAsia="en-AU"/>
        </w:rPr>
        <w:t xml:space="preserve"> </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mmitments"/>
        <w:tblDescription w:val="This table outlines other expenditure commitments for the reporting period. "/>
      </w:tblPr>
      <w:tblGrid>
        <w:gridCol w:w="5382"/>
        <w:gridCol w:w="1843"/>
        <w:gridCol w:w="1791"/>
      </w:tblGrid>
      <w:tr w:rsidR="0074624A" w14:paraId="4909759D" w14:textId="77777777" w:rsidTr="00F11774">
        <w:trPr>
          <w:tblHeader/>
        </w:trPr>
        <w:tc>
          <w:tcPr>
            <w:tcW w:w="5382" w:type="dxa"/>
          </w:tcPr>
          <w:p w14:paraId="5E01FE61" w14:textId="77777777" w:rsidR="0074624A" w:rsidRDefault="0074624A" w:rsidP="00BA7C82">
            <w:pPr>
              <w:rPr>
                <w:lang w:eastAsia="en-AU"/>
              </w:rPr>
            </w:pPr>
          </w:p>
        </w:tc>
        <w:tc>
          <w:tcPr>
            <w:tcW w:w="1843" w:type="dxa"/>
          </w:tcPr>
          <w:p w14:paraId="0D88B405" w14:textId="77777777" w:rsidR="0074624A" w:rsidRDefault="0074624A" w:rsidP="00BA7C82">
            <w:pPr>
              <w:jc w:val="right"/>
              <w:rPr>
                <w:lang w:eastAsia="en-AU"/>
              </w:rPr>
            </w:pPr>
            <w:r>
              <w:rPr>
                <w:b/>
                <w:lang w:val="en-US" w:eastAsia="en-AU"/>
              </w:rPr>
              <w:t>2018</w:t>
            </w:r>
            <w:r>
              <w:rPr>
                <w:b/>
                <w:lang w:val="en-US" w:eastAsia="en-AU"/>
              </w:rPr>
              <w:br/>
              <w:t>$000</w:t>
            </w:r>
          </w:p>
        </w:tc>
        <w:tc>
          <w:tcPr>
            <w:tcW w:w="1791" w:type="dxa"/>
          </w:tcPr>
          <w:p w14:paraId="506EE30E" w14:textId="77777777" w:rsidR="0074624A" w:rsidRDefault="0074624A" w:rsidP="00BA7C82">
            <w:pPr>
              <w:jc w:val="right"/>
              <w:rPr>
                <w:lang w:eastAsia="en-AU"/>
              </w:rPr>
            </w:pPr>
            <w:r>
              <w:rPr>
                <w:b/>
                <w:lang w:val="en-US" w:eastAsia="en-AU"/>
              </w:rPr>
              <w:t>2017</w:t>
            </w:r>
            <w:r>
              <w:rPr>
                <w:b/>
                <w:lang w:val="en-US" w:eastAsia="en-AU"/>
              </w:rPr>
              <w:br/>
              <w:t>$000</w:t>
            </w:r>
          </w:p>
        </w:tc>
      </w:tr>
      <w:tr w:rsidR="0074624A" w14:paraId="00C561C1" w14:textId="77777777" w:rsidTr="00BA7C82">
        <w:tc>
          <w:tcPr>
            <w:tcW w:w="5382" w:type="dxa"/>
          </w:tcPr>
          <w:p w14:paraId="0AF1E699" w14:textId="0104543D" w:rsidR="0074624A" w:rsidRPr="0074624A" w:rsidRDefault="0074624A" w:rsidP="00BA7C82">
            <w:pPr>
              <w:rPr>
                <w:lang w:eastAsia="en-AU"/>
              </w:rPr>
            </w:pPr>
            <w:r>
              <w:rPr>
                <w:lang w:eastAsia="en-AU"/>
              </w:rPr>
              <w:t>Other expenditure commitments</w:t>
            </w:r>
          </w:p>
        </w:tc>
        <w:tc>
          <w:tcPr>
            <w:tcW w:w="1843" w:type="dxa"/>
          </w:tcPr>
          <w:p w14:paraId="7D2837E5" w14:textId="77777777" w:rsidR="0074624A" w:rsidRDefault="0074624A" w:rsidP="00BA7C82">
            <w:pPr>
              <w:jc w:val="right"/>
              <w:rPr>
                <w:lang w:eastAsia="en-AU"/>
              </w:rPr>
            </w:pPr>
          </w:p>
        </w:tc>
        <w:tc>
          <w:tcPr>
            <w:tcW w:w="1791" w:type="dxa"/>
          </w:tcPr>
          <w:p w14:paraId="0AF554DD" w14:textId="77777777" w:rsidR="0074624A" w:rsidRDefault="0074624A" w:rsidP="00BA7C82">
            <w:pPr>
              <w:jc w:val="right"/>
              <w:rPr>
                <w:lang w:eastAsia="en-AU"/>
              </w:rPr>
            </w:pPr>
          </w:p>
        </w:tc>
      </w:tr>
      <w:tr w:rsidR="0074624A" w14:paraId="2F109F0C" w14:textId="77777777" w:rsidTr="00BA7C82">
        <w:tc>
          <w:tcPr>
            <w:tcW w:w="9016" w:type="dxa"/>
            <w:gridSpan w:val="3"/>
          </w:tcPr>
          <w:p w14:paraId="68736C5A" w14:textId="22A87A17" w:rsidR="0074624A" w:rsidRDefault="0074624A" w:rsidP="0074624A">
            <w:pPr>
              <w:rPr>
                <w:lang w:eastAsia="en-AU"/>
              </w:rPr>
            </w:pPr>
            <w:r>
              <w:rPr>
                <w:lang w:eastAsia="en-AU"/>
              </w:rPr>
              <w:t>Other expenditure commitments including consultants and contracts for service at the end of the reporting period but not recognised as liabilities, are payable as follows:</w:t>
            </w:r>
          </w:p>
        </w:tc>
      </w:tr>
      <w:tr w:rsidR="0074624A" w14:paraId="785D8E3D" w14:textId="77777777" w:rsidTr="00BA7C82">
        <w:tc>
          <w:tcPr>
            <w:tcW w:w="5382" w:type="dxa"/>
            <w:vAlign w:val="center"/>
          </w:tcPr>
          <w:p w14:paraId="2BB26DD8" w14:textId="04CE730C" w:rsidR="0074624A" w:rsidRPr="0074624A" w:rsidRDefault="0074624A" w:rsidP="00BA7C82">
            <w:pPr>
              <w:rPr>
                <w:lang w:eastAsia="en-AU"/>
              </w:rPr>
            </w:pPr>
            <w:r w:rsidRPr="0074624A">
              <w:rPr>
                <w:lang w:eastAsia="en-AU"/>
              </w:rPr>
              <w:t>Within 1 year</w:t>
            </w:r>
          </w:p>
        </w:tc>
        <w:tc>
          <w:tcPr>
            <w:tcW w:w="1843" w:type="dxa"/>
            <w:tcBorders>
              <w:bottom w:val="single" w:sz="4" w:space="0" w:color="auto"/>
            </w:tcBorders>
            <w:vAlign w:val="bottom"/>
          </w:tcPr>
          <w:p w14:paraId="772CD32E" w14:textId="5CC8189D" w:rsidR="0074624A" w:rsidRDefault="0074624A" w:rsidP="00BA7C82">
            <w:pPr>
              <w:jc w:val="right"/>
              <w:rPr>
                <w:lang w:eastAsia="en-AU"/>
              </w:rPr>
            </w:pPr>
            <w:r>
              <w:rPr>
                <w:lang w:eastAsia="en-AU"/>
              </w:rPr>
              <w:t>184</w:t>
            </w:r>
          </w:p>
        </w:tc>
        <w:tc>
          <w:tcPr>
            <w:tcW w:w="1791" w:type="dxa"/>
            <w:tcBorders>
              <w:bottom w:val="single" w:sz="4" w:space="0" w:color="auto"/>
            </w:tcBorders>
            <w:vAlign w:val="bottom"/>
          </w:tcPr>
          <w:p w14:paraId="0DAE7224" w14:textId="2021CE4E" w:rsidR="0074624A" w:rsidRDefault="0074624A" w:rsidP="00BA7C82">
            <w:pPr>
              <w:jc w:val="right"/>
              <w:rPr>
                <w:lang w:eastAsia="en-AU"/>
              </w:rPr>
            </w:pPr>
            <w:r>
              <w:rPr>
                <w:lang w:eastAsia="en-AU"/>
              </w:rPr>
              <w:t>398</w:t>
            </w:r>
          </w:p>
        </w:tc>
      </w:tr>
      <w:tr w:rsidR="0074624A" w14:paraId="538317F9" w14:textId="77777777" w:rsidTr="00BA7C82">
        <w:tc>
          <w:tcPr>
            <w:tcW w:w="5382" w:type="dxa"/>
            <w:vAlign w:val="center"/>
          </w:tcPr>
          <w:p w14:paraId="3826BF15" w14:textId="77777777" w:rsidR="0074624A" w:rsidRDefault="0074624A" w:rsidP="00BA7C82">
            <w:pPr>
              <w:rPr>
                <w:lang w:eastAsia="en-AU"/>
              </w:rPr>
            </w:pPr>
          </w:p>
        </w:tc>
        <w:tc>
          <w:tcPr>
            <w:tcW w:w="1843" w:type="dxa"/>
            <w:tcBorders>
              <w:top w:val="single" w:sz="4" w:space="0" w:color="auto"/>
              <w:bottom w:val="double" w:sz="4" w:space="0" w:color="auto"/>
            </w:tcBorders>
            <w:vAlign w:val="bottom"/>
          </w:tcPr>
          <w:p w14:paraId="417D6B76" w14:textId="4BF44DE4" w:rsidR="0074624A" w:rsidRPr="008728F4" w:rsidRDefault="0074624A" w:rsidP="00BA7C82">
            <w:pPr>
              <w:jc w:val="right"/>
              <w:rPr>
                <w:b/>
              </w:rPr>
            </w:pPr>
            <w:r>
              <w:rPr>
                <w:b/>
              </w:rPr>
              <w:t>184</w:t>
            </w:r>
          </w:p>
        </w:tc>
        <w:tc>
          <w:tcPr>
            <w:tcW w:w="1791" w:type="dxa"/>
            <w:tcBorders>
              <w:top w:val="single" w:sz="4" w:space="0" w:color="auto"/>
              <w:bottom w:val="double" w:sz="4" w:space="0" w:color="auto"/>
            </w:tcBorders>
            <w:vAlign w:val="bottom"/>
          </w:tcPr>
          <w:p w14:paraId="039057C0" w14:textId="765D0F92" w:rsidR="0074624A" w:rsidRPr="008728F4" w:rsidRDefault="0074624A" w:rsidP="00BA7C82">
            <w:pPr>
              <w:jc w:val="right"/>
              <w:rPr>
                <w:b/>
              </w:rPr>
            </w:pPr>
            <w:r>
              <w:rPr>
                <w:b/>
              </w:rPr>
              <w:t>398</w:t>
            </w:r>
          </w:p>
        </w:tc>
      </w:tr>
    </w:tbl>
    <w:p w14:paraId="3C60133C" w14:textId="066B3E7F" w:rsidR="008728F4" w:rsidRDefault="0074624A" w:rsidP="0074624A">
      <w:pPr>
        <w:rPr>
          <w:lang w:eastAsia="en-AU"/>
        </w:rPr>
      </w:pPr>
      <w:r>
        <w:rPr>
          <w:lang w:eastAsia="en-AU"/>
        </w:rPr>
        <w:br/>
      </w:r>
      <w:r w:rsidRPr="0074624A">
        <w:rPr>
          <w:lang w:eastAsia="en-AU"/>
        </w:rPr>
        <w:t>The totals presented for other expenditure commitments are GST inclusive.</w:t>
      </w:r>
    </w:p>
    <w:p w14:paraId="5B493519" w14:textId="2286EB4E" w:rsidR="0074624A" w:rsidRDefault="0074624A">
      <w:pPr>
        <w:keepLines w:val="0"/>
        <w:spacing w:after="0" w:line="240" w:lineRule="auto"/>
        <w:rPr>
          <w:lang w:eastAsia="en-AU"/>
        </w:rPr>
      </w:pPr>
      <w:r>
        <w:rPr>
          <w:lang w:eastAsia="en-AU"/>
        </w:rPr>
        <w:br w:type="page"/>
      </w:r>
    </w:p>
    <w:p w14:paraId="2CFDE667" w14:textId="147497EE" w:rsidR="0074624A" w:rsidRDefault="0074624A" w:rsidP="00026A6F">
      <w:pPr>
        <w:pStyle w:val="Heading2nonumber"/>
        <w:numPr>
          <w:ilvl w:val="0"/>
          <w:numId w:val="50"/>
        </w:numPr>
        <w:rPr>
          <w:lang w:eastAsia="en-AU"/>
        </w:rPr>
      </w:pPr>
      <w:bookmarkStart w:id="796" w:name="_Toc525122192"/>
      <w:r>
        <w:rPr>
          <w:lang w:eastAsia="en-AU"/>
        </w:rPr>
        <w:t>Risks and Contingencies</w:t>
      </w:r>
      <w:bookmarkEnd w:id="796"/>
    </w:p>
    <w:p w14:paraId="6E783420" w14:textId="7DE6BFFC" w:rsidR="0074624A" w:rsidRDefault="0074624A" w:rsidP="0074624A">
      <w:pPr>
        <w:rPr>
          <w:lang w:eastAsia="en-AU"/>
        </w:rPr>
      </w:pPr>
      <w:r w:rsidRPr="0074624A">
        <w:rPr>
          <w:lang w:eastAsia="en-AU"/>
        </w:rPr>
        <w:t>This note sets out the key risk management policies and measurement techniques of the Authority.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isks and Contingencies"/>
        <w:tblDescription w:val="This table outlines how the section of Risks and Contingencies is divided. "/>
      </w:tblPr>
      <w:tblGrid>
        <w:gridCol w:w="5949"/>
        <w:gridCol w:w="3067"/>
      </w:tblGrid>
      <w:tr w:rsidR="0074624A" w14:paraId="6DB57981" w14:textId="77777777" w:rsidTr="00F11774">
        <w:trPr>
          <w:tblHeader/>
        </w:trPr>
        <w:tc>
          <w:tcPr>
            <w:tcW w:w="5949" w:type="dxa"/>
          </w:tcPr>
          <w:p w14:paraId="14855EAE" w14:textId="77777777" w:rsidR="0074624A" w:rsidRDefault="0074624A" w:rsidP="0074624A">
            <w:pPr>
              <w:rPr>
                <w:lang w:eastAsia="en-AU"/>
              </w:rPr>
            </w:pPr>
          </w:p>
        </w:tc>
        <w:tc>
          <w:tcPr>
            <w:tcW w:w="3067" w:type="dxa"/>
          </w:tcPr>
          <w:p w14:paraId="5B8DE5CB" w14:textId="0F3A8A37" w:rsidR="0074624A" w:rsidRPr="0074624A" w:rsidRDefault="0074624A" w:rsidP="0074624A">
            <w:pPr>
              <w:jc w:val="center"/>
              <w:rPr>
                <w:b/>
                <w:lang w:eastAsia="en-AU"/>
              </w:rPr>
            </w:pPr>
            <w:r>
              <w:rPr>
                <w:b/>
                <w:lang w:eastAsia="en-AU"/>
              </w:rPr>
              <w:t>Notes</w:t>
            </w:r>
          </w:p>
        </w:tc>
      </w:tr>
      <w:tr w:rsidR="0074624A" w14:paraId="05A2D450" w14:textId="77777777" w:rsidTr="0074624A">
        <w:tc>
          <w:tcPr>
            <w:tcW w:w="5949" w:type="dxa"/>
          </w:tcPr>
          <w:p w14:paraId="6603451E" w14:textId="7052767A" w:rsidR="0074624A" w:rsidRDefault="0074624A" w:rsidP="0074624A">
            <w:pPr>
              <w:rPr>
                <w:lang w:eastAsia="en-AU"/>
              </w:rPr>
            </w:pPr>
            <w:r w:rsidRPr="000502E8">
              <w:t>Financial risk management</w:t>
            </w:r>
          </w:p>
        </w:tc>
        <w:tc>
          <w:tcPr>
            <w:tcW w:w="3067" w:type="dxa"/>
          </w:tcPr>
          <w:p w14:paraId="267F8876" w14:textId="062736C7" w:rsidR="0074624A" w:rsidRDefault="0074624A" w:rsidP="0074624A">
            <w:pPr>
              <w:jc w:val="center"/>
              <w:rPr>
                <w:lang w:eastAsia="en-AU"/>
              </w:rPr>
            </w:pPr>
            <w:r w:rsidRPr="00060C4A">
              <w:t>8.1</w:t>
            </w:r>
          </w:p>
        </w:tc>
      </w:tr>
      <w:tr w:rsidR="0074624A" w14:paraId="3D9D9A4A" w14:textId="77777777" w:rsidTr="0074624A">
        <w:tc>
          <w:tcPr>
            <w:tcW w:w="5949" w:type="dxa"/>
          </w:tcPr>
          <w:p w14:paraId="52B7B270" w14:textId="26980EFF" w:rsidR="0074624A" w:rsidRDefault="0074624A" w:rsidP="0074624A">
            <w:pPr>
              <w:rPr>
                <w:lang w:eastAsia="en-AU"/>
              </w:rPr>
            </w:pPr>
            <w:r w:rsidRPr="000502E8">
              <w:t>Contingent assets</w:t>
            </w:r>
          </w:p>
        </w:tc>
        <w:tc>
          <w:tcPr>
            <w:tcW w:w="3067" w:type="dxa"/>
          </w:tcPr>
          <w:p w14:paraId="6C45676C" w14:textId="296D1CE1" w:rsidR="0074624A" w:rsidRDefault="0074624A" w:rsidP="0074624A">
            <w:pPr>
              <w:jc w:val="center"/>
              <w:rPr>
                <w:lang w:eastAsia="en-AU"/>
              </w:rPr>
            </w:pPr>
            <w:r w:rsidRPr="00060C4A">
              <w:t>8.2.1</w:t>
            </w:r>
          </w:p>
        </w:tc>
      </w:tr>
      <w:tr w:rsidR="0074624A" w14:paraId="1CE68946" w14:textId="77777777" w:rsidTr="0074624A">
        <w:tc>
          <w:tcPr>
            <w:tcW w:w="5949" w:type="dxa"/>
          </w:tcPr>
          <w:p w14:paraId="6234CCB1" w14:textId="32841D09" w:rsidR="0074624A" w:rsidRDefault="0074624A" w:rsidP="0074624A">
            <w:pPr>
              <w:rPr>
                <w:lang w:eastAsia="en-AU"/>
              </w:rPr>
            </w:pPr>
            <w:r w:rsidRPr="000502E8">
              <w:t>Contingent liabilities</w:t>
            </w:r>
          </w:p>
        </w:tc>
        <w:tc>
          <w:tcPr>
            <w:tcW w:w="3067" w:type="dxa"/>
          </w:tcPr>
          <w:p w14:paraId="1E9D8AE7" w14:textId="59F99A23" w:rsidR="0074624A" w:rsidRDefault="0074624A" w:rsidP="0074624A">
            <w:pPr>
              <w:jc w:val="center"/>
              <w:rPr>
                <w:lang w:eastAsia="en-AU"/>
              </w:rPr>
            </w:pPr>
            <w:r w:rsidRPr="00060C4A">
              <w:t>8.2.2</w:t>
            </w:r>
          </w:p>
        </w:tc>
      </w:tr>
      <w:tr w:rsidR="0074624A" w14:paraId="0C1EDFC9" w14:textId="77777777" w:rsidTr="0074624A">
        <w:tc>
          <w:tcPr>
            <w:tcW w:w="5949" w:type="dxa"/>
          </w:tcPr>
          <w:p w14:paraId="532D1599" w14:textId="115AB84A" w:rsidR="0074624A" w:rsidRDefault="0074624A" w:rsidP="0074624A">
            <w:pPr>
              <w:rPr>
                <w:lang w:eastAsia="en-AU"/>
              </w:rPr>
            </w:pPr>
            <w:r w:rsidRPr="000502E8">
              <w:t>Fair value measurements</w:t>
            </w:r>
          </w:p>
        </w:tc>
        <w:tc>
          <w:tcPr>
            <w:tcW w:w="3067" w:type="dxa"/>
          </w:tcPr>
          <w:p w14:paraId="03A28041" w14:textId="579B059C" w:rsidR="0074624A" w:rsidRDefault="0074624A" w:rsidP="0074624A">
            <w:pPr>
              <w:jc w:val="center"/>
              <w:rPr>
                <w:lang w:eastAsia="en-AU"/>
              </w:rPr>
            </w:pPr>
            <w:r w:rsidRPr="00060C4A">
              <w:t>8.3</w:t>
            </w:r>
          </w:p>
        </w:tc>
      </w:tr>
    </w:tbl>
    <w:p w14:paraId="18603211" w14:textId="6F8BC203" w:rsidR="0074624A" w:rsidRDefault="0074624A" w:rsidP="0074624A">
      <w:pPr>
        <w:pStyle w:val="Heading3nonumber"/>
        <w:rPr>
          <w:lang w:eastAsia="en-AU"/>
        </w:rPr>
      </w:pPr>
      <w:r>
        <w:rPr>
          <w:lang w:eastAsia="en-AU"/>
        </w:rPr>
        <w:br/>
      </w:r>
      <w:bookmarkStart w:id="797" w:name="_Toc525122193"/>
      <w:r>
        <w:rPr>
          <w:lang w:eastAsia="en-AU"/>
        </w:rPr>
        <w:t>8.1 Financial risk management</w:t>
      </w:r>
      <w:bookmarkEnd w:id="797"/>
    </w:p>
    <w:p w14:paraId="63F95702" w14:textId="4FE092B8" w:rsidR="0074624A" w:rsidRDefault="0074624A" w:rsidP="0074624A">
      <w:pPr>
        <w:rPr>
          <w:lang w:eastAsia="en-AU"/>
        </w:rPr>
      </w:pPr>
      <w:r w:rsidRPr="0074624A">
        <w:rPr>
          <w:lang w:eastAsia="en-AU"/>
        </w:rPr>
        <w:t xml:space="preserve">Financial instruments held by the Authority are cash and cash equivalents, restricted cash and cash equivalents, receivables, held-to-maturity investments and payables, the Authority has limited exposure to financial risks. The Authority’s overall risk management program focuses on managing </w:t>
      </w:r>
      <w:r>
        <w:rPr>
          <w:lang w:eastAsia="en-AU"/>
        </w:rPr>
        <w:t>the risks identified below.</w:t>
      </w:r>
    </w:p>
    <w:p w14:paraId="7710858E" w14:textId="76A8D1A6" w:rsidR="0074624A" w:rsidRDefault="0074624A" w:rsidP="00026A6F">
      <w:pPr>
        <w:pStyle w:val="ListParagraph"/>
        <w:numPr>
          <w:ilvl w:val="0"/>
          <w:numId w:val="53"/>
        </w:numPr>
        <w:rPr>
          <w:b/>
          <w:lang w:eastAsia="en-AU"/>
        </w:rPr>
      </w:pPr>
      <w:r>
        <w:rPr>
          <w:b/>
          <w:lang w:eastAsia="en-AU"/>
        </w:rPr>
        <w:t>Summary of risks and risk management</w:t>
      </w:r>
    </w:p>
    <w:p w14:paraId="44867E51" w14:textId="77777777" w:rsidR="0074624A" w:rsidRDefault="0074624A" w:rsidP="0074624A">
      <w:pPr>
        <w:rPr>
          <w:b/>
          <w:lang w:eastAsia="en-AU"/>
        </w:rPr>
      </w:pPr>
    </w:p>
    <w:p w14:paraId="601B2647" w14:textId="4D6BAB8D" w:rsidR="0074624A" w:rsidRDefault="0074624A" w:rsidP="0074624A">
      <w:pPr>
        <w:rPr>
          <w:i/>
          <w:u w:val="single"/>
          <w:lang w:eastAsia="en-AU"/>
        </w:rPr>
      </w:pPr>
      <w:r>
        <w:rPr>
          <w:i/>
          <w:u w:val="single"/>
          <w:lang w:eastAsia="en-AU"/>
        </w:rPr>
        <w:t>Credit risk</w:t>
      </w:r>
    </w:p>
    <w:p w14:paraId="5A121458" w14:textId="77777777" w:rsidR="0074624A" w:rsidRDefault="0074624A" w:rsidP="0074624A">
      <w:pPr>
        <w:rPr>
          <w:lang w:eastAsia="en-AU"/>
        </w:rPr>
      </w:pPr>
      <w:r>
        <w:rPr>
          <w:lang w:eastAsia="en-AU"/>
        </w:rPr>
        <w:t>Credit risk arises when there is the possibility of the Authority’s receivables defaulting on their contractual obligations resulting in financial loss to the Authority.</w:t>
      </w:r>
    </w:p>
    <w:p w14:paraId="104A042B" w14:textId="37B3E343" w:rsidR="0074624A" w:rsidRDefault="0074624A" w:rsidP="0074624A">
      <w:pPr>
        <w:rPr>
          <w:lang w:eastAsia="en-AU"/>
        </w:rPr>
      </w:pPr>
      <w:r>
        <w:rPr>
          <w:lang w:eastAsia="en-AU"/>
        </w:rPr>
        <w:t>The maximum exposure to credit risk at the end of the reporting period in relation to each class of recognised financial asset is the gross carrying amount of those assets inclusive of any allowance for impairmen</w:t>
      </w:r>
      <w:r w:rsidR="00B355A3">
        <w:rPr>
          <w:lang w:eastAsia="en-AU"/>
        </w:rPr>
        <w:t xml:space="preserve">t as shown in the table at </w:t>
      </w:r>
      <w:r>
        <w:rPr>
          <w:lang w:eastAsia="en-AU"/>
        </w:rPr>
        <w:t>Note 8.1(c) ‘Financial instruments disclosures’ and Note 6.1 ‘Receivables’.</w:t>
      </w:r>
      <w:r>
        <w:rPr>
          <w:lang w:eastAsia="en-AU"/>
        </w:rPr>
        <w:tab/>
      </w:r>
    </w:p>
    <w:p w14:paraId="5F1652D8" w14:textId="258D42E0" w:rsidR="0074624A" w:rsidRDefault="0074624A" w:rsidP="0074624A">
      <w:pPr>
        <w:rPr>
          <w:lang w:eastAsia="en-AU"/>
        </w:rPr>
      </w:pPr>
      <w:r>
        <w:rPr>
          <w:lang w:eastAsia="en-AU"/>
        </w:rPr>
        <w:t>The Authority has policies in place to ensure that services are provided to customers with an appropriate credit history. In addition, receivable balances are monitored on an ongoing basis with the result that the Authority’s exposure to bad debts is minimal. At the end of the reporting period there were no significant con</w:t>
      </w:r>
      <w:r w:rsidR="00B355A3">
        <w:rPr>
          <w:lang w:eastAsia="en-AU"/>
        </w:rPr>
        <w:t>centrations of credit risk.</w:t>
      </w:r>
    </w:p>
    <w:p w14:paraId="0BE32EF6" w14:textId="374B44FF" w:rsidR="00B355A3" w:rsidRDefault="00B355A3">
      <w:pPr>
        <w:keepLines w:val="0"/>
        <w:spacing w:after="0" w:line="240" w:lineRule="auto"/>
        <w:rPr>
          <w:lang w:eastAsia="en-AU"/>
        </w:rPr>
      </w:pPr>
      <w:r>
        <w:rPr>
          <w:lang w:eastAsia="en-AU"/>
        </w:rPr>
        <w:br w:type="page"/>
      </w:r>
    </w:p>
    <w:p w14:paraId="5DA2B843" w14:textId="47DF767C" w:rsidR="00B355A3" w:rsidRDefault="00B355A3" w:rsidP="0074624A">
      <w:pPr>
        <w:rPr>
          <w:i/>
          <w:u w:val="single"/>
          <w:lang w:eastAsia="en-AU"/>
        </w:rPr>
      </w:pPr>
      <w:r>
        <w:rPr>
          <w:i/>
          <w:u w:val="single"/>
          <w:lang w:eastAsia="en-AU"/>
        </w:rPr>
        <w:t>Liquidity risk</w:t>
      </w:r>
    </w:p>
    <w:p w14:paraId="4683C312" w14:textId="16FE95C6" w:rsidR="00B355A3" w:rsidRDefault="00B355A3" w:rsidP="0074624A">
      <w:pPr>
        <w:rPr>
          <w:lang w:eastAsia="en-AU"/>
        </w:rPr>
      </w:pPr>
      <w:r w:rsidRPr="00B355A3">
        <w:rPr>
          <w:lang w:eastAsia="en-AU"/>
        </w:rPr>
        <w:t>Liquidity risk arises when the Authority is unable to meet its financial obligations as they fall due. The Authority is exposed to liquidity risk through its trading in the</w:t>
      </w:r>
      <w:r>
        <w:rPr>
          <w:lang w:eastAsia="en-AU"/>
        </w:rPr>
        <w:t xml:space="preserve"> normal course of business.</w:t>
      </w:r>
      <w:r>
        <w:rPr>
          <w:lang w:eastAsia="en-AU"/>
        </w:rPr>
        <w:tab/>
      </w:r>
    </w:p>
    <w:p w14:paraId="3FC4983C" w14:textId="1D7976C1" w:rsidR="00B355A3" w:rsidRDefault="00B355A3" w:rsidP="0074624A">
      <w:pPr>
        <w:rPr>
          <w:lang w:eastAsia="en-AU"/>
        </w:rPr>
      </w:pPr>
      <w:r w:rsidRPr="00B355A3">
        <w:rPr>
          <w:lang w:eastAsia="en-AU"/>
        </w:rPr>
        <w:t>The Authority has appropriate procedures to manage cash flows by monitoring forecast cash flows to ensure that sufficient funds are available to mee</w:t>
      </w:r>
      <w:r>
        <w:rPr>
          <w:lang w:eastAsia="en-AU"/>
        </w:rPr>
        <w:t>t its commitments.</w:t>
      </w:r>
    </w:p>
    <w:p w14:paraId="78B045FA" w14:textId="03C4BF99" w:rsidR="00B355A3" w:rsidRDefault="00B355A3" w:rsidP="0074624A">
      <w:pPr>
        <w:rPr>
          <w:i/>
          <w:u w:val="single"/>
          <w:lang w:eastAsia="en-AU"/>
        </w:rPr>
      </w:pPr>
      <w:r>
        <w:rPr>
          <w:i/>
          <w:u w:val="single"/>
          <w:lang w:eastAsia="en-AU"/>
        </w:rPr>
        <w:t>Market risk</w:t>
      </w:r>
    </w:p>
    <w:p w14:paraId="57CD8DC6" w14:textId="536BA9ED" w:rsidR="00B355A3" w:rsidRDefault="00B355A3" w:rsidP="0074624A">
      <w:pPr>
        <w:rPr>
          <w:lang w:eastAsia="en-AU"/>
        </w:rPr>
      </w:pPr>
      <w:r w:rsidRPr="00B355A3">
        <w:rPr>
          <w:lang w:eastAsia="en-AU"/>
        </w:rPr>
        <w:t xml:space="preserve">Market risk is the risk that changes in market prices such as foreign exchange rates and interest rates will affect the Authority’s income or the value of its holdings of financial instruments. The Authority does not trade in foreign currency and is not materially exposed to other price risks. Other than as detailed in the interest rate sensitivity </w:t>
      </w:r>
      <w:r w:rsidR="00393B90">
        <w:rPr>
          <w:lang w:eastAsia="en-AU"/>
        </w:rPr>
        <w:t>analysis table at note 8.1(e), t</w:t>
      </w:r>
      <w:r w:rsidRPr="00B355A3">
        <w:rPr>
          <w:lang w:eastAsia="en-AU"/>
        </w:rPr>
        <w:t>he Authority is not exposed to any further interest rate risk. The Authority's exposure to market risk for changes in interest rates relates primarily to the cash at bank</w:t>
      </w:r>
      <w:r w:rsidR="00393B90">
        <w:rPr>
          <w:lang w:eastAsia="en-AU"/>
        </w:rPr>
        <w:t xml:space="preserve"> and term deposit holdings. </w:t>
      </w:r>
    </w:p>
    <w:p w14:paraId="6462CE66" w14:textId="1742A14B" w:rsidR="00393B90" w:rsidRDefault="00393B90" w:rsidP="00026A6F">
      <w:pPr>
        <w:pStyle w:val="ListParagraph"/>
        <w:numPr>
          <w:ilvl w:val="0"/>
          <w:numId w:val="53"/>
        </w:numPr>
        <w:rPr>
          <w:b/>
          <w:lang w:eastAsia="en-AU"/>
        </w:rPr>
      </w:pPr>
      <w:r>
        <w:rPr>
          <w:b/>
          <w:lang w:eastAsia="en-AU"/>
        </w:rPr>
        <w:t>Categories of financial instruments</w:t>
      </w:r>
      <w:r>
        <w:rPr>
          <w:b/>
          <w:lang w:eastAsia="en-AU"/>
        </w:rPr>
        <w:br/>
      </w:r>
    </w:p>
    <w:p w14:paraId="31B3F308" w14:textId="71EB3E1D" w:rsidR="00393B90" w:rsidRDefault="00393B90" w:rsidP="00393B90">
      <w:pPr>
        <w:rPr>
          <w:lang w:eastAsia="en-AU"/>
        </w:rPr>
      </w:pPr>
      <w:r w:rsidRPr="00393B90">
        <w:rPr>
          <w:lang w:eastAsia="en-AU"/>
        </w:rPr>
        <w:t>The carrying amounts of each of the following categories of financial assets and financial liabilities at the en</w:t>
      </w:r>
      <w:r>
        <w:rPr>
          <w:lang w:eastAsia="en-AU"/>
        </w:rPr>
        <w:t>d of the reporting period are:</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inancial assets and liabilities"/>
        <w:tblDescription w:val="This table outlines the carrying amounts of various categories of financial assets and financial liabilities for the reporting period. "/>
      </w:tblPr>
      <w:tblGrid>
        <w:gridCol w:w="5812"/>
        <w:gridCol w:w="1701"/>
        <w:gridCol w:w="1503"/>
      </w:tblGrid>
      <w:tr w:rsidR="00393B90" w14:paraId="618D5AB2" w14:textId="77777777" w:rsidTr="00F11774">
        <w:trPr>
          <w:tblHeader/>
        </w:trPr>
        <w:tc>
          <w:tcPr>
            <w:tcW w:w="5812" w:type="dxa"/>
          </w:tcPr>
          <w:p w14:paraId="3C20910C" w14:textId="77777777" w:rsidR="00393B90" w:rsidRDefault="00393B90" w:rsidP="00BA7C82">
            <w:pPr>
              <w:rPr>
                <w:lang w:eastAsia="en-AU"/>
              </w:rPr>
            </w:pPr>
          </w:p>
        </w:tc>
        <w:tc>
          <w:tcPr>
            <w:tcW w:w="1701" w:type="dxa"/>
          </w:tcPr>
          <w:p w14:paraId="48695359" w14:textId="77777777" w:rsidR="00393B90" w:rsidRDefault="00393B90" w:rsidP="00BA7C82">
            <w:pPr>
              <w:jc w:val="right"/>
              <w:rPr>
                <w:lang w:eastAsia="en-AU"/>
              </w:rPr>
            </w:pPr>
            <w:r>
              <w:rPr>
                <w:b/>
                <w:lang w:val="en-US" w:eastAsia="en-AU"/>
              </w:rPr>
              <w:t>2018</w:t>
            </w:r>
            <w:r>
              <w:rPr>
                <w:b/>
                <w:lang w:val="en-US" w:eastAsia="en-AU"/>
              </w:rPr>
              <w:br/>
              <w:t>$000</w:t>
            </w:r>
          </w:p>
        </w:tc>
        <w:tc>
          <w:tcPr>
            <w:tcW w:w="1503" w:type="dxa"/>
          </w:tcPr>
          <w:p w14:paraId="0BAF5CF2" w14:textId="77777777" w:rsidR="00393B90" w:rsidRDefault="00393B90" w:rsidP="00BA7C82">
            <w:pPr>
              <w:jc w:val="right"/>
              <w:rPr>
                <w:lang w:eastAsia="en-AU"/>
              </w:rPr>
            </w:pPr>
            <w:r>
              <w:rPr>
                <w:b/>
                <w:lang w:val="en-US" w:eastAsia="en-AU"/>
              </w:rPr>
              <w:t>2017</w:t>
            </w:r>
            <w:r>
              <w:rPr>
                <w:b/>
                <w:lang w:val="en-US" w:eastAsia="en-AU"/>
              </w:rPr>
              <w:br/>
              <w:t>$000</w:t>
            </w:r>
          </w:p>
        </w:tc>
      </w:tr>
      <w:tr w:rsidR="00393B90" w14:paraId="255E1889" w14:textId="77777777" w:rsidTr="00393B90">
        <w:tc>
          <w:tcPr>
            <w:tcW w:w="5812" w:type="dxa"/>
          </w:tcPr>
          <w:p w14:paraId="06DD5401" w14:textId="2F1AD588" w:rsidR="00393B90" w:rsidRPr="00393B90" w:rsidRDefault="00393B90" w:rsidP="00BA7C82">
            <w:pPr>
              <w:rPr>
                <w:u w:val="single"/>
                <w:lang w:eastAsia="en-AU"/>
              </w:rPr>
            </w:pPr>
            <w:r>
              <w:rPr>
                <w:u w:val="single"/>
                <w:lang w:eastAsia="en-AU"/>
              </w:rPr>
              <w:t>Financial assets</w:t>
            </w:r>
          </w:p>
        </w:tc>
        <w:tc>
          <w:tcPr>
            <w:tcW w:w="1701" w:type="dxa"/>
          </w:tcPr>
          <w:p w14:paraId="73EC6F12" w14:textId="77777777" w:rsidR="00393B90" w:rsidRDefault="00393B90" w:rsidP="00BA7C82">
            <w:pPr>
              <w:jc w:val="right"/>
              <w:rPr>
                <w:lang w:eastAsia="en-AU"/>
              </w:rPr>
            </w:pPr>
          </w:p>
        </w:tc>
        <w:tc>
          <w:tcPr>
            <w:tcW w:w="1503" w:type="dxa"/>
          </w:tcPr>
          <w:p w14:paraId="506DF508" w14:textId="77777777" w:rsidR="00393B90" w:rsidRDefault="00393B90" w:rsidP="00BA7C82">
            <w:pPr>
              <w:jc w:val="right"/>
              <w:rPr>
                <w:lang w:eastAsia="en-AU"/>
              </w:rPr>
            </w:pPr>
          </w:p>
        </w:tc>
      </w:tr>
      <w:tr w:rsidR="00393B90" w14:paraId="09B637B0" w14:textId="77777777" w:rsidTr="00393B90">
        <w:tc>
          <w:tcPr>
            <w:tcW w:w="5812" w:type="dxa"/>
          </w:tcPr>
          <w:p w14:paraId="798B5188" w14:textId="2E830041" w:rsidR="00393B90" w:rsidRPr="00AF4E30" w:rsidRDefault="00393B90" w:rsidP="00393B90">
            <w:r>
              <w:t>Cash and cash equivalents</w:t>
            </w:r>
          </w:p>
        </w:tc>
        <w:tc>
          <w:tcPr>
            <w:tcW w:w="1701" w:type="dxa"/>
          </w:tcPr>
          <w:p w14:paraId="70C3D533" w14:textId="5802A17E" w:rsidR="00393B90" w:rsidRDefault="00393B90" w:rsidP="00393B90">
            <w:pPr>
              <w:jc w:val="right"/>
              <w:rPr>
                <w:lang w:eastAsia="en-AU"/>
              </w:rPr>
            </w:pPr>
            <w:r w:rsidRPr="00DB6A04">
              <w:t>8,157</w:t>
            </w:r>
          </w:p>
        </w:tc>
        <w:tc>
          <w:tcPr>
            <w:tcW w:w="1503" w:type="dxa"/>
          </w:tcPr>
          <w:p w14:paraId="23D6FD0A" w14:textId="77FA3D54" w:rsidR="00393B90" w:rsidRDefault="00393B90" w:rsidP="00393B90">
            <w:pPr>
              <w:jc w:val="right"/>
              <w:rPr>
                <w:lang w:eastAsia="en-AU"/>
              </w:rPr>
            </w:pPr>
            <w:r w:rsidRPr="00DB6A04">
              <w:t>10,580</w:t>
            </w:r>
          </w:p>
        </w:tc>
      </w:tr>
      <w:tr w:rsidR="00393B90" w14:paraId="0A89E4B3" w14:textId="77777777" w:rsidTr="00393B90">
        <w:tc>
          <w:tcPr>
            <w:tcW w:w="5812" w:type="dxa"/>
          </w:tcPr>
          <w:p w14:paraId="5E4C7765" w14:textId="467AFE07" w:rsidR="00393B90" w:rsidRDefault="00393B90" w:rsidP="00393B90">
            <w:pPr>
              <w:rPr>
                <w:u w:val="single"/>
                <w:lang w:eastAsia="en-AU"/>
              </w:rPr>
            </w:pPr>
            <w:r w:rsidRPr="00AF4E30">
              <w:t>Restricted cash and cash equivalents</w:t>
            </w:r>
          </w:p>
        </w:tc>
        <w:tc>
          <w:tcPr>
            <w:tcW w:w="1701" w:type="dxa"/>
          </w:tcPr>
          <w:p w14:paraId="368D4C10" w14:textId="560FC88F" w:rsidR="00393B90" w:rsidRDefault="00393B90" w:rsidP="00393B90">
            <w:pPr>
              <w:jc w:val="right"/>
              <w:rPr>
                <w:lang w:eastAsia="en-AU"/>
              </w:rPr>
            </w:pPr>
            <w:r w:rsidRPr="00DB6A04">
              <w:t>86,625</w:t>
            </w:r>
          </w:p>
        </w:tc>
        <w:tc>
          <w:tcPr>
            <w:tcW w:w="1503" w:type="dxa"/>
          </w:tcPr>
          <w:p w14:paraId="65ABCAA4" w14:textId="368DF855" w:rsidR="00393B90" w:rsidRDefault="00393B90" w:rsidP="00393B90">
            <w:pPr>
              <w:jc w:val="right"/>
              <w:rPr>
                <w:lang w:eastAsia="en-AU"/>
              </w:rPr>
            </w:pPr>
            <w:r w:rsidRPr="00DB6A04">
              <w:t>85,742</w:t>
            </w:r>
          </w:p>
        </w:tc>
      </w:tr>
      <w:tr w:rsidR="00393B90" w14:paraId="5C240C58" w14:textId="77777777" w:rsidTr="00393B90">
        <w:tc>
          <w:tcPr>
            <w:tcW w:w="5812" w:type="dxa"/>
          </w:tcPr>
          <w:p w14:paraId="32999ED9" w14:textId="7F4F1328" w:rsidR="00393B90" w:rsidRDefault="00393B90" w:rsidP="00393B90">
            <w:pPr>
              <w:rPr>
                <w:u w:val="single"/>
                <w:lang w:eastAsia="en-AU"/>
              </w:rPr>
            </w:pPr>
            <w:r w:rsidRPr="00AF4E30">
              <w:t>Receivables</w:t>
            </w:r>
            <w:r w:rsidRPr="00393B90">
              <w:rPr>
                <w:vertAlign w:val="superscript"/>
              </w:rPr>
              <w:t>(a)</w:t>
            </w:r>
          </w:p>
        </w:tc>
        <w:tc>
          <w:tcPr>
            <w:tcW w:w="1701" w:type="dxa"/>
          </w:tcPr>
          <w:p w14:paraId="4A6FC87E" w14:textId="7F7C9B4F" w:rsidR="00393B90" w:rsidRDefault="00393B90" w:rsidP="00393B90">
            <w:pPr>
              <w:jc w:val="right"/>
              <w:rPr>
                <w:lang w:eastAsia="en-AU"/>
              </w:rPr>
            </w:pPr>
            <w:r w:rsidRPr="00DB6A04">
              <w:t>1,210</w:t>
            </w:r>
          </w:p>
        </w:tc>
        <w:tc>
          <w:tcPr>
            <w:tcW w:w="1503" w:type="dxa"/>
          </w:tcPr>
          <w:p w14:paraId="3D6B6590" w14:textId="6A5F1C02" w:rsidR="00393B90" w:rsidRDefault="00393B90" w:rsidP="00393B90">
            <w:pPr>
              <w:jc w:val="right"/>
              <w:rPr>
                <w:lang w:eastAsia="en-AU"/>
              </w:rPr>
            </w:pPr>
            <w:r w:rsidRPr="00DB6A04">
              <w:t>997</w:t>
            </w:r>
          </w:p>
        </w:tc>
      </w:tr>
      <w:tr w:rsidR="00393B90" w14:paraId="55E6FEA5" w14:textId="77777777" w:rsidTr="00393B90">
        <w:tc>
          <w:tcPr>
            <w:tcW w:w="5812" w:type="dxa"/>
          </w:tcPr>
          <w:p w14:paraId="030D04AA" w14:textId="26AE0E67" w:rsidR="00393B90" w:rsidRDefault="00393B90" w:rsidP="00393B90">
            <w:pPr>
              <w:rPr>
                <w:u w:val="single"/>
                <w:lang w:eastAsia="en-AU"/>
              </w:rPr>
            </w:pPr>
            <w:r w:rsidRPr="00AF4E30">
              <w:t>Other financial assets (Held-to-maturity investments)</w:t>
            </w:r>
          </w:p>
        </w:tc>
        <w:tc>
          <w:tcPr>
            <w:tcW w:w="1701" w:type="dxa"/>
            <w:tcBorders>
              <w:bottom w:val="single" w:sz="4" w:space="0" w:color="auto"/>
            </w:tcBorders>
          </w:tcPr>
          <w:p w14:paraId="2578AA60" w14:textId="5DC271BC" w:rsidR="00393B90" w:rsidRDefault="00393B90" w:rsidP="00393B90">
            <w:pPr>
              <w:jc w:val="right"/>
              <w:rPr>
                <w:lang w:eastAsia="en-AU"/>
              </w:rPr>
            </w:pPr>
            <w:r w:rsidRPr="00DB6A04">
              <w:t>18,024</w:t>
            </w:r>
          </w:p>
        </w:tc>
        <w:tc>
          <w:tcPr>
            <w:tcW w:w="1503" w:type="dxa"/>
            <w:tcBorders>
              <w:bottom w:val="single" w:sz="4" w:space="0" w:color="auto"/>
            </w:tcBorders>
          </w:tcPr>
          <w:p w14:paraId="212CFCB2" w14:textId="0792208D" w:rsidR="00393B90" w:rsidRDefault="00393B90" w:rsidP="00393B90">
            <w:pPr>
              <w:jc w:val="right"/>
              <w:rPr>
                <w:lang w:eastAsia="en-AU"/>
              </w:rPr>
            </w:pPr>
            <w:r w:rsidRPr="00DB6A04">
              <w:t>14,529</w:t>
            </w:r>
          </w:p>
        </w:tc>
      </w:tr>
      <w:tr w:rsidR="00393B90" w14:paraId="476D544C" w14:textId="77777777" w:rsidTr="00393B90">
        <w:tc>
          <w:tcPr>
            <w:tcW w:w="5812" w:type="dxa"/>
          </w:tcPr>
          <w:p w14:paraId="068D603C" w14:textId="7E6B5151" w:rsidR="00393B90" w:rsidRPr="00393B90" w:rsidRDefault="00393B90" w:rsidP="00393B90">
            <w:pPr>
              <w:rPr>
                <w:b/>
                <w:u w:val="single"/>
                <w:lang w:eastAsia="en-AU"/>
              </w:rPr>
            </w:pPr>
            <w:r w:rsidRPr="00393B90">
              <w:rPr>
                <w:b/>
              </w:rPr>
              <w:t>Total financial assets</w:t>
            </w:r>
          </w:p>
        </w:tc>
        <w:tc>
          <w:tcPr>
            <w:tcW w:w="1701" w:type="dxa"/>
            <w:tcBorders>
              <w:top w:val="single" w:sz="4" w:space="0" w:color="auto"/>
              <w:bottom w:val="single" w:sz="12" w:space="0" w:color="auto"/>
            </w:tcBorders>
          </w:tcPr>
          <w:p w14:paraId="78B1905F" w14:textId="0BF7803E" w:rsidR="00393B90" w:rsidRDefault="00393B90" w:rsidP="00393B90">
            <w:pPr>
              <w:jc w:val="right"/>
              <w:rPr>
                <w:lang w:eastAsia="en-AU"/>
              </w:rPr>
            </w:pPr>
            <w:r w:rsidRPr="00DB6A04">
              <w:t>114,016</w:t>
            </w:r>
          </w:p>
        </w:tc>
        <w:tc>
          <w:tcPr>
            <w:tcW w:w="1503" w:type="dxa"/>
            <w:tcBorders>
              <w:top w:val="single" w:sz="4" w:space="0" w:color="auto"/>
              <w:bottom w:val="single" w:sz="12" w:space="0" w:color="auto"/>
            </w:tcBorders>
          </w:tcPr>
          <w:p w14:paraId="4EFC7DA7" w14:textId="30FF74C9" w:rsidR="00393B90" w:rsidRDefault="00393B90" w:rsidP="00393B90">
            <w:pPr>
              <w:jc w:val="right"/>
              <w:rPr>
                <w:lang w:eastAsia="en-AU"/>
              </w:rPr>
            </w:pPr>
            <w:r w:rsidRPr="00DB6A04">
              <w:t>111,848</w:t>
            </w:r>
          </w:p>
        </w:tc>
      </w:tr>
      <w:tr w:rsidR="00393B90" w14:paraId="3B679813" w14:textId="77777777" w:rsidTr="00393B90">
        <w:tc>
          <w:tcPr>
            <w:tcW w:w="5812" w:type="dxa"/>
          </w:tcPr>
          <w:p w14:paraId="44D9C4F7" w14:textId="6F70F53C" w:rsidR="00393B90" w:rsidRPr="00393B90" w:rsidRDefault="00393B90" w:rsidP="00BA7C82">
            <w:pPr>
              <w:rPr>
                <w:u w:val="single"/>
                <w:lang w:eastAsia="en-AU"/>
              </w:rPr>
            </w:pPr>
            <w:r>
              <w:rPr>
                <w:u w:val="single"/>
                <w:lang w:eastAsia="en-AU"/>
              </w:rPr>
              <w:t>Financial liabilities</w:t>
            </w:r>
          </w:p>
        </w:tc>
        <w:tc>
          <w:tcPr>
            <w:tcW w:w="1701" w:type="dxa"/>
            <w:tcBorders>
              <w:top w:val="single" w:sz="12" w:space="0" w:color="auto"/>
            </w:tcBorders>
          </w:tcPr>
          <w:p w14:paraId="71661CE2" w14:textId="77777777" w:rsidR="00393B90" w:rsidRDefault="00393B90" w:rsidP="00BA7C82">
            <w:pPr>
              <w:jc w:val="right"/>
              <w:rPr>
                <w:lang w:eastAsia="en-AU"/>
              </w:rPr>
            </w:pPr>
          </w:p>
        </w:tc>
        <w:tc>
          <w:tcPr>
            <w:tcW w:w="1503" w:type="dxa"/>
            <w:tcBorders>
              <w:top w:val="single" w:sz="12" w:space="0" w:color="auto"/>
            </w:tcBorders>
          </w:tcPr>
          <w:p w14:paraId="756EEC2E" w14:textId="77777777" w:rsidR="00393B90" w:rsidRDefault="00393B90" w:rsidP="00BA7C82">
            <w:pPr>
              <w:jc w:val="right"/>
              <w:rPr>
                <w:lang w:eastAsia="en-AU"/>
              </w:rPr>
            </w:pPr>
          </w:p>
        </w:tc>
      </w:tr>
      <w:tr w:rsidR="00393B90" w14:paraId="6180759C" w14:textId="77777777" w:rsidTr="00393B90">
        <w:tc>
          <w:tcPr>
            <w:tcW w:w="5812" w:type="dxa"/>
          </w:tcPr>
          <w:p w14:paraId="4915DE66" w14:textId="5B7CE440" w:rsidR="00393B90" w:rsidRPr="00393B90" w:rsidRDefault="00393B90" w:rsidP="00BA7C82">
            <w:pPr>
              <w:rPr>
                <w:lang w:eastAsia="en-AU"/>
              </w:rPr>
            </w:pPr>
            <w:r>
              <w:rPr>
                <w:lang w:eastAsia="en-AU"/>
              </w:rPr>
              <w:t>Payables</w:t>
            </w:r>
          </w:p>
        </w:tc>
        <w:tc>
          <w:tcPr>
            <w:tcW w:w="1701" w:type="dxa"/>
            <w:tcBorders>
              <w:bottom w:val="single" w:sz="4" w:space="0" w:color="auto"/>
            </w:tcBorders>
          </w:tcPr>
          <w:p w14:paraId="6701C632" w14:textId="614D42FD" w:rsidR="00393B90" w:rsidRDefault="00393B90" w:rsidP="00BA7C82">
            <w:pPr>
              <w:jc w:val="right"/>
              <w:rPr>
                <w:lang w:eastAsia="en-AU"/>
              </w:rPr>
            </w:pPr>
            <w:r>
              <w:rPr>
                <w:lang w:eastAsia="en-AU"/>
              </w:rPr>
              <w:t>1,340</w:t>
            </w:r>
          </w:p>
        </w:tc>
        <w:tc>
          <w:tcPr>
            <w:tcW w:w="1503" w:type="dxa"/>
            <w:tcBorders>
              <w:bottom w:val="single" w:sz="4" w:space="0" w:color="auto"/>
            </w:tcBorders>
          </w:tcPr>
          <w:p w14:paraId="4A1D4F85" w14:textId="6C0FD8A5" w:rsidR="00393B90" w:rsidRDefault="00393B90" w:rsidP="00BA7C82">
            <w:pPr>
              <w:jc w:val="right"/>
              <w:rPr>
                <w:lang w:eastAsia="en-AU"/>
              </w:rPr>
            </w:pPr>
            <w:r>
              <w:rPr>
                <w:lang w:eastAsia="en-AU"/>
              </w:rPr>
              <w:t>804</w:t>
            </w:r>
          </w:p>
        </w:tc>
      </w:tr>
      <w:tr w:rsidR="00393B90" w14:paraId="3E2ACED8" w14:textId="77777777" w:rsidTr="00393B90">
        <w:tc>
          <w:tcPr>
            <w:tcW w:w="5812" w:type="dxa"/>
          </w:tcPr>
          <w:p w14:paraId="005AE7D0" w14:textId="0B4E02EC" w:rsidR="00393B90" w:rsidRPr="00393B90" w:rsidRDefault="00393B90" w:rsidP="00BA7C82">
            <w:pPr>
              <w:rPr>
                <w:b/>
                <w:lang w:eastAsia="en-AU"/>
              </w:rPr>
            </w:pPr>
            <w:r>
              <w:rPr>
                <w:b/>
                <w:lang w:eastAsia="en-AU"/>
              </w:rPr>
              <w:t>Total financial liability</w:t>
            </w:r>
          </w:p>
        </w:tc>
        <w:tc>
          <w:tcPr>
            <w:tcW w:w="1701" w:type="dxa"/>
            <w:tcBorders>
              <w:top w:val="single" w:sz="4" w:space="0" w:color="auto"/>
              <w:bottom w:val="single" w:sz="12" w:space="0" w:color="auto"/>
            </w:tcBorders>
          </w:tcPr>
          <w:p w14:paraId="3A7BC35F" w14:textId="4AD2D207" w:rsidR="00393B90" w:rsidRDefault="00393B90" w:rsidP="00BA7C82">
            <w:pPr>
              <w:jc w:val="right"/>
              <w:rPr>
                <w:lang w:eastAsia="en-AU"/>
              </w:rPr>
            </w:pPr>
            <w:r>
              <w:rPr>
                <w:lang w:eastAsia="en-AU"/>
              </w:rPr>
              <w:t>1,340</w:t>
            </w:r>
          </w:p>
        </w:tc>
        <w:tc>
          <w:tcPr>
            <w:tcW w:w="1503" w:type="dxa"/>
            <w:tcBorders>
              <w:top w:val="single" w:sz="4" w:space="0" w:color="auto"/>
              <w:bottom w:val="single" w:sz="12" w:space="0" w:color="auto"/>
            </w:tcBorders>
          </w:tcPr>
          <w:p w14:paraId="3902DED1" w14:textId="14D03C86" w:rsidR="00393B90" w:rsidRDefault="00393B90" w:rsidP="00BA7C82">
            <w:pPr>
              <w:jc w:val="right"/>
              <w:rPr>
                <w:lang w:eastAsia="en-AU"/>
              </w:rPr>
            </w:pPr>
            <w:r>
              <w:rPr>
                <w:lang w:eastAsia="en-AU"/>
              </w:rPr>
              <w:t>804</w:t>
            </w:r>
          </w:p>
        </w:tc>
      </w:tr>
    </w:tbl>
    <w:p w14:paraId="07D400C3" w14:textId="77777777" w:rsidR="000405A4" w:rsidRDefault="000405A4" w:rsidP="000405A4">
      <w:pPr>
        <w:keepLines w:val="0"/>
        <w:spacing w:after="0" w:line="240" w:lineRule="auto"/>
        <w:rPr>
          <w:bCs/>
          <w:vertAlign w:val="superscript"/>
          <w:lang w:eastAsia="en-AU"/>
        </w:rPr>
        <w:sectPr w:rsidR="000405A4" w:rsidSect="000405A4">
          <w:pgSz w:w="11906" w:h="16838" w:code="9"/>
          <w:pgMar w:top="1440" w:right="1440" w:bottom="1440" w:left="1440" w:header="709" w:footer="0" w:gutter="0"/>
          <w:cols w:space="708"/>
          <w:titlePg/>
          <w:docGrid w:linePitch="360"/>
        </w:sectPr>
      </w:pPr>
    </w:p>
    <w:p w14:paraId="42B474E5" w14:textId="068DC3BB" w:rsidR="00393B90" w:rsidRPr="000405A4" w:rsidRDefault="000405A4" w:rsidP="000405A4">
      <w:pPr>
        <w:keepLines w:val="0"/>
        <w:spacing w:after="0" w:line="240" w:lineRule="auto"/>
        <w:rPr>
          <w:bCs/>
          <w:vertAlign w:val="superscript"/>
          <w:lang w:eastAsia="en-AU"/>
        </w:rPr>
      </w:pPr>
      <w:r w:rsidRPr="000405A4">
        <w:rPr>
          <w:bCs/>
          <w:vertAlign w:val="superscript"/>
          <w:lang w:eastAsia="en-AU"/>
        </w:rPr>
        <w:t>(a</w:t>
      </w:r>
      <w:r w:rsidRPr="000405A4">
        <w:rPr>
          <w:vertAlign w:val="superscript"/>
          <w:lang w:eastAsia="en-AU"/>
        </w:rPr>
        <w:t>)</w:t>
      </w:r>
      <w:r>
        <w:rPr>
          <w:lang w:eastAsia="en-AU"/>
        </w:rPr>
        <w:t xml:space="preserve"> </w:t>
      </w:r>
      <w:r w:rsidR="00393B90">
        <w:rPr>
          <w:lang w:eastAsia="en-AU"/>
        </w:rPr>
        <w:t xml:space="preserve">The amount of receivables excludes GST recoverable from the ATO (statutory receivable). </w:t>
      </w:r>
    </w:p>
    <w:p w14:paraId="2B0C57C6" w14:textId="602A1D8B" w:rsidR="00BA7C82" w:rsidRDefault="00BA7C82" w:rsidP="00026A6F">
      <w:pPr>
        <w:pStyle w:val="Heading4"/>
        <w:numPr>
          <w:ilvl w:val="0"/>
          <w:numId w:val="53"/>
        </w:numPr>
      </w:pPr>
      <w:r>
        <w:t>Age</w:t>
      </w:r>
      <w:r w:rsidR="00246C26">
        <w:t xml:space="preserve">d analysis of financial assets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ged analysis of financial assets"/>
        <w:tblDescription w:val="This table provides the aged anaylsis of financial assets for the reporting period. "/>
      </w:tblPr>
      <w:tblGrid>
        <w:gridCol w:w="1981"/>
        <w:gridCol w:w="1276"/>
        <w:gridCol w:w="1558"/>
        <w:gridCol w:w="1382"/>
        <w:gridCol w:w="1451"/>
        <w:gridCol w:w="1417"/>
        <w:gridCol w:w="1700"/>
        <w:gridCol w:w="1559"/>
        <w:gridCol w:w="1619"/>
      </w:tblGrid>
      <w:tr w:rsidR="00FC1E94" w14:paraId="7CEEAC62" w14:textId="77777777" w:rsidTr="00F11774">
        <w:trPr>
          <w:gridAfter w:val="1"/>
          <w:wAfter w:w="1619" w:type="dxa"/>
          <w:tblHeader/>
        </w:trPr>
        <w:tc>
          <w:tcPr>
            <w:tcW w:w="1981" w:type="dxa"/>
          </w:tcPr>
          <w:p w14:paraId="3A34BAAF" w14:textId="77777777" w:rsidR="00FC1E94" w:rsidRDefault="00FC1E94" w:rsidP="000405A4">
            <w:pPr>
              <w:rPr>
                <w:lang w:val="en-US" w:eastAsia="en-AU"/>
              </w:rPr>
            </w:pPr>
          </w:p>
        </w:tc>
        <w:tc>
          <w:tcPr>
            <w:tcW w:w="1276" w:type="dxa"/>
          </w:tcPr>
          <w:p w14:paraId="13EA9442" w14:textId="77777777" w:rsidR="00FC1E94" w:rsidRDefault="00FC1E94" w:rsidP="000405A4">
            <w:pPr>
              <w:rPr>
                <w:lang w:val="en-US" w:eastAsia="en-AU"/>
              </w:rPr>
            </w:pPr>
          </w:p>
        </w:tc>
        <w:tc>
          <w:tcPr>
            <w:tcW w:w="1558" w:type="dxa"/>
            <w:tcBorders>
              <w:right w:val="single" w:sz="18" w:space="0" w:color="auto"/>
            </w:tcBorders>
          </w:tcPr>
          <w:p w14:paraId="294662CC" w14:textId="77777777" w:rsidR="00FC1E94" w:rsidRDefault="00FC1E94" w:rsidP="000405A4">
            <w:pPr>
              <w:rPr>
                <w:lang w:val="en-US" w:eastAsia="en-AU"/>
              </w:rPr>
            </w:pPr>
          </w:p>
        </w:tc>
        <w:tc>
          <w:tcPr>
            <w:tcW w:w="7509" w:type="dxa"/>
            <w:gridSpan w:val="5"/>
            <w:tcBorders>
              <w:left w:val="single" w:sz="18" w:space="0" w:color="auto"/>
              <w:right w:val="single" w:sz="12" w:space="0" w:color="auto"/>
            </w:tcBorders>
          </w:tcPr>
          <w:p w14:paraId="6F35C5B5" w14:textId="6E091638" w:rsidR="00FC1E94" w:rsidRPr="00FC1E94" w:rsidRDefault="00FC1E94" w:rsidP="00FC1E94">
            <w:pPr>
              <w:jc w:val="center"/>
              <w:rPr>
                <w:u w:val="single"/>
                <w:lang w:val="en-US" w:eastAsia="en-AU"/>
              </w:rPr>
            </w:pPr>
            <w:r>
              <w:rPr>
                <w:u w:val="single"/>
                <w:lang w:val="en-US" w:eastAsia="en-AU"/>
              </w:rPr>
              <w:t>Past Due But Not Impaired</w:t>
            </w:r>
          </w:p>
        </w:tc>
      </w:tr>
      <w:tr w:rsidR="00FC1E94" w14:paraId="34E2649F" w14:textId="77777777" w:rsidTr="00FC1E94">
        <w:tc>
          <w:tcPr>
            <w:tcW w:w="1981" w:type="dxa"/>
          </w:tcPr>
          <w:p w14:paraId="6B5820B6" w14:textId="77777777" w:rsidR="000405A4" w:rsidRDefault="000405A4" w:rsidP="000405A4">
            <w:pPr>
              <w:rPr>
                <w:lang w:val="en-US" w:eastAsia="en-AU"/>
              </w:rPr>
            </w:pPr>
          </w:p>
        </w:tc>
        <w:tc>
          <w:tcPr>
            <w:tcW w:w="1276" w:type="dxa"/>
            <w:tcBorders>
              <w:bottom w:val="single" w:sz="12" w:space="0" w:color="auto"/>
            </w:tcBorders>
          </w:tcPr>
          <w:p w14:paraId="2EEBE2B9" w14:textId="433A8938" w:rsidR="000405A4" w:rsidRDefault="00FC1E94" w:rsidP="00FC1E94">
            <w:pPr>
              <w:jc w:val="right"/>
              <w:rPr>
                <w:lang w:val="en-US" w:eastAsia="en-AU"/>
              </w:rPr>
            </w:pPr>
            <w:r>
              <w:rPr>
                <w:lang w:val="en-US" w:eastAsia="en-AU"/>
              </w:rPr>
              <w:t>Carrying Amount</w:t>
            </w:r>
            <w:r>
              <w:rPr>
                <w:lang w:val="en-US" w:eastAsia="en-AU"/>
              </w:rPr>
              <w:br/>
            </w:r>
            <w:r>
              <w:rPr>
                <w:lang w:val="en-US" w:eastAsia="en-AU"/>
              </w:rPr>
              <w:br/>
              <w:t>$000</w:t>
            </w:r>
          </w:p>
        </w:tc>
        <w:tc>
          <w:tcPr>
            <w:tcW w:w="1558" w:type="dxa"/>
            <w:tcBorders>
              <w:bottom w:val="single" w:sz="12" w:space="0" w:color="auto"/>
              <w:right w:val="single" w:sz="18" w:space="0" w:color="auto"/>
            </w:tcBorders>
          </w:tcPr>
          <w:p w14:paraId="2A65AFBF" w14:textId="5B8EBC23" w:rsidR="000405A4" w:rsidRDefault="00FC1E94" w:rsidP="00FC1E94">
            <w:pPr>
              <w:jc w:val="right"/>
              <w:rPr>
                <w:lang w:val="en-US" w:eastAsia="en-AU"/>
              </w:rPr>
            </w:pPr>
            <w:r>
              <w:rPr>
                <w:lang w:val="en-US" w:eastAsia="en-AU"/>
              </w:rPr>
              <w:t>Not past due and not impaired</w:t>
            </w:r>
            <w:r>
              <w:rPr>
                <w:lang w:val="en-US" w:eastAsia="en-AU"/>
              </w:rPr>
              <w:br/>
              <w:t>$000</w:t>
            </w:r>
          </w:p>
        </w:tc>
        <w:tc>
          <w:tcPr>
            <w:tcW w:w="1382" w:type="dxa"/>
            <w:tcBorders>
              <w:left w:val="single" w:sz="18" w:space="0" w:color="auto"/>
              <w:bottom w:val="single" w:sz="12" w:space="0" w:color="auto"/>
            </w:tcBorders>
          </w:tcPr>
          <w:p w14:paraId="1A13F261" w14:textId="37AF091A" w:rsidR="000405A4" w:rsidRDefault="00FC1E94" w:rsidP="00FC1E94">
            <w:pPr>
              <w:jc w:val="right"/>
              <w:rPr>
                <w:lang w:val="en-US" w:eastAsia="en-AU"/>
              </w:rPr>
            </w:pPr>
            <w:r>
              <w:rPr>
                <w:lang w:val="en-US" w:eastAsia="en-AU"/>
              </w:rPr>
              <w:t>Up to  1 Month</w:t>
            </w:r>
            <w:r>
              <w:rPr>
                <w:lang w:val="en-US" w:eastAsia="en-AU"/>
              </w:rPr>
              <w:br/>
            </w:r>
            <w:r>
              <w:rPr>
                <w:lang w:val="en-US" w:eastAsia="en-AU"/>
              </w:rPr>
              <w:br/>
              <w:t>$000</w:t>
            </w:r>
          </w:p>
        </w:tc>
        <w:tc>
          <w:tcPr>
            <w:tcW w:w="1451" w:type="dxa"/>
            <w:tcBorders>
              <w:bottom w:val="single" w:sz="12" w:space="0" w:color="auto"/>
            </w:tcBorders>
          </w:tcPr>
          <w:p w14:paraId="0A462B5D" w14:textId="50FD0987" w:rsidR="000405A4" w:rsidRDefault="00FC1E94" w:rsidP="00FC1E94">
            <w:pPr>
              <w:jc w:val="right"/>
              <w:rPr>
                <w:lang w:val="en-US" w:eastAsia="en-AU"/>
              </w:rPr>
            </w:pPr>
            <w:r>
              <w:rPr>
                <w:lang w:val="en-US" w:eastAsia="en-AU"/>
              </w:rPr>
              <w:t>1 to 3 Months</w:t>
            </w:r>
            <w:r>
              <w:rPr>
                <w:lang w:val="en-US" w:eastAsia="en-AU"/>
              </w:rPr>
              <w:br/>
            </w:r>
            <w:r>
              <w:rPr>
                <w:lang w:val="en-US" w:eastAsia="en-AU"/>
              </w:rPr>
              <w:br/>
              <w:t>$000</w:t>
            </w:r>
          </w:p>
        </w:tc>
        <w:tc>
          <w:tcPr>
            <w:tcW w:w="1417" w:type="dxa"/>
            <w:tcBorders>
              <w:bottom w:val="single" w:sz="12" w:space="0" w:color="auto"/>
            </w:tcBorders>
          </w:tcPr>
          <w:p w14:paraId="40FA4422" w14:textId="16636D24" w:rsidR="000405A4" w:rsidRDefault="00FC1E94" w:rsidP="00FC1E94">
            <w:pPr>
              <w:jc w:val="right"/>
              <w:rPr>
                <w:lang w:val="en-US" w:eastAsia="en-AU"/>
              </w:rPr>
            </w:pPr>
            <w:r>
              <w:rPr>
                <w:lang w:val="en-US" w:eastAsia="en-AU"/>
              </w:rPr>
              <w:t>3 to 6 Months</w:t>
            </w:r>
            <w:r>
              <w:rPr>
                <w:lang w:val="en-US" w:eastAsia="en-AU"/>
              </w:rPr>
              <w:br/>
            </w:r>
            <w:r>
              <w:rPr>
                <w:lang w:val="en-US" w:eastAsia="en-AU"/>
              </w:rPr>
              <w:br/>
              <w:t>$000</w:t>
            </w:r>
          </w:p>
        </w:tc>
        <w:tc>
          <w:tcPr>
            <w:tcW w:w="1700" w:type="dxa"/>
            <w:tcBorders>
              <w:bottom w:val="single" w:sz="12" w:space="0" w:color="auto"/>
            </w:tcBorders>
          </w:tcPr>
          <w:p w14:paraId="5C14B2C7" w14:textId="7F5EC388" w:rsidR="000405A4" w:rsidRDefault="00FC1E94" w:rsidP="00FC1E94">
            <w:pPr>
              <w:jc w:val="right"/>
              <w:rPr>
                <w:lang w:val="en-US" w:eastAsia="en-AU"/>
              </w:rPr>
            </w:pPr>
            <w:r>
              <w:rPr>
                <w:lang w:val="en-US" w:eastAsia="en-AU"/>
              </w:rPr>
              <w:t>6 to12 Months</w:t>
            </w:r>
            <w:r>
              <w:rPr>
                <w:lang w:val="en-US" w:eastAsia="en-AU"/>
              </w:rPr>
              <w:br/>
            </w:r>
            <w:r>
              <w:rPr>
                <w:lang w:val="en-US" w:eastAsia="en-AU"/>
              </w:rPr>
              <w:br/>
              <w:t>$000</w:t>
            </w:r>
          </w:p>
        </w:tc>
        <w:tc>
          <w:tcPr>
            <w:tcW w:w="1559" w:type="dxa"/>
            <w:tcBorders>
              <w:bottom w:val="single" w:sz="12" w:space="0" w:color="auto"/>
              <w:right w:val="single" w:sz="12" w:space="0" w:color="auto"/>
            </w:tcBorders>
          </w:tcPr>
          <w:p w14:paraId="211B61C0" w14:textId="71804738" w:rsidR="000405A4" w:rsidRDefault="00FC1E94" w:rsidP="00FC1E94">
            <w:pPr>
              <w:jc w:val="right"/>
              <w:rPr>
                <w:lang w:val="en-US" w:eastAsia="en-AU"/>
              </w:rPr>
            </w:pPr>
            <w:r>
              <w:rPr>
                <w:lang w:val="en-US" w:eastAsia="en-AU"/>
              </w:rPr>
              <w:t>More than 1 Year</w:t>
            </w:r>
            <w:r>
              <w:rPr>
                <w:lang w:val="en-US" w:eastAsia="en-AU"/>
              </w:rPr>
              <w:br/>
            </w:r>
            <w:r>
              <w:rPr>
                <w:lang w:val="en-US" w:eastAsia="en-AU"/>
              </w:rPr>
              <w:br/>
              <w:t>$000</w:t>
            </w:r>
          </w:p>
        </w:tc>
        <w:tc>
          <w:tcPr>
            <w:tcW w:w="1619" w:type="dxa"/>
            <w:tcBorders>
              <w:left w:val="single" w:sz="12" w:space="0" w:color="auto"/>
              <w:bottom w:val="single" w:sz="12" w:space="0" w:color="auto"/>
            </w:tcBorders>
          </w:tcPr>
          <w:p w14:paraId="3281B3FB" w14:textId="31B26B7C" w:rsidR="000405A4" w:rsidRDefault="00FC1E94" w:rsidP="00FC1E94">
            <w:pPr>
              <w:jc w:val="right"/>
              <w:rPr>
                <w:lang w:val="en-US" w:eastAsia="en-AU"/>
              </w:rPr>
            </w:pPr>
            <w:r>
              <w:rPr>
                <w:lang w:val="en-US" w:eastAsia="en-AU"/>
              </w:rPr>
              <w:t>Impaired Financial Assets</w:t>
            </w:r>
            <w:r>
              <w:rPr>
                <w:lang w:val="en-US" w:eastAsia="en-AU"/>
              </w:rPr>
              <w:br/>
              <w:t>$000</w:t>
            </w:r>
          </w:p>
        </w:tc>
      </w:tr>
      <w:tr w:rsidR="00FC1E94" w14:paraId="5C7A016E" w14:textId="77777777" w:rsidTr="00FC1E94">
        <w:tc>
          <w:tcPr>
            <w:tcW w:w="1981" w:type="dxa"/>
            <w:vAlign w:val="bottom"/>
          </w:tcPr>
          <w:p w14:paraId="6C3B09B1" w14:textId="164E3D4D" w:rsidR="00FC1E94" w:rsidRPr="00FC1E94" w:rsidRDefault="00FC1E94" w:rsidP="00FC1E94">
            <w:pPr>
              <w:rPr>
                <w:b/>
                <w:lang w:val="en-US" w:eastAsia="en-AU"/>
              </w:rPr>
            </w:pPr>
            <w:r w:rsidRPr="00FC1E94">
              <w:rPr>
                <w:b/>
              </w:rPr>
              <w:t>2018</w:t>
            </w:r>
          </w:p>
        </w:tc>
        <w:tc>
          <w:tcPr>
            <w:tcW w:w="1276" w:type="dxa"/>
            <w:tcBorders>
              <w:top w:val="single" w:sz="12" w:space="0" w:color="auto"/>
            </w:tcBorders>
          </w:tcPr>
          <w:p w14:paraId="2FEFB4A7" w14:textId="77777777" w:rsidR="00FC1E94" w:rsidRDefault="00FC1E94" w:rsidP="00FC1E94">
            <w:pPr>
              <w:rPr>
                <w:lang w:val="en-US" w:eastAsia="en-AU"/>
              </w:rPr>
            </w:pPr>
          </w:p>
        </w:tc>
        <w:tc>
          <w:tcPr>
            <w:tcW w:w="1558" w:type="dxa"/>
            <w:tcBorders>
              <w:top w:val="single" w:sz="12" w:space="0" w:color="auto"/>
              <w:right w:val="single" w:sz="18" w:space="0" w:color="auto"/>
            </w:tcBorders>
          </w:tcPr>
          <w:p w14:paraId="19F22D22" w14:textId="77777777" w:rsidR="00FC1E94" w:rsidRDefault="00FC1E94" w:rsidP="00FC1E94">
            <w:pPr>
              <w:rPr>
                <w:lang w:val="en-US" w:eastAsia="en-AU"/>
              </w:rPr>
            </w:pPr>
          </w:p>
        </w:tc>
        <w:tc>
          <w:tcPr>
            <w:tcW w:w="1382" w:type="dxa"/>
            <w:tcBorders>
              <w:top w:val="single" w:sz="12" w:space="0" w:color="auto"/>
              <w:left w:val="single" w:sz="18" w:space="0" w:color="auto"/>
            </w:tcBorders>
          </w:tcPr>
          <w:p w14:paraId="7ABA293F" w14:textId="77777777" w:rsidR="00FC1E94" w:rsidRDefault="00FC1E94" w:rsidP="00FC1E94">
            <w:pPr>
              <w:rPr>
                <w:lang w:val="en-US" w:eastAsia="en-AU"/>
              </w:rPr>
            </w:pPr>
          </w:p>
        </w:tc>
        <w:tc>
          <w:tcPr>
            <w:tcW w:w="1451" w:type="dxa"/>
            <w:tcBorders>
              <w:top w:val="single" w:sz="12" w:space="0" w:color="auto"/>
            </w:tcBorders>
          </w:tcPr>
          <w:p w14:paraId="52CD430E" w14:textId="77777777" w:rsidR="00FC1E94" w:rsidRDefault="00FC1E94" w:rsidP="00FC1E94">
            <w:pPr>
              <w:rPr>
                <w:lang w:val="en-US" w:eastAsia="en-AU"/>
              </w:rPr>
            </w:pPr>
          </w:p>
        </w:tc>
        <w:tc>
          <w:tcPr>
            <w:tcW w:w="1417" w:type="dxa"/>
            <w:tcBorders>
              <w:top w:val="single" w:sz="12" w:space="0" w:color="auto"/>
            </w:tcBorders>
          </w:tcPr>
          <w:p w14:paraId="279262F4" w14:textId="77777777" w:rsidR="00FC1E94" w:rsidRDefault="00FC1E94" w:rsidP="00FC1E94">
            <w:pPr>
              <w:rPr>
                <w:lang w:val="en-US" w:eastAsia="en-AU"/>
              </w:rPr>
            </w:pPr>
          </w:p>
        </w:tc>
        <w:tc>
          <w:tcPr>
            <w:tcW w:w="1700" w:type="dxa"/>
            <w:tcBorders>
              <w:top w:val="single" w:sz="12" w:space="0" w:color="auto"/>
            </w:tcBorders>
          </w:tcPr>
          <w:p w14:paraId="35EAEF93" w14:textId="77777777" w:rsidR="00FC1E94" w:rsidRDefault="00FC1E94" w:rsidP="00FC1E94">
            <w:pPr>
              <w:rPr>
                <w:lang w:val="en-US" w:eastAsia="en-AU"/>
              </w:rPr>
            </w:pPr>
          </w:p>
        </w:tc>
        <w:tc>
          <w:tcPr>
            <w:tcW w:w="1559" w:type="dxa"/>
            <w:tcBorders>
              <w:top w:val="single" w:sz="12" w:space="0" w:color="auto"/>
              <w:right w:val="single" w:sz="12" w:space="0" w:color="auto"/>
            </w:tcBorders>
          </w:tcPr>
          <w:p w14:paraId="10F5B871" w14:textId="77777777" w:rsidR="00FC1E94" w:rsidRDefault="00FC1E94" w:rsidP="00FC1E94">
            <w:pPr>
              <w:rPr>
                <w:lang w:val="en-US" w:eastAsia="en-AU"/>
              </w:rPr>
            </w:pPr>
          </w:p>
        </w:tc>
        <w:tc>
          <w:tcPr>
            <w:tcW w:w="1619" w:type="dxa"/>
            <w:tcBorders>
              <w:top w:val="single" w:sz="12" w:space="0" w:color="auto"/>
              <w:left w:val="single" w:sz="12" w:space="0" w:color="auto"/>
            </w:tcBorders>
          </w:tcPr>
          <w:p w14:paraId="3DB178F4" w14:textId="77777777" w:rsidR="00FC1E94" w:rsidRDefault="00FC1E94" w:rsidP="00FC1E94">
            <w:pPr>
              <w:rPr>
                <w:lang w:val="en-US" w:eastAsia="en-AU"/>
              </w:rPr>
            </w:pPr>
          </w:p>
        </w:tc>
      </w:tr>
      <w:tr w:rsidR="00FC1E94" w14:paraId="5C451225" w14:textId="77777777" w:rsidTr="00FC1E94">
        <w:tc>
          <w:tcPr>
            <w:tcW w:w="1981" w:type="dxa"/>
            <w:vAlign w:val="bottom"/>
          </w:tcPr>
          <w:p w14:paraId="4F95BC2A" w14:textId="52928146" w:rsidR="00FC1E94" w:rsidRPr="00FC1E94" w:rsidRDefault="00FC1E94" w:rsidP="00FC1E94">
            <w:pPr>
              <w:rPr>
                <w:b/>
                <w:lang w:val="en-US" w:eastAsia="en-AU"/>
              </w:rPr>
            </w:pPr>
            <w:r w:rsidRPr="00FC1E94">
              <w:rPr>
                <w:b/>
              </w:rPr>
              <w:t>Financial Assets</w:t>
            </w:r>
          </w:p>
        </w:tc>
        <w:tc>
          <w:tcPr>
            <w:tcW w:w="1276" w:type="dxa"/>
            <w:vAlign w:val="bottom"/>
          </w:tcPr>
          <w:p w14:paraId="3E6083FB" w14:textId="77777777" w:rsidR="00FC1E94" w:rsidRDefault="00FC1E94" w:rsidP="00FC1E94">
            <w:pPr>
              <w:rPr>
                <w:lang w:val="en-US" w:eastAsia="en-AU"/>
              </w:rPr>
            </w:pPr>
          </w:p>
        </w:tc>
        <w:tc>
          <w:tcPr>
            <w:tcW w:w="1558" w:type="dxa"/>
            <w:tcBorders>
              <w:right w:val="single" w:sz="18" w:space="0" w:color="auto"/>
            </w:tcBorders>
          </w:tcPr>
          <w:p w14:paraId="17B3FD2B" w14:textId="77777777" w:rsidR="00FC1E94" w:rsidRDefault="00FC1E94" w:rsidP="00FC1E94">
            <w:pPr>
              <w:rPr>
                <w:lang w:val="en-US" w:eastAsia="en-AU"/>
              </w:rPr>
            </w:pPr>
          </w:p>
        </w:tc>
        <w:tc>
          <w:tcPr>
            <w:tcW w:w="1382" w:type="dxa"/>
            <w:tcBorders>
              <w:left w:val="single" w:sz="18" w:space="0" w:color="auto"/>
            </w:tcBorders>
          </w:tcPr>
          <w:p w14:paraId="6F040AF3" w14:textId="77777777" w:rsidR="00FC1E94" w:rsidRDefault="00FC1E94" w:rsidP="00FC1E94">
            <w:pPr>
              <w:rPr>
                <w:lang w:val="en-US" w:eastAsia="en-AU"/>
              </w:rPr>
            </w:pPr>
          </w:p>
        </w:tc>
        <w:tc>
          <w:tcPr>
            <w:tcW w:w="1451" w:type="dxa"/>
          </w:tcPr>
          <w:p w14:paraId="0924EC30" w14:textId="77777777" w:rsidR="00FC1E94" w:rsidRDefault="00FC1E94" w:rsidP="00FC1E94">
            <w:pPr>
              <w:rPr>
                <w:lang w:val="en-US" w:eastAsia="en-AU"/>
              </w:rPr>
            </w:pPr>
          </w:p>
        </w:tc>
        <w:tc>
          <w:tcPr>
            <w:tcW w:w="1417" w:type="dxa"/>
          </w:tcPr>
          <w:p w14:paraId="6885B418" w14:textId="77777777" w:rsidR="00FC1E94" w:rsidRDefault="00FC1E94" w:rsidP="00FC1E94">
            <w:pPr>
              <w:rPr>
                <w:lang w:val="en-US" w:eastAsia="en-AU"/>
              </w:rPr>
            </w:pPr>
          </w:p>
        </w:tc>
        <w:tc>
          <w:tcPr>
            <w:tcW w:w="1700" w:type="dxa"/>
          </w:tcPr>
          <w:p w14:paraId="6C5AE192" w14:textId="77777777" w:rsidR="00FC1E94" w:rsidRDefault="00FC1E94" w:rsidP="00FC1E94">
            <w:pPr>
              <w:rPr>
                <w:lang w:val="en-US" w:eastAsia="en-AU"/>
              </w:rPr>
            </w:pPr>
          </w:p>
        </w:tc>
        <w:tc>
          <w:tcPr>
            <w:tcW w:w="1559" w:type="dxa"/>
            <w:tcBorders>
              <w:right w:val="single" w:sz="12" w:space="0" w:color="auto"/>
            </w:tcBorders>
          </w:tcPr>
          <w:p w14:paraId="758C8A9B" w14:textId="77777777" w:rsidR="00FC1E94" w:rsidRDefault="00FC1E94" w:rsidP="00FC1E94">
            <w:pPr>
              <w:rPr>
                <w:lang w:val="en-US" w:eastAsia="en-AU"/>
              </w:rPr>
            </w:pPr>
          </w:p>
        </w:tc>
        <w:tc>
          <w:tcPr>
            <w:tcW w:w="1619" w:type="dxa"/>
            <w:tcBorders>
              <w:left w:val="single" w:sz="12" w:space="0" w:color="auto"/>
            </w:tcBorders>
          </w:tcPr>
          <w:p w14:paraId="2BAE6428" w14:textId="77777777" w:rsidR="00FC1E94" w:rsidRDefault="00FC1E94" w:rsidP="00FC1E94">
            <w:pPr>
              <w:rPr>
                <w:lang w:val="en-US" w:eastAsia="en-AU"/>
              </w:rPr>
            </w:pPr>
          </w:p>
        </w:tc>
      </w:tr>
      <w:tr w:rsidR="00FC1E94" w14:paraId="0754FAA8" w14:textId="77777777" w:rsidTr="00FC1E94">
        <w:tc>
          <w:tcPr>
            <w:tcW w:w="1981" w:type="dxa"/>
            <w:vAlign w:val="bottom"/>
          </w:tcPr>
          <w:p w14:paraId="60D5F772" w14:textId="59762D26" w:rsidR="00FC1E94" w:rsidRDefault="00FC1E94" w:rsidP="00FC1E94">
            <w:pPr>
              <w:rPr>
                <w:lang w:val="en-US" w:eastAsia="en-AU"/>
              </w:rPr>
            </w:pPr>
            <w:r>
              <w:t xml:space="preserve">Cash and cash equivalents </w:t>
            </w:r>
          </w:p>
        </w:tc>
        <w:tc>
          <w:tcPr>
            <w:tcW w:w="1276" w:type="dxa"/>
            <w:vAlign w:val="bottom"/>
          </w:tcPr>
          <w:p w14:paraId="0B82C0BC" w14:textId="64DAE7F6" w:rsidR="00FC1E94" w:rsidRDefault="00FC1E94" w:rsidP="00FC1E94">
            <w:pPr>
              <w:jc w:val="right"/>
              <w:rPr>
                <w:lang w:val="en-US" w:eastAsia="en-AU"/>
              </w:rPr>
            </w:pPr>
            <w:r>
              <w:t xml:space="preserve">            8,157 </w:t>
            </w:r>
          </w:p>
        </w:tc>
        <w:tc>
          <w:tcPr>
            <w:tcW w:w="1558" w:type="dxa"/>
            <w:tcBorders>
              <w:right w:val="single" w:sz="18" w:space="0" w:color="auto"/>
            </w:tcBorders>
            <w:vAlign w:val="bottom"/>
          </w:tcPr>
          <w:p w14:paraId="3228AA7D" w14:textId="6002DEF5" w:rsidR="00FC1E94" w:rsidRDefault="00FC1E94" w:rsidP="00FC1E94">
            <w:pPr>
              <w:jc w:val="right"/>
              <w:rPr>
                <w:lang w:val="en-US" w:eastAsia="en-AU"/>
              </w:rPr>
            </w:pPr>
            <w:r>
              <w:t xml:space="preserve">            8,157 </w:t>
            </w:r>
          </w:p>
        </w:tc>
        <w:tc>
          <w:tcPr>
            <w:tcW w:w="1382" w:type="dxa"/>
            <w:tcBorders>
              <w:left w:val="single" w:sz="18" w:space="0" w:color="auto"/>
            </w:tcBorders>
            <w:vAlign w:val="bottom"/>
          </w:tcPr>
          <w:p w14:paraId="5D214E1B" w14:textId="5DC4D312" w:rsidR="00FC1E94" w:rsidRDefault="00FC1E94" w:rsidP="00FC1E94">
            <w:pPr>
              <w:jc w:val="right"/>
              <w:rPr>
                <w:lang w:val="en-US" w:eastAsia="en-AU"/>
              </w:rPr>
            </w:pPr>
            <w:r>
              <w:t xml:space="preserve">                 -   </w:t>
            </w:r>
          </w:p>
        </w:tc>
        <w:tc>
          <w:tcPr>
            <w:tcW w:w="1451" w:type="dxa"/>
            <w:vAlign w:val="bottom"/>
          </w:tcPr>
          <w:p w14:paraId="61BE53B3" w14:textId="747F2748" w:rsidR="00FC1E94" w:rsidRDefault="00FC1E94" w:rsidP="00FC1E94">
            <w:pPr>
              <w:jc w:val="right"/>
              <w:rPr>
                <w:lang w:val="en-US" w:eastAsia="en-AU"/>
              </w:rPr>
            </w:pPr>
            <w:r>
              <w:t xml:space="preserve">                -   </w:t>
            </w:r>
          </w:p>
        </w:tc>
        <w:tc>
          <w:tcPr>
            <w:tcW w:w="1417" w:type="dxa"/>
            <w:vAlign w:val="bottom"/>
          </w:tcPr>
          <w:p w14:paraId="5D9DD776" w14:textId="5A4CD67C" w:rsidR="00FC1E94" w:rsidRDefault="00FC1E94" w:rsidP="00FC1E94">
            <w:pPr>
              <w:jc w:val="right"/>
              <w:rPr>
                <w:lang w:val="en-US" w:eastAsia="en-AU"/>
              </w:rPr>
            </w:pPr>
            <w:r>
              <w:t xml:space="preserve">                 -   </w:t>
            </w:r>
          </w:p>
        </w:tc>
        <w:tc>
          <w:tcPr>
            <w:tcW w:w="1700" w:type="dxa"/>
            <w:vAlign w:val="bottom"/>
          </w:tcPr>
          <w:p w14:paraId="0B5FB71E" w14:textId="282D264A" w:rsidR="00FC1E94" w:rsidRDefault="00FC1E94" w:rsidP="00FC1E94">
            <w:pPr>
              <w:jc w:val="right"/>
              <w:rPr>
                <w:lang w:val="en-US" w:eastAsia="en-AU"/>
              </w:rPr>
            </w:pPr>
            <w:r>
              <w:t xml:space="preserve">                 -   </w:t>
            </w:r>
          </w:p>
        </w:tc>
        <w:tc>
          <w:tcPr>
            <w:tcW w:w="1559" w:type="dxa"/>
            <w:tcBorders>
              <w:right w:val="single" w:sz="12" w:space="0" w:color="auto"/>
            </w:tcBorders>
            <w:vAlign w:val="bottom"/>
          </w:tcPr>
          <w:p w14:paraId="7200A6ED" w14:textId="49591DC7" w:rsidR="00FC1E94" w:rsidRDefault="00FC1E94" w:rsidP="00FC1E94">
            <w:pPr>
              <w:jc w:val="right"/>
              <w:rPr>
                <w:lang w:val="en-US" w:eastAsia="en-AU"/>
              </w:rPr>
            </w:pPr>
            <w:r>
              <w:t xml:space="preserve">                 -   </w:t>
            </w:r>
          </w:p>
        </w:tc>
        <w:tc>
          <w:tcPr>
            <w:tcW w:w="1619" w:type="dxa"/>
            <w:tcBorders>
              <w:left w:val="single" w:sz="12" w:space="0" w:color="auto"/>
            </w:tcBorders>
            <w:vAlign w:val="bottom"/>
          </w:tcPr>
          <w:p w14:paraId="1E10D8AC" w14:textId="20B5FB52" w:rsidR="00FC1E94" w:rsidRDefault="00FC1E94" w:rsidP="00FC1E94">
            <w:pPr>
              <w:jc w:val="right"/>
              <w:rPr>
                <w:lang w:val="en-US" w:eastAsia="en-AU"/>
              </w:rPr>
            </w:pPr>
            <w:r>
              <w:t xml:space="preserve">                 -   </w:t>
            </w:r>
          </w:p>
        </w:tc>
      </w:tr>
      <w:tr w:rsidR="00FC1E94" w14:paraId="477B5F73" w14:textId="77777777" w:rsidTr="00FC1E94">
        <w:tc>
          <w:tcPr>
            <w:tcW w:w="1981" w:type="dxa"/>
            <w:vAlign w:val="bottom"/>
          </w:tcPr>
          <w:p w14:paraId="6220AD09" w14:textId="25AEF907" w:rsidR="00FC1E94" w:rsidRDefault="00FC1E94" w:rsidP="00FC1E94">
            <w:pPr>
              <w:rPr>
                <w:lang w:val="en-US" w:eastAsia="en-AU"/>
              </w:rPr>
            </w:pPr>
            <w:r>
              <w:t>Restricted Cash</w:t>
            </w:r>
          </w:p>
        </w:tc>
        <w:tc>
          <w:tcPr>
            <w:tcW w:w="1276" w:type="dxa"/>
            <w:vAlign w:val="bottom"/>
          </w:tcPr>
          <w:p w14:paraId="1A9B2058" w14:textId="3D01A641" w:rsidR="00FC1E94" w:rsidRDefault="00FC1E94" w:rsidP="00FC1E94">
            <w:pPr>
              <w:jc w:val="right"/>
              <w:rPr>
                <w:lang w:val="en-US" w:eastAsia="en-AU"/>
              </w:rPr>
            </w:pPr>
            <w:r>
              <w:t xml:space="preserve">          86,625 </w:t>
            </w:r>
          </w:p>
        </w:tc>
        <w:tc>
          <w:tcPr>
            <w:tcW w:w="1558" w:type="dxa"/>
            <w:tcBorders>
              <w:right w:val="single" w:sz="18" w:space="0" w:color="auto"/>
            </w:tcBorders>
            <w:vAlign w:val="bottom"/>
          </w:tcPr>
          <w:p w14:paraId="4C347CED" w14:textId="69304288" w:rsidR="00FC1E94" w:rsidRDefault="00FC1E94" w:rsidP="00FC1E94">
            <w:pPr>
              <w:jc w:val="right"/>
              <w:rPr>
                <w:lang w:val="en-US" w:eastAsia="en-AU"/>
              </w:rPr>
            </w:pPr>
            <w:r>
              <w:t xml:space="preserve">          86,625 </w:t>
            </w:r>
          </w:p>
        </w:tc>
        <w:tc>
          <w:tcPr>
            <w:tcW w:w="1382" w:type="dxa"/>
            <w:tcBorders>
              <w:left w:val="single" w:sz="18" w:space="0" w:color="auto"/>
            </w:tcBorders>
            <w:vAlign w:val="bottom"/>
          </w:tcPr>
          <w:p w14:paraId="14A96957" w14:textId="62E24A4E" w:rsidR="00FC1E94" w:rsidRDefault="00FC1E94" w:rsidP="00FC1E94">
            <w:pPr>
              <w:jc w:val="right"/>
              <w:rPr>
                <w:lang w:val="en-US" w:eastAsia="en-AU"/>
              </w:rPr>
            </w:pPr>
            <w:r>
              <w:t xml:space="preserve">                 -   </w:t>
            </w:r>
          </w:p>
        </w:tc>
        <w:tc>
          <w:tcPr>
            <w:tcW w:w="1451" w:type="dxa"/>
            <w:vAlign w:val="bottom"/>
          </w:tcPr>
          <w:p w14:paraId="423AEEE5" w14:textId="4D12E2B3" w:rsidR="00FC1E94" w:rsidRDefault="00FC1E94" w:rsidP="00FC1E94">
            <w:pPr>
              <w:jc w:val="right"/>
              <w:rPr>
                <w:lang w:val="en-US" w:eastAsia="en-AU"/>
              </w:rPr>
            </w:pPr>
            <w:r>
              <w:t xml:space="preserve">                -   </w:t>
            </w:r>
          </w:p>
        </w:tc>
        <w:tc>
          <w:tcPr>
            <w:tcW w:w="1417" w:type="dxa"/>
            <w:vAlign w:val="bottom"/>
          </w:tcPr>
          <w:p w14:paraId="69EB9B2F" w14:textId="50CD3EDE" w:rsidR="00FC1E94" w:rsidRDefault="00FC1E94" w:rsidP="00FC1E94">
            <w:pPr>
              <w:jc w:val="right"/>
              <w:rPr>
                <w:lang w:val="en-US" w:eastAsia="en-AU"/>
              </w:rPr>
            </w:pPr>
            <w:r>
              <w:t xml:space="preserve">                 -   </w:t>
            </w:r>
          </w:p>
        </w:tc>
        <w:tc>
          <w:tcPr>
            <w:tcW w:w="1700" w:type="dxa"/>
            <w:vAlign w:val="bottom"/>
          </w:tcPr>
          <w:p w14:paraId="0EAD4BAB" w14:textId="6722B7C0" w:rsidR="00FC1E94" w:rsidRDefault="00FC1E94" w:rsidP="00FC1E94">
            <w:pPr>
              <w:jc w:val="right"/>
              <w:rPr>
                <w:lang w:val="en-US" w:eastAsia="en-AU"/>
              </w:rPr>
            </w:pPr>
            <w:r>
              <w:t xml:space="preserve">                 -   </w:t>
            </w:r>
          </w:p>
        </w:tc>
        <w:tc>
          <w:tcPr>
            <w:tcW w:w="1559" w:type="dxa"/>
            <w:tcBorders>
              <w:right w:val="single" w:sz="12" w:space="0" w:color="auto"/>
            </w:tcBorders>
            <w:vAlign w:val="bottom"/>
          </w:tcPr>
          <w:p w14:paraId="293CA0AF" w14:textId="7AD82ACA" w:rsidR="00FC1E94" w:rsidRDefault="00FC1E94" w:rsidP="00FC1E94">
            <w:pPr>
              <w:jc w:val="right"/>
              <w:rPr>
                <w:lang w:val="en-US" w:eastAsia="en-AU"/>
              </w:rPr>
            </w:pPr>
            <w:r>
              <w:t xml:space="preserve">                 -   </w:t>
            </w:r>
          </w:p>
        </w:tc>
        <w:tc>
          <w:tcPr>
            <w:tcW w:w="1619" w:type="dxa"/>
            <w:tcBorders>
              <w:left w:val="single" w:sz="12" w:space="0" w:color="auto"/>
            </w:tcBorders>
            <w:vAlign w:val="bottom"/>
          </w:tcPr>
          <w:p w14:paraId="15ED30F2" w14:textId="007734BC" w:rsidR="00FC1E94" w:rsidRDefault="00FC1E94" w:rsidP="00FC1E94">
            <w:pPr>
              <w:jc w:val="right"/>
              <w:rPr>
                <w:lang w:val="en-US" w:eastAsia="en-AU"/>
              </w:rPr>
            </w:pPr>
            <w:r>
              <w:t xml:space="preserve">                 -   </w:t>
            </w:r>
          </w:p>
        </w:tc>
      </w:tr>
      <w:tr w:rsidR="00FC1E94" w14:paraId="6BAE2461" w14:textId="77777777" w:rsidTr="00FC1E94">
        <w:tc>
          <w:tcPr>
            <w:tcW w:w="1981" w:type="dxa"/>
            <w:vAlign w:val="bottom"/>
          </w:tcPr>
          <w:p w14:paraId="630986B5" w14:textId="44943C70" w:rsidR="00FC1E94" w:rsidRDefault="00FC1E94" w:rsidP="00FC1E94">
            <w:pPr>
              <w:rPr>
                <w:lang w:val="en-US" w:eastAsia="en-AU"/>
              </w:rPr>
            </w:pPr>
            <w:r>
              <w:t>Receivables</w:t>
            </w:r>
            <w:r>
              <w:rPr>
                <w:vertAlign w:val="superscript"/>
              </w:rPr>
              <w:t>(a)</w:t>
            </w:r>
          </w:p>
        </w:tc>
        <w:tc>
          <w:tcPr>
            <w:tcW w:w="1276" w:type="dxa"/>
            <w:vAlign w:val="bottom"/>
          </w:tcPr>
          <w:p w14:paraId="7F81B5FA" w14:textId="0353D5F2" w:rsidR="00FC1E94" w:rsidRDefault="00FC1E94" w:rsidP="00FC1E94">
            <w:pPr>
              <w:jc w:val="right"/>
              <w:rPr>
                <w:lang w:val="en-US" w:eastAsia="en-AU"/>
              </w:rPr>
            </w:pPr>
            <w:r>
              <w:t xml:space="preserve">            1,210 </w:t>
            </w:r>
          </w:p>
        </w:tc>
        <w:tc>
          <w:tcPr>
            <w:tcW w:w="1558" w:type="dxa"/>
            <w:tcBorders>
              <w:right w:val="single" w:sz="18" w:space="0" w:color="auto"/>
            </w:tcBorders>
            <w:vAlign w:val="bottom"/>
          </w:tcPr>
          <w:p w14:paraId="2E2F2B10" w14:textId="7B75456D" w:rsidR="00FC1E94" w:rsidRDefault="00FC1E94" w:rsidP="00FC1E94">
            <w:pPr>
              <w:jc w:val="right"/>
              <w:rPr>
                <w:lang w:val="en-US" w:eastAsia="en-AU"/>
              </w:rPr>
            </w:pPr>
            <w:r>
              <w:t xml:space="preserve">               963 </w:t>
            </w:r>
          </w:p>
        </w:tc>
        <w:tc>
          <w:tcPr>
            <w:tcW w:w="1382" w:type="dxa"/>
            <w:tcBorders>
              <w:left w:val="single" w:sz="18" w:space="0" w:color="auto"/>
            </w:tcBorders>
            <w:vAlign w:val="bottom"/>
          </w:tcPr>
          <w:p w14:paraId="6293C65F" w14:textId="1E497A57" w:rsidR="00FC1E94" w:rsidRDefault="00FC1E94" w:rsidP="00FC1E94">
            <w:pPr>
              <w:jc w:val="right"/>
              <w:rPr>
                <w:lang w:val="en-US" w:eastAsia="en-AU"/>
              </w:rPr>
            </w:pPr>
            <w:r>
              <w:t xml:space="preserve">                 -   </w:t>
            </w:r>
          </w:p>
        </w:tc>
        <w:tc>
          <w:tcPr>
            <w:tcW w:w="1451" w:type="dxa"/>
            <w:vAlign w:val="bottom"/>
          </w:tcPr>
          <w:p w14:paraId="5A2E283D" w14:textId="688FDC72" w:rsidR="00FC1E94" w:rsidRDefault="00FC1E94" w:rsidP="00FC1E94">
            <w:pPr>
              <w:jc w:val="right"/>
              <w:rPr>
                <w:lang w:val="en-US" w:eastAsia="en-AU"/>
              </w:rPr>
            </w:pPr>
            <w:r>
              <w:t xml:space="preserve">                39 </w:t>
            </w:r>
          </w:p>
        </w:tc>
        <w:tc>
          <w:tcPr>
            <w:tcW w:w="1417" w:type="dxa"/>
            <w:vAlign w:val="bottom"/>
          </w:tcPr>
          <w:p w14:paraId="37CAA46C" w14:textId="6CF1B319" w:rsidR="00FC1E94" w:rsidRDefault="00FC1E94" w:rsidP="00FC1E94">
            <w:pPr>
              <w:jc w:val="right"/>
              <w:rPr>
                <w:lang w:val="en-US" w:eastAsia="en-AU"/>
              </w:rPr>
            </w:pPr>
            <w:r>
              <w:t xml:space="preserve">                  6 </w:t>
            </w:r>
          </w:p>
        </w:tc>
        <w:tc>
          <w:tcPr>
            <w:tcW w:w="1700" w:type="dxa"/>
            <w:vAlign w:val="bottom"/>
          </w:tcPr>
          <w:p w14:paraId="74128B2A" w14:textId="39F03CE8" w:rsidR="00FC1E94" w:rsidRDefault="00FC1E94" w:rsidP="00FC1E94">
            <w:pPr>
              <w:jc w:val="right"/>
              <w:rPr>
                <w:lang w:val="en-US" w:eastAsia="en-AU"/>
              </w:rPr>
            </w:pPr>
            <w:r>
              <w:t xml:space="preserve">                23 </w:t>
            </w:r>
          </w:p>
        </w:tc>
        <w:tc>
          <w:tcPr>
            <w:tcW w:w="1559" w:type="dxa"/>
            <w:tcBorders>
              <w:right w:val="single" w:sz="12" w:space="0" w:color="auto"/>
            </w:tcBorders>
            <w:vAlign w:val="bottom"/>
          </w:tcPr>
          <w:p w14:paraId="0671B27D" w14:textId="51EE7CDF" w:rsidR="00FC1E94" w:rsidRDefault="00FC1E94" w:rsidP="00FC1E94">
            <w:pPr>
              <w:jc w:val="right"/>
              <w:rPr>
                <w:lang w:val="en-US" w:eastAsia="en-AU"/>
              </w:rPr>
            </w:pPr>
            <w:r>
              <w:t xml:space="preserve">              179 </w:t>
            </w:r>
          </w:p>
        </w:tc>
        <w:tc>
          <w:tcPr>
            <w:tcW w:w="1619" w:type="dxa"/>
            <w:tcBorders>
              <w:left w:val="single" w:sz="12" w:space="0" w:color="auto"/>
            </w:tcBorders>
            <w:vAlign w:val="bottom"/>
          </w:tcPr>
          <w:p w14:paraId="52D90BFF" w14:textId="782ECFC2" w:rsidR="00FC1E94" w:rsidRDefault="00FC1E94" w:rsidP="00FC1E94">
            <w:pPr>
              <w:jc w:val="right"/>
              <w:rPr>
                <w:lang w:val="en-US" w:eastAsia="en-AU"/>
              </w:rPr>
            </w:pPr>
            <w:r>
              <w:t xml:space="preserve">                 -   </w:t>
            </w:r>
          </w:p>
        </w:tc>
      </w:tr>
      <w:tr w:rsidR="00FC1E94" w14:paraId="3FE19B4B" w14:textId="77777777" w:rsidTr="00FC1E94">
        <w:tc>
          <w:tcPr>
            <w:tcW w:w="1981" w:type="dxa"/>
            <w:vAlign w:val="bottom"/>
          </w:tcPr>
          <w:p w14:paraId="12B688EA" w14:textId="05DF65B0" w:rsidR="00FC1E94" w:rsidRDefault="00FC1E94" w:rsidP="00FC1E94">
            <w:pPr>
              <w:rPr>
                <w:lang w:val="en-US" w:eastAsia="en-AU"/>
              </w:rPr>
            </w:pPr>
            <w:r>
              <w:t>Other financial assets</w:t>
            </w:r>
          </w:p>
        </w:tc>
        <w:tc>
          <w:tcPr>
            <w:tcW w:w="1276" w:type="dxa"/>
            <w:vAlign w:val="bottom"/>
          </w:tcPr>
          <w:p w14:paraId="7FAF2D3B" w14:textId="42435F95" w:rsidR="00FC1E94" w:rsidRDefault="00FC1E94" w:rsidP="00FC1E94">
            <w:pPr>
              <w:jc w:val="right"/>
              <w:rPr>
                <w:lang w:val="en-US" w:eastAsia="en-AU"/>
              </w:rPr>
            </w:pPr>
            <w:r>
              <w:t xml:space="preserve">          18,024 </w:t>
            </w:r>
          </w:p>
        </w:tc>
        <w:tc>
          <w:tcPr>
            <w:tcW w:w="1558" w:type="dxa"/>
            <w:tcBorders>
              <w:right w:val="single" w:sz="18" w:space="0" w:color="auto"/>
            </w:tcBorders>
            <w:vAlign w:val="bottom"/>
          </w:tcPr>
          <w:p w14:paraId="7E67216C" w14:textId="5CF5679F" w:rsidR="00FC1E94" w:rsidRDefault="00FC1E94" w:rsidP="00FC1E94">
            <w:pPr>
              <w:jc w:val="right"/>
              <w:rPr>
                <w:lang w:val="en-US" w:eastAsia="en-AU"/>
              </w:rPr>
            </w:pPr>
            <w:r>
              <w:t xml:space="preserve">          18,024 </w:t>
            </w:r>
          </w:p>
        </w:tc>
        <w:tc>
          <w:tcPr>
            <w:tcW w:w="1382" w:type="dxa"/>
            <w:tcBorders>
              <w:left w:val="single" w:sz="18" w:space="0" w:color="auto"/>
            </w:tcBorders>
            <w:vAlign w:val="bottom"/>
          </w:tcPr>
          <w:p w14:paraId="557A2924" w14:textId="03E71395" w:rsidR="00FC1E94" w:rsidRDefault="00FC1E94" w:rsidP="00FC1E94">
            <w:pPr>
              <w:jc w:val="right"/>
              <w:rPr>
                <w:lang w:val="en-US" w:eastAsia="en-AU"/>
              </w:rPr>
            </w:pPr>
            <w:r>
              <w:t xml:space="preserve">                 -   </w:t>
            </w:r>
          </w:p>
        </w:tc>
        <w:tc>
          <w:tcPr>
            <w:tcW w:w="1451" w:type="dxa"/>
            <w:vAlign w:val="bottom"/>
          </w:tcPr>
          <w:p w14:paraId="4A891C20" w14:textId="7208DF12" w:rsidR="00FC1E94" w:rsidRDefault="00FC1E94" w:rsidP="00FC1E94">
            <w:pPr>
              <w:jc w:val="right"/>
              <w:rPr>
                <w:lang w:val="en-US" w:eastAsia="en-AU"/>
              </w:rPr>
            </w:pPr>
            <w:r>
              <w:t xml:space="preserve">                -   </w:t>
            </w:r>
          </w:p>
        </w:tc>
        <w:tc>
          <w:tcPr>
            <w:tcW w:w="1417" w:type="dxa"/>
            <w:vAlign w:val="bottom"/>
          </w:tcPr>
          <w:p w14:paraId="0908CD7F" w14:textId="0F70A7DE" w:rsidR="00FC1E94" w:rsidRDefault="00FC1E94" w:rsidP="00FC1E94">
            <w:pPr>
              <w:jc w:val="right"/>
              <w:rPr>
                <w:lang w:val="en-US" w:eastAsia="en-AU"/>
              </w:rPr>
            </w:pPr>
            <w:r>
              <w:t xml:space="preserve">                 -   </w:t>
            </w:r>
          </w:p>
        </w:tc>
        <w:tc>
          <w:tcPr>
            <w:tcW w:w="1700" w:type="dxa"/>
            <w:vAlign w:val="bottom"/>
          </w:tcPr>
          <w:p w14:paraId="31C03AC2" w14:textId="505D694C" w:rsidR="00FC1E94" w:rsidRDefault="00FC1E94" w:rsidP="00FC1E94">
            <w:pPr>
              <w:jc w:val="right"/>
              <w:rPr>
                <w:lang w:val="en-US" w:eastAsia="en-AU"/>
              </w:rPr>
            </w:pPr>
            <w:r>
              <w:t xml:space="preserve">                 -   </w:t>
            </w:r>
          </w:p>
        </w:tc>
        <w:tc>
          <w:tcPr>
            <w:tcW w:w="1559" w:type="dxa"/>
            <w:tcBorders>
              <w:right w:val="single" w:sz="12" w:space="0" w:color="auto"/>
            </w:tcBorders>
            <w:vAlign w:val="bottom"/>
          </w:tcPr>
          <w:p w14:paraId="369AF21A" w14:textId="453949A8" w:rsidR="00FC1E94" w:rsidRDefault="00FC1E94" w:rsidP="00FC1E94">
            <w:pPr>
              <w:jc w:val="right"/>
              <w:rPr>
                <w:lang w:val="en-US" w:eastAsia="en-AU"/>
              </w:rPr>
            </w:pPr>
            <w:r>
              <w:t xml:space="preserve">                 -   </w:t>
            </w:r>
          </w:p>
        </w:tc>
        <w:tc>
          <w:tcPr>
            <w:tcW w:w="1619" w:type="dxa"/>
            <w:tcBorders>
              <w:left w:val="single" w:sz="12" w:space="0" w:color="auto"/>
            </w:tcBorders>
            <w:vAlign w:val="bottom"/>
          </w:tcPr>
          <w:p w14:paraId="7146B02D" w14:textId="6C848810" w:rsidR="00FC1E94" w:rsidRPr="00FC1E94" w:rsidRDefault="00FC1E94" w:rsidP="00FC1E94">
            <w:pPr>
              <w:jc w:val="right"/>
            </w:pPr>
            <w:r>
              <w:t xml:space="preserve">                 -   </w:t>
            </w:r>
          </w:p>
        </w:tc>
      </w:tr>
      <w:tr w:rsidR="00FC1E94" w14:paraId="5ED80C30" w14:textId="77777777" w:rsidTr="00FC1E94">
        <w:tc>
          <w:tcPr>
            <w:tcW w:w="1981" w:type="dxa"/>
            <w:vAlign w:val="bottom"/>
          </w:tcPr>
          <w:p w14:paraId="530A26FF" w14:textId="77777777" w:rsidR="00FC1E94" w:rsidRDefault="00FC1E94" w:rsidP="00FC1E94"/>
        </w:tc>
        <w:tc>
          <w:tcPr>
            <w:tcW w:w="1276" w:type="dxa"/>
            <w:vAlign w:val="bottom"/>
          </w:tcPr>
          <w:p w14:paraId="4786E405" w14:textId="77777777" w:rsidR="00FC1E94" w:rsidRDefault="00FC1E94" w:rsidP="00FC1E94">
            <w:pPr>
              <w:jc w:val="right"/>
            </w:pPr>
          </w:p>
        </w:tc>
        <w:tc>
          <w:tcPr>
            <w:tcW w:w="1558" w:type="dxa"/>
            <w:vAlign w:val="bottom"/>
          </w:tcPr>
          <w:p w14:paraId="1CE6766D" w14:textId="77777777" w:rsidR="00FC1E94" w:rsidRDefault="00FC1E94" w:rsidP="00FC1E94">
            <w:pPr>
              <w:jc w:val="right"/>
            </w:pPr>
          </w:p>
        </w:tc>
        <w:tc>
          <w:tcPr>
            <w:tcW w:w="1382" w:type="dxa"/>
            <w:vAlign w:val="bottom"/>
          </w:tcPr>
          <w:p w14:paraId="5059E892" w14:textId="77777777" w:rsidR="00FC1E94" w:rsidRDefault="00FC1E94" w:rsidP="00FC1E94">
            <w:pPr>
              <w:jc w:val="right"/>
            </w:pPr>
          </w:p>
        </w:tc>
        <w:tc>
          <w:tcPr>
            <w:tcW w:w="1451" w:type="dxa"/>
            <w:vAlign w:val="bottom"/>
          </w:tcPr>
          <w:p w14:paraId="243C12FD" w14:textId="77777777" w:rsidR="00FC1E94" w:rsidRDefault="00FC1E94" w:rsidP="00FC1E94">
            <w:pPr>
              <w:jc w:val="right"/>
            </w:pPr>
          </w:p>
        </w:tc>
        <w:tc>
          <w:tcPr>
            <w:tcW w:w="1417" w:type="dxa"/>
            <w:vAlign w:val="bottom"/>
          </w:tcPr>
          <w:p w14:paraId="2FB1479B" w14:textId="77777777" w:rsidR="00FC1E94" w:rsidRDefault="00FC1E94" w:rsidP="00FC1E94">
            <w:pPr>
              <w:jc w:val="right"/>
            </w:pPr>
          </w:p>
        </w:tc>
        <w:tc>
          <w:tcPr>
            <w:tcW w:w="1700" w:type="dxa"/>
            <w:vAlign w:val="bottom"/>
          </w:tcPr>
          <w:p w14:paraId="3F14DB07" w14:textId="77777777" w:rsidR="00FC1E94" w:rsidRDefault="00FC1E94" w:rsidP="00FC1E94">
            <w:pPr>
              <w:jc w:val="right"/>
            </w:pPr>
          </w:p>
        </w:tc>
        <w:tc>
          <w:tcPr>
            <w:tcW w:w="1559" w:type="dxa"/>
            <w:vAlign w:val="bottom"/>
          </w:tcPr>
          <w:p w14:paraId="1E236D98" w14:textId="77777777" w:rsidR="00FC1E94" w:rsidRDefault="00FC1E94" w:rsidP="00FC1E94">
            <w:pPr>
              <w:jc w:val="right"/>
            </w:pPr>
          </w:p>
        </w:tc>
        <w:tc>
          <w:tcPr>
            <w:tcW w:w="1619" w:type="dxa"/>
            <w:vAlign w:val="bottom"/>
          </w:tcPr>
          <w:p w14:paraId="50300FB9" w14:textId="77777777" w:rsidR="00FC1E94" w:rsidRDefault="00FC1E94" w:rsidP="00FC1E94">
            <w:pPr>
              <w:jc w:val="right"/>
            </w:pPr>
          </w:p>
        </w:tc>
      </w:tr>
      <w:tr w:rsidR="00FC1E94" w14:paraId="24C6F80B" w14:textId="77777777" w:rsidTr="00FC1E94">
        <w:tc>
          <w:tcPr>
            <w:tcW w:w="1981" w:type="dxa"/>
          </w:tcPr>
          <w:p w14:paraId="4D0F6A48" w14:textId="77777777" w:rsidR="00FC1E94" w:rsidRDefault="00FC1E94" w:rsidP="00FC1E94">
            <w:pPr>
              <w:rPr>
                <w:lang w:val="en-US" w:eastAsia="en-AU"/>
              </w:rPr>
            </w:pPr>
          </w:p>
        </w:tc>
        <w:tc>
          <w:tcPr>
            <w:tcW w:w="1276" w:type="dxa"/>
            <w:tcBorders>
              <w:top w:val="single" w:sz="12" w:space="0" w:color="auto"/>
              <w:bottom w:val="double" w:sz="4" w:space="0" w:color="auto"/>
            </w:tcBorders>
            <w:vAlign w:val="bottom"/>
          </w:tcPr>
          <w:p w14:paraId="636D246C" w14:textId="70FEAD6B" w:rsidR="00FC1E94" w:rsidRPr="00FC1E94" w:rsidRDefault="00FC1E94" w:rsidP="00FC1E94">
            <w:pPr>
              <w:jc w:val="right"/>
              <w:rPr>
                <w:b/>
                <w:lang w:val="en-US" w:eastAsia="en-AU"/>
              </w:rPr>
            </w:pPr>
            <w:r w:rsidRPr="00FC1E94">
              <w:rPr>
                <w:b/>
              </w:rPr>
              <w:t xml:space="preserve">        114,016 </w:t>
            </w:r>
          </w:p>
        </w:tc>
        <w:tc>
          <w:tcPr>
            <w:tcW w:w="1558" w:type="dxa"/>
            <w:tcBorders>
              <w:top w:val="single" w:sz="12" w:space="0" w:color="auto"/>
              <w:bottom w:val="double" w:sz="4" w:space="0" w:color="auto"/>
              <w:right w:val="single" w:sz="18" w:space="0" w:color="auto"/>
            </w:tcBorders>
            <w:vAlign w:val="bottom"/>
          </w:tcPr>
          <w:p w14:paraId="6D1B1C06" w14:textId="754FE4D8" w:rsidR="00FC1E94" w:rsidRPr="00FC1E94" w:rsidRDefault="00FC1E94" w:rsidP="00FC1E94">
            <w:pPr>
              <w:jc w:val="right"/>
              <w:rPr>
                <w:b/>
                <w:lang w:val="en-US" w:eastAsia="en-AU"/>
              </w:rPr>
            </w:pPr>
            <w:r w:rsidRPr="00FC1E94">
              <w:rPr>
                <w:b/>
              </w:rPr>
              <w:t xml:space="preserve">        113,769 </w:t>
            </w:r>
          </w:p>
        </w:tc>
        <w:tc>
          <w:tcPr>
            <w:tcW w:w="1382" w:type="dxa"/>
            <w:tcBorders>
              <w:top w:val="single" w:sz="12" w:space="0" w:color="auto"/>
              <w:left w:val="single" w:sz="18" w:space="0" w:color="auto"/>
              <w:bottom w:val="double" w:sz="4" w:space="0" w:color="auto"/>
            </w:tcBorders>
            <w:vAlign w:val="bottom"/>
          </w:tcPr>
          <w:p w14:paraId="440EF563" w14:textId="150B1FCB" w:rsidR="00FC1E94" w:rsidRPr="00FC1E94" w:rsidRDefault="00FC1E94" w:rsidP="00FC1E94">
            <w:pPr>
              <w:jc w:val="right"/>
              <w:rPr>
                <w:b/>
                <w:lang w:val="en-US" w:eastAsia="en-AU"/>
              </w:rPr>
            </w:pPr>
            <w:r w:rsidRPr="00FC1E94">
              <w:rPr>
                <w:b/>
              </w:rPr>
              <w:t xml:space="preserve">                 -   </w:t>
            </w:r>
          </w:p>
        </w:tc>
        <w:tc>
          <w:tcPr>
            <w:tcW w:w="1451" w:type="dxa"/>
            <w:tcBorders>
              <w:top w:val="single" w:sz="12" w:space="0" w:color="auto"/>
              <w:bottom w:val="double" w:sz="4" w:space="0" w:color="auto"/>
            </w:tcBorders>
            <w:vAlign w:val="bottom"/>
          </w:tcPr>
          <w:p w14:paraId="0CE89D53" w14:textId="66CF62D2" w:rsidR="00FC1E94" w:rsidRPr="00FC1E94" w:rsidRDefault="00FC1E94" w:rsidP="00FC1E94">
            <w:pPr>
              <w:jc w:val="right"/>
              <w:rPr>
                <w:b/>
                <w:lang w:val="en-US" w:eastAsia="en-AU"/>
              </w:rPr>
            </w:pPr>
            <w:r w:rsidRPr="00FC1E94">
              <w:rPr>
                <w:b/>
              </w:rPr>
              <w:t xml:space="preserve">                39 </w:t>
            </w:r>
          </w:p>
        </w:tc>
        <w:tc>
          <w:tcPr>
            <w:tcW w:w="1417" w:type="dxa"/>
            <w:tcBorders>
              <w:top w:val="single" w:sz="12" w:space="0" w:color="auto"/>
              <w:bottom w:val="double" w:sz="4" w:space="0" w:color="auto"/>
            </w:tcBorders>
            <w:vAlign w:val="bottom"/>
          </w:tcPr>
          <w:p w14:paraId="52E84222" w14:textId="3D0EF558" w:rsidR="00FC1E94" w:rsidRPr="00FC1E94" w:rsidRDefault="00FC1E94" w:rsidP="00FC1E94">
            <w:pPr>
              <w:jc w:val="right"/>
              <w:rPr>
                <w:b/>
                <w:lang w:val="en-US" w:eastAsia="en-AU"/>
              </w:rPr>
            </w:pPr>
            <w:r w:rsidRPr="00FC1E94">
              <w:rPr>
                <w:b/>
              </w:rPr>
              <w:t xml:space="preserve">                  6 </w:t>
            </w:r>
          </w:p>
        </w:tc>
        <w:tc>
          <w:tcPr>
            <w:tcW w:w="1700" w:type="dxa"/>
            <w:tcBorders>
              <w:top w:val="single" w:sz="12" w:space="0" w:color="auto"/>
              <w:bottom w:val="double" w:sz="4" w:space="0" w:color="auto"/>
            </w:tcBorders>
            <w:vAlign w:val="bottom"/>
          </w:tcPr>
          <w:p w14:paraId="333DE90B" w14:textId="01E70FC2" w:rsidR="00FC1E94" w:rsidRPr="00FC1E94" w:rsidRDefault="00FC1E94" w:rsidP="00FC1E94">
            <w:pPr>
              <w:jc w:val="right"/>
              <w:rPr>
                <w:b/>
                <w:lang w:val="en-US" w:eastAsia="en-AU"/>
              </w:rPr>
            </w:pPr>
            <w:r w:rsidRPr="00FC1E94">
              <w:rPr>
                <w:b/>
              </w:rPr>
              <w:t xml:space="preserve">                23 </w:t>
            </w:r>
          </w:p>
        </w:tc>
        <w:tc>
          <w:tcPr>
            <w:tcW w:w="1559" w:type="dxa"/>
            <w:tcBorders>
              <w:top w:val="single" w:sz="12" w:space="0" w:color="auto"/>
              <w:bottom w:val="double" w:sz="4" w:space="0" w:color="auto"/>
              <w:right w:val="single" w:sz="12" w:space="0" w:color="auto"/>
            </w:tcBorders>
            <w:vAlign w:val="bottom"/>
          </w:tcPr>
          <w:p w14:paraId="69222AE7" w14:textId="18543057" w:rsidR="00FC1E94" w:rsidRPr="00FC1E94" w:rsidRDefault="00FC1E94" w:rsidP="00FC1E94">
            <w:pPr>
              <w:jc w:val="right"/>
              <w:rPr>
                <w:b/>
                <w:lang w:val="en-US" w:eastAsia="en-AU"/>
              </w:rPr>
            </w:pPr>
            <w:r w:rsidRPr="00FC1E94">
              <w:rPr>
                <w:b/>
              </w:rPr>
              <w:t xml:space="preserve">              179 </w:t>
            </w:r>
          </w:p>
        </w:tc>
        <w:tc>
          <w:tcPr>
            <w:tcW w:w="1619" w:type="dxa"/>
            <w:tcBorders>
              <w:top w:val="single" w:sz="12" w:space="0" w:color="auto"/>
              <w:left w:val="single" w:sz="12" w:space="0" w:color="auto"/>
              <w:bottom w:val="double" w:sz="4" w:space="0" w:color="auto"/>
            </w:tcBorders>
            <w:vAlign w:val="bottom"/>
          </w:tcPr>
          <w:p w14:paraId="5ED4CCF0" w14:textId="70CF292F" w:rsidR="00FC1E94" w:rsidRPr="00FC1E94" w:rsidRDefault="00FC1E94" w:rsidP="00FC1E94">
            <w:pPr>
              <w:jc w:val="right"/>
              <w:rPr>
                <w:b/>
                <w:lang w:val="en-US" w:eastAsia="en-AU"/>
              </w:rPr>
            </w:pPr>
            <w:r w:rsidRPr="00FC1E94">
              <w:rPr>
                <w:b/>
              </w:rPr>
              <w:t xml:space="preserve">                 -   </w:t>
            </w:r>
          </w:p>
        </w:tc>
      </w:tr>
      <w:tr w:rsidR="00FC1E94" w14:paraId="42B5AB07" w14:textId="77777777" w:rsidTr="00FC1E94">
        <w:tc>
          <w:tcPr>
            <w:tcW w:w="1981" w:type="dxa"/>
            <w:vAlign w:val="bottom"/>
          </w:tcPr>
          <w:p w14:paraId="00268435" w14:textId="57FB9CE0" w:rsidR="00FC1E94" w:rsidRPr="00FC1E94" w:rsidRDefault="00FC1E94" w:rsidP="00FC1E94">
            <w:pPr>
              <w:rPr>
                <w:b/>
                <w:lang w:val="en-US" w:eastAsia="en-AU"/>
              </w:rPr>
            </w:pPr>
            <w:r w:rsidRPr="00FC1E94">
              <w:rPr>
                <w:b/>
              </w:rPr>
              <w:t>2017</w:t>
            </w:r>
          </w:p>
        </w:tc>
        <w:tc>
          <w:tcPr>
            <w:tcW w:w="1276" w:type="dxa"/>
            <w:tcBorders>
              <w:top w:val="double" w:sz="4" w:space="0" w:color="auto"/>
            </w:tcBorders>
          </w:tcPr>
          <w:p w14:paraId="60AAA04C" w14:textId="77777777" w:rsidR="00FC1E94" w:rsidRDefault="00FC1E94" w:rsidP="00FC1E94">
            <w:pPr>
              <w:rPr>
                <w:lang w:val="en-US" w:eastAsia="en-AU"/>
              </w:rPr>
            </w:pPr>
          </w:p>
        </w:tc>
        <w:tc>
          <w:tcPr>
            <w:tcW w:w="1558" w:type="dxa"/>
            <w:tcBorders>
              <w:top w:val="double" w:sz="4" w:space="0" w:color="auto"/>
              <w:right w:val="single" w:sz="18" w:space="0" w:color="auto"/>
            </w:tcBorders>
          </w:tcPr>
          <w:p w14:paraId="0CD4628C" w14:textId="77777777" w:rsidR="00FC1E94" w:rsidRDefault="00FC1E94" w:rsidP="00FC1E94">
            <w:pPr>
              <w:rPr>
                <w:lang w:val="en-US" w:eastAsia="en-AU"/>
              </w:rPr>
            </w:pPr>
          </w:p>
        </w:tc>
        <w:tc>
          <w:tcPr>
            <w:tcW w:w="1382" w:type="dxa"/>
            <w:tcBorders>
              <w:top w:val="double" w:sz="4" w:space="0" w:color="auto"/>
              <w:left w:val="single" w:sz="18" w:space="0" w:color="auto"/>
            </w:tcBorders>
          </w:tcPr>
          <w:p w14:paraId="4AD55C0A" w14:textId="77777777" w:rsidR="00FC1E94" w:rsidRDefault="00FC1E94" w:rsidP="00FC1E94">
            <w:pPr>
              <w:rPr>
                <w:lang w:val="en-US" w:eastAsia="en-AU"/>
              </w:rPr>
            </w:pPr>
          </w:p>
        </w:tc>
        <w:tc>
          <w:tcPr>
            <w:tcW w:w="1451" w:type="dxa"/>
            <w:tcBorders>
              <w:top w:val="double" w:sz="4" w:space="0" w:color="auto"/>
            </w:tcBorders>
          </w:tcPr>
          <w:p w14:paraId="7638DAE6" w14:textId="77777777" w:rsidR="00FC1E94" w:rsidRDefault="00FC1E94" w:rsidP="00FC1E94">
            <w:pPr>
              <w:rPr>
                <w:lang w:val="en-US" w:eastAsia="en-AU"/>
              </w:rPr>
            </w:pPr>
          </w:p>
        </w:tc>
        <w:tc>
          <w:tcPr>
            <w:tcW w:w="1417" w:type="dxa"/>
            <w:tcBorders>
              <w:top w:val="double" w:sz="4" w:space="0" w:color="auto"/>
            </w:tcBorders>
          </w:tcPr>
          <w:p w14:paraId="7E329FA3" w14:textId="77777777" w:rsidR="00FC1E94" w:rsidRDefault="00FC1E94" w:rsidP="00FC1E94">
            <w:pPr>
              <w:rPr>
                <w:lang w:val="en-US" w:eastAsia="en-AU"/>
              </w:rPr>
            </w:pPr>
          </w:p>
        </w:tc>
        <w:tc>
          <w:tcPr>
            <w:tcW w:w="1700" w:type="dxa"/>
            <w:tcBorders>
              <w:top w:val="double" w:sz="4" w:space="0" w:color="auto"/>
            </w:tcBorders>
          </w:tcPr>
          <w:p w14:paraId="77233A9B" w14:textId="77777777" w:rsidR="00FC1E94" w:rsidRDefault="00FC1E94" w:rsidP="00FC1E94">
            <w:pPr>
              <w:rPr>
                <w:lang w:val="en-US" w:eastAsia="en-AU"/>
              </w:rPr>
            </w:pPr>
          </w:p>
        </w:tc>
        <w:tc>
          <w:tcPr>
            <w:tcW w:w="1559" w:type="dxa"/>
            <w:tcBorders>
              <w:top w:val="double" w:sz="4" w:space="0" w:color="auto"/>
              <w:right w:val="single" w:sz="12" w:space="0" w:color="auto"/>
            </w:tcBorders>
          </w:tcPr>
          <w:p w14:paraId="1D8C3908" w14:textId="77777777" w:rsidR="00FC1E94" w:rsidRDefault="00FC1E94" w:rsidP="00FC1E94">
            <w:pPr>
              <w:rPr>
                <w:lang w:val="en-US" w:eastAsia="en-AU"/>
              </w:rPr>
            </w:pPr>
          </w:p>
        </w:tc>
        <w:tc>
          <w:tcPr>
            <w:tcW w:w="1619" w:type="dxa"/>
            <w:tcBorders>
              <w:top w:val="double" w:sz="4" w:space="0" w:color="auto"/>
              <w:left w:val="single" w:sz="12" w:space="0" w:color="auto"/>
            </w:tcBorders>
          </w:tcPr>
          <w:p w14:paraId="2774B0F7" w14:textId="77777777" w:rsidR="00FC1E94" w:rsidRDefault="00FC1E94" w:rsidP="00FC1E94">
            <w:pPr>
              <w:rPr>
                <w:lang w:val="en-US" w:eastAsia="en-AU"/>
              </w:rPr>
            </w:pPr>
          </w:p>
        </w:tc>
      </w:tr>
      <w:tr w:rsidR="00FC1E94" w14:paraId="1374100B" w14:textId="77777777" w:rsidTr="00FC1E94">
        <w:tc>
          <w:tcPr>
            <w:tcW w:w="1981" w:type="dxa"/>
            <w:vAlign w:val="bottom"/>
          </w:tcPr>
          <w:p w14:paraId="4E6F0754" w14:textId="6ABE1C75" w:rsidR="00FC1E94" w:rsidRPr="00FC1E94" w:rsidRDefault="00FC1E94" w:rsidP="00FC1E94">
            <w:pPr>
              <w:rPr>
                <w:b/>
                <w:lang w:val="en-US" w:eastAsia="en-AU"/>
              </w:rPr>
            </w:pPr>
            <w:r w:rsidRPr="00FC1E94">
              <w:rPr>
                <w:b/>
              </w:rPr>
              <w:t>Financial Assets</w:t>
            </w:r>
          </w:p>
        </w:tc>
        <w:tc>
          <w:tcPr>
            <w:tcW w:w="1276" w:type="dxa"/>
          </w:tcPr>
          <w:p w14:paraId="14790EEA" w14:textId="77777777" w:rsidR="00FC1E94" w:rsidRDefault="00FC1E94" w:rsidP="00FC1E94">
            <w:pPr>
              <w:rPr>
                <w:lang w:val="en-US" w:eastAsia="en-AU"/>
              </w:rPr>
            </w:pPr>
          </w:p>
        </w:tc>
        <w:tc>
          <w:tcPr>
            <w:tcW w:w="1558" w:type="dxa"/>
            <w:tcBorders>
              <w:right w:val="single" w:sz="18" w:space="0" w:color="auto"/>
            </w:tcBorders>
          </w:tcPr>
          <w:p w14:paraId="033DE1FB" w14:textId="77777777" w:rsidR="00FC1E94" w:rsidRDefault="00FC1E94" w:rsidP="00FC1E94">
            <w:pPr>
              <w:rPr>
                <w:lang w:val="en-US" w:eastAsia="en-AU"/>
              </w:rPr>
            </w:pPr>
          </w:p>
        </w:tc>
        <w:tc>
          <w:tcPr>
            <w:tcW w:w="1382" w:type="dxa"/>
            <w:tcBorders>
              <w:left w:val="single" w:sz="18" w:space="0" w:color="auto"/>
            </w:tcBorders>
          </w:tcPr>
          <w:p w14:paraId="78130BC8" w14:textId="77777777" w:rsidR="00FC1E94" w:rsidRDefault="00FC1E94" w:rsidP="00FC1E94">
            <w:pPr>
              <w:rPr>
                <w:lang w:val="en-US" w:eastAsia="en-AU"/>
              </w:rPr>
            </w:pPr>
          </w:p>
        </w:tc>
        <w:tc>
          <w:tcPr>
            <w:tcW w:w="1451" w:type="dxa"/>
          </w:tcPr>
          <w:p w14:paraId="0DB8014E" w14:textId="77777777" w:rsidR="00FC1E94" w:rsidRDefault="00FC1E94" w:rsidP="00FC1E94">
            <w:pPr>
              <w:rPr>
                <w:lang w:val="en-US" w:eastAsia="en-AU"/>
              </w:rPr>
            </w:pPr>
          </w:p>
        </w:tc>
        <w:tc>
          <w:tcPr>
            <w:tcW w:w="1417" w:type="dxa"/>
          </w:tcPr>
          <w:p w14:paraId="6716CB4D" w14:textId="77777777" w:rsidR="00FC1E94" w:rsidRDefault="00FC1E94" w:rsidP="00FC1E94">
            <w:pPr>
              <w:rPr>
                <w:lang w:val="en-US" w:eastAsia="en-AU"/>
              </w:rPr>
            </w:pPr>
          </w:p>
        </w:tc>
        <w:tc>
          <w:tcPr>
            <w:tcW w:w="1700" w:type="dxa"/>
          </w:tcPr>
          <w:p w14:paraId="70822B20" w14:textId="77777777" w:rsidR="00FC1E94" w:rsidRDefault="00FC1E94" w:rsidP="00FC1E94">
            <w:pPr>
              <w:rPr>
                <w:lang w:val="en-US" w:eastAsia="en-AU"/>
              </w:rPr>
            </w:pPr>
          </w:p>
        </w:tc>
        <w:tc>
          <w:tcPr>
            <w:tcW w:w="1559" w:type="dxa"/>
            <w:tcBorders>
              <w:right w:val="single" w:sz="12" w:space="0" w:color="auto"/>
            </w:tcBorders>
          </w:tcPr>
          <w:p w14:paraId="4CBD68E1" w14:textId="77777777" w:rsidR="00FC1E94" w:rsidRDefault="00FC1E94" w:rsidP="00FC1E94">
            <w:pPr>
              <w:rPr>
                <w:lang w:val="en-US" w:eastAsia="en-AU"/>
              </w:rPr>
            </w:pPr>
          </w:p>
        </w:tc>
        <w:tc>
          <w:tcPr>
            <w:tcW w:w="1619" w:type="dxa"/>
            <w:tcBorders>
              <w:left w:val="single" w:sz="12" w:space="0" w:color="auto"/>
            </w:tcBorders>
          </w:tcPr>
          <w:p w14:paraId="196D5C21" w14:textId="77777777" w:rsidR="00FC1E94" w:rsidRDefault="00FC1E94" w:rsidP="00FC1E94">
            <w:pPr>
              <w:rPr>
                <w:lang w:val="en-US" w:eastAsia="en-AU"/>
              </w:rPr>
            </w:pPr>
          </w:p>
        </w:tc>
      </w:tr>
      <w:tr w:rsidR="00FC1E94" w14:paraId="05C26E8F" w14:textId="77777777" w:rsidTr="00DA304E">
        <w:tc>
          <w:tcPr>
            <w:tcW w:w="1981" w:type="dxa"/>
            <w:vAlign w:val="bottom"/>
          </w:tcPr>
          <w:p w14:paraId="6698365C" w14:textId="1A56A19A" w:rsidR="00FC1E94" w:rsidRDefault="00FC1E94" w:rsidP="00FC1E94">
            <w:pPr>
              <w:rPr>
                <w:lang w:val="en-US" w:eastAsia="en-AU"/>
              </w:rPr>
            </w:pPr>
            <w:r>
              <w:t xml:space="preserve">Cash and cash equivalents </w:t>
            </w:r>
          </w:p>
        </w:tc>
        <w:tc>
          <w:tcPr>
            <w:tcW w:w="1276" w:type="dxa"/>
            <w:vAlign w:val="bottom"/>
          </w:tcPr>
          <w:p w14:paraId="786A4262" w14:textId="6675EB60" w:rsidR="00FC1E94" w:rsidRDefault="00FC1E94" w:rsidP="00FC1E94">
            <w:pPr>
              <w:jc w:val="right"/>
              <w:rPr>
                <w:lang w:val="en-US" w:eastAsia="en-AU"/>
              </w:rPr>
            </w:pPr>
            <w:r>
              <w:t xml:space="preserve">          10,580 </w:t>
            </w:r>
          </w:p>
        </w:tc>
        <w:tc>
          <w:tcPr>
            <w:tcW w:w="1558" w:type="dxa"/>
            <w:tcBorders>
              <w:right w:val="single" w:sz="18" w:space="0" w:color="auto"/>
            </w:tcBorders>
            <w:vAlign w:val="bottom"/>
          </w:tcPr>
          <w:p w14:paraId="1F819713" w14:textId="2EFC1EA5" w:rsidR="00FC1E94" w:rsidRDefault="00FC1E94" w:rsidP="00FC1E94">
            <w:pPr>
              <w:jc w:val="right"/>
              <w:rPr>
                <w:lang w:val="en-US" w:eastAsia="en-AU"/>
              </w:rPr>
            </w:pPr>
            <w:r>
              <w:t xml:space="preserve">          10,580 </w:t>
            </w:r>
          </w:p>
        </w:tc>
        <w:tc>
          <w:tcPr>
            <w:tcW w:w="1382" w:type="dxa"/>
            <w:tcBorders>
              <w:left w:val="single" w:sz="18" w:space="0" w:color="auto"/>
            </w:tcBorders>
            <w:vAlign w:val="bottom"/>
          </w:tcPr>
          <w:p w14:paraId="498D75EA" w14:textId="644CECDC" w:rsidR="00FC1E94" w:rsidRDefault="00FC1E94" w:rsidP="00FC1E94">
            <w:pPr>
              <w:jc w:val="right"/>
              <w:rPr>
                <w:lang w:val="en-US" w:eastAsia="en-AU"/>
              </w:rPr>
            </w:pPr>
            <w:r>
              <w:t xml:space="preserve">                 -   </w:t>
            </w:r>
          </w:p>
        </w:tc>
        <w:tc>
          <w:tcPr>
            <w:tcW w:w="1451" w:type="dxa"/>
            <w:vAlign w:val="bottom"/>
          </w:tcPr>
          <w:p w14:paraId="52F16CD2" w14:textId="68BD503A" w:rsidR="00FC1E94" w:rsidRDefault="00FC1E94" w:rsidP="00FC1E94">
            <w:pPr>
              <w:jc w:val="right"/>
              <w:rPr>
                <w:lang w:val="en-US" w:eastAsia="en-AU"/>
              </w:rPr>
            </w:pPr>
            <w:r>
              <w:t xml:space="preserve">                -   </w:t>
            </w:r>
          </w:p>
        </w:tc>
        <w:tc>
          <w:tcPr>
            <w:tcW w:w="1417" w:type="dxa"/>
            <w:vAlign w:val="bottom"/>
          </w:tcPr>
          <w:p w14:paraId="12E893D3" w14:textId="45E4283F" w:rsidR="00FC1E94" w:rsidRDefault="00FC1E94" w:rsidP="00FC1E94">
            <w:pPr>
              <w:jc w:val="right"/>
              <w:rPr>
                <w:lang w:val="en-US" w:eastAsia="en-AU"/>
              </w:rPr>
            </w:pPr>
            <w:r>
              <w:t xml:space="preserve">                 -   </w:t>
            </w:r>
          </w:p>
        </w:tc>
        <w:tc>
          <w:tcPr>
            <w:tcW w:w="1700" w:type="dxa"/>
            <w:vAlign w:val="bottom"/>
          </w:tcPr>
          <w:p w14:paraId="7F7BCFD4" w14:textId="09D778E5" w:rsidR="00FC1E94" w:rsidRDefault="00FC1E94" w:rsidP="00FC1E94">
            <w:pPr>
              <w:jc w:val="right"/>
              <w:rPr>
                <w:lang w:val="en-US" w:eastAsia="en-AU"/>
              </w:rPr>
            </w:pPr>
            <w:r>
              <w:t xml:space="preserve">                 -   </w:t>
            </w:r>
          </w:p>
        </w:tc>
        <w:tc>
          <w:tcPr>
            <w:tcW w:w="1559" w:type="dxa"/>
            <w:tcBorders>
              <w:right w:val="single" w:sz="12" w:space="0" w:color="auto"/>
            </w:tcBorders>
            <w:vAlign w:val="bottom"/>
          </w:tcPr>
          <w:p w14:paraId="4BE0F179" w14:textId="306AD2C8" w:rsidR="00FC1E94" w:rsidRDefault="00FC1E94" w:rsidP="00FC1E94">
            <w:pPr>
              <w:jc w:val="right"/>
              <w:rPr>
                <w:lang w:val="en-US" w:eastAsia="en-AU"/>
              </w:rPr>
            </w:pPr>
            <w:r>
              <w:t xml:space="preserve">                 -   </w:t>
            </w:r>
          </w:p>
        </w:tc>
        <w:tc>
          <w:tcPr>
            <w:tcW w:w="1619" w:type="dxa"/>
            <w:tcBorders>
              <w:left w:val="single" w:sz="12" w:space="0" w:color="auto"/>
            </w:tcBorders>
            <w:vAlign w:val="bottom"/>
          </w:tcPr>
          <w:p w14:paraId="0F9C99BC" w14:textId="2F1C66BB" w:rsidR="00FC1E94" w:rsidRDefault="00FC1E94" w:rsidP="00FC1E94">
            <w:pPr>
              <w:jc w:val="right"/>
              <w:rPr>
                <w:lang w:val="en-US" w:eastAsia="en-AU"/>
              </w:rPr>
            </w:pPr>
            <w:r>
              <w:t xml:space="preserve">                 -   </w:t>
            </w:r>
          </w:p>
        </w:tc>
      </w:tr>
      <w:tr w:rsidR="00FC1E94" w14:paraId="7EC81DE7" w14:textId="77777777" w:rsidTr="00DA304E">
        <w:tc>
          <w:tcPr>
            <w:tcW w:w="1981" w:type="dxa"/>
            <w:vAlign w:val="bottom"/>
          </w:tcPr>
          <w:p w14:paraId="0F180C57" w14:textId="08825668" w:rsidR="00FC1E94" w:rsidRDefault="00FC1E94" w:rsidP="00FC1E94">
            <w:pPr>
              <w:rPr>
                <w:lang w:val="en-US" w:eastAsia="en-AU"/>
              </w:rPr>
            </w:pPr>
            <w:r>
              <w:t>Restricted Cash</w:t>
            </w:r>
          </w:p>
        </w:tc>
        <w:tc>
          <w:tcPr>
            <w:tcW w:w="1276" w:type="dxa"/>
            <w:vAlign w:val="bottom"/>
          </w:tcPr>
          <w:p w14:paraId="289E1569" w14:textId="54D3A5C1" w:rsidR="00FC1E94" w:rsidRDefault="00FC1E94" w:rsidP="00FC1E94">
            <w:pPr>
              <w:jc w:val="right"/>
              <w:rPr>
                <w:lang w:val="en-US" w:eastAsia="en-AU"/>
              </w:rPr>
            </w:pPr>
            <w:r>
              <w:t xml:space="preserve">          85,742 </w:t>
            </w:r>
          </w:p>
        </w:tc>
        <w:tc>
          <w:tcPr>
            <w:tcW w:w="1558" w:type="dxa"/>
            <w:tcBorders>
              <w:right w:val="single" w:sz="18" w:space="0" w:color="auto"/>
            </w:tcBorders>
            <w:vAlign w:val="bottom"/>
          </w:tcPr>
          <w:p w14:paraId="53A832A3" w14:textId="19306806" w:rsidR="00FC1E94" w:rsidRDefault="00FC1E94" w:rsidP="00FC1E94">
            <w:pPr>
              <w:jc w:val="right"/>
              <w:rPr>
                <w:lang w:val="en-US" w:eastAsia="en-AU"/>
              </w:rPr>
            </w:pPr>
            <w:r>
              <w:t xml:space="preserve">          85,742 </w:t>
            </w:r>
          </w:p>
        </w:tc>
        <w:tc>
          <w:tcPr>
            <w:tcW w:w="1382" w:type="dxa"/>
            <w:tcBorders>
              <w:left w:val="single" w:sz="18" w:space="0" w:color="auto"/>
            </w:tcBorders>
            <w:vAlign w:val="bottom"/>
          </w:tcPr>
          <w:p w14:paraId="76AB7AB7" w14:textId="7627B35F" w:rsidR="00FC1E94" w:rsidRDefault="00FC1E94" w:rsidP="00FC1E94">
            <w:pPr>
              <w:jc w:val="right"/>
              <w:rPr>
                <w:lang w:val="en-US" w:eastAsia="en-AU"/>
              </w:rPr>
            </w:pPr>
            <w:r>
              <w:t xml:space="preserve">                 -   </w:t>
            </w:r>
          </w:p>
        </w:tc>
        <w:tc>
          <w:tcPr>
            <w:tcW w:w="1451" w:type="dxa"/>
            <w:vAlign w:val="bottom"/>
          </w:tcPr>
          <w:p w14:paraId="2B8FC714" w14:textId="41BBAF24" w:rsidR="00FC1E94" w:rsidRDefault="00FC1E94" w:rsidP="00FC1E94">
            <w:pPr>
              <w:jc w:val="right"/>
              <w:rPr>
                <w:lang w:val="en-US" w:eastAsia="en-AU"/>
              </w:rPr>
            </w:pPr>
            <w:r>
              <w:t xml:space="preserve">                -   </w:t>
            </w:r>
          </w:p>
        </w:tc>
        <w:tc>
          <w:tcPr>
            <w:tcW w:w="1417" w:type="dxa"/>
            <w:vAlign w:val="bottom"/>
          </w:tcPr>
          <w:p w14:paraId="45D502D6" w14:textId="5CE8E408" w:rsidR="00FC1E94" w:rsidRDefault="00FC1E94" w:rsidP="00FC1E94">
            <w:pPr>
              <w:jc w:val="right"/>
              <w:rPr>
                <w:lang w:val="en-US" w:eastAsia="en-AU"/>
              </w:rPr>
            </w:pPr>
            <w:r>
              <w:t xml:space="preserve">                 -   </w:t>
            </w:r>
          </w:p>
        </w:tc>
        <w:tc>
          <w:tcPr>
            <w:tcW w:w="1700" w:type="dxa"/>
            <w:vAlign w:val="bottom"/>
          </w:tcPr>
          <w:p w14:paraId="17DAAAE7" w14:textId="2A459D6B" w:rsidR="00FC1E94" w:rsidRDefault="00FC1E94" w:rsidP="00FC1E94">
            <w:pPr>
              <w:jc w:val="right"/>
              <w:rPr>
                <w:lang w:val="en-US" w:eastAsia="en-AU"/>
              </w:rPr>
            </w:pPr>
            <w:r>
              <w:t xml:space="preserve">                 -   </w:t>
            </w:r>
          </w:p>
        </w:tc>
        <w:tc>
          <w:tcPr>
            <w:tcW w:w="1559" w:type="dxa"/>
            <w:tcBorders>
              <w:right w:val="single" w:sz="12" w:space="0" w:color="auto"/>
            </w:tcBorders>
            <w:vAlign w:val="bottom"/>
          </w:tcPr>
          <w:p w14:paraId="3ADB2D9F" w14:textId="0D250F3D" w:rsidR="00FC1E94" w:rsidRDefault="00FC1E94" w:rsidP="00FC1E94">
            <w:pPr>
              <w:jc w:val="right"/>
              <w:rPr>
                <w:lang w:val="en-US" w:eastAsia="en-AU"/>
              </w:rPr>
            </w:pPr>
            <w:r>
              <w:t xml:space="preserve">                 -   </w:t>
            </w:r>
          </w:p>
        </w:tc>
        <w:tc>
          <w:tcPr>
            <w:tcW w:w="1619" w:type="dxa"/>
            <w:tcBorders>
              <w:left w:val="single" w:sz="12" w:space="0" w:color="auto"/>
            </w:tcBorders>
            <w:vAlign w:val="bottom"/>
          </w:tcPr>
          <w:p w14:paraId="0571EE1A" w14:textId="6F9DD6FE" w:rsidR="00FC1E94" w:rsidRDefault="00FC1E94" w:rsidP="00FC1E94">
            <w:pPr>
              <w:jc w:val="right"/>
              <w:rPr>
                <w:lang w:val="en-US" w:eastAsia="en-AU"/>
              </w:rPr>
            </w:pPr>
            <w:r>
              <w:t xml:space="preserve">                 -   </w:t>
            </w:r>
          </w:p>
        </w:tc>
      </w:tr>
      <w:tr w:rsidR="00FC1E94" w14:paraId="19FF22A4" w14:textId="77777777" w:rsidTr="00DA304E">
        <w:tc>
          <w:tcPr>
            <w:tcW w:w="1981" w:type="dxa"/>
            <w:vAlign w:val="bottom"/>
          </w:tcPr>
          <w:p w14:paraId="5E302B8A" w14:textId="0B3995DF" w:rsidR="00FC1E94" w:rsidRDefault="00FC1E94" w:rsidP="00FC1E94">
            <w:pPr>
              <w:rPr>
                <w:lang w:val="en-US" w:eastAsia="en-AU"/>
              </w:rPr>
            </w:pPr>
            <w:r>
              <w:t>Receivables</w:t>
            </w:r>
            <w:r>
              <w:rPr>
                <w:vertAlign w:val="superscript"/>
              </w:rPr>
              <w:t>(a)</w:t>
            </w:r>
          </w:p>
        </w:tc>
        <w:tc>
          <w:tcPr>
            <w:tcW w:w="1276" w:type="dxa"/>
            <w:vAlign w:val="bottom"/>
          </w:tcPr>
          <w:p w14:paraId="79033A73" w14:textId="568ABBD2" w:rsidR="00FC1E94" w:rsidRDefault="00FC1E94" w:rsidP="00FC1E94">
            <w:pPr>
              <w:jc w:val="right"/>
              <w:rPr>
                <w:lang w:val="en-US" w:eastAsia="en-AU"/>
              </w:rPr>
            </w:pPr>
            <w:r>
              <w:t xml:space="preserve">               997 </w:t>
            </w:r>
          </w:p>
        </w:tc>
        <w:tc>
          <w:tcPr>
            <w:tcW w:w="1558" w:type="dxa"/>
            <w:tcBorders>
              <w:right w:val="single" w:sz="18" w:space="0" w:color="auto"/>
            </w:tcBorders>
            <w:vAlign w:val="bottom"/>
          </w:tcPr>
          <w:p w14:paraId="0BE64E82" w14:textId="71137DFA" w:rsidR="00FC1E94" w:rsidRDefault="00FC1E94" w:rsidP="00FC1E94">
            <w:pPr>
              <w:jc w:val="right"/>
              <w:rPr>
                <w:lang w:val="en-US" w:eastAsia="en-AU"/>
              </w:rPr>
            </w:pPr>
            <w:r>
              <w:t xml:space="preserve">               775 </w:t>
            </w:r>
          </w:p>
        </w:tc>
        <w:tc>
          <w:tcPr>
            <w:tcW w:w="1382" w:type="dxa"/>
            <w:tcBorders>
              <w:left w:val="single" w:sz="18" w:space="0" w:color="auto"/>
            </w:tcBorders>
            <w:vAlign w:val="bottom"/>
          </w:tcPr>
          <w:p w14:paraId="1D5E871A" w14:textId="6C194296" w:rsidR="00FC1E94" w:rsidRDefault="00FC1E94" w:rsidP="00FC1E94">
            <w:pPr>
              <w:jc w:val="right"/>
              <w:rPr>
                <w:lang w:val="en-US" w:eastAsia="en-AU"/>
              </w:rPr>
            </w:pPr>
            <w:r>
              <w:t xml:space="preserve">                 -   </w:t>
            </w:r>
          </w:p>
        </w:tc>
        <w:tc>
          <w:tcPr>
            <w:tcW w:w="1451" w:type="dxa"/>
            <w:vAlign w:val="bottom"/>
          </w:tcPr>
          <w:p w14:paraId="4E71BAEC" w14:textId="583ACB66" w:rsidR="00FC1E94" w:rsidRDefault="00FC1E94" w:rsidP="00FC1E94">
            <w:pPr>
              <w:jc w:val="right"/>
              <w:rPr>
                <w:lang w:val="en-US" w:eastAsia="en-AU"/>
              </w:rPr>
            </w:pPr>
            <w:r>
              <w:t xml:space="preserve">                12 </w:t>
            </w:r>
          </w:p>
        </w:tc>
        <w:tc>
          <w:tcPr>
            <w:tcW w:w="1417" w:type="dxa"/>
            <w:vAlign w:val="bottom"/>
          </w:tcPr>
          <w:p w14:paraId="7C1CDEB3" w14:textId="6D80FD5E" w:rsidR="00FC1E94" w:rsidRDefault="00FC1E94" w:rsidP="00FC1E94">
            <w:pPr>
              <w:jc w:val="right"/>
              <w:rPr>
                <w:lang w:val="en-US" w:eastAsia="en-AU"/>
              </w:rPr>
            </w:pPr>
            <w:r>
              <w:t xml:space="preserve">                39 </w:t>
            </w:r>
          </w:p>
        </w:tc>
        <w:tc>
          <w:tcPr>
            <w:tcW w:w="1700" w:type="dxa"/>
            <w:vAlign w:val="bottom"/>
          </w:tcPr>
          <w:p w14:paraId="7A98799A" w14:textId="4BB4DC80" w:rsidR="00FC1E94" w:rsidRDefault="00FC1E94" w:rsidP="00FC1E94">
            <w:pPr>
              <w:jc w:val="right"/>
              <w:rPr>
                <w:lang w:val="en-US" w:eastAsia="en-AU"/>
              </w:rPr>
            </w:pPr>
            <w:r>
              <w:t xml:space="preserve">                14 </w:t>
            </w:r>
          </w:p>
        </w:tc>
        <w:tc>
          <w:tcPr>
            <w:tcW w:w="1559" w:type="dxa"/>
            <w:tcBorders>
              <w:right w:val="single" w:sz="12" w:space="0" w:color="auto"/>
            </w:tcBorders>
            <w:vAlign w:val="bottom"/>
          </w:tcPr>
          <w:p w14:paraId="467DFD75" w14:textId="61C63CB3" w:rsidR="00FC1E94" w:rsidRDefault="00FC1E94" w:rsidP="00FC1E94">
            <w:pPr>
              <w:jc w:val="right"/>
              <w:rPr>
                <w:lang w:val="en-US" w:eastAsia="en-AU"/>
              </w:rPr>
            </w:pPr>
            <w:r>
              <w:t xml:space="preserve">              157 </w:t>
            </w:r>
          </w:p>
        </w:tc>
        <w:tc>
          <w:tcPr>
            <w:tcW w:w="1619" w:type="dxa"/>
            <w:tcBorders>
              <w:left w:val="single" w:sz="12" w:space="0" w:color="auto"/>
            </w:tcBorders>
            <w:vAlign w:val="bottom"/>
          </w:tcPr>
          <w:p w14:paraId="6A715CB9" w14:textId="154DBDEB" w:rsidR="00FC1E94" w:rsidRDefault="00FC1E94" w:rsidP="00FC1E94">
            <w:pPr>
              <w:jc w:val="right"/>
              <w:rPr>
                <w:lang w:val="en-US" w:eastAsia="en-AU"/>
              </w:rPr>
            </w:pPr>
            <w:r>
              <w:t xml:space="preserve">                 -   </w:t>
            </w:r>
          </w:p>
        </w:tc>
      </w:tr>
      <w:tr w:rsidR="00FC1E94" w14:paraId="691D96E4" w14:textId="77777777" w:rsidTr="00980D36">
        <w:tc>
          <w:tcPr>
            <w:tcW w:w="1981" w:type="dxa"/>
            <w:vAlign w:val="bottom"/>
          </w:tcPr>
          <w:p w14:paraId="6BE0A399" w14:textId="3B37476E" w:rsidR="00FC1E94" w:rsidRDefault="00FC1E94" w:rsidP="00FC1E94">
            <w:pPr>
              <w:rPr>
                <w:lang w:val="en-US" w:eastAsia="en-AU"/>
              </w:rPr>
            </w:pPr>
            <w:r>
              <w:t>Other financial assets</w:t>
            </w:r>
          </w:p>
        </w:tc>
        <w:tc>
          <w:tcPr>
            <w:tcW w:w="1276" w:type="dxa"/>
            <w:tcBorders>
              <w:bottom w:val="single" w:sz="12" w:space="0" w:color="auto"/>
            </w:tcBorders>
            <w:vAlign w:val="bottom"/>
          </w:tcPr>
          <w:p w14:paraId="23F1235D" w14:textId="235457E9" w:rsidR="00FC1E94" w:rsidRDefault="00FC1E94" w:rsidP="00FC1E94">
            <w:pPr>
              <w:jc w:val="right"/>
              <w:rPr>
                <w:lang w:val="en-US" w:eastAsia="en-AU"/>
              </w:rPr>
            </w:pPr>
            <w:r>
              <w:t xml:space="preserve">          14,529 </w:t>
            </w:r>
          </w:p>
        </w:tc>
        <w:tc>
          <w:tcPr>
            <w:tcW w:w="1558" w:type="dxa"/>
            <w:tcBorders>
              <w:bottom w:val="single" w:sz="12" w:space="0" w:color="auto"/>
              <w:right w:val="single" w:sz="18" w:space="0" w:color="auto"/>
            </w:tcBorders>
            <w:vAlign w:val="bottom"/>
          </w:tcPr>
          <w:p w14:paraId="74E66725" w14:textId="13D4CAD2" w:rsidR="00FC1E94" w:rsidRDefault="00FC1E94" w:rsidP="00FC1E94">
            <w:pPr>
              <w:jc w:val="right"/>
              <w:rPr>
                <w:lang w:val="en-US" w:eastAsia="en-AU"/>
              </w:rPr>
            </w:pPr>
            <w:r>
              <w:t xml:space="preserve">          14,529 </w:t>
            </w:r>
          </w:p>
        </w:tc>
        <w:tc>
          <w:tcPr>
            <w:tcW w:w="1382" w:type="dxa"/>
            <w:tcBorders>
              <w:left w:val="single" w:sz="18" w:space="0" w:color="auto"/>
              <w:bottom w:val="single" w:sz="12" w:space="0" w:color="auto"/>
            </w:tcBorders>
            <w:vAlign w:val="bottom"/>
          </w:tcPr>
          <w:p w14:paraId="460FF7C5" w14:textId="201C7718" w:rsidR="00FC1E94" w:rsidRDefault="00FC1E94" w:rsidP="00FC1E94">
            <w:pPr>
              <w:jc w:val="right"/>
              <w:rPr>
                <w:lang w:val="en-US" w:eastAsia="en-AU"/>
              </w:rPr>
            </w:pPr>
            <w:r>
              <w:t xml:space="preserve">                 -   </w:t>
            </w:r>
          </w:p>
        </w:tc>
        <w:tc>
          <w:tcPr>
            <w:tcW w:w="1451" w:type="dxa"/>
            <w:tcBorders>
              <w:bottom w:val="single" w:sz="12" w:space="0" w:color="auto"/>
            </w:tcBorders>
            <w:vAlign w:val="bottom"/>
          </w:tcPr>
          <w:p w14:paraId="6DA107D2" w14:textId="6299E14B" w:rsidR="00FC1E94" w:rsidRDefault="00FC1E94" w:rsidP="00FC1E94">
            <w:pPr>
              <w:jc w:val="right"/>
              <w:rPr>
                <w:lang w:val="en-US" w:eastAsia="en-AU"/>
              </w:rPr>
            </w:pPr>
            <w:r>
              <w:t xml:space="preserve">                -   </w:t>
            </w:r>
          </w:p>
        </w:tc>
        <w:tc>
          <w:tcPr>
            <w:tcW w:w="1417" w:type="dxa"/>
            <w:tcBorders>
              <w:bottom w:val="single" w:sz="12" w:space="0" w:color="auto"/>
            </w:tcBorders>
            <w:vAlign w:val="bottom"/>
          </w:tcPr>
          <w:p w14:paraId="55B5F986" w14:textId="0884DFA9" w:rsidR="00FC1E94" w:rsidRDefault="00FC1E94" w:rsidP="00FC1E94">
            <w:pPr>
              <w:jc w:val="right"/>
              <w:rPr>
                <w:lang w:val="en-US" w:eastAsia="en-AU"/>
              </w:rPr>
            </w:pPr>
            <w:r>
              <w:t xml:space="preserve">                 -   </w:t>
            </w:r>
          </w:p>
        </w:tc>
        <w:tc>
          <w:tcPr>
            <w:tcW w:w="1700" w:type="dxa"/>
            <w:tcBorders>
              <w:bottom w:val="single" w:sz="12" w:space="0" w:color="auto"/>
            </w:tcBorders>
            <w:vAlign w:val="bottom"/>
          </w:tcPr>
          <w:p w14:paraId="41327BCC" w14:textId="747BF10A" w:rsidR="00FC1E94" w:rsidRDefault="00FC1E94" w:rsidP="00FC1E94">
            <w:pPr>
              <w:jc w:val="right"/>
              <w:rPr>
                <w:lang w:val="en-US" w:eastAsia="en-AU"/>
              </w:rPr>
            </w:pPr>
            <w:r>
              <w:t xml:space="preserve">                 -   </w:t>
            </w:r>
          </w:p>
        </w:tc>
        <w:tc>
          <w:tcPr>
            <w:tcW w:w="1559" w:type="dxa"/>
            <w:tcBorders>
              <w:bottom w:val="single" w:sz="12" w:space="0" w:color="auto"/>
              <w:right w:val="single" w:sz="12" w:space="0" w:color="auto"/>
            </w:tcBorders>
            <w:vAlign w:val="bottom"/>
          </w:tcPr>
          <w:p w14:paraId="48C40D16" w14:textId="0D1378F2" w:rsidR="00FC1E94" w:rsidRDefault="00FC1E94" w:rsidP="00FC1E94">
            <w:pPr>
              <w:jc w:val="right"/>
              <w:rPr>
                <w:lang w:val="en-US" w:eastAsia="en-AU"/>
              </w:rPr>
            </w:pPr>
            <w:r>
              <w:t xml:space="preserve">                 -   </w:t>
            </w:r>
          </w:p>
        </w:tc>
        <w:tc>
          <w:tcPr>
            <w:tcW w:w="1619" w:type="dxa"/>
            <w:tcBorders>
              <w:left w:val="single" w:sz="12" w:space="0" w:color="auto"/>
              <w:bottom w:val="single" w:sz="12" w:space="0" w:color="auto"/>
            </w:tcBorders>
            <w:vAlign w:val="bottom"/>
          </w:tcPr>
          <w:p w14:paraId="2436E5E0" w14:textId="627BACB9" w:rsidR="00FC1E94" w:rsidRDefault="00FC1E94" w:rsidP="00FC1E94">
            <w:pPr>
              <w:jc w:val="right"/>
              <w:rPr>
                <w:lang w:val="en-US" w:eastAsia="en-AU"/>
              </w:rPr>
            </w:pPr>
            <w:r>
              <w:t xml:space="preserve">                 -   </w:t>
            </w:r>
          </w:p>
        </w:tc>
      </w:tr>
      <w:tr w:rsidR="00980D36" w14:paraId="4E13835D" w14:textId="77777777" w:rsidTr="00980D36">
        <w:tc>
          <w:tcPr>
            <w:tcW w:w="1981" w:type="dxa"/>
          </w:tcPr>
          <w:p w14:paraId="2F32A4D6" w14:textId="77777777" w:rsidR="00980D36" w:rsidRDefault="00980D36" w:rsidP="00980D36">
            <w:pPr>
              <w:rPr>
                <w:lang w:val="en-US" w:eastAsia="en-AU"/>
              </w:rPr>
            </w:pPr>
          </w:p>
        </w:tc>
        <w:tc>
          <w:tcPr>
            <w:tcW w:w="1276" w:type="dxa"/>
            <w:tcBorders>
              <w:top w:val="single" w:sz="12" w:space="0" w:color="auto"/>
              <w:bottom w:val="double" w:sz="4" w:space="0" w:color="auto"/>
            </w:tcBorders>
            <w:vAlign w:val="bottom"/>
          </w:tcPr>
          <w:p w14:paraId="44EA70D2" w14:textId="6026DD6A" w:rsidR="00980D36" w:rsidRPr="00980D36" w:rsidRDefault="00980D36" w:rsidP="00980D36">
            <w:pPr>
              <w:jc w:val="right"/>
              <w:rPr>
                <w:b/>
                <w:lang w:val="en-US" w:eastAsia="en-AU"/>
              </w:rPr>
            </w:pPr>
            <w:r w:rsidRPr="00980D36">
              <w:rPr>
                <w:b/>
              </w:rPr>
              <w:t xml:space="preserve">        111,848 </w:t>
            </w:r>
          </w:p>
        </w:tc>
        <w:tc>
          <w:tcPr>
            <w:tcW w:w="1558" w:type="dxa"/>
            <w:tcBorders>
              <w:top w:val="single" w:sz="12" w:space="0" w:color="auto"/>
              <w:bottom w:val="double" w:sz="4" w:space="0" w:color="auto"/>
              <w:right w:val="single" w:sz="18" w:space="0" w:color="auto"/>
            </w:tcBorders>
            <w:vAlign w:val="bottom"/>
          </w:tcPr>
          <w:p w14:paraId="70F70246" w14:textId="4E092737" w:rsidR="00980D36" w:rsidRPr="00980D36" w:rsidRDefault="00980D36" w:rsidP="00980D36">
            <w:pPr>
              <w:jc w:val="right"/>
              <w:rPr>
                <w:b/>
                <w:lang w:val="en-US" w:eastAsia="en-AU"/>
              </w:rPr>
            </w:pPr>
            <w:r w:rsidRPr="00980D36">
              <w:rPr>
                <w:b/>
              </w:rPr>
              <w:t xml:space="preserve">        111,626 </w:t>
            </w:r>
          </w:p>
        </w:tc>
        <w:tc>
          <w:tcPr>
            <w:tcW w:w="1382" w:type="dxa"/>
            <w:tcBorders>
              <w:top w:val="single" w:sz="12" w:space="0" w:color="auto"/>
              <w:left w:val="single" w:sz="18" w:space="0" w:color="auto"/>
              <w:bottom w:val="double" w:sz="4" w:space="0" w:color="auto"/>
            </w:tcBorders>
            <w:vAlign w:val="bottom"/>
          </w:tcPr>
          <w:p w14:paraId="4F1F3D67" w14:textId="50323E8C" w:rsidR="00980D36" w:rsidRPr="00980D36" w:rsidRDefault="00980D36" w:rsidP="00980D36">
            <w:pPr>
              <w:jc w:val="right"/>
              <w:rPr>
                <w:b/>
                <w:lang w:val="en-US" w:eastAsia="en-AU"/>
              </w:rPr>
            </w:pPr>
            <w:r w:rsidRPr="00980D36">
              <w:rPr>
                <w:b/>
              </w:rPr>
              <w:t xml:space="preserve">                 -   </w:t>
            </w:r>
          </w:p>
        </w:tc>
        <w:tc>
          <w:tcPr>
            <w:tcW w:w="1451" w:type="dxa"/>
            <w:tcBorders>
              <w:top w:val="single" w:sz="12" w:space="0" w:color="auto"/>
              <w:bottom w:val="double" w:sz="4" w:space="0" w:color="auto"/>
            </w:tcBorders>
            <w:vAlign w:val="bottom"/>
          </w:tcPr>
          <w:p w14:paraId="7C836990" w14:textId="32966B55" w:rsidR="00980D36" w:rsidRPr="00980D36" w:rsidRDefault="00980D36" w:rsidP="00980D36">
            <w:pPr>
              <w:jc w:val="right"/>
              <w:rPr>
                <w:b/>
                <w:lang w:val="en-US" w:eastAsia="en-AU"/>
              </w:rPr>
            </w:pPr>
            <w:r w:rsidRPr="00980D36">
              <w:rPr>
                <w:b/>
              </w:rPr>
              <w:t xml:space="preserve">                12 </w:t>
            </w:r>
          </w:p>
        </w:tc>
        <w:tc>
          <w:tcPr>
            <w:tcW w:w="1417" w:type="dxa"/>
            <w:tcBorders>
              <w:top w:val="single" w:sz="12" w:space="0" w:color="auto"/>
              <w:bottom w:val="double" w:sz="4" w:space="0" w:color="auto"/>
            </w:tcBorders>
            <w:vAlign w:val="bottom"/>
          </w:tcPr>
          <w:p w14:paraId="5875AEA6" w14:textId="4FA079FD" w:rsidR="00980D36" w:rsidRPr="00980D36" w:rsidRDefault="00980D36" w:rsidP="00980D36">
            <w:pPr>
              <w:jc w:val="right"/>
              <w:rPr>
                <w:b/>
                <w:lang w:val="en-US" w:eastAsia="en-AU"/>
              </w:rPr>
            </w:pPr>
            <w:r w:rsidRPr="00980D36">
              <w:rPr>
                <w:b/>
              </w:rPr>
              <w:t xml:space="preserve">                39 </w:t>
            </w:r>
          </w:p>
        </w:tc>
        <w:tc>
          <w:tcPr>
            <w:tcW w:w="1700" w:type="dxa"/>
            <w:tcBorders>
              <w:top w:val="single" w:sz="12" w:space="0" w:color="auto"/>
              <w:bottom w:val="double" w:sz="4" w:space="0" w:color="auto"/>
            </w:tcBorders>
            <w:vAlign w:val="bottom"/>
          </w:tcPr>
          <w:p w14:paraId="35BA0187" w14:textId="5A74BE25" w:rsidR="00980D36" w:rsidRPr="00980D36" w:rsidRDefault="00980D36" w:rsidP="00980D36">
            <w:pPr>
              <w:jc w:val="right"/>
              <w:rPr>
                <w:b/>
                <w:lang w:val="en-US" w:eastAsia="en-AU"/>
              </w:rPr>
            </w:pPr>
            <w:r w:rsidRPr="00980D36">
              <w:rPr>
                <w:b/>
              </w:rPr>
              <w:t xml:space="preserve">                14 </w:t>
            </w:r>
          </w:p>
        </w:tc>
        <w:tc>
          <w:tcPr>
            <w:tcW w:w="1559" w:type="dxa"/>
            <w:tcBorders>
              <w:top w:val="single" w:sz="12" w:space="0" w:color="auto"/>
              <w:bottom w:val="double" w:sz="4" w:space="0" w:color="auto"/>
              <w:right w:val="single" w:sz="12" w:space="0" w:color="auto"/>
            </w:tcBorders>
            <w:vAlign w:val="bottom"/>
          </w:tcPr>
          <w:p w14:paraId="3BD96F1C" w14:textId="4BAF661C" w:rsidR="00980D36" w:rsidRPr="00980D36" w:rsidRDefault="00980D36" w:rsidP="00980D36">
            <w:pPr>
              <w:jc w:val="right"/>
              <w:rPr>
                <w:b/>
                <w:lang w:val="en-US" w:eastAsia="en-AU"/>
              </w:rPr>
            </w:pPr>
            <w:r w:rsidRPr="00980D36">
              <w:rPr>
                <w:b/>
              </w:rPr>
              <w:t xml:space="preserve">              157 </w:t>
            </w:r>
          </w:p>
        </w:tc>
        <w:tc>
          <w:tcPr>
            <w:tcW w:w="1619" w:type="dxa"/>
            <w:tcBorders>
              <w:top w:val="single" w:sz="12" w:space="0" w:color="auto"/>
              <w:left w:val="single" w:sz="12" w:space="0" w:color="auto"/>
              <w:bottom w:val="double" w:sz="4" w:space="0" w:color="auto"/>
            </w:tcBorders>
            <w:vAlign w:val="bottom"/>
          </w:tcPr>
          <w:p w14:paraId="1F886190" w14:textId="22ED23C1" w:rsidR="00980D36" w:rsidRPr="00980D36" w:rsidRDefault="00980D36" w:rsidP="00980D36">
            <w:pPr>
              <w:jc w:val="right"/>
              <w:rPr>
                <w:b/>
                <w:lang w:val="en-US" w:eastAsia="en-AU"/>
              </w:rPr>
            </w:pPr>
            <w:r w:rsidRPr="00980D36">
              <w:rPr>
                <w:b/>
              </w:rPr>
              <w:t xml:space="preserve">                 -   </w:t>
            </w:r>
          </w:p>
        </w:tc>
      </w:tr>
    </w:tbl>
    <w:p w14:paraId="1C352262" w14:textId="75C3C2EA" w:rsidR="000405A4" w:rsidRDefault="00980D36" w:rsidP="000405A4">
      <w:pPr>
        <w:rPr>
          <w:lang w:val="en-US" w:eastAsia="en-AU"/>
        </w:rPr>
      </w:pPr>
      <w:r>
        <w:rPr>
          <w:lang w:val="en-US" w:eastAsia="en-AU"/>
        </w:rPr>
        <w:br/>
      </w:r>
      <w:r>
        <w:rPr>
          <w:vertAlign w:val="superscript"/>
          <w:lang w:val="en-US" w:eastAsia="en-AU"/>
        </w:rPr>
        <w:t>(a)</w:t>
      </w:r>
      <w:r>
        <w:rPr>
          <w:lang w:val="en-US" w:eastAsia="en-AU"/>
        </w:rPr>
        <w:t xml:space="preserve"> The amount of Receivables excludes GST recoverable from the ATO (statutory receivable). </w:t>
      </w:r>
    </w:p>
    <w:p w14:paraId="0EBFF918" w14:textId="721989DC" w:rsidR="00980D36" w:rsidRDefault="00980D36">
      <w:pPr>
        <w:keepLines w:val="0"/>
        <w:spacing w:after="0" w:line="240" w:lineRule="auto"/>
        <w:rPr>
          <w:lang w:val="en-US" w:eastAsia="en-AU"/>
        </w:rPr>
      </w:pPr>
      <w:r>
        <w:rPr>
          <w:lang w:val="en-US" w:eastAsia="en-AU"/>
        </w:rPr>
        <w:br w:type="page"/>
      </w:r>
    </w:p>
    <w:p w14:paraId="58CAAAB1" w14:textId="05831E3C" w:rsidR="00980D36" w:rsidRDefault="00980D36" w:rsidP="00026A6F">
      <w:pPr>
        <w:pStyle w:val="ListParagraph"/>
        <w:numPr>
          <w:ilvl w:val="0"/>
          <w:numId w:val="53"/>
        </w:numPr>
        <w:rPr>
          <w:b/>
          <w:lang w:val="en-US" w:eastAsia="en-AU"/>
        </w:rPr>
      </w:pPr>
      <w:r>
        <w:rPr>
          <w:b/>
          <w:lang w:val="en-US" w:eastAsia="en-AU"/>
        </w:rPr>
        <w:t xml:space="preserve">Liquidity Risk and interest rate exposure </w:t>
      </w:r>
      <w:r>
        <w:rPr>
          <w:b/>
          <w:lang w:val="en-US" w:eastAsia="en-AU"/>
        </w:rPr>
        <w:br/>
      </w:r>
    </w:p>
    <w:p w14:paraId="151626E0" w14:textId="368817E0" w:rsidR="00980D36" w:rsidRDefault="00980D36" w:rsidP="00980D36">
      <w:pPr>
        <w:rPr>
          <w:lang w:val="en-US" w:eastAsia="en-AU"/>
        </w:rPr>
      </w:pPr>
      <w:r w:rsidRPr="00980D36">
        <w:rPr>
          <w:lang w:val="en-US" w:eastAsia="en-AU"/>
        </w:rPr>
        <w:t xml:space="preserve">The following table details the Authority's interest rate exposure and the contractual maturity analysis of financial assets and liabilities. The maturity analysis section includes interest and principal cash flows. The interest rate exposure section analyses only the carrying </w:t>
      </w:r>
      <w:r>
        <w:rPr>
          <w:lang w:val="en-US" w:eastAsia="en-AU"/>
        </w:rPr>
        <w:t>amounts of each item.</w:t>
      </w:r>
    </w:p>
    <w:p w14:paraId="50B12292" w14:textId="51F69A29" w:rsidR="00980D36" w:rsidRDefault="00980D36" w:rsidP="00980D36">
      <w:pPr>
        <w:jc w:val="center"/>
        <w:rPr>
          <w:b/>
          <w:lang w:val="en-US" w:eastAsia="en-AU"/>
        </w:rPr>
      </w:pPr>
      <w:r>
        <w:rPr>
          <w:b/>
          <w:lang w:val="en-US" w:eastAsia="en-AU"/>
        </w:rPr>
        <w:t xml:space="preserve">Interest rate exposure and maturity analysis for financial assets and financial liabilities </w:t>
      </w:r>
    </w:p>
    <w:p w14:paraId="631EFB82" w14:textId="40F4BC0D" w:rsidR="00125596" w:rsidRPr="00125596" w:rsidRDefault="00125596" w:rsidP="00125596">
      <w:pPr>
        <w:rPr>
          <w:u w:val="single"/>
          <w:lang w:val="en-US" w:eastAsia="en-AU"/>
        </w:rPr>
      </w:pPr>
      <w:r>
        <w:rPr>
          <w:lang w:val="en-US" w:eastAsia="en-AU"/>
        </w:rPr>
        <w:tab/>
      </w:r>
      <w:r>
        <w:rPr>
          <w:lang w:val="en-US" w:eastAsia="en-AU"/>
        </w:rPr>
        <w:tab/>
      </w:r>
      <w:r>
        <w:rPr>
          <w:lang w:val="en-US" w:eastAsia="en-AU"/>
        </w:rPr>
        <w:tab/>
      </w:r>
      <w:r>
        <w:rPr>
          <w:lang w:val="en-US" w:eastAsia="en-AU"/>
        </w:rPr>
        <w:tab/>
      </w:r>
      <w:r>
        <w:rPr>
          <w:u w:val="single"/>
          <w:lang w:val="en-US" w:eastAsia="en-AU"/>
        </w:rPr>
        <w:t>Interest Rate Exposure</w:t>
      </w:r>
      <w:r>
        <w:rPr>
          <w:lang w:val="en-US" w:eastAsia="en-AU"/>
        </w:rPr>
        <w:tab/>
      </w:r>
      <w:r>
        <w:rPr>
          <w:lang w:val="en-US" w:eastAsia="en-AU"/>
        </w:rPr>
        <w:tab/>
      </w:r>
      <w:r>
        <w:rPr>
          <w:lang w:val="en-US" w:eastAsia="en-AU"/>
        </w:rPr>
        <w:tab/>
      </w:r>
      <w:r>
        <w:rPr>
          <w:lang w:val="en-US" w:eastAsia="en-AU"/>
        </w:rPr>
        <w:tab/>
      </w:r>
      <w:r>
        <w:rPr>
          <w:lang w:val="en-US" w:eastAsia="en-AU"/>
        </w:rPr>
        <w:tab/>
      </w:r>
      <w:r>
        <w:rPr>
          <w:lang w:val="en-US" w:eastAsia="en-AU"/>
        </w:rPr>
        <w:tab/>
      </w:r>
      <w:r>
        <w:rPr>
          <w:lang w:val="en-US" w:eastAsia="en-AU"/>
        </w:rPr>
        <w:tab/>
      </w:r>
      <w:r>
        <w:rPr>
          <w:u w:val="single"/>
          <w:lang w:val="en-US" w:eastAsia="en-AU"/>
        </w:rPr>
        <w:t>Maturity Dates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iquidity Risk and interest rate exposure"/>
        <w:tblDescription w:val="This table details the Authority's interest rate exposure and the contractual maturity analysis of financial assets and liabilities. "/>
      </w:tblPr>
      <w:tblGrid>
        <w:gridCol w:w="1524"/>
        <w:gridCol w:w="1230"/>
        <w:gridCol w:w="1147"/>
        <w:gridCol w:w="1235"/>
        <w:gridCol w:w="1031"/>
        <w:gridCol w:w="1130"/>
        <w:gridCol w:w="1143"/>
        <w:gridCol w:w="1092"/>
        <w:gridCol w:w="1121"/>
        <w:gridCol w:w="1121"/>
        <w:gridCol w:w="1197"/>
        <w:gridCol w:w="987"/>
      </w:tblGrid>
      <w:tr w:rsidR="00880F5B" w14:paraId="00D4F79E" w14:textId="77777777" w:rsidTr="00125596">
        <w:trPr>
          <w:tblHeader/>
        </w:trPr>
        <w:tc>
          <w:tcPr>
            <w:tcW w:w="1524" w:type="dxa"/>
          </w:tcPr>
          <w:p w14:paraId="312C5881" w14:textId="77777777" w:rsidR="000E3C66" w:rsidRDefault="000E3C66" w:rsidP="000E3C66">
            <w:pPr>
              <w:rPr>
                <w:b/>
                <w:lang w:val="en-US" w:eastAsia="en-AU"/>
              </w:rPr>
            </w:pPr>
          </w:p>
        </w:tc>
        <w:tc>
          <w:tcPr>
            <w:tcW w:w="1230" w:type="dxa"/>
          </w:tcPr>
          <w:p w14:paraId="0D4C25E2" w14:textId="4FC93D14" w:rsidR="000E3C66" w:rsidRPr="000E3C66" w:rsidRDefault="000E3C66" w:rsidP="00880F5B">
            <w:pPr>
              <w:jc w:val="right"/>
              <w:rPr>
                <w:lang w:eastAsia="en-AU"/>
              </w:rPr>
            </w:pPr>
            <w:r>
              <w:t>Weighted Average Effective Interest Rate</w:t>
            </w:r>
            <w:r>
              <w:br/>
            </w:r>
          </w:p>
        </w:tc>
        <w:tc>
          <w:tcPr>
            <w:tcW w:w="1147" w:type="dxa"/>
          </w:tcPr>
          <w:p w14:paraId="3D55FA7C" w14:textId="56CEA879" w:rsidR="000E3C66" w:rsidRPr="00A07DDD" w:rsidRDefault="000E3C66" w:rsidP="00880F5B">
            <w:pPr>
              <w:jc w:val="right"/>
              <w:rPr>
                <w:lang w:val="en-US" w:eastAsia="en-AU"/>
              </w:rPr>
            </w:pPr>
            <w:r>
              <w:t>Carrying</w:t>
            </w:r>
            <w:r>
              <w:br/>
              <w:t>Amount</w:t>
            </w:r>
            <w:r>
              <w:br/>
            </w:r>
          </w:p>
        </w:tc>
        <w:tc>
          <w:tcPr>
            <w:tcW w:w="1235" w:type="dxa"/>
          </w:tcPr>
          <w:p w14:paraId="26774768" w14:textId="2299E086" w:rsidR="000E3C66" w:rsidRPr="00A07DDD" w:rsidRDefault="000E3C66" w:rsidP="00880F5B">
            <w:pPr>
              <w:jc w:val="right"/>
              <w:rPr>
                <w:lang w:val="en-US" w:eastAsia="en-AU"/>
              </w:rPr>
            </w:pPr>
            <w:r>
              <w:t>Variable Interest Rate</w:t>
            </w:r>
          </w:p>
        </w:tc>
        <w:tc>
          <w:tcPr>
            <w:tcW w:w="1031" w:type="dxa"/>
          </w:tcPr>
          <w:p w14:paraId="48FB2AE3" w14:textId="3957F2A5" w:rsidR="000E3C66" w:rsidRPr="00A07DDD" w:rsidRDefault="000E3C66" w:rsidP="00880F5B">
            <w:pPr>
              <w:jc w:val="right"/>
              <w:rPr>
                <w:lang w:val="en-US" w:eastAsia="en-AU"/>
              </w:rPr>
            </w:pPr>
            <w:r>
              <w:t xml:space="preserve">Fixed Interest Rate </w:t>
            </w:r>
            <w:r>
              <w:br/>
            </w:r>
          </w:p>
        </w:tc>
        <w:tc>
          <w:tcPr>
            <w:tcW w:w="1130" w:type="dxa"/>
            <w:tcBorders>
              <w:right w:val="single" w:sz="12" w:space="0" w:color="auto"/>
            </w:tcBorders>
          </w:tcPr>
          <w:p w14:paraId="66A91297" w14:textId="09B9BD1B" w:rsidR="000E3C66" w:rsidRPr="00A07DDD" w:rsidRDefault="000E3C66" w:rsidP="00880F5B">
            <w:pPr>
              <w:jc w:val="right"/>
              <w:rPr>
                <w:lang w:val="en-US" w:eastAsia="en-AU"/>
              </w:rPr>
            </w:pPr>
            <w:r>
              <w:t xml:space="preserve"> Non Interest Bearing</w:t>
            </w:r>
            <w:r>
              <w:br/>
              <w:t xml:space="preserve"> </w:t>
            </w:r>
          </w:p>
        </w:tc>
        <w:tc>
          <w:tcPr>
            <w:tcW w:w="1143" w:type="dxa"/>
            <w:tcBorders>
              <w:left w:val="single" w:sz="12" w:space="0" w:color="auto"/>
              <w:right w:val="single" w:sz="12" w:space="0" w:color="auto"/>
            </w:tcBorders>
          </w:tcPr>
          <w:p w14:paraId="7F3B19AC" w14:textId="3EF124AF" w:rsidR="000E3C66" w:rsidRPr="00A07DDD" w:rsidRDefault="000E3C66" w:rsidP="00880F5B">
            <w:pPr>
              <w:jc w:val="right"/>
              <w:rPr>
                <w:lang w:val="en-US" w:eastAsia="en-AU"/>
              </w:rPr>
            </w:pPr>
            <w:r>
              <w:t xml:space="preserve">Nominal Amount </w:t>
            </w:r>
            <w:r>
              <w:br/>
            </w:r>
          </w:p>
        </w:tc>
        <w:tc>
          <w:tcPr>
            <w:tcW w:w="1092" w:type="dxa"/>
            <w:tcBorders>
              <w:left w:val="single" w:sz="12" w:space="0" w:color="auto"/>
            </w:tcBorders>
          </w:tcPr>
          <w:p w14:paraId="1954CE21" w14:textId="14D03642" w:rsidR="000E3C66" w:rsidRPr="00A07DDD" w:rsidRDefault="000E3C66" w:rsidP="00880F5B">
            <w:pPr>
              <w:jc w:val="right"/>
              <w:rPr>
                <w:lang w:val="en-US" w:eastAsia="en-AU"/>
              </w:rPr>
            </w:pPr>
            <w:r>
              <w:t>Up To 1 Month</w:t>
            </w:r>
            <w:r>
              <w:br/>
            </w:r>
            <w:r>
              <w:br/>
            </w:r>
            <w:r>
              <w:br/>
            </w:r>
            <w:r>
              <w:br/>
            </w:r>
          </w:p>
        </w:tc>
        <w:tc>
          <w:tcPr>
            <w:tcW w:w="1121" w:type="dxa"/>
          </w:tcPr>
          <w:p w14:paraId="6574782A" w14:textId="33532EB3" w:rsidR="000E3C66" w:rsidRPr="00A07DDD" w:rsidRDefault="000E3C66" w:rsidP="00880F5B">
            <w:pPr>
              <w:jc w:val="right"/>
              <w:rPr>
                <w:lang w:val="en-US" w:eastAsia="en-AU"/>
              </w:rPr>
            </w:pPr>
            <w:r>
              <w:t>1 to 3 Months</w:t>
            </w:r>
            <w:r>
              <w:br/>
            </w:r>
          </w:p>
        </w:tc>
        <w:tc>
          <w:tcPr>
            <w:tcW w:w="1121" w:type="dxa"/>
          </w:tcPr>
          <w:p w14:paraId="4032DB98" w14:textId="60F7CC41" w:rsidR="000E3C66" w:rsidRPr="00A07DDD" w:rsidRDefault="000E3C66" w:rsidP="00880F5B">
            <w:pPr>
              <w:jc w:val="right"/>
              <w:rPr>
                <w:lang w:val="en-US" w:eastAsia="en-AU"/>
              </w:rPr>
            </w:pPr>
            <w:r>
              <w:t>3 to 6 Months</w:t>
            </w:r>
            <w:r>
              <w:br/>
            </w:r>
            <w:r>
              <w:br/>
            </w:r>
          </w:p>
        </w:tc>
        <w:tc>
          <w:tcPr>
            <w:tcW w:w="1197" w:type="dxa"/>
          </w:tcPr>
          <w:p w14:paraId="7A1F251D" w14:textId="1D63BACC" w:rsidR="000E3C66" w:rsidRPr="00A07DDD" w:rsidRDefault="000E3C66" w:rsidP="00880F5B">
            <w:pPr>
              <w:jc w:val="right"/>
              <w:rPr>
                <w:lang w:val="en-US" w:eastAsia="en-AU"/>
              </w:rPr>
            </w:pPr>
            <w:r>
              <w:t>6 to 12 Months</w:t>
            </w:r>
            <w:r>
              <w:br/>
            </w:r>
            <w:r>
              <w:br/>
            </w:r>
          </w:p>
        </w:tc>
        <w:tc>
          <w:tcPr>
            <w:tcW w:w="987" w:type="dxa"/>
          </w:tcPr>
          <w:p w14:paraId="17DFD401" w14:textId="1601EE24" w:rsidR="000E3C66" w:rsidRPr="00A07DDD" w:rsidRDefault="000E3C66" w:rsidP="00880F5B">
            <w:pPr>
              <w:jc w:val="right"/>
              <w:rPr>
                <w:lang w:val="en-US" w:eastAsia="en-AU"/>
              </w:rPr>
            </w:pPr>
            <w:r>
              <w:t>More than 1 Year</w:t>
            </w:r>
            <w:r>
              <w:br/>
            </w:r>
          </w:p>
        </w:tc>
      </w:tr>
      <w:tr w:rsidR="0001316E" w14:paraId="5114408B" w14:textId="77777777" w:rsidTr="0001316E">
        <w:tc>
          <w:tcPr>
            <w:tcW w:w="1524" w:type="dxa"/>
            <w:tcBorders>
              <w:bottom w:val="single" w:sz="12" w:space="0" w:color="auto"/>
            </w:tcBorders>
          </w:tcPr>
          <w:p w14:paraId="052C264B" w14:textId="6319A03C" w:rsidR="00880F5B" w:rsidRPr="00880F5B" w:rsidRDefault="00880F5B" w:rsidP="00880F5B">
            <w:pPr>
              <w:rPr>
                <w:b/>
                <w:lang w:val="en-US" w:eastAsia="en-AU"/>
              </w:rPr>
            </w:pPr>
            <w:r>
              <w:rPr>
                <w:b/>
                <w:lang w:val="en-US" w:eastAsia="en-AU"/>
              </w:rPr>
              <w:t>2018</w:t>
            </w:r>
          </w:p>
        </w:tc>
        <w:tc>
          <w:tcPr>
            <w:tcW w:w="1230" w:type="dxa"/>
            <w:tcBorders>
              <w:bottom w:val="single" w:sz="12" w:space="0" w:color="auto"/>
            </w:tcBorders>
          </w:tcPr>
          <w:p w14:paraId="09C5C013" w14:textId="692510BC" w:rsidR="00880F5B" w:rsidRPr="00880F5B" w:rsidRDefault="00880F5B" w:rsidP="00880F5B">
            <w:pPr>
              <w:jc w:val="right"/>
              <w:rPr>
                <w:lang w:val="en-US" w:eastAsia="en-AU"/>
              </w:rPr>
            </w:pPr>
            <w:r>
              <w:rPr>
                <w:lang w:val="en-US" w:eastAsia="en-AU"/>
              </w:rPr>
              <w:t>%</w:t>
            </w:r>
          </w:p>
        </w:tc>
        <w:tc>
          <w:tcPr>
            <w:tcW w:w="1147" w:type="dxa"/>
            <w:tcBorders>
              <w:bottom w:val="single" w:sz="12" w:space="0" w:color="auto"/>
            </w:tcBorders>
          </w:tcPr>
          <w:p w14:paraId="02665A0D" w14:textId="4DFFEE90" w:rsidR="00880F5B" w:rsidRPr="00880F5B" w:rsidRDefault="00880F5B" w:rsidP="00880F5B">
            <w:pPr>
              <w:jc w:val="right"/>
              <w:rPr>
                <w:lang w:val="en-US" w:eastAsia="en-AU"/>
              </w:rPr>
            </w:pPr>
            <w:r>
              <w:rPr>
                <w:lang w:val="en-US" w:eastAsia="en-AU"/>
              </w:rPr>
              <w:t>$000</w:t>
            </w:r>
          </w:p>
        </w:tc>
        <w:tc>
          <w:tcPr>
            <w:tcW w:w="1235" w:type="dxa"/>
            <w:tcBorders>
              <w:bottom w:val="single" w:sz="12" w:space="0" w:color="auto"/>
            </w:tcBorders>
          </w:tcPr>
          <w:p w14:paraId="2B996153" w14:textId="55935DB6" w:rsidR="00880F5B" w:rsidRPr="00880F5B" w:rsidRDefault="00880F5B" w:rsidP="00880F5B">
            <w:pPr>
              <w:jc w:val="right"/>
              <w:rPr>
                <w:lang w:val="en-US" w:eastAsia="en-AU"/>
              </w:rPr>
            </w:pPr>
            <w:r>
              <w:rPr>
                <w:lang w:val="en-US" w:eastAsia="en-AU"/>
              </w:rPr>
              <w:t>$000</w:t>
            </w:r>
          </w:p>
        </w:tc>
        <w:tc>
          <w:tcPr>
            <w:tcW w:w="1031" w:type="dxa"/>
            <w:tcBorders>
              <w:bottom w:val="single" w:sz="12" w:space="0" w:color="auto"/>
            </w:tcBorders>
          </w:tcPr>
          <w:p w14:paraId="36376675" w14:textId="117EE477" w:rsidR="00880F5B" w:rsidRPr="00880F5B" w:rsidRDefault="00880F5B" w:rsidP="00880F5B">
            <w:pPr>
              <w:jc w:val="right"/>
              <w:rPr>
                <w:lang w:val="en-US" w:eastAsia="en-AU"/>
              </w:rPr>
            </w:pPr>
            <w:r>
              <w:rPr>
                <w:lang w:val="en-US" w:eastAsia="en-AU"/>
              </w:rPr>
              <w:t>$000</w:t>
            </w:r>
          </w:p>
        </w:tc>
        <w:tc>
          <w:tcPr>
            <w:tcW w:w="1130" w:type="dxa"/>
            <w:tcBorders>
              <w:bottom w:val="single" w:sz="12" w:space="0" w:color="auto"/>
              <w:right w:val="single" w:sz="12" w:space="0" w:color="auto"/>
            </w:tcBorders>
          </w:tcPr>
          <w:p w14:paraId="06626718" w14:textId="4C0F586F" w:rsidR="00880F5B" w:rsidRPr="00880F5B" w:rsidRDefault="00880F5B" w:rsidP="00880F5B">
            <w:pPr>
              <w:jc w:val="right"/>
              <w:rPr>
                <w:lang w:val="en-US" w:eastAsia="en-AU"/>
              </w:rPr>
            </w:pPr>
            <w:r>
              <w:rPr>
                <w:lang w:val="en-US" w:eastAsia="en-AU"/>
              </w:rPr>
              <w:t>$000</w:t>
            </w:r>
          </w:p>
        </w:tc>
        <w:tc>
          <w:tcPr>
            <w:tcW w:w="1143" w:type="dxa"/>
            <w:tcBorders>
              <w:left w:val="single" w:sz="12" w:space="0" w:color="auto"/>
              <w:bottom w:val="single" w:sz="12" w:space="0" w:color="auto"/>
              <w:right w:val="single" w:sz="12" w:space="0" w:color="auto"/>
            </w:tcBorders>
          </w:tcPr>
          <w:p w14:paraId="0819B194" w14:textId="15F5325B" w:rsidR="00880F5B" w:rsidRPr="00880F5B" w:rsidRDefault="00880F5B" w:rsidP="00880F5B">
            <w:pPr>
              <w:jc w:val="right"/>
              <w:rPr>
                <w:lang w:val="en-US" w:eastAsia="en-AU"/>
              </w:rPr>
            </w:pPr>
            <w:r w:rsidRPr="0017567B">
              <w:rPr>
                <w:lang w:val="en-US" w:eastAsia="en-AU"/>
              </w:rPr>
              <w:t>$000</w:t>
            </w:r>
          </w:p>
        </w:tc>
        <w:tc>
          <w:tcPr>
            <w:tcW w:w="1092" w:type="dxa"/>
            <w:tcBorders>
              <w:left w:val="single" w:sz="12" w:space="0" w:color="auto"/>
              <w:bottom w:val="single" w:sz="12" w:space="0" w:color="auto"/>
            </w:tcBorders>
          </w:tcPr>
          <w:p w14:paraId="5CBE3489" w14:textId="7A998015" w:rsidR="00880F5B" w:rsidRPr="00880F5B" w:rsidRDefault="00880F5B" w:rsidP="00880F5B">
            <w:pPr>
              <w:jc w:val="right"/>
              <w:rPr>
                <w:lang w:val="en-US" w:eastAsia="en-AU"/>
              </w:rPr>
            </w:pPr>
            <w:r w:rsidRPr="0017567B">
              <w:rPr>
                <w:lang w:val="en-US" w:eastAsia="en-AU"/>
              </w:rPr>
              <w:t>$000</w:t>
            </w:r>
          </w:p>
        </w:tc>
        <w:tc>
          <w:tcPr>
            <w:tcW w:w="1121" w:type="dxa"/>
            <w:tcBorders>
              <w:bottom w:val="single" w:sz="12" w:space="0" w:color="auto"/>
            </w:tcBorders>
          </w:tcPr>
          <w:p w14:paraId="07F24756" w14:textId="6DD39A37" w:rsidR="00880F5B" w:rsidRPr="00880F5B" w:rsidRDefault="00880F5B" w:rsidP="00880F5B">
            <w:pPr>
              <w:jc w:val="right"/>
              <w:rPr>
                <w:lang w:val="en-US" w:eastAsia="en-AU"/>
              </w:rPr>
            </w:pPr>
            <w:r w:rsidRPr="0017567B">
              <w:rPr>
                <w:lang w:val="en-US" w:eastAsia="en-AU"/>
              </w:rPr>
              <w:t>$000</w:t>
            </w:r>
          </w:p>
        </w:tc>
        <w:tc>
          <w:tcPr>
            <w:tcW w:w="1121" w:type="dxa"/>
            <w:tcBorders>
              <w:bottom w:val="single" w:sz="12" w:space="0" w:color="auto"/>
            </w:tcBorders>
          </w:tcPr>
          <w:p w14:paraId="74A7605E" w14:textId="69D02218" w:rsidR="00880F5B" w:rsidRPr="00880F5B" w:rsidRDefault="00880F5B" w:rsidP="00880F5B">
            <w:pPr>
              <w:jc w:val="right"/>
              <w:rPr>
                <w:lang w:val="en-US" w:eastAsia="en-AU"/>
              </w:rPr>
            </w:pPr>
            <w:r w:rsidRPr="0017567B">
              <w:rPr>
                <w:lang w:val="en-US" w:eastAsia="en-AU"/>
              </w:rPr>
              <w:t>$000</w:t>
            </w:r>
          </w:p>
        </w:tc>
        <w:tc>
          <w:tcPr>
            <w:tcW w:w="1197" w:type="dxa"/>
            <w:tcBorders>
              <w:bottom w:val="single" w:sz="12" w:space="0" w:color="auto"/>
            </w:tcBorders>
          </w:tcPr>
          <w:p w14:paraId="5428E3D8" w14:textId="70B8E522" w:rsidR="00880F5B" w:rsidRPr="00880F5B" w:rsidRDefault="00880F5B" w:rsidP="00880F5B">
            <w:pPr>
              <w:jc w:val="right"/>
              <w:rPr>
                <w:lang w:val="en-US" w:eastAsia="en-AU"/>
              </w:rPr>
            </w:pPr>
            <w:r w:rsidRPr="0017567B">
              <w:rPr>
                <w:lang w:val="en-US" w:eastAsia="en-AU"/>
              </w:rPr>
              <w:t>$000</w:t>
            </w:r>
          </w:p>
        </w:tc>
        <w:tc>
          <w:tcPr>
            <w:tcW w:w="987" w:type="dxa"/>
            <w:tcBorders>
              <w:bottom w:val="single" w:sz="12" w:space="0" w:color="auto"/>
            </w:tcBorders>
          </w:tcPr>
          <w:p w14:paraId="3FB9AC50" w14:textId="003B3135" w:rsidR="00880F5B" w:rsidRPr="00880F5B" w:rsidRDefault="00880F5B" w:rsidP="00880F5B">
            <w:pPr>
              <w:jc w:val="right"/>
              <w:rPr>
                <w:lang w:val="en-US" w:eastAsia="en-AU"/>
              </w:rPr>
            </w:pPr>
            <w:r w:rsidRPr="0017567B">
              <w:rPr>
                <w:lang w:val="en-US" w:eastAsia="en-AU"/>
              </w:rPr>
              <w:t>$000</w:t>
            </w:r>
          </w:p>
        </w:tc>
      </w:tr>
      <w:tr w:rsidR="0001316E" w14:paraId="3F5E8A0B" w14:textId="77777777" w:rsidTr="0001316E">
        <w:tc>
          <w:tcPr>
            <w:tcW w:w="1524" w:type="dxa"/>
            <w:tcBorders>
              <w:top w:val="single" w:sz="12" w:space="0" w:color="auto"/>
            </w:tcBorders>
            <w:vAlign w:val="bottom"/>
          </w:tcPr>
          <w:p w14:paraId="10FCF947" w14:textId="6343C4CE" w:rsidR="00880F5B" w:rsidRPr="00880F5B" w:rsidRDefault="00880F5B" w:rsidP="00880F5B">
            <w:pPr>
              <w:rPr>
                <w:b/>
                <w:lang w:val="en-US" w:eastAsia="en-AU"/>
              </w:rPr>
            </w:pPr>
            <w:r w:rsidRPr="00880F5B">
              <w:rPr>
                <w:b/>
              </w:rPr>
              <w:t>Financial Assets</w:t>
            </w:r>
          </w:p>
        </w:tc>
        <w:tc>
          <w:tcPr>
            <w:tcW w:w="1230" w:type="dxa"/>
            <w:tcBorders>
              <w:top w:val="single" w:sz="12" w:space="0" w:color="auto"/>
            </w:tcBorders>
          </w:tcPr>
          <w:p w14:paraId="53F3D808" w14:textId="77777777" w:rsidR="00880F5B" w:rsidRDefault="00880F5B" w:rsidP="00880F5B">
            <w:pPr>
              <w:rPr>
                <w:b/>
                <w:lang w:val="en-US" w:eastAsia="en-AU"/>
              </w:rPr>
            </w:pPr>
          </w:p>
        </w:tc>
        <w:tc>
          <w:tcPr>
            <w:tcW w:w="1147" w:type="dxa"/>
            <w:tcBorders>
              <w:top w:val="single" w:sz="12" w:space="0" w:color="auto"/>
            </w:tcBorders>
          </w:tcPr>
          <w:p w14:paraId="4CB3906F" w14:textId="77777777" w:rsidR="00880F5B" w:rsidRDefault="00880F5B" w:rsidP="00880F5B">
            <w:pPr>
              <w:rPr>
                <w:b/>
                <w:lang w:val="en-US" w:eastAsia="en-AU"/>
              </w:rPr>
            </w:pPr>
          </w:p>
        </w:tc>
        <w:tc>
          <w:tcPr>
            <w:tcW w:w="1235" w:type="dxa"/>
            <w:tcBorders>
              <w:top w:val="single" w:sz="12" w:space="0" w:color="auto"/>
            </w:tcBorders>
          </w:tcPr>
          <w:p w14:paraId="1FB8D0E3" w14:textId="77777777" w:rsidR="00880F5B" w:rsidRDefault="00880F5B" w:rsidP="00880F5B">
            <w:pPr>
              <w:rPr>
                <w:b/>
                <w:lang w:val="en-US" w:eastAsia="en-AU"/>
              </w:rPr>
            </w:pPr>
          </w:p>
        </w:tc>
        <w:tc>
          <w:tcPr>
            <w:tcW w:w="1031" w:type="dxa"/>
            <w:tcBorders>
              <w:top w:val="single" w:sz="12" w:space="0" w:color="auto"/>
            </w:tcBorders>
          </w:tcPr>
          <w:p w14:paraId="103250C9" w14:textId="77777777" w:rsidR="00880F5B" w:rsidRDefault="00880F5B" w:rsidP="00880F5B">
            <w:pPr>
              <w:rPr>
                <w:b/>
                <w:lang w:val="en-US" w:eastAsia="en-AU"/>
              </w:rPr>
            </w:pPr>
          </w:p>
        </w:tc>
        <w:tc>
          <w:tcPr>
            <w:tcW w:w="1130" w:type="dxa"/>
            <w:tcBorders>
              <w:top w:val="single" w:sz="12" w:space="0" w:color="auto"/>
              <w:right w:val="single" w:sz="12" w:space="0" w:color="auto"/>
            </w:tcBorders>
          </w:tcPr>
          <w:p w14:paraId="7551EAF6" w14:textId="77777777" w:rsidR="00880F5B" w:rsidRDefault="00880F5B" w:rsidP="00880F5B">
            <w:pPr>
              <w:rPr>
                <w:b/>
                <w:lang w:val="en-US" w:eastAsia="en-AU"/>
              </w:rPr>
            </w:pPr>
          </w:p>
        </w:tc>
        <w:tc>
          <w:tcPr>
            <w:tcW w:w="1143" w:type="dxa"/>
            <w:tcBorders>
              <w:top w:val="single" w:sz="12" w:space="0" w:color="auto"/>
              <w:left w:val="single" w:sz="12" w:space="0" w:color="auto"/>
              <w:right w:val="single" w:sz="12" w:space="0" w:color="auto"/>
            </w:tcBorders>
          </w:tcPr>
          <w:p w14:paraId="62AFC531" w14:textId="77777777" w:rsidR="00880F5B" w:rsidRDefault="00880F5B" w:rsidP="00880F5B">
            <w:pPr>
              <w:rPr>
                <w:b/>
                <w:lang w:val="en-US" w:eastAsia="en-AU"/>
              </w:rPr>
            </w:pPr>
          </w:p>
        </w:tc>
        <w:tc>
          <w:tcPr>
            <w:tcW w:w="1092" w:type="dxa"/>
            <w:tcBorders>
              <w:top w:val="single" w:sz="12" w:space="0" w:color="auto"/>
              <w:left w:val="single" w:sz="12" w:space="0" w:color="auto"/>
            </w:tcBorders>
          </w:tcPr>
          <w:p w14:paraId="0C2CE350" w14:textId="77777777" w:rsidR="00880F5B" w:rsidRDefault="00880F5B" w:rsidP="00880F5B">
            <w:pPr>
              <w:rPr>
                <w:b/>
                <w:lang w:val="en-US" w:eastAsia="en-AU"/>
              </w:rPr>
            </w:pPr>
          </w:p>
        </w:tc>
        <w:tc>
          <w:tcPr>
            <w:tcW w:w="1121" w:type="dxa"/>
            <w:tcBorders>
              <w:top w:val="single" w:sz="12" w:space="0" w:color="auto"/>
            </w:tcBorders>
          </w:tcPr>
          <w:p w14:paraId="311926DD" w14:textId="77777777" w:rsidR="00880F5B" w:rsidRDefault="00880F5B" w:rsidP="00880F5B">
            <w:pPr>
              <w:rPr>
                <w:b/>
                <w:lang w:val="en-US" w:eastAsia="en-AU"/>
              </w:rPr>
            </w:pPr>
          </w:p>
        </w:tc>
        <w:tc>
          <w:tcPr>
            <w:tcW w:w="1121" w:type="dxa"/>
            <w:tcBorders>
              <w:top w:val="single" w:sz="12" w:space="0" w:color="auto"/>
            </w:tcBorders>
          </w:tcPr>
          <w:p w14:paraId="2CF4CBF8" w14:textId="77777777" w:rsidR="00880F5B" w:rsidRDefault="00880F5B" w:rsidP="00880F5B">
            <w:pPr>
              <w:rPr>
                <w:b/>
                <w:lang w:val="en-US" w:eastAsia="en-AU"/>
              </w:rPr>
            </w:pPr>
          </w:p>
        </w:tc>
        <w:tc>
          <w:tcPr>
            <w:tcW w:w="1197" w:type="dxa"/>
            <w:tcBorders>
              <w:top w:val="single" w:sz="12" w:space="0" w:color="auto"/>
            </w:tcBorders>
          </w:tcPr>
          <w:p w14:paraId="4641C136" w14:textId="77777777" w:rsidR="00880F5B" w:rsidRDefault="00880F5B" w:rsidP="00880F5B">
            <w:pPr>
              <w:rPr>
                <w:b/>
                <w:lang w:val="en-US" w:eastAsia="en-AU"/>
              </w:rPr>
            </w:pPr>
          </w:p>
        </w:tc>
        <w:tc>
          <w:tcPr>
            <w:tcW w:w="987" w:type="dxa"/>
            <w:tcBorders>
              <w:top w:val="single" w:sz="12" w:space="0" w:color="auto"/>
            </w:tcBorders>
          </w:tcPr>
          <w:p w14:paraId="639DFF78" w14:textId="77777777" w:rsidR="00880F5B" w:rsidRDefault="00880F5B" w:rsidP="00880F5B">
            <w:pPr>
              <w:rPr>
                <w:b/>
                <w:lang w:val="en-US" w:eastAsia="en-AU"/>
              </w:rPr>
            </w:pPr>
          </w:p>
        </w:tc>
      </w:tr>
      <w:tr w:rsidR="00880F5B" w14:paraId="1C330F6F" w14:textId="77777777" w:rsidTr="0001316E">
        <w:tc>
          <w:tcPr>
            <w:tcW w:w="1524" w:type="dxa"/>
            <w:vAlign w:val="bottom"/>
          </w:tcPr>
          <w:p w14:paraId="28E28D9B" w14:textId="39E1EB8D" w:rsidR="00880F5B" w:rsidRDefault="00880F5B" w:rsidP="00880F5B">
            <w:pPr>
              <w:rPr>
                <w:lang w:val="en-US" w:eastAsia="en-AU"/>
              </w:rPr>
            </w:pPr>
            <w:r>
              <w:t xml:space="preserve">Cash and cash equivalents </w:t>
            </w:r>
          </w:p>
        </w:tc>
        <w:tc>
          <w:tcPr>
            <w:tcW w:w="1230" w:type="dxa"/>
            <w:vAlign w:val="center"/>
          </w:tcPr>
          <w:p w14:paraId="165F4356" w14:textId="61866656" w:rsidR="00880F5B" w:rsidRDefault="00880F5B" w:rsidP="00880F5B">
            <w:pPr>
              <w:jc w:val="right"/>
              <w:rPr>
                <w:b/>
                <w:lang w:val="en-US" w:eastAsia="en-AU"/>
              </w:rPr>
            </w:pPr>
            <w:r>
              <w:t xml:space="preserve">              2.09 </w:t>
            </w:r>
          </w:p>
        </w:tc>
        <w:tc>
          <w:tcPr>
            <w:tcW w:w="1147" w:type="dxa"/>
            <w:vAlign w:val="center"/>
          </w:tcPr>
          <w:p w14:paraId="5FA6ED6B" w14:textId="6024F4AA" w:rsidR="00880F5B" w:rsidRDefault="00880F5B" w:rsidP="00880F5B">
            <w:pPr>
              <w:jc w:val="right"/>
              <w:rPr>
                <w:b/>
                <w:lang w:val="en-US" w:eastAsia="en-AU"/>
              </w:rPr>
            </w:pPr>
            <w:r>
              <w:t xml:space="preserve">            8,157 </w:t>
            </w:r>
          </w:p>
        </w:tc>
        <w:tc>
          <w:tcPr>
            <w:tcW w:w="1235" w:type="dxa"/>
            <w:vAlign w:val="center"/>
          </w:tcPr>
          <w:p w14:paraId="21EEFE09" w14:textId="3E0C77D5" w:rsidR="00880F5B" w:rsidRDefault="00880F5B" w:rsidP="00880F5B">
            <w:pPr>
              <w:jc w:val="right"/>
              <w:rPr>
                <w:b/>
                <w:lang w:val="en-US" w:eastAsia="en-AU"/>
              </w:rPr>
            </w:pPr>
            <w:r>
              <w:t xml:space="preserve">            3,044 </w:t>
            </w:r>
          </w:p>
        </w:tc>
        <w:tc>
          <w:tcPr>
            <w:tcW w:w="1031" w:type="dxa"/>
            <w:vAlign w:val="center"/>
          </w:tcPr>
          <w:p w14:paraId="689462C7" w14:textId="74A2225B" w:rsidR="00880F5B" w:rsidRDefault="00880F5B" w:rsidP="00880F5B">
            <w:pPr>
              <w:jc w:val="right"/>
              <w:rPr>
                <w:b/>
                <w:lang w:val="en-US" w:eastAsia="en-AU"/>
              </w:rPr>
            </w:pPr>
            <w:r>
              <w:t xml:space="preserve">            5,112 </w:t>
            </w:r>
          </w:p>
        </w:tc>
        <w:tc>
          <w:tcPr>
            <w:tcW w:w="1130" w:type="dxa"/>
            <w:tcBorders>
              <w:right w:val="single" w:sz="12" w:space="0" w:color="auto"/>
            </w:tcBorders>
            <w:vAlign w:val="center"/>
          </w:tcPr>
          <w:p w14:paraId="1F9E5F63" w14:textId="3BCC7E42" w:rsidR="00880F5B" w:rsidRDefault="00880F5B" w:rsidP="00880F5B">
            <w:pPr>
              <w:jc w:val="right"/>
              <w:rPr>
                <w:b/>
                <w:lang w:val="en-US" w:eastAsia="en-AU"/>
              </w:rPr>
            </w:pPr>
            <w:r>
              <w:t xml:space="preserve">                  1 </w:t>
            </w:r>
          </w:p>
        </w:tc>
        <w:tc>
          <w:tcPr>
            <w:tcW w:w="1143" w:type="dxa"/>
            <w:tcBorders>
              <w:left w:val="single" w:sz="12" w:space="0" w:color="auto"/>
              <w:right w:val="single" w:sz="12" w:space="0" w:color="auto"/>
            </w:tcBorders>
            <w:vAlign w:val="center"/>
          </w:tcPr>
          <w:p w14:paraId="19BE0C71" w14:textId="2F148EE8" w:rsidR="00880F5B" w:rsidRDefault="00880F5B" w:rsidP="00880F5B">
            <w:pPr>
              <w:jc w:val="right"/>
              <w:rPr>
                <w:b/>
                <w:lang w:val="en-US" w:eastAsia="en-AU"/>
              </w:rPr>
            </w:pPr>
            <w:r>
              <w:t xml:space="preserve">           8,157 </w:t>
            </w:r>
          </w:p>
        </w:tc>
        <w:tc>
          <w:tcPr>
            <w:tcW w:w="1092" w:type="dxa"/>
            <w:tcBorders>
              <w:left w:val="single" w:sz="12" w:space="0" w:color="auto"/>
            </w:tcBorders>
            <w:vAlign w:val="center"/>
          </w:tcPr>
          <w:p w14:paraId="2AF01CB9" w14:textId="42BB2775" w:rsidR="00880F5B" w:rsidRDefault="00880F5B" w:rsidP="00880F5B">
            <w:pPr>
              <w:jc w:val="right"/>
              <w:rPr>
                <w:b/>
                <w:lang w:val="en-US" w:eastAsia="en-AU"/>
              </w:rPr>
            </w:pPr>
            <w:r>
              <w:t xml:space="preserve">            6,227 </w:t>
            </w:r>
          </w:p>
        </w:tc>
        <w:tc>
          <w:tcPr>
            <w:tcW w:w="1121" w:type="dxa"/>
            <w:vAlign w:val="center"/>
          </w:tcPr>
          <w:p w14:paraId="588ABE98" w14:textId="20E590CB" w:rsidR="00880F5B" w:rsidRDefault="00880F5B" w:rsidP="00880F5B">
            <w:pPr>
              <w:jc w:val="right"/>
              <w:rPr>
                <w:b/>
                <w:lang w:val="en-US" w:eastAsia="en-AU"/>
              </w:rPr>
            </w:pPr>
            <w:r>
              <w:t xml:space="preserve">            1,930 </w:t>
            </w:r>
          </w:p>
        </w:tc>
        <w:tc>
          <w:tcPr>
            <w:tcW w:w="1121" w:type="dxa"/>
            <w:vAlign w:val="center"/>
          </w:tcPr>
          <w:p w14:paraId="5DBEC1CE" w14:textId="21F074B2" w:rsidR="00880F5B" w:rsidRDefault="00880F5B" w:rsidP="00880F5B">
            <w:pPr>
              <w:jc w:val="right"/>
              <w:rPr>
                <w:b/>
                <w:lang w:val="en-US" w:eastAsia="en-AU"/>
              </w:rPr>
            </w:pPr>
            <w:r>
              <w:t xml:space="preserve">                 -   </w:t>
            </w:r>
          </w:p>
        </w:tc>
        <w:tc>
          <w:tcPr>
            <w:tcW w:w="1197" w:type="dxa"/>
            <w:vAlign w:val="center"/>
          </w:tcPr>
          <w:p w14:paraId="7A1DEDF3" w14:textId="20B985F1" w:rsidR="00880F5B" w:rsidRDefault="00880F5B" w:rsidP="00880F5B">
            <w:pPr>
              <w:jc w:val="right"/>
              <w:rPr>
                <w:b/>
                <w:lang w:val="en-US" w:eastAsia="en-AU"/>
              </w:rPr>
            </w:pPr>
            <w:r>
              <w:t xml:space="preserve">                 -   </w:t>
            </w:r>
          </w:p>
        </w:tc>
        <w:tc>
          <w:tcPr>
            <w:tcW w:w="987" w:type="dxa"/>
            <w:vAlign w:val="center"/>
          </w:tcPr>
          <w:p w14:paraId="693E759E" w14:textId="085427A6" w:rsidR="00880F5B" w:rsidRDefault="00880F5B" w:rsidP="00880F5B">
            <w:pPr>
              <w:jc w:val="right"/>
              <w:rPr>
                <w:b/>
                <w:lang w:val="en-US" w:eastAsia="en-AU"/>
              </w:rPr>
            </w:pPr>
            <w:r>
              <w:t xml:space="preserve">                   -   </w:t>
            </w:r>
          </w:p>
        </w:tc>
      </w:tr>
      <w:tr w:rsidR="00880F5B" w14:paraId="143B3346" w14:textId="77777777" w:rsidTr="0001316E">
        <w:tc>
          <w:tcPr>
            <w:tcW w:w="1524" w:type="dxa"/>
            <w:vAlign w:val="bottom"/>
          </w:tcPr>
          <w:p w14:paraId="6DE3D16A" w14:textId="2B165C76" w:rsidR="00880F5B" w:rsidRDefault="00880F5B" w:rsidP="00880F5B">
            <w:pPr>
              <w:rPr>
                <w:lang w:val="en-US" w:eastAsia="en-AU"/>
              </w:rPr>
            </w:pPr>
            <w:r>
              <w:t>Restricted Cash</w:t>
            </w:r>
          </w:p>
        </w:tc>
        <w:tc>
          <w:tcPr>
            <w:tcW w:w="1230" w:type="dxa"/>
            <w:vAlign w:val="center"/>
          </w:tcPr>
          <w:p w14:paraId="57E5C345" w14:textId="7C10C9A7" w:rsidR="00880F5B" w:rsidRDefault="00880F5B" w:rsidP="00880F5B">
            <w:pPr>
              <w:jc w:val="right"/>
              <w:rPr>
                <w:b/>
                <w:lang w:val="en-US" w:eastAsia="en-AU"/>
              </w:rPr>
            </w:pPr>
            <w:r>
              <w:t xml:space="preserve">              1.97 </w:t>
            </w:r>
          </w:p>
        </w:tc>
        <w:tc>
          <w:tcPr>
            <w:tcW w:w="1147" w:type="dxa"/>
            <w:vAlign w:val="center"/>
          </w:tcPr>
          <w:p w14:paraId="24812056" w14:textId="04CB168C" w:rsidR="00880F5B" w:rsidRDefault="00880F5B" w:rsidP="00880F5B">
            <w:pPr>
              <w:jc w:val="right"/>
              <w:rPr>
                <w:b/>
                <w:lang w:val="en-US" w:eastAsia="en-AU"/>
              </w:rPr>
            </w:pPr>
            <w:r>
              <w:t xml:space="preserve">          86,625 </w:t>
            </w:r>
          </w:p>
        </w:tc>
        <w:tc>
          <w:tcPr>
            <w:tcW w:w="1235" w:type="dxa"/>
            <w:vAlign w:val="center"/>
          </w:tcPr>
          <w:p w14:paraId="08C236CC" w14:textId="7F5E03E3" w:rsidR="00880F5B" w:rsidRDefault="00880F5B" w:rsidP="00880F5B">
            <w:pPr>
              <w:jc w:val="right"/>
              <w:rPr>
                <w:b/>
                <w:lang w:val="en-US" w:eastAsia="en-AU"/>
              </w:rPr>
            </w:pPr>
            <w:r>
              <w:t xml:space="preserve">          86,623 </w:t>
            </w:r>
          </w:p>
        </w:tc>
        <w:tc>
          <w:tcPr>
            <w:tcW w:w="1031" w:type="dxa"/>
            <w:vAlign w:val="center"/>
          </w:tcPr>
          <w:p w14:paraId="1DBCE264" w14:textId="0B0CF27A" w:rsidR="00880F5B" w:rsidRDefault="00880F5B" w:rsidP="00880F5B">
            <w:pPr>
              <w:jc w:val="right"/>
              <w:rPr>
                <w:b/>
                <w:lang w:val="en-US" w:eastAsia="en-AU"/>
              </w:rPr>
            </w:pPr>
            <w:r>
              <w:t xml:space="preserve">                  2 </w:t>
            </w:r>
          </w:p>
        </w:tc>
        <w:tc>
          <w:tcPr>
            <w:tcW w:w="1130" w:type="dxa"/>
            <w:tcBorders>
              <w:right w:val="single" w:sz="12" w:space="0" w:color="auto"/>
            </w:tcBorders>
            <w:vAlign w:val="center"/>
          </w:tcPr>
          <w:p w14:paraId="7245C53B" w14:textId="1F81CE85" w:rsidR="00880F5B" w:rsidRDefault="00880F5B" w:rsidP="00880F5B">
            <w:pPr>
              <w:jc w:val="right"/>
              <w:rPr>
                <w:b/>
                <w:lang w:val="en-US" w:eastAsia="en-AU"/>
              </w:rPr>
            </w:pPr>
            <w:r>
              <w:t xml:space="preserve">                 -   </w:t>
            </w:r>
          </w:p>
        </w:tc>
        <w:tc>
          <w:tcPr>
            <w:tcW w:w="1143" w:type="dxa"/>
            <w:tcBorders>
              <w:left w:val="single" w:sz="12" w:space="0" w:color="auto"/>
              <w:right w:val="single" w:sz="12" w:space="0" w:color="auto"/>
            </w:tcBorders>
            <w:vAlign w:val="center"/>
          </w:tcPr>
          <w:p w14:paraId="79AC5D65" w14:textId="51DC752B" w:rsidR="00880F5B" w:rsidRDefault="00880F5B" w:rsidP="00880F5B">
            <w:pPr>
              <w:jc w:val="right"/>
              <w:rPr>
                <w:b/>
                <w:lang w:val="en-US" w:eastAsia="en-AU"/>
              </w:rPr>
            </w:pPr>
            <w:r>
              <w:t xml:space="preserve">         86,625 </w:t>
            </w:r>
          </w:p>
        </w:tc>
        <w:tc>
          <w:tcPr>
            <w:tcW w:w="1092" w:type="dxa"/>
            <w:tcBorders>
              <w:left w:val="single" w:sz="12" w:space="0" w:color="auto"/>
            </w:tcBorders>
            <w:vAlign w:val="center"/>
          </w:tcPr>
          <w:p w14:paraId="6487DA5C" w14:textId="1187DCF3" w:rsidR="00880F5B" w:rsidRDefault="00880F5B" w:rsidP="00880F5B">
            <w:pPr>
              <w:jc w:val="right"/>
              <w:rPr>
                <w:b/>
                <w:lang w:val="en-US" w:eastAsia="en-AU"/>
              </w:rPr>
            </w:pPr>
            <w:r>
              <w:t xml:space="preserve">          86,625 </w:t>
            </w:r>
          </w:p>
        </w:tc>
        <w:tc>
          <w:tcPr>
            <w:tcW w:w="1121" w:type="dxa"/>
            <w:vAlign w:val="center"/>
          </w:tcPr>
          <w:p w14:paraId="4AD0E033" w14:textId="24340017" w:rsidR="00880F5B" w:rsidRDefault="00880F5B" w:rsidP="00880F5B">
            <w:pPr>
              <w:jc w:val="right"/>
              <w:rPr>
                <w:b/>
                <w:lang w:val="en-US" w:eastAsia="en-AU"/>
              </w:rPr>
            </w:pPr>
            <w:r>
              <w:t xml:space="preserve">                 -   </w:t>
            </w:r>
          </w:p>
        </w:tc>
        <w:tc>
          <w:tcPr>
            <w:tcW w:w="1121" w:type="dxa"/>
            <w:vAlign w:val="center"/>
          </w:tcPr>
          <w:p w14:paraId="4A35EA21" w14:textId="79F43377" w:rsidR="00880F5B" w:rsidRDefault="00880F5B" w:rsidP="00880F5B">
            <w:pPr>
              <w:jc w:val="right"/>
              <w:rPr>
                <w:b/>
                <w:lang w:val="en-US" w:eastAsia="en-AU"/>
              </w:rPr>
            </w:pPr>
            <w:r>
              <w:t xml:space="preserve">                 -   </w:t>
            </w:r>
          </w:p>
        </w:tc>
        <w:tc>
          <w:tcPr>
            <w:tcW w:w="1197" w:type="dxa"/>
            <w:vAlign w:val="center"/>
          </w:tcPr>
          <w:p w14:paraId="1163D985" w14:textId="28675684" w:rsidR="00880F5B" w:rsidRDefault="00880F5B" w:rsidP="00880F5B">
            <w:pPr>
              <w:jc w:val="right"/>
              <w:rPr>
                <w:b/>
                <w:lang w:val="en-US" w:eastAsia="en-AU"/>
              </w:rPr>
            </w:pPr>
            <w:r>
              <w:t xml:space="preserve">                 -   </w:t>
            </w:r>
          </w:p>
        </w:tc>
        <w:tc>
          <w:tcPr>
            <w:tcW w:w="987" w:type="dxa"/>
            <w:vAlign w:val="center"/>
          </w:tcPr>
          <w:p w14:paraId="3E9C7B83" w14:textId="1F6ECA37" w:rsidR="00880F5B" w:rsidRDefault="00880F5B" w:rsidP="00880F5B">
            <w:pPr>
              <w:jc w:val="right"/>
              <w:rPr>
                <w:b/>
                <w:lang w:val="en-US" w:eastAsia="en-AU"/>
              </w:rPr>
            </w:pPr>
            <w:r>
              <w:t xml:space="preserve">                   -   </w:t>
            </w:r>
          </w:p>
        </w:tc>
      </w:tr>
      <w:tr w:rsidR="00880F5B" w14:paraId="2B15AF1F" w14:textId="77777777" w:rsidTr="0001316E">
        <w:tc>
          <w:tcPr>
            <w:tcW w:w="1524" w:type="dxa"/>
            <w:vAlign w:val="bottom"/>
          </w:tcPr>
          <w:p w14:paraId="3E2AC05F" w14:textId="13E5E559" w:rsidR="00880F5B" w:rsidRDefault="00880F5B" w:rsidP="00880F5B">
            <w:pPr>
              <w:rPr>
                <w:lang w:val="en-US" w:eastAsia="en-AU"/>
              </w:rPr>
            </w:pPr>
            <w:r>
              <w:t xml:space="preserve">Receivables </w:t>
            </w:r>
            <w:r>
              <w:rPr>
                <w:vertAlign w:val="superscript"/>
              </w:rPr>
              <w:t>(a)</w:t>
            </w:r>
          </w:p>
        </w:tc>
        <w:tc>
          <w:tcPr>
            <w:tcW w:w="1230" w:type="dxa"/>
            <w:vAlign w:val="center"/>
          </w:tcPr>
          <w:p w14:paraId="0922E258" w14:textId="2B1518C2" w:rsidR="00880F5B" w:rsidRDefault="00880F5B" w:rsidP="00880F5B">
            <w:pPr>
              <w:jc w:val="right"/>
              <w:rPr>
                <w:b/>
                <w:lang w:val="en-US" w:eastAsia="en-AU"/>
              </w:rPr>
            </w:pPr>
            <w:r>
              <w:t xml:space="preserve">                 -   </w:t>
            </w:r>
          </w:p>
        </w:tc>
        <w:tc>
          <w:tcPr>
            <w:tcW w:w="1147" w:type="dxa"/>
            <w:vAlign w:val="center"/>
          </w:tcPr>
          <w:p w14:paraId="1A51F7AD" w14:textId="7E2CA4D7" w:rsidR="00880F5B" w:rsidRDefault="00880F5B" w:rsidP="00880F5B">
            <w:pPr>
              <w:jc w:val="right"/>
              <w:rPr>
                <w:b/>
                <w:lang w:val="en-US" w:eastAsia="en-AU"/>
              </w:rPr>
            </w:pPr>
            <w:r>
              <w:t xml:space="preserve">            1,210 </w:t>
            </w:r>
          </w:p>
        </w:tc>
        <w:tc>
          <w:tcPr>
            <w:tcW w:w="1235" w:type="dxa"/>
            <w:vAlign w:val="center"/>
          </w:tcPr>
          <w:p w14:paraId="55977A0B" w14:textId="54C80FAD" w:rsidR="00880F5B" w:rsidRDefault="00880F5B" w:rsidP="00880F5B">
            <w:pPr>
              <w:jc w:val="right"/>
              <w:rPr>
                <w:b/>
                <w:lang w:val="en-US" w:eastAsia="en-AU"/>
              </w:rPr>
            </w:pPr>
            <w:r>
              <w:t xml:space="preserve">                 -   </w:t>
            </w:r>
          </w:p>
        </w:tc>
        <w:tc>
          <w:tcPr>
            <w:tcW w:w="1031" w:type="dxa"/>
            <w:vAlign w:val="center"/>
          </w:tcPr>
          <w:p w14:paraId="2F31DBCD" w14:textId="0ABED7B7" w:rsidR="00880F5B" w:rsidRDefault="00880F5B" w:rsidP="00880F5B">
            <w:pPr>
              <w:jc w:val="right"/>
              <w:rPr>
                <w:b/>
                <w:lang w:val="en-US" w:eastAsia="en-AU"/>
              </w:rPr>
            </w:pPr>
            <w:r>
              <w:t xml:space="preserve">                 -   </w:t>
            </w:r>
          </w:p>
        </w:tc>
        <w:tc>
          <w:tcPr>
            <w:tcW w:w="1130" w:type="dxa"/>
            <w:tcBorders>
              <w:right w:val="single" w:sz="12" w:space="0" w:color="auto"/>
            </w:tcBorders>
            <w:vAlign w:val="center"/>
          </w:tcPr>
          <w:p w14:paraId="26CA1F37" w14:textId="785065A9" w:rsidR="00880F5B" w:rsidRDefault="00880F5B" w:rsidP="00880F5B">
            <w:pPr>
              <w:jc w:val="right"/>
              <w:rPr>
                <w:b/>
                <w:lang w:val="en-US" w:eastAsia="en-AU"/>
              </w:rPr>
            </w:pPr>
            <w:r>
              <w:t xml:space="preserve">            1,210 </w:t>
            </w:r>
          </w:p>
        </w:tc>
        <w:tc>
          <w:tcPr>
            <w:tcW w:w="1143" w:type="dxa"/>
            <w:tcBorders>
              <w:left w:val="single" w:sz="12" w:space="0" w:color="auto"/>
              <w:right w:val="single" w:sz="12" w:space="0" w:color="auto"/>
            </w:tcBorders>
            <w:vAlign w:val="center"/>
          </w:tcPr>
          <w:p w14:paraId="331C4F5B" w14:textId="3F5901C0" w:rsidR="00880F5B" w:rsidRDefault="00880F5B" w:rsidP="00880F5B">
            <w:pPr>
              <w:jc w:val="right"/>
              <w:rPr>
                <w:b/>
                <w:lang w:val="en-US" w:eastAsia="en-AU"/>
              </w:rPr>
            </w:pPr>
            <w:r>
              <w:t xml:space="preserve">           1,210 </w:t>
            </w:r>
          </w:p>
        </w:tc>
        <w:tc>
          <w:tcPr>
            <w:tcW w:w="1092" w:type="dxa"/>
            <w:tcBorders>
              <w:left w:val="single" w:sz="12" w:space="0" w:color="auto"/>
            </w:tcBorders>
            <w:vAlign w:val="center"/>
          </w:tcPr>
          <w:p w14:paraId="601D2FBF" w14:textId="54A4F83E" w:rsidR="00880F5B" w:rsidRDefault="00880F5B" w:rsidP="00880F5B">
            <w:pPr>
              <w:jc w:val="right"/>
              <w:rPr>
                <w:b/>
                <w:lang w:val="en-US" w:eastAsia="en-AU"/>
              </w:rPr>
            </w:pPr>
            <w:r>
              <w:t xml:space="preserve">            1,210 </w:t>
            </w:r>
          </w:p>
        </w:tc>
        <w:tc>
          <w:tcPr>
            <w:tcW w:w="1121" w:type="dxa"/>
            <w:vAlign w:val="center"/>
          </w:tcPr>
          <w:p w14:paraId="5ABD9C7C" w14:textId="57D44607" w:rsidR="00880F5B" w:rsidRDefault="00880F5B" w:rsidP="00880F5B">
            <w:pPr>
              <w:jc w:val="right"/>
              <w:rPr>
                <w:b/>
                <w:lang w:val="en-US" w:eastAsia="en-AU"/>
              </w:rPr>
            </w:pPr>
            <w:r>
              <w:t xml:space="preserve">                 -   </w:t>
            </w:r>
          </w:p>
        </w:tc>
        <w:tc>
          <w:tcPr>
            <w:tcW w:w="1121" w:type="dxa"/>
            <w:vAlign w:val="center"/>
          </w:tcPr>
          <w:p w14:paraId="372922AE" w14:textId="058F5CC7" w:rsidR="00880F5B" w:rsidRDefault="00880F5B" w:rsidP="00880F5B">
            <w:pPr>
              <w:jc w:val="right"/>
              <w:rPr>
                <w:b/>
                <w:lang w:val="en-US" w:eastAsia="en-AU"/>
              </w:rPr>
            </w:pPr>
            <w:r>
              <w:t xml:space="preserve">                 -   </w:t>
            </w:r>
          </w:p>
        </w:tc>
        <w:tc>
          <w:tcPr>
            <w:tcW w:w="1197" w:type="dxa"/>
            <w:vAlign w:val="center"/>
          </w:tcPr>
          <w:p w14:paraId="40243AB0" w14:textId="77777777" w:rsidR="00880F5B" w:rsidRDefault="00880F5B" w:rsidP="00880F5B">
            <w:pPr>
              <w:jc w:val="right"/>
              <w:rPr>
                <w:b/>
                <w:lang w:val="en-US" w:eastAsia="en-AU"/>
              </w:rPr>
            </w:pPr>
          </w:p>
        </w:tc>
        <w:tc>
          <w:tcPr>
            <w:tcW w:w="987" w:type="dxa"/>
            <w:vAlign w:val="center"/>
          </w:tcPr>
          <w:p w14:paraId="48EC44BC" w14:textId="67E6F6C9" w:rsidR="00880F5B" w:rsidRDefault="00880F5B" w:rsidP="00880F5B">
            <w:pPr>
              <w:jc w:val="right"/>
              <w:rPr>
                <w:b/>
                <w:lang w:val="en-US" w:eastAsia="en-AU"/>
              </w:rPr>
            </w:pPr>
            <w:r>
              <w:t xml:space="preserve">                   -   </w:t>
            </w:r>
          </w:p>
        </w:tc>
      </w:tr>
      <w:tr w:rsidR="00880F5B" w14:paraId="35232C17" w14:textId="77777777" w:rsidTr="0001316E">
        <w:tc>
          <w:tcPr>
            <w:tcW w:w="1524" w:type="dxa"/>
            <w:vAlign w:val="bottom"/>
          </w:tcPr>
          <w:p w14:paraId="79EC1565" w14:textId="759C4FEF" w:rsidR="00880F5B" w:rsidRDefault="00880F5B" w:rsidP="00880F5B">
            <w:pPr>
              <w:rPr>
                <w:lang w:val="en-US" w:eastAsia="en-AU"/>
              </w:rPr>
            </w:pPr>
            <w:r>
              <w:t>Other financial assets</w:t>
            </w:r>
          </w:p>
        </w:tc>
        <w:tc>
          <w:tcPr>
            <w:tcW w:w="1230" w:type="dxa"/>
            <w:vAlign w:val="center"/>
          </w:tcPr>
          <w:p w14:paraId="70FDBB6D" w14:textId="6363A583" w:rsidR="00880F5B" w:rsidRDefault="00880F5B" w:rsidP="00880F5B">
            <w:pPr>
              <w:jc w:val="right"/>
              <w:rPr>
                <w:b/>
                <w:lang w:val="en-US" w:eastAsia="en-AU"/>
              </w:rPr>
            </w:pPr>
            <w:r>
              <w:t xml:space="preserve">              2.60 </w:t>
            </w:r>
          </w:p>
        </w:tc>
        <w:tc>
          <w:tcPr>
            <w:tcW w:w="1147" w:type="dxa"/>
            <w:tcBorders>
              <w:bottom w:val="single" w:sz="12" w:space="0" w:color="auto"/>
            </w:tcBorders>
            <w:vAlign w:val="center"/>
          </w:tcPr>
          <w:p w14:paraId="510C28A0" w14:textId="11BCBDDA" w:rsidR="00880F5B" w:rsidRDefault="00880F5B" w:rsidP="00880F5B">
            <w:pPr>
              <w:jc w:val="right"/>
              <w:rPr>
                <w:b/>
                <w:lang w:val="en-US" w:eastAsia="en-AU"/>
              </w:rPr>
            </w:pPr>
            <w:r>
              <w:t xml:space="preserve">          18,024 </w:t>
            </w:r>
          </w:p>
        </w:tc>
        <w:tc>
          <w:tcPr>
            <w:tcW w:w="1235" w:type="dxa"/>
            <w:tcBorders>
              <w:bottom w:val="single" w:sz="12" w:space="0" w:color="auto"/>
            </w:tcBorders>
            <w:vAlign w:val="center"/>
          </w:tcPr>
          <w:p w14:paraId="5A7F6ED8" w14:textId="1A0E5590" w:rsidR="00880F5B" w:rsidRDefault="00880F5B" w:rsidP="00880F5B">
            <w:pPr>
              <w:jc w:val="right"/>
              <w:rPr>
                <w:b/>
                <w:lang w:val="en-US" w:eastAsia="en-AU"/>
              </w:rPr>
            </w:pPr>
            <w:r>
              <w:t xml:space="preserve">                 -   </w:t>
            </w:r>
          </w:p>
        </w:tc>
        <w:tc>
          <w:tcPr>
            <w:tcW w:w="1031" w:type="dxa"/>
            <w:tcBorders>
              <w:bottom w:val="single" w:sz="12" w:space="0" w:color="auto"/>
            </w:tcBorders>
            <w:vAlign w:val="center"/>
          </w:tcPr>
          <w:p w14:paraId="65CC43CF" w14:textId="56662D18" w:rsidR="00880F5B" w:rsidRDefault="00880F5B" w:rsidP="00880F5B">
            <w:pPr>
              <w:jc w:val="right"/>
              <w:rPr>
                <w:b/>
                <w:lang w:val="en-US" w:eastAsia="en-AU"/>
              </w:rPr>
            </w:pPr>
            <w:r>
              <w:t xml:space="preserve">          18,024 </w:t>
            </w:r>
          </w:p>
        </w:tc>
        <w:tc>
          <w:tcPr>
            <w:tcW w:w="1130" w:type="dxa"/>
            <w:tcBorders>
              <w:bottom w:val="single" w:sz="12" w:space="0" w:color="auto"/>
              <w:right w:val="single" w:sz="12" w:space="0" w:color="auto"/>
            </w:tcBorders>
            <w:vAlign w:val="center"/>
          </w:tcPr>
          <w:p w14:paraId="68525941" w14:textId="22967B93" w:rsidR="00880F5B" w:rsidRDefault="00880F5B" w:rsidP="00880F5B">
            <w:pPr>
              <w:jc w:val="right"/>
              <w:rPr>
                <w:b/>
                <w:lang w:val="en-US" w:eastAsia="en-AU"/>
              </w:rPr>
            </w:pPr>
            <w:r>
              <w:t xml:space="preserve">                 -   </w:t>
            </w:r>
          </w:p>
        </w:tc>
        <w:tc>
          <w:tcPr>
            <w:tcW w:w="1143" w:type="dxa"/>
            <w:tcBorders>
              <w:left w:val="single" w:sz="12" w:space="0" w:color="auto"/>
              <w:bottom w:val="single" w:sz="12" w:space="0" w:color="auto"/>
              <w:right w:val="single" w:sz="12" w:space="0" w:color="auto"/>
            </w:tcBorders>
            <w:vAlign w:val="center"/>
          </w:tcPr>
          <w:p w14:paraId="3A36F286" w14:textId="020F883A" w:rsidR="00880F5B" w:rsidRDefault="00880F5B" w:rsidP="00880F5B">
            <w:pPr>
              <w:jc w:val="right"/>
              <w:rPr>
                <w:b/>
                <w:lang w:val="en-US" w:eastAsia="en-AU"/>
              </w:rPr>
            </w:pPr>
            <w:r>
              <w:t xml:space="preserve">         18,024 </w:t>
            </w:r>
          </w:p>
        </w:tc>
        <w:tc>
          <w:tcPr>
            <w:tcW w:w="1092" w:type="dxa"/>
            <w:tcBorders>
              <w:left w:val="single" w:sz="12" w:space="0" w:color="auto"/>
              <w:bottom w:val="single" w:sz="12" w:space="0" w:color="auto"/>
            </w:tcBorders>
            <w:vAlign w:val="center"/>
          </w:tcPr>
          <w:p w14:paraId="6902C556" w14:textId="28E9DA09" w:rsidR="00880F5B" w:rsidRDefault="00880F5B" w:rsidP="00880F5B">
            <w:pPr>
              <w:jc w:val="right"/>
              <w:rPr>
                <w:b/>
                <w:lang w:val="en-US" w:eastAsia="en-AU"/>
              </w:rPr>
            </w:pPr>
            <w:r>
              <w:t xml:space="preserve">                 -   </w:t>
            </w:r>
          </w:p>
        </w:tc>
        <w:tc>
          <w:tcPr>
            <w:tcW w:w="1121" w:type="dxa"/>
            <w:tcBorders>
              <w:bottom w:val="single" w:sz="12" w:space="0" w:color="auto"/>
            </w:tcBorders>
            <w:vAlign w:val="center"/>
          </w:tcPr>
          <w:p w14:paraId="2A595919" w14:textId="2E5E5142" w:rsidR="00880F5B" w:rsidRDefault="00880F5B" w:rsidP="00880F5B">
            <w:pPr>
              <w:jc w:val="right"/>
              <w:rPr>
                <w:b/>
                <w:lang w:val="en-US" w:eastAsia="en-AU"/>
              </w:rPr>
            </w:pPr>
            <w:r>
              <w:t xml:space="preserve">                 -   </w:t>
            </w:r>
          </w:p>
        </w:tc>
        <w:tc>
          <w:tcPr>
            <w:tcW w:w="1121" w:type="dxa"/>
            <w:tcBorders>
              <w:bottom w:val="single" w:sz="12" w:space="0" w:color="auto"/>
            </w:tcBorders>
            <w:vAlign w:val="center"/>
          </w:tcPr>
          <w:p w14:paraId="40BBDA4A" w14:textId="73600E1E" w:rsidR="00880F5B" w:rsidRDefault="00880F5B" w:rsidP="00880F5B">
            <w:pPr>
              <w:jc w:val="right"/>
              <w:rPr>
                <w:b/>
                <w:lang w:val="en-US" w:eastAsia="en-AU"/>
              </w:rPr>
            </w:pPr>
            <w:r>
              <w:t xml:space="preserve">            7,119 </w:t>
            </w:r>
          </w:p>
        </w:tc>
        <w:tc>
          <w:tcPr>
            <w:tcW w:w="1197" w:type="dxa"/>
            <w:tcBorders>
              <w:bottom w:val="single" w:sz="12" w:space="0" w:color="auto"/>
            </w:tcBorders>
            <w:vAlign w:val="center"/>
          </w:tcPr>
          <w:p w14:paraId="01B22A4B" w14:textId="470A7721" w:rsidR="00880F5B" w:rsidRDefault="00880F5B" w:rsidP="00880F5B">
            <w:pPr>
              <w:jc w:val="right"/>
              <w:rPr>
                <w:b/>
                <w:lang w:val="en-US" w:eastAsia="en-AU"/>
              </w:rPr>
            </w:pPr>
            <w:r>
              <w:t xml:space="preserve">          10,905 </w:t>
            </w:r>
          </w:p>
        </w:tc>
        <w:tc>
          <w:tcPr>
            <w:tcW w:w="987" w:type="dxa"/>
            <w:tcBorders>
              <w:bottom w:val="single" w:sz="12" w:space="0" w:color="auto"/>
            </w:tcBorders>
            <w:vAlign w:val="center"/>
          </w:tcPr>
          <w:p w14:paraId="2B0D37D2" w14:textId="77890BEB" w:rsidR="00880F5B" w:rsidRDefault="00880F5B" w:rsidP="00880F5B">
            <w:pPr>
              <w:jc w:val="right"/>
              <w:rPr>
                <w:b/>
                <w:lang w:val="en-US" w:eastAsia="en-AU"/>
              </w:rPr>
            </w:pPr>
            <w:r>
              <w:t xml:space="preserve">                   -   </w:t>
            </w:r>
          </w:p>
        </w:tc>
      </w:tr>
      <w:tr w:rsidR="0001316E" w14:paraId="52B5874D" w14:textId="77777777" w:rsidTr="0001316E">
        <w:tc>
          <w:tcPr>
            <w:tcW w:w="1524" w:type="dxa"/>
          </w:tcPr>
          <w:p w14:paraId="215F2CB3" w14:textId="77777777" w:rsidR="0001316E" w:rsidRDefault="0001316E" w:rsidP="0001316E">
            <w:pPr>
              <w:rPr>
                <w:b/>
                <w:lang w:val="en-US" w:eastAsia="en-AU"/>
              </w:rPr>
            </w:pPr>
          </w:p>
        </w:tc>
        <w:tc>
          <w:tcPr>
            <w:tcW w:w="1230" w:type="dxa"/>
          </w:tcPr>
          <w:p w14:paraId="5B42874C" w14:textId="77777777" w:rsidR="0001316E" w:rsidRDefault="0001316E" w:rsidP="0001316E">
            <w:pPr>
              <w:rPr>
                <w:b/>
                <w:lang w:val="en-US" w:eastAsia="en-AU"/>
              </w:rPr>
            </w:pPr>
          </w:p>
        </w:tc>
        <w:tc>
          <w:tcPr>
            <w:tcW w:w="1147" w:type="dxa"/>
            <w:tcBorders>
              <w:top w:val="single" w:sz="12" w:space="0" w:color="auto"/>
              <w:bottom w:val="double" w:sz="4" w:space="0" w:color="auto"/>
            </w:tcBorders>
            <w:vAlign w:val="center"/>
          </w:tcPr>
          <w:p w14:paraId="224D5843" w14:textId="1315FBAD" w:rsidR="0001316E" w:rsidRPr="0001316E" w:rsidRDefault="0001316E" w:rsidP="0001316E">
            <w:pPr>
              <w:jc w:val="right"/>
              <w:rPr>
                <w:b/>
                <w:lang w:val="en-US" w:eastAsia="en-AU"/>
              </w:rPr>
            </w:pPr>
            <w:r w:rsidRPr="0001316E">
              <w:rPr>
                <w:b/>
              </w:rPr>
              <w:t xml:space="preserve">        114,016 </w:t>
            </w:r>
          </w:p>
        </w:tc>
        <w:tc>
          <w:tcPr>
            <w:tcW w:w="1235" w:type="dxa"/>
            <w:tcBorders>
              <w:top w:val="single" w:sz="12" w:space="0" w:color="auto"/>
              <w:bottom w:val="double" w:sz="4" w:space="0" w:color="auto"/>
            </w:tcBorders>
            <w:vAlign w:val="center"/>
          </w:tcPr>
          <w:p w14:paraId="0C3FBA2A" w14:textId="4D64CDC0" w:rsidR="0001316E" w:rsidRPr="0001316E" w:rsidRDefault="0001316E" w:rsidP="0001316E">
            <w:pPr>
              <w:jc w:val="right"/>
              <w:rPr>
                <w:b/>
                <w:lang w:val="en-US" w:eastAsia="en-AU"/>
              </w:rPr>
            </w:pPr>
            <w:r w:rsidRPr="0001316E">
              <w:rPr>
                <w:b/>
              </w:rPr>
              <w:t xml:space="preserve">          89,667 </w:t>
            </w:r>
          </w:p>
        </w:tc>
        <w:tc>
          <w:tcPr>
            <w:tcW w:w="1031" w:type="dxa"/>
            <w:tcBorders>
              <w:top w:val="single" w:sz="12" w:space="0" w:color="auto"/>
              <w:bottom w:val="double" w:sz="4" w:space="0" w:color="auto"/>
            </w:tcBorders>
            <w:vAlign w:val="center"/>
          </w:tcPr>
          <w:p w14:paraId="03D59D1A" w14:textId="2F36178B" w:rsidR="0001316E" w:rsidRPr="0001316E" w:rsidRDefault="0001316E" w:rsidP="0001316E">
            <w:pPr>
              <w:jc w:val="right"/>
              <w:rPr>
                <w:b/>
                <w:lang w:val="en-US" w:eastAsia="en-AU"/>
              </w:rPr>
            </w:pPr>
            <w:r w:rsidRPr="0001316E">
              <w:rPr>
                <w:b/>
              </w:rPr>
              <w:t xml:space="preserve">          23,138 </w:t>
            </w:r>
          </w:p>
        </w:tc>
        <w:tc>
          <w:tcPr>
            <w:tcW w:w="1130" w:type="dxa"/>
            <w:tcBorders>
              <w:top w:val="single" w:sz="12" w:space="0" w:color="auto"/>
              <w:bottom w:val="double" w:sz="4" w:space="0" w:color="auto"/>
              <w:right w:val="single" w:sz="12" w:space="0" w:color="auto"/>
            </w:tcBorders>
            <w:vAlign w:val="center"/>
          </w:tcPr>
          <w:p w14:paraId="34F898A2" w14:textId="4931EC56" w:rsidR="0001316E" w:rsidRPr="0001316E" w:rsidRDefault="0001316E" w:rsidP="0001316E">
            <w:pPr>
              <w:jc w:val="right"/>
              <w:rPr>
                <w:b/>
                <w:lang w:val="en-US" w:eastAsia="en-AU"/>
              </w:rPr>
            </w:pPr>
            <w:r w:rsidRPr="0001316E">
              <w:rPr>
                <w:b/>
              </w:rPr>
              <w:t xml:space="preserve">            1,211 </w:t>
            </w:r>
          </w:p>
        </w:tc>
        <w:tc>
          <w:tcPr>
            <w:tcW w:w="1143" w:type="dxa"/>
            <w:tcBorders>
              <w:top w:val="single" w:sz="12" w:space="0" w:color="auto"/>
              <w:left w:val="single" w:sz="12" w:space="0" w:color="auto"/>
              <w:bottom w:val="double" w:sz="4" w:space="0" w:color="auto"/>
              <w:right w:val="single" w:sz="12" w:space="0" w:color="auto"/>
            </w:tcBorders>
            <w:vAlign w:val="center"/>
          </w:tcPr>
          <w:p w14:paraId="40043C71" w14:textId="542CFDCA" w:rsidR="0001316E" w:rsidRPr="0001316E" w:rsidRDefault="0001316E" w:rsidP="0001316E">
            <w:pPr>
              <w:jc w:val="right"/>
              <w:rPr>
                <w:lang w:val="en-US" w:eastAsia="en-AU"/>
              </w:rPr>
            </w:pPr>
            <w:r>
              <w:t xml:space="preserve">        114,016 </w:t>
            </w:r>
          </w:p>
        </w:tc>
        <w:tc>
          <w:tcPr>
            <w:tcW w:w="1092" w:type="dxa"/>
            <w:tcBorders>
              <w:top w:val="single" w:sz="12" w:space="0" w:color="auto"/>
              <w:left w:val="single" w:sz="12" w:space="0" w:color="auto"/>
              <w:bottom w:val="double" w:sz="4" w:space="0" w:color="auto"/>
            </w:tcBorders>
            <w:vAlign w:val="center"/>
          </w:tcPr>
          <w:p w14:paraId="7D8FA0BA" w14:textId="5D110E37" w:rsidR="0001316E" w:rsidRDefault="0001316E" w:rsidP="0001316E">
            <w:pPr>
              <w:jc w:val="right"/>
              <w:rPr>
                <w:b/>
                <w:lang w:val="en-US" w:eastAsia="en-AU"/>
              </w:rPr>
            </w:pPr>
            <w:r>
              <w:rPr>
                <w:b/>
                <w:bCs/>
              </w:rPr>
              <w:t xml:space="preserve">          94,062 </w:t>
            </w:r>
          </w:p>
        </w:tc>
        <w:tc>
          <w:tcPr>
            <w:tcW w:w="1121" w:type="dxa"/>
            <w:tcBorders>
              <w:top w:val="single" w:sz="12" w:space="0" w:color="auto"/>
              <w:bottom w:val="double" w:sz="4" w:space="0" w:color="auto"/>
            </w:tcBorders>
            <w:vAlign w:val="center"/>
          </w:tcPr>
          <w:p w14:paraId="0A15EC12" w14:textId="725B3A08" w:rsidR="0001316E" w:rsidRDefault="0001316E" w:rsidP="0001316E">
            <w:pPr>
              <w:jc w:val="right"/>
              <w:rPr>
                <w:b/>
                <w:lang w:val="en-US" w:eastAsia="en-AU"/>
              </w:rPr>
            </w:pPr>
            <w:r>
              <w:rPr>
                <w:b/>
                <w:bCs/>
              </w:rPr>
              <w:t xml:space="preserve">            1,930 </w:t>
            </w:r>
          </w:p>
        </w:tc>
        <w:tc>
          <w:tcPr>
            <w:tcW w:w="1121" w:type="dxa"/>
            <w:tcBorders>
              <w:top w:val="single" w:sz="12" w:space="0" w:color="auto"/>
              <w:bottom w:val="double" w:sz="4" w:space="0" w:color="auto"/>
            </w:tcBorders>
            <w:vAlign w:val="center"/>
          </w:tcPr>
          <w:p w14:paraId="060E229E" w14:textId="30CE2DE2" w:rsidR="0001316E" w:rsidRDefault="0001316E" w:rsidP="0001316E">
            <w:pPr>
              <w:jc w:val="right"/>
              <w:rPr>
                <w:b/>
                <w:lang w:val="en-US" w:eastAsia="en-AU"/>
              </w:rPr>
            </w:pPr>
            <w:r>
              <w:rPr>
                <w:b/>
                <w:bCs/>
              </w:rPr>
              <w:t xml:space="preserve">            7,119 </w:t>
            </w:r>
          </w:p>
        </w:tc>
        <w:tc>
          <w:tcPr>
            <w:tcW w:w="1197" w:type="dxa"/>
            <w:tcBorders>
              <w:top w:val="single" w:sz="12" w:space="0" w:color="auto"/>
              <w:bottom w:val="double" w:sz="4" w:space="0" w:color="auto"/>
            </w:tcBorders>
            <w:vAlign w:val="center"/>
          </w:tcPr>
          <w:p w14:paraId="6752C417" w14:textId="70C2FD02" w:rsidR="0001316E" w:rsidRDefault="0001316E" w:rsidP="0001316E">
            <w:pPr>
              <w:jc w:val="right"/>
              <w:rPr>
                <w:b/>
                <w:lang w:val="en-US" w:eastAsia="en-AU"/>
              </w:rPr>
            </w:pPr>
            <w:r>
              <w:rPr>
                <w:b/>
                <w:bCs/>
              </w:rPr>
              <w:t xml:space="preserve">          10,905 </w:t>
            </w:r>
          </w:p>
        </w:tc>
        <w:tc>
          <w:tcPr>
            <w:tcW w:w="987" w:type="dxa"/>
            <w:tcBorders>
              <w:top w:val="single" w:sz="12" w:space="0" w:color="auto"/>
              <w:bottom w:val="double" w:sz="4" w:space="0" w:color="auto"/>
            </w:tcBorders>
            <w:vAlign w:val="center"/>
          </w:tcPr>
          <w:p w14:paraId="6D398523" w14:textId="037121A1" w:rsidR="0001316E" w:rsidRDefault="0001316E" w:rsidP="0001316E">
            <w:pPr>
              <w:jc w:val="right"/>
              <w:rPr>
                <w:b/>
                <w:lang w:val="en-US" w:eastAsia="en-AU"/>
              </w:rPr>
            </w:pPr>
            <w:r>
              <w:rPr>
                <w:b/>
                <w:bCs/>
              </w:rPr>
              <w:t xml:space="preserve">                   -   </w:t>
            </w:r>
          </w:p>
        </w:tc>
      </w:tr>
      <w:tr w:rsidR="0001316E" w14:paraId="2D13756E" w14:textId="77777777" w:rsidTr="0001316E">
        <w:tc>
          <w:tcPr>
            <w:tcW w:w="1524" w:type="dxa"/>
          </w:tcPr>
          <w:p w14:paraId="19146AEB" w14:textId="016CE027" w:rsidR="00980D36" w:rsidRPr="0001316E" w:rsidRDefault="0001316E" w:rsidP="00980D36">
            <w:pPr>
              <w:rPr>
                <w:b/>
                <w:lang w:val="en-US" w:eastAsia="en-AU"/>
              </w:rPr>
            </w:pPr>
            <w:r>
              <w:rPr>
                <w:b/>
                <w:lang w:val="en-US" w:eastAsia="en-AU"/>
              </w:rPr>
              <w:t>Financial Liabilities</w:t>
            </w:r>
          </w:p>
        </w:tc>
        <w:tc>
          <w:tcPr>
            <w:tcW w:w="1230" w:type="dxa"/>
          </w:tcPr>
          <w:p w14:paraId="3F5679F6" w14:textId="77777777" w:rsidR="00980D36" w:rsidRDefault="00980D36" w:rsidP="00980D36">
            <w:pPr>
              <w:rPr>
                <w:b/>
                <w:lang w:val="en-US" w:eastAsia="en-AU"/>
              </w:rPr>
            </w:pPr>
          </w:p>
        </w:tc>
        <w:tc>
          <w:tcPr>
            <w:tcW w:w="1147" w:type="dxa"/>
            <w:tcBorders>
              <w:top w:val="double" w:sz="4" w:space="0" w:color="auto"/>
            </w:tcBorders>
          </w:tcPr>
          <w:p w14:paraId="73919BDE" w14:textId="77777777" w:rsidR="00980D36" w:rsidRDefault="00980D36" w:rsidP="00980D36">
            <w:pPr>
              <w:rPr>
                <w:b/>
                <w:lang w:val="en-US" w:eastAsia="en-AU"/>
              </w:rPr>
            </w:pPr>
          </w:p>
        </w:tc>
        <w:tc>
          <w:tcPr>
            <w:tcW w:w="1235" w:type="dxa"/>
            <w:tcBorders>
              <w:top w:val="double" w:sz="4" w:space="0" w:color="auto"/>
            </w:tcBorders>
          </w:tcPr>
          <w:p w14:paraId="34159B1F" w14:textId="77777777" w:rsidR="00980D36" w:rsidRDefault="00980D36" w:rsidP="00980D36">
            <w:pPr>
              <w:rPr>
                <w:b/>
                <w:lang w:val="en-US" w:eastAsia="en-AU"/>
              </w:rPr>
            </w:pPr>
          </w:p>
        </w:tc>
        <w:tc>
          <w:tcPr>
            <w:tcW w:w="1031" w:type="dxa"/>
            <w:tcBorders>
              <w:top w:val="double" w:sz="4" w:space="0" w:color="auto"/>
            </w:tcBorders>
          </w:tcPr>
          <w:p w14:paraId="3BECB753" w14:textId="77777777" w:rsidR="00980D36" w:rsidRDefault="00980D36" w:rsidP="00980D36">
            <w:pPr>
              <w:rPr>
                <w:b/>
                <w:lang w:val="en-US" w:eastAsia="en-AU"/>
              </w:rPr>
            </w:pPr>
          </w:p>
        </w:tc>
        <w:tc>
          <w:tcPr>
            <w:tcW w:w="1130" w:type="dxa"/>
            <w:tcBorders>
              <w:top w:val="double" w:sz="4" w:space="0" w:color="auto"/>
              <w:right w:val="single" w:sz="12" w:space="0" w:color="auto"/>
            </w:tcBorders>
          </w:tcPr>
          <w:p w14:paraId="0341B470" w14:textId="77777777" w:rsidR="00980D36" w:rsidRDefault="00980D36" w:rsidP="00980D36">
            <w:pPr>
              <w:rPr>
                <w:b/>
                <w:lang w:val="en-US" w:eastAsia="en-AU"/>
              </w:rPr>
            </w:pPr>
          </w:p>
        </w:tc>
        <w:tc>
          <w:tcPr>
            <w:tcW w:w="1143" w:type="dxa"/>
            <w:tcBorders>
              <w:top w:val="double" w:sz="4" w:space="0" w:color="auto"/>
              <w:left w:val="single" w:sz="12" w:space="0" w:color="auto"/>
              <w:right w:val="single" w:sz="12" w:space="0" w:color="auto"/>
            </w:tcBorders>
          </w:tcPr>
          <w:p w14:paraId="0AB3D288" w14:textId="77777777" w:rsidR="00980D36" w:rsidRDefault="00980D36" w:rsidP="00980D36">
            <w:pPr>
              <w:rPr>
                <w:b/>
                <w:lang w:val="en-US" w:eastAsia="en-AU"/>
              </w:rPr>
            </w:pPr>
          </w:p>
        </w:tc>
        <w:tc>
          <w:tcPr>
            <w:tcW w:w="1092" w:type="dxa"/>
            <w:tcBorders>
              <w:top w:val="double" w:sz="4" w:space="0" w:color="auto"/>
              <w:left w:val="single" w:sz="12" w:space="0" w:color="auto"/>
            </w:tcBorders>
          </w:tcPr>
          <w:p w14:paraId="2FA05478" w14:textId="77777777" w:rsidR="00980D36" w:rsidRDefault="00980D36" w:rsidP="00980D36">
            <w:pPr>
              <w:rPr>
                <w:b/>
                <w:lang w:val="en-US" w:eastAsia="en-AU"/>
              </w:rPr>
            </w:pPr>
          </w:p>
        </w:tc>
        <w:tc>
          <w:tcPr>
            <w:tcW w:w="1121" w:type="dxa"/>
            <w:tcBorders>
              <w:top w:val="double" w:sz="4" w:space="0" w:color="auto"/>
            </w:tcBorders>
          </w:tcPr>
          <w:p w14:paraId="34D55EBF" w14:textId="77777777" w:rsidR="00980D36" w:rsidRDefault="00980D36" w:rsidP="00980D36">
            <w:pPr>
              <w:rPr>
                <w:b/>
                <w:lang w:val="en-US" w:eastAsia="en-AU"/>
              </w:rPr>
            </w:pPr>
          </w:p>
        </w:tc>
        <w:tc>
          <w:tcPr>
            <w:tcW w:w="1121" w:type="dxa"/>
            <w:tcBorders>
              <w:top w:val="double" w:sz="4" w:space="0" w:color="auto"/>
            </w:tcBorders>
          </w:tcPr>
          <w:p w14:paraId="78A083D6" w14:textId="77777777" w:rsidR="00980D36" w:rsidRDefault="00980D36" w:rsidP="00980D36">
            <w:pPr>
              <w:rPr>
                <w:b/>
                <w:lang w:val="en-US" w:eastAsia="en-AU"/>
              </w:rPr>
            </w:pPr>
          </w:p>
        </w:tc>
        <w:tc>
          <w:tcPr>
            <w:tcW w:w="1197" w:type="dxa"/>
            <w:tcBorders>
              <w:top w:val="double" w:sz="4" w:space="0" w:color="auto"/>
            </w:tcBorders>
          </w:tcPr>
          <w:p w14:paraId="40EEA503" w14:textId="77777777" w:rsidR="00980D36" w:rsidRDefault="00980D36" w:rsidP="00980D36">
            <w:pPr>
              <w:rPr>
                <w:b/>
                <w:lang w:val="en-US" w:eastAsia="en-AU"/>
              </w:rPr>
            </w:pPr>
          </w:p>
        </w:tc>
        <w:tc>
          <w:tcPr>
            <w:tcW w:w="987" w:type="dxa"/>
            <w:tcBorders>
              <w:top w:val="double" w:sz="4" w:space="0" w:color="auto"/>
            </w:tcBorders>
          </w:tcPr>
          <w:p w14:paraId="1E3D347E" w14:textId="77777777" w:rsidR="00980D36" w:rsidRDefault="00980D36" w:rsidP="00980D36">
            <w:pPr>
              <w:rPr>
                <w:b/>
                <w:lang w:val="en-US" w:eastAsia="en-AU"/>
              </w:rPr>
            </w:pPr>
          </w:p>
        </w:tc>
      </w:tr>
      <w:tr w:rsidR="0001316E" w14:paraId="3AFA91BB" w14:textId="77777777" w:rsidTr="0001316E">
        <w:tc>
          <w:tcPr>
            <w:tcW w:w="1524" w:type="dxa"/>
            <w:vAlign w:val="center"/>
          </w:tcPr>
          <w:p w14:paraId="5E8CC484" w14:textId="48DFEC51" w:rsidR="0001316E" w:rsidRPr="0001316E" w:rsidRDefault="0001316E" w:rsidP="0001316E">
            <w:pPr>
              <w:rPr>
                <w:lang w:val="en-US" w:eastAsia="en-AU"/>
              </w:rPr>
            </w:pPr>
            <w:r>
              <w:rPr>
                <w:lang w:val="en-US" w:eastAsia="en-AU"/>
              </w:rPr>
              <w:t>Payables</w:t>
            </w:r>
          </w:p>
        </w:tc>
        <w:tc>
          <w:tcPr>
            <w:tcW w:w="1230" w:type="dxa"/>
            <w:vAlign w:val="bottom"/>
          </w:tcPr>
          <w:p w14:paraId="595BE7B3" w14:textId="29445331" w:rsidR="0001316E" w:rsidRDefault="0001316E" w:rsidP="0001316E">
            <w:pPr>
              <w:jc w:val="right"/>
              <w:rPr>
                <w:b/>
                <w:lang w:val="en-US" w:eastAsia="en-AU"/>
              </w:rPr>
            </w:pPr>
            <w:r>
              <w:t xml:space="preserve">                 -   </w:t>
            </w:r>
          </w:p>
        </w:tc>
        <w:tc>
          <w:tcPr>
            <w:tcW w:w="1147" w:type="dxa"/>
            <w:tcBorders>
              <w:bottom w:val="single" w:sz="12" w:space="0" w:color="auto"/>
            </w:tcBorders>
            <w:vAlign w:val="bottom"/>
          </w:tcPr>
          <w:p w14:paraId="35D49F83" w14:textId="3D385797" w:rsidR="0001316E" w:rsidRDefault="0001316E" w:rsidP="0001316E">
            <w:pPr>
              <w:jc w:val="right"/>
              <w:rPr>
                <w:b/>
                <w:lang w:val="en-US" w:eastAsia="en-AU"/>
              </w:rPr>
            </w:pPr>
            <w:r>
              <w:t xml:space="preserve">            1,340 </w:t>
            </w:r>
          </w:p>
        </w:tc>
        <w:tc>
          <w:tcPr>
            <w:tcW w:w="1235" w:type="dxa"/>
            <w:tcBorders>
              <w:bottom w:val="single" w:sz="12" w:space="0" w:color="auto"/>
            </w:tcBorders>
            <w:vAlign w:val="bottom"/>
          </w:tcPr>
          <w:p w14:paraId="38F82421" w14:textId="35851F10" w:rsidR="0001316E" w:rsidRDefault="0001316E" w:rsidP="0001316E">
            <w:pPr>
              <w:jc w:val="right"/>
              <w:rPr>
                <w:b/>
                <w:lang w:val="en-US" w:eastAsia="en-AU"/>
              </w:rPr>
            </w:pPr>
            <w:r>
              <w:t xml:space="preserve">                 -   </w:t>
            </w:r>
          </w:p>
        </w:tc>
        <w:tc>
          <w:tcPr>
            <w:tcW w:w="1031" w:type="dxa"/>
            <w:tcBorders>
              <w:bottom w:val="single" w:sz="12" w:space="0" w:color="auto"/>
            </w:tcBorders>
            <w:vAlign w:val="bottom"/>
          </w:tcPr>
          <w:p w14:paraId="228EE107" w14:textId="4F056F2B" w:rsidR="0001316E" w:rsidRDefault="0001316E" w:rsidP="0001316E">
            <w:pPr>
              <w:jc w:val="right"/>
              <w:rPr>
                <w:b/>
                <w:lang w:val="en-US" w:eastAsia="en-AU"/>
              </w:rPr>
            </w:pPr>
            <w:r>
              <w:t xml:space="preserve">                 -   </w:t>
            </w:r>
          </w:p>
        </w:tc>
        <w:tc>
          <w:tcPr>
            <w:tcW w:w="1130" w:type="dxa"/>
            <w:tcBorders>
              <w:bottom w:val="single" w:sz="12" w:space="0" w:color="auto"/>
              <w:right w:val="single" w:sz="12" w:space="0" w:color="auto"/>
            </w:tcBorders>
            <w:vAlign w:val="bottom"/>
          </w:tcPr>
          <w:p w14:paraId="5E5B979E" w14:textId="1E86B3F8" w:rsidR="0001316E" w:rsidRDefault="0001316E" w:rsidP="0001316E">
            <w:pPr>
              <w:jc w:val="right"/>
              <w:rPr>
                <w:b/>
                <w:lang w:val="en-US" w:eastAsia="en-AU"/>
              </w:rPr>
            </w:pPr>
            <w:r>
              <w:t xml:space="preserve">            1,340 </w:t>
            </w:r>
          </w:p>
        </w:tc>
        <w:tc>
          <w:tcPr>
            <w:tcW w:w="1143" w:type="dxa"/>
            <w:tcBorders>
              <w:left w:val="single" w:sz="12" w:space="0" w:color="auto"/>
              <w:bottom w:val="single" w:sz="12" w:space="0" w:color="auto"/>
              <w:right w:val="single" w:sz="12" w:space="0" w:color="auto"/>
            </w:tcBorders>
            <w:vAlign w:val="bottom"/>
          </w:tcPr>
          <w:p w14:paraId="7AD46C93" w14:textId="30B2E16C" w:rsidR="0001316E" w:rsidRDefault="0001316E" w:rsidP="0001316E">
            <w:pPr>
              <w:jc w:val="right"/>
              <w:rPr>
                <w:b/>
                <w:lang w:val="en-US" w:eastAsia="en-AU"/>
              </w:rPr>
            </w:pPr>
            <w:r>
              <w:t xml:space="preserve">           1,340 </w:t>
            </w:r>
          </w:p>
        </w:tc>
        <w:tc>
          <w:tcPr>
            <w:tcW w:w="1092" w:type="dxa"/>
            <w:tcBorders>
              <w:left w:val="single" w:sz="12" w:space="0" w:color="auto"/>
              <w:bottom w:val="single" w:sz="12" w:space="0" w:color="auto"/>
            </w:tcBorders>
            <w:vAlign w:val="bottom"/>
          </w:tcPr>
          <w:p w14:paraId="42563DFC" w14:textId="597ECC24" w:rsidR="0001316E" w:rsidRDefault="0001316E" w:rsidP="0001316E">
            <w:pPr>
              <w:jc w:val="right"/>
              <w:rPr>
                <w:b/>
                <w:lang w:val="en-US" w:eastAsia="en-AU"/>
              </w:rPr>
            </w:pPr>
            <w:r>
              <w:t xml:space="preserve">            1,340 </w:t>
            </w:r>
          </w:p>
        </w:tc>
        <w:tc>
          <w:tcPr>
            <w:tcW w:w="1121" w:type="dxa"/>
            <w:tcBorders>
              <w:bottom w:val="single" w:sz="12" w:space="0" w:color="auto"/>
            </w:tcBorders>
            <w:vAlign w:val="bottom"/>
          </w:tcPr>
          <w:p w14:paraId="0194CCAF" w14:textId="706A6E19" w:rsidR="0001316E" w:rsidRDefault="0001316E" w:rsidP="0001316E">
            <w:pPr>
              <w:jc w:val="right"/>
              <w:rPr>
                <w:b/>
                <w:lang w:val="en-US" w:eastAsia="en-AU"/>
              </w:rPr>
            </w:pPr>
            <w:r>
              <w:t xml:space="preserve">                 -   </w:t>
            </w:r>
          </w:p>
        </w:tc>
        <w:tc>
          <w:tcPr>
            <w:tcW w:w="1121" w:type="dxa"/>
            <w:tcBorders>
              <w:bottom w:val="single" w:sz="12" w:space="0" w:color="auto"/>
            </w:tcBorders>
            <w:vAlign w:val="bottom"/>
          </w:tcPr>
          <w:p w14:paraId="447D0AC6" w14:textId="3E0E99F0" w:rsidR="0001316E" w:rsidRDefault="0001316E" w:rsidP="0001316E">
            <w:pPr>
              <w:jc w:val="right"/>
              <w:rPr>
                <w:b/>
                <w:lang w:val="en-US" w:eastAsia="en-AU"/>
              </w:rPr>
            </w:pPr>
            <w:r>
              <w:t xml:space="preserve">                 -   </w:t>
            </w:r>
          </w:p>
        </w:tc>
        <w:tc>
          <w:tcPr>
            <w:tcW w:w="1197" w:type="dxa"/>
            <w:tcBorders>
              <w:bottom w:val="single" w:sz="12" w:space="0" w:color="auto"/>
            </w:tcBorders>
            <w:vAlign w:val="bottom"/>
          </w:tcPr>
          <w:p w14:paraId="0C13266D" w14:textId="5134528B" w:rsidR="0001316E" w:rsidRDefault="0001316E" w:rsidP="0001316E">
            <w:pPr>
              <w:jc w:val="right"/>
              <w:rPr>
                <w:b/>
                <w:lang w:val="en-US" w:eastAsia="en-AU"/>
              </w:rPr>
            </w:pPr>
            <w:r>
              <w:t xml:space="preserve">                 -   </w:t>
            </w:r>
          </w:p>
        </w:tc>
        <w:tc>
          <w:tcPr>
            <w:tcW w:w="987" w:type="dxa"/>
            <w:tcBorders>
              <w:bottom w:val="single" w:sz="12" w:space="0" w:color="auto"/>
            </w:tcBorders>
            <w:vAlign w:val="bottom"/>
          </w:tcPr>
          <w:p w14:paraId="55B5D007" w14:textId="5F4F8DD7" w:rsidR="0001316E" w:rsidRDefault="0001316E" w:rsidP="0001316E">
            <w:pPr>
              <w:jc w:val="right"/>
              <w:rPr>
                <w:b/>
                <w:lang w:val="en-US" w:eastAsia="en-AU"/>
              </w:rPr>
            </w:pPr>
            <w:r>
              <w:t xml:space="preserve">                   -   </w:t>
            </w:r>
          </w:p>
        </w:tc>
      </w:tr>
      <w:tr w:rsidR="0001316E" w14:paraId="4F722BD4" w14:textId="77777777" w:rsidTr="0001316E">
        <w:tc>
          <w:tcPr>
            <w:tcW w:w="1524" w:type="dxa"/>
          </w:tcPr>
          <w:p w14:paraId="39B59012" w14:textId="77777777" w:rsidR="0001316E" w:rsidRDefault="0001316E" w:rsidP="0001316E">
            <w:pPr>
              <w:rPr>
                <w:b/>
                <w:lang w:val="en-US" w:eastAsia="en-AU"/>
              </w:rPr>
            </w:pPr>
          </w:p>
        </w:tc>
        <w:tc>
          <w:tcPr>
            <w:tcW w:w="1230" w:type="dxa"/>
          </w:tcPr>
          <w:p w14:paraId="0564D3EA" w14:textId="77777777" w:rsidR="0001316E" w:rsidRDefault="0001316E" w:rsidP="0001316E">
            <w:pPr>
              <w:rPr>
                <w:b/>
                <w:lang w:val="en-US" w:eastAsia="en-AU"/>
              </w:rPr>
            </w:pPr>
          </w:p>
        </w:tc>
        <w:tc>
          <w:tcPr>
            <w:tcW w:w="1147" w:type="dxa"/>
            <w:tcBorders>
              <w:top w:val="single" w:sz="12" w:space="0" w:color="auto"/>
              <w:bottom w:val="double" w:sz="4" w:space="0" w:color="auto"/>
            </w:tcBorders>
            <w:vAlign w:val="bottom"/>
          </w:tcPr>
          <w:p w14:paraId="08227587" w14:textId="65FA4FCB" w:rsidR="0001316E" w:rsidRPr="0001316E" w:rsidRDefault="0001316E" w:rsidP="0001316E">
            <w:pPr>
              <w:jc w:val="right"/>
              <w:rPr>
                <w:b/>
                <w:lang w:val="en-US" w:eastAsia="en-AU"/>
              </w:rPr>
            </w:pPr>
            <w:r w:rsidRPr="0001316E">
              <w:rPr>
                <w:b/>
              </w:rPr>
              <w:t xml:space="preserve">            1,340 </w:t>
            </w:r>
          </w:p>
        </w:tc>
        <w:tc>
          <w:tcPr>
            <w:tcW w:w="1235" w:type="dxa"/>
            <w:tcBorders>
              <w:top w:val="single" w:sz="12" w:space="0" w:color="auto"/>
              <w:bottom w:val="double" w:sz="4" w:space="0" w:color="auto"/>
            </w:tcBorders>
            <w:vAlign w:val="bottom"/>
          </w:tcPr>
          <w:p w14:paraId="2D037464" w14:textId="4ED41462" w:rsidR="0001316E" w:rsidRPr="0001316E" w:rsidRDefault="0001316E" w:rsidP="0001316E">
            <w:pPr>
              <w:jc w:val="right"/>
              <w:rPr>
                <w:b/>
                <w:lang w:val="en-US" w:eastAsia="en-AU"/>
              </w:rPr>
            </w:pPr>
            <w:r w:rsidRPr="0001316E">
              <w:rPr>
                <w:b/>
              </w:rPr>
              <w:t xml:space="preserve">                 -   </w:t>
            </w:r>
          </w:p>
        </w:tc>
        <w:tc>
          <w:tcPr>
            <w:tcW w:w="1031" w:type="dxa"/>
            <w:tcBorders>
              <w:top w:val="single" w:sz="12" w:space="0" w:color="auto"/>
              <w:bottom w:val="double" w:sz="4" w:space="0" w:color="auto"/>
            </w:tcBorders>
            <w:vAlign w:val="bottom"/>
          </w:tcPr>
          <w:p w14:paraId="7894EA94" w14:textId="391ED42F" w:rsidR="0001316E" w:rsidRPr="0001316E" w:rsidRDefault="0001316E" w:rsidP="0001316E">
            <w:pPr>
              <w:jc w:val="right"/>
              <w:rPr>
                <w:b/>
                <w:lang w:val="en-US" w:eastAsia="en-AU"/>
              </w:rPr>
            </w:pPr>
            <w:r w:rsidRPr="0001316E">
              <w:rPr>
                <w:b/>
              </w:rPr>
              <w:t xml:space="preserve">                 -   </w:t>
            </w:r>
          </w:p>
        </w:tc>
        <w:tc>
          <w:tcPr>
            <w:tcW w:w="1130" w:type="dxa"/>
            <w:tcBorders>
              <w:top w:val="single" w:sz="12" w:space="0" w:color="auto"/>
              <w:bottom w:val="double" w:sz="4" w:space="0" w:color="auto"/>
              <w:right w:val="single" w:sz="12" w:space="0" w:color="auto"/>
            </w:tcBorders>
            <w:vAlign w:val="bottom"/>
          </w:tcPr>
          <w:p w14:paraId="03F83032" w14:textId="6EBEEE15" w:rsidR="0001316E" w:rsidRPr="0001316E" w:rsidRDefault="0001316E" w:rsidP="0001316E">
            <w:pPr>
              <w:jc w:val="right"/>
              <w:rPr>
                <w:b/>
                <w:lang w:val="en-US" w:eastAsia="en-AU"/>
              </w:rPr>
            </w:pPr>
            <w:r w:rsidRPr="0001316E">
              <w:rPr>
                <w:b/>
              </w:rPr>
              <w:t xml:space="preserve">            1,340 </w:t>
            </w:r>
          </w:p>
        </w:tc>
        <w:tc>
          <w:tcPr>
            <w:tcW w:w="1143" w:type="dxa"/>
            <w:tcBorders>
              <w:top w:val="single" w:sz="12" w:space="0" w:color="auto"/>
              <w:left w:val="single" w:sz="12" w:space="0" w:color="auto"/>
              <w:bottom w:val="double" w:sz="4" w:space="0" w:color="auto"/>
              <w:right w:val="single" w:sz="12" w:space="0" w:color="auto"/>
            </w:tcBorders>
            <w:vAlign w:val="bottom"/>
          </w:tcPr>
          <w:p w14:paraId="635DAE87" w14:textId="2DC081C2" w:rsidR="0001316E" w:rsidRDefault="0001316E" w:rsidP="0001316E">
            <w:pPr>
              <w:jc w:val="right"/>
              <w:rPr>
                <w:lang w:val="en-US" w:eastAsia="en-AU"/>
              </w:rPr>
            </w:pPr>
            <w:r>
              <w:t xml:space="preserve">           1,340 </w:t>
            </w:r>
          </w:p>
        </w:tc>
        <w:tc>
          <w:tcPr>
            <w:tcW w:w="1092" w:type="dxa"/>
            <w:tcBorders>
              <w:top w:val="single" w:sz="12" w:space="0" w:color="auto"/>
              <w:left w:val="single" w:sz="12" w:space="0" w:color="auto"/>
              <w:bottom w:val="double" w:sz="4" w:space="0" w:color="auto"/>
            </w:tcBorders>
            <w:vAlign w:val="bottom"/>
          </w:tcPr>
          <w:p w14:paraId="1BFD4C02" w14:textId="4D3EB921" w:rsidR="0001316E" w:rsidRPr="0001316E" w:rsidRDefault="0001316E" w:rsidP="0001316E">
            <w:pPr>
              <w:jc w:val="right"/>
              <w:rPr>
                <w:b/>
                <w:lang w:val="en-US" w:eastAsia="en-AU"/>
              </w:rPr>
            </w:pPr>
            <w:r w:rsidRPr="0001316E">
              <w:rPr>
                <w:b/>
              </w:rPr>
              <w:t xml:space="preserve">            1,340 </w:t>
            </w:r>
          </w:p>
        </w:tc>
        <w:tc>
          <w:tcPr>
            <w:tcW w:w="1121" w:type="dxa"/>
            <w:tcBorders>
              <w:top w:val="single" w:sz="12" w:space="0" w:color="auto"/>
              <w:bottom w:val="double" w:sz="4" w:space="0" w:color="auto"/>
            </w:tcBorders>
            <w:vAlign w:val="bottom"/>
          </w:tcPr>
          <w:p w14:paraId="5F59AFD5" w14:textId="7A511607" w:rsidR="0001316E" w:rsidRPr="0001316E" w:rsidRDefault="0001316E" w:rsidP="0001316E">
            <w:pPr>
              <w:jc w:val="right"/>
              <w:rPr>
                <w:b/>
                <w:lang w:val="en-US" w:eastAsia="en-AU"/>
              </w:rPr>
            </w:pPr>
            <w:r w:rsidRPr="0001316E">
              <w:rPr>
                <w:b/>
              </w:rPr>
              <w:t xml:space="preserve">                 -   </w:t>
            </w:r>
          </w:p>
        </w:tc>
        <w:tc>
          <w:tcPr>
            <w:tcW w:w="1121" w:type="dxa"/>
            <w:tcBorders>
              <w:top w:val="single" w:sz="12" w:space="0" w:color="auto"/>
              <w:bottom w:val="double" w:sz="4" w:space="0" w:color="auto"/>
            </w:tcBorders>
            <w:vAlign w:val="bottom"/>
          </w:tcPr>
          <w:p w14:paraId="0EBB66AF" w14:textId="13C71217" w:rsidR="0001316E" w:rsidRPr="0001316E" w:rsidRDefault="0001316E" w:rsidP="0001316E">
            <w:pPr>
              <w:jc w:val="right"/>
              <w:rPr>
                <w:b/>
                <w:lang w:val="en-US" w:eastAsia="en-AU"/>
              </w:rPr>
            </w:pPr>
            <w:r w:rsidRPr="0001316E">
              <w:rPr>
                <w:b/>
              </w:rPr>
              <w:t xml:space="preserve">                 -   </w:t>
            </w:r>
          </w:p>
        </w:tc>
        <w:tc>
          <w:tcPr>
            <w:tcW w:w="1197" w:type="dxa"/>
            <w:tcBorders>
              <w:top w:val="single" w:sz="12" w:space="0" w:color="auto"/>
              <w:bottom w:val="double" w:sz="4" w:space="0" w:color="auto"/>
            </w:tcBorders>
            <w:vAlign w:val="bottom"/>
          </w:tcPr>
          <w:p w14:paraId="465EF50E" w14:textId="570DC675" w:rsidR="0001316E" w:rsidRPr="0001316E" w:rsidRDefault="0001316E" w:rsidP="0001316E">
            <w:pPr>
              <w:jc w:val="right"/>
              <w:rPr>
                <w:b/>
                <w:lang w:val="en-US" w:eastAsia="en-AU"/>
              </w:rPr>
            </w:pPr>
            <w:r w:rsidRPr="0001316E">
              <w:rPr>
                <w:b/>
              </w:rPr>
              <w:t xml:space="preserve">                 -   </w:t>
            </w:r>
          </w:p>
        </w:tc>
        <w:tc>
          <w:tcPr>
            <w:tcW w:w="987" w:type="dxa"/>
            <w:tcBorders>
              <w:top w:val="single" w:sz="12" w:space="0" w:color="auto"/>
              <w:bottom w:val="double" w:sz="4" w:space="0" w:color="auto"/>
            </w:tcBorders>
            <w:vAlign w:val="bottom"/>
          </w:tcPr>
          <w:p w14:paraId="43EBFDBE" w14:textId="468368FF" w:rsidR="0001316E" w:rsidRPr="0001316E" w:rsidRDefault="0001316E" w:rsidP="0001316E">
            <w:pPr>
              <w:jc w:val="right"/>
              <w:rPr>
                <w:b/>
                <w:lang w:val="en-US" w:eastAsia="en-AU"/>
              </w:rPr>
            </w:pPr>
            <w:r w:rsidRPr="0001316E">
              <w:rPr>
                <w:b/>
              </w:rPr>
              <w:t xml:space="preserve">                   -   </w:t>
            </w:r>
          </w:p>
        </w:tc>
      </w:tr>
      <w:tr w:rsidR="0001316E" w14:paraId="6685D404" w14:textId="77777777" w:rsidTr="0001316E">
        <w:tc>
          <w:tcPr>
            <w:tcW w:w="1524" w:type="dxa"/>
          </w:tcPr>
          <w:p w14:paraId="6A083AA1" w14:textId="77777777" w:rsidR="00980D36" w:rsidRDefault="00980D36" w:rsidP="00980D36">
            <w:pPr>
              <w:rPr>
                <w:b/>
                <w:lang w:val="en-US" w:eastAsia="en-AU"/>
              </w:rPr>
            </w:pPr>
          </w:p>
        </w:tc>
        <w:tc>
          <w:tcPr>
            <w:tcW w:w="1230" w:type="dxa"/>
          </w:tcPr>
          <w:p w14:paraId="58BE31CA" w14:textId="77777777" w:rsidR="00980D36" w:rsidRDefault="00980D36" w:rsidP="00980D36">
            <w:pPr>
              <w:rPr>
                <w:b/>
                <w:lang w:val="en-US" w:eastAsia="en-AU"/>
              </w:rPr>
            </w:pPr>
          </w:p>
        </w:tc>
        <w:tc>
          <w:tcPr>
            <w:tcW w:w="1147" w:type="dxa"/>
            <w:tcBorders>
              <w:top w:val="double" w:sz="4" w:space="0" w:color="auto"/>
            </w:tcBorders>
          </w:tcPr>
          <w:p w14:paraId="13890387" w14:textId="77777777" w:rsidR="00980D36" w:rsidRDefault="00980D36" w:rsidP="00980D36">
            <w:pPr>
              <w:rPr>
                <w:b/>
                <w:lang w:val="en-US" w:eastAsia="en-AU"/>
              </w:rPr>
            </w:pPr>
          </w:p>
        </w:tc>
        <w:tc>
          <w:tcPr>
            <w:tcW w:w="1235" w:type="dxa"/>
            <w:tcBorders>
              <w:top w:val="double" w:sz="4" w:space="0" w:color="auto"/>
            </w:tcBorders>
          </w:tcPr>
          <w:p w14:paraId="0A59102A" w14:textId="77777777" w:rsidR="00980D36" w:rsidRDefault="00980D36" w:rsidP="00980D36">
            <w:pPr>
              <w:rPr>
                <w:b/>
                <w:lang w:val="en-US" w:eastAsia="en-AU"/>
              </w:rPr>
            </w:pPr>
          </w:p>
        </w:tc>
        <w:tc>
          <w:tcPr>
            <w:tcW w:w="1031" w:type="dxa"/>
            <w:tcBorders>
              <w:top w:val="double" w:sz="4" w:space="0" w:color="auto"/>
            </w:tcBorders>
          </w:tcPr>
          <w:p w14:paraId="15CDBEA0" w14:textId="77777777" w:rsidR="00980D36" w:rsidRDefault="00980D36" w:rsidP="00980D36">
            <w:pPr>
              <w:rPr>
                <w:b/>
                <w:lang w:val="en-US" w:eastAsia="en-AU"/>
              </w:rPr>
            </w:pPr>
          </w:p>
        </w:tc>
        <w:tc>
          <w:tcPr>
            <w:tcW w:w="1130" w:type="dxa"/>
            <w:tcBorders>
              <w:top w:val="double" w:sz="4" w:space="0" w:color="auto"/>
            </w:tcBorders>
          </w:tcPr>
          <w:p w14:paraId="1116CFC7" w14:textId="77777777" w:rsidR="00980D36" w:rsidRDefault="00980D36" w:rsidP="00980D36">
            <w:pPr>
              <w:rPr>
                <w:b/>
                <w:lang w:val="en-US" w:eastAsia="en-AU"/>
              </w:rPr>
            </w:pPr>
          </w:p>
        </w:tc>
        <w:tc>
          <w:tcPr>
            <w:tcW w:w="1143" w:type="dxa"/>
            <w:tcBorders>
              <w:top w:val="double" w:sz="4" w:space="0" w:color="auto"/>
            </w:tcBorders>
          </w:tcPr>
          <w:p w14:paraId="332DBBFE" w14:textId="77777777" w:rsidR="00980D36" w:rsidRDefault="00980D36" w:rsidP="00980D36">
            <w:pPr>
              <w:rPr>
                <w:b/>
                <w:lang w:val="en-US" w:eastAsia="en-AU"/>
              </w:rPr>
            </w:pPr>
          </w:p>
        </w:tc>
        <w:tc>
          <w:tcPr>
            <w:tcW w:w="1092" w:type="dxa"/>
            <w:tcBorders>
              <w:top w:val="double" w:sz="4" w:space="0" w:color="auto"/>
            </w:tcBorders>
          </w:tcPr>
          <w:p w14:paraId="7C91C9AD" w14:textId="77777777" w:rsidR="00980D36" w:rsidRDefault="00980D36" w:rsidP="00980D36">
            <w:pPr>
              <w:rPr>
                <w:b/>
                <w:lang w:val="en-US" w:eastAsia="en-AU"/>
              </w:rPr>
            </w:pPr>
          </w:p>
        </w:tc>
        <w:tc>
          <w:tcPr>
            <w:tcW w:w="1121" w:type="dxa"/>
            <w:tcBorders>
              <w:top w:val="double" w:sz="4" w:space="0" w:color="auto"/>
            </w:tcBorders>
          </w:tcPr>
          <w:p w14:paraId="7FF2D9D8" w14:textId="77777777" w:rsidR="00980D36" w:rsidRDefault="00980D36" w:rsidP="00980D36">
            <w:pPr>
              <w:rPr>
                <w:b/>
                <w:lang w:val="en-US" w:eastAsia="en-AU"/>
              </w:rPr>
            </w:pPr>
          </w:p>
        </w:tc>
        <w:tc>
          <w:tcPr>
            <w:tcW w:w="1121" w:type="dxa"/>
            <w:tcBorders>
              <w:top w:val="double" w:sz="4" w:space="0" w:color="auto"/>
            </w:tcBorders>
          </w:tcPr>
          <w:p w14:paraId="229C382B" w14:textId="77777777" w:rsidR="00980D36" w:rsidRDefault="00980D36" w:rsidP="00980D36">
            <w:pPr>
              <w:rPr>
                <w:b/>
                <w:lang w:val="en-US" w:eastAsia="en-AU"/>
              </w:rPr>
            </w:pPr>
          </w:p>
        </w:tc>
        <w:tc>
          <w:tcPr>
            <w:tcW w:w="1197" w:type="dxa"/>
            <w:tcBorders>
              <w:top w:val="double" w:sz="4" w:space="0" w:color="auto"/>
            </w:tcBorders>
          </w:tcPr>
          <w:p w14:paraId="5E239778" w14:textId="77777777" w:rsidR="00980D36" w:rsidRDefault="00980D36" w:rsidP="00980D36">
            <w:pPr>
              <w:rPr>
                <w:b/>
                <w:lang w:val="en-US" w:eastAsia="en-AU"/>
              </w:rPr>
            </w:pPr>
          </w:p>
        </w:tc>
        <w:tc>
          <w:tcPr>
            <w:tcW w:w="987" w:type="dxa"/>
            <w:tcBorders>
              <w:top w:val="double" w:sz="4" w:space="0" w:color="auto"/>
            </w:tcBorders>
          </w:tcPr>
          <w:p w14:paraId="1676CC3C" w14:textId="77777777" w:rsidR="00980D36" w:rsidRDefault="00980D36" w:rsidP="00980D36">
            <w:pPr>
              <w:rPr>
                <w:b/>
                <w:lang w:val="en-US" w:eastAsia="en-AU"/>
              </w:rPr>
            </w:pPr>
          </w:p>
        </w:tc>
      </w:tr>
      <w:tr w:rsidR="0001316E" w14:paraId="0FC9E1EE" w14:textId="77777777" w:rsidTr="0001316E">
        <w:tc>
          <w:tcPr>
            <w:tcW w:w="1524" w:type="dxa"/>
            <w:tcBorders>
              <w:bottom w:val="single" w:sz="12" w:space="0" w:color="auto"/>
            </w:tcBorders>
          </w:tcPr>
          <w:p w14:paraId="37237C77" w14:textId="07DF26BA" w:rsidR="0001316E" w:rsidRPr="0001316E" w:rsidRDefault="00125596" w:rsidP="0001316E">
            <w:pPr>
              <w:rPr>
                <w:b/>
                <w:lang w:val="en-US" w:eastAsia="en-AU"/>
              </w:rPr>
            </w:pPr>
            <w:r>
              <w:rPr>
                <w:b/>
                <w:lang w:val="en-US" w:eastAsia="en-AU"/>
              </w:rPr>
              <w:br/>
            </w:r>
            <w:r w:rsidR="0001316E">
              <w:rPr>
                <w:b/>
                <w:lang w:val="en-US" w:eastAsia="en-AU"/>
              </w:rPr>
              <w:t>2017</w:t>
            </w:r>
          </w:p>
        </w:tc>
        <w:tc>
          <w:tcPr>
            <w:tcW w:w="1230" w:type="dxa"/>
            <w:tcBorders>
              <w:bottom w:val="single" w:sz="12" w:space="0" w:color="auto"/>
            </w:tcBorders>
          </w:tcPr>
          <w:p w14:paraId="676AA0FE" w14:textId="39E851E0" w:rsidR="0001316E" w:rsidRPr="0001316E" w:rsidRDefault="0001316E" w:rsidP="0001316E">
            <w:pPr>
              <w:jc w:val="right"/>
              <w:rPr>
                <w:lang w:val="en-US" w:eastAsia="en-AU"/>
              </w:rPr>
            </w:pPr>
            <w:r>
              <w:rPr>
                <w:lang w:val="en-US" w:eastAsia="en-AU"/>
              </w:rPr>
              <w:t>%</w:t>
            </w:r>
          </w:p>
        </w:tc>
        <w:tc>
          <w:tcPr>
            <w:tcW w:w="1147" w:type="dxa"/>
            <w:tcBorders>
              <w:bottom w:val="single" w:sz="12" w:space="0" w:color="auto"/>
            </w:tcBorders>
          </w:tcPr>
          <w:p w14:paraId="00AF2038" w14:textId="2099CB1B" w:rsidR="0001316E" w:rsidRPr="0001316E" w:rsidRDefault="0001316E" w:rsidP="0001316E">
            <w:pPr>
              <w:jc w:val="right"/>
              <w:rPr>
                <w:lang w:val="en-US" w:eastAsia="en-AU"/>
              </w:rPr>
            </w:pPr>
            <w:r>
              <w:rPr>
                <w:lang w:val="en-US" w:eastAsia="en-AU"/>
              </w:rPr>
              <w:t>$000</w:t>
            </w:r>
          </w:p>
        </w:tc>
        <w:tc>
          <w:tcPr>
            <w:tcW w:w="1235" w:type="dxa"/>
            <w:tcBorders>
              <w:bottom w:val="single" w:sz="12" w:space="0" w:color="auto"/>
            </w:tcBorders>
          </w:tcPr>
          <w:p w14:paraId="5973C60E" w14:textId="47117E49" w:rsidR="0001316E" w:rsidRPr="0001316E" w:rsidRDefault="0001316E" w:rsidP="0001316E">
            <w:pPr>
              <w:jc w:val="right"/>
              <w:rPr>
                <w:lang w:val="en-US" w:eastAsia="en-AU"/>
              </w:rPr>
            </w:pPr>
            <w:r>
              <w:rPr>
                <w:lang w:val="en-US" w:eastAsia="en-AU"/>
              </w:rPr>
              <w:t>$000</w:t>
            </w:r>
          </w:p>
        </w:tc>
        <w:tc>
          <w:tcPr>
            <w:tcW w:w="1031" w:type="dxa"/>
            <w:tcBorders>
              <w:bottom w:val="single" w:sz="12" w:space="0" w:color="auto"/>
            </w:tcBorders>
          </w:tcPr>
          <w:p w14:paraId="4981EC64" w14:textId="05268832" w:rsidR="0001316E" w:rsidRPr="0001316E" w:rsidRDefault="0001316E" w:rsidP="0001316E">
            <w:pPr>
              <w:jc w:val="right"/>
              <w:rPr>
                <w:lang w:val="en-US" w:eastAsia="en-AU"/>
              </w:rPr>
            </w:pPr>
            <w:r>
              <w:rPr>
                <w:lang w:val="en-US" w:eastAsia="en-AU"/>
              </w:rPr>
              <w:t>$000</w:t>
            </w:r>
          </w:p>
        </w:tc>
        <w:tc>
          <w:tcPr>
            <w:tcW w:w="1130" w:type="dxa"/>
            <w:tcBorders>
              <w:bottom w:val="single" w:sz="12" w:space="0" w:color="auto"/>
              <w:right w:val="single" w:sz="12" w:space="0" w:color="auto"/>
            </w:tcBorders>
          </w:tcPr>
          <w:p w14:paraId="18568D73" w14:textId="32439931" w:rsidR="0001316E" w:rsidRPr="0001316E" w:rsidRDefault="0001316E" w:rsidP="0001316E">
            <w:pPr>
              <w:jc w:val="right"/>
              <w:rPr>
                <w:lang w:val="en-US" w:eastAsia="en-AU"/>
              </w:rPr>
            </w:pPr>
            <w:r>
              <w:rPr>
                <w:lang w:val="en-US" w:eastAsia="en-AU"/>
              </w:rPr>
              <w:t>$000</w:t>
            </w:r>
          </w:p>
        </w:tc>
        <w:tc>
          <w:tcPr>
            <w:tcW w:w="1143" w:type="dxa"/>
            <w:tcBorders>
              <w:left w:val="single" w:sz="12" w:space="0" w:color="auto"/>
              <w:bottom w:val="single" w:sz="12" w:space="0" w:color="auto"/>
              <w:right w:val="single" w:sz="12" w:space="0" w:color="auto"/>
            </w:tcBorders>
          </w:tcPr>
          <w:p w14:paraId="4B7D3571" w14:textId="6658BB06" w:rsidR="0001316E" w:rsidRPr="0001316E" w:rsidRDefault="0001316E" w:rsidP="0001316E">
            <w:pPr>
              <w:jc w:val="right"/>
              <w:rPr>
                <w:lang w:val="en-US" w:eastAsia="en-AU"/>
              </w:rPr>
            </w:pPr>
            <w:r w:rsidRPr="0017567B">
              <w:rPr>
                <w:lang w:val="en-US" w:eastAsia="en-AU"/>
              </w:rPr>
              <w:t>$000</w:t>
            </w:r>
          </w:p>
        </w:tc>
        <w:tc>
          <w:tcPr>
            <w:tcW w:w="1092" w:type="dxa"/>
            <w:tcBorders>
              <w:left w:val="single" w:sz="12" w:space="0" w:color="auto"/>
              <w:bottom w:val="single" w:sz="12" w:space="0" w:color="auto"/>
            </w:tcBorders>
          </w:tcPr>
          <w:p w14:paraId="1D780087" w14:textId="750BC74B" w:rsidR="0001316E" w:rsidRPr="0001316E" w:rsidRDefault="0001316E" w:rsidP="0001316E">
            <w:pPr>
              <w:jc w:val="right"/>
              <w:rPr>
                <w:lang w:val="en-US" w:eastAsia="en-AU"/>
              </w:rPr>
            </w:pPr>
            <w:r w:rsidRPr="0017567B">
              <w:rPr>
                <w:lang w:val="en-US" w:eastAsia="en-AU"/>
              </w:rPr>
              <w:t>$000</w:t>
            </w:r>
          </w:p>
        </w:tc>
        <w:tc>
          <w:tcPr>
            <w:tcW w:w="1121" w:type="dxa"/>
            <w:tcBorders>
              <w:bottom w:val="single" w:sz="12" w:space="0" w:color="auto"/>
            </w:tcBorders>
          </w:tcPr>
          <w:p w14:paraId="1FB8F1AB" w14:textId="5FE97A96" w:rsidR="0001316E" w:rsidRPr="0001316E" w:rsidRDefault="0001316E" w:rsidP="0001316E">
            <w:pPr>
              <w:jc w:val="right"/>
              <w:rPr>
                <w:lang w:val="en-US" w:eastAsia="en-AU"/>
              </w:rPr>
            </w:pPr>
            <w:r w:rsidRPr="0017567B">
              <w:rPr>
                <w:lang w:val="en-US" w:eastAsia="en-AU"/>
              </w:rPr>
              <w:t>$000</w:t>
            </w:r>
          </w:p>
        </w:tc>
        <w:tc>
          <w:tcPr>
            <w:tcW w:w="1121" w:type="dxa"/>
            <w:tcBorders>
              <w:bottom w:val="single" w:sz="12" w:space="0" w:color="auto"/>
            </w:tcBorders>
          </w:tcPr>
          <w:p w14:paraId="151BF08F" w14:textId="1B10AD87" w:rsidR="0001316E" w:rsidRPr="0001316E" w:rsidRDefault="0001316E" w:rsidP="0001316E">
            <w:pPr>
              <w:jc w:val="right"/>
              <w:rPr>
                <w:lang w:val="en-US" w:eastAsia="en-AU"/>
              </w:rPr>
            </w:pPr>
            <w:r w:rsidRPr="0017567B">
              <w:rPr>
                <w:lang w:val="en-US" w:eastAsia="en-AU"/>
              </w:rPr>
              <w:t>$000</w:t>
            </w:r>
          </w:p>
        </w:tc>
        <w:tc>
          <w:tcPr>
            <w:tcW w:w="1197" w:type="dxa"/>
            <w:tcBorders>
              <w:bottom w:val="single" w:sz="12" w:space="0" w:color="auto"/>
            </w:tcBorders>
          </w:tcPr>
          <w:p w14:paraId="6BE863B5" w14:textId="69DDD022" w:rsidR="0001316E" w:rsidRPr="0001316E" w:rsidRDefault="0001316E" w:rsidP="0001316E">
            <w:pPr>
              <w:jc w:val="right"/>
              <w:rPr>
                <w:lang w:val="en-US" w:eastAsia="en-AU"/>
              </w:rPr>
            </w:pPr>
            <w:r w:rsidRPr="0017567B">
              <w:rPr>
                <w:lang w:val="en-US" w:eastAsia="en-AU"/>
              </w:rPr>
              <w:t>$000</w:t>
            </w:r>
          </w:p>
        </w:tc>
        <w:tc>
          <w:tcPr>
            <w:tcW w:w="987" w:type="dxa"/>
            <w:tcBorders>
              <w:bottom w:val="single" w:sz="12" w:space="0" w:color="auto"/>
            </w:tcBorders>
          </w:tcPr>
          <w:p w14:paraId="4D45F4B7" w14:textId="7D869C1D" w:rsidR="0001316E" w:rsidRPr="0001316E" w:rsidRDefault="0001316E" w:rsidP="0001316E">
            <w:pPr>
              <w:jc w:val="right"/>
              <w:rPr>
                <w:lang w:val="en-US" w:eastAsia="en-AU"/>
              </w:rPr>
            </w:pPr>
            <w:r w:rsidRPr="0017567B">
              <w:rPr>
                <w:lang w:val="en-US" w:eastAsia="en-AU"/>
              </w:rPr>
              <w:t>$000</w:t>
            </w:r>
          </w:p>
        </w:tc>
      </w:tr>
      <w:tr w:rsidR="0001316E" w14:paraId="333A5599" w14:textId="77777777" w:rsidTr="00DA304E">
        <w:tc>
          <w:tcPr>
            <w:tcW w:w="1524" w:type="dxa"/>
            <w:tcBorders>
              <w:top w:val="single" w:sz="12" w:space="0" w:color="auto"/>
            </w:tcBorders>
            <w:vAlign w:val="bottom"/>
          </w:tcPr>
          <w:p w14:paraId="4EED2BF2" w14:textId="06C7F95F" w:rsidR="0001316E" w:rsidRPr="0001316E" w:rsidRDefault="0001316E" w:rsidP="0001316E">
            <w:pPr>
              <w:rPr>
                <w:b/>
                <w:lang w:val="en-US" w:eastAsia="en-AU"/>
              </w:rPr>
            </w:pPr>
            <w:r w:rsidRPr="0001316E">
              <w:rPr>
                <w:b/>
              </w:rPr>
              <w:t>Financial Assets</w:t>
            </w:r>
          </w:p>
        </w:tc>
        <w:tc>
          <w:tcPr>
            <w:tcW w:w="1230" w:type="dxa"/>
            <w:tcBorders>
              <w:top w:val="single" w:sz="12" w:space="0" w:color="auto"/>
            </w:tcBorders>
          </w:tcPr>
          <w:p w14:paraId="7BBBBD80" w14:textId="77777777" w:rsidR="0001316E" w:rsidRDefault="0001316E" w:rsidP="0001316E">
            <w:pPr>
              <w:rPr>
                <w:b/>
                <w:lang w:val="en-US" w:eastAsia="en-AU"/>
              </w:rPr>
            </w:pPr>
          </w:p>
        </w:tc>
        <w:tc>
          <w:tcPr>
            <w:tcW w:w="1147" w:type="dxa"/>
            <w:tcBorders>
              <w:top w:val="single" w:sz="12" w:space="0" w:color="auto"/>
            </w:tcBorders>
          </w:tcPr>
          <w:p w14:paraId="6C61C87D" w14:textId="77777777" w:rsidR="0001316E" w:rsidRDefault="0001316E" w:rsidP="0001316E">
            <w:pPr>
              <w:rPr>
                <w:b/>
                <w:lang w:val="en-US" w:eastAsia="en-AU"/>
              </w:rPr>
            </w:pPr>
          </w:p>
        </w:tc>
        <w:tc>
          <w:tcPr>
            <w:tcW w:w="1235" w:type="dxa"/>
            <w:tcBorders>
              <w:top w:val="single" w:sz="12" w:space="0" w:color="auto"/>
            </w:tcBorders>
          </w:tcPr>
          <w:p w14:paraId="7E556050" w14:textId="77777777" w:rsidR="0001316E" w:rsidRDefault="0001316E" w:rsidP="0001316E">
            <w:pPr>
              <w:rPr>
                <w:b/>
                <w:lang w:val="en-US" w:eastAsia="en-AU"/>
              </w:rPr>
            </w:pPr>
          </w:p>
        </w:tc>
        <w:tc>
          <w:tcPr>
            <w:tcW w:w="1031" w:type="dxa"/>
            <w:tcBorders>
              <w:top w:val="single" w:sz="12" w:space="0" w:color="auto"/>
            </w:tcBorders>
          </w:tcPr>
          <w:p w14:paraId="2C5CD579" w14:textId="77777777" w:rsidR="0001316E" w:rsidRDefault="0001316E" w:rsidP="0001316E">
            <w:pPr>
              <w:rPr>
                <w:b/>
                <w:lang w:val="en-US" w:eastAsia="en-AU"/>
              </w:rPr>
            </w:pPr>
          </w:p>
        </w:tc>
        <w:tc>
          <w:tcPr>
            <w:tcW w:w="1130" w:type="dxa"/>
            <w:tcBorders>
              <w:top w:val="single" w:sz="12" w:space="0" w:color="auto"/>
              <w:right w:val="single" w:sz="12" w:space="0" w:color="auto"/>
            </w:tcBorders>
          </w:tcPr>
          <w:p w14:paraId="007658E7" w14:textId="77777777" w:rsidR="0001316E" w:rsidRDefault="0001316E" w:rsidP="0001316E">
            <w:pPr>
              <w:rPr>
                <w:b/>
                <w:lang w:val="en-US" w:eastAsia="en-AU"/>
              </w:rPr>
            </w:pPr>
          </w:p>
        </w:tc>
        <w:tc>
          <w:tcPr>
            <w:tcW w:w="1143" w:type="dxa"/>
            <w:tcBorders>
              <w:top w:val="single" w:sz="12" w:space="0" w:color="auto"/>
              <w:left w:val="single" w:sz="12" w:space="0" w:color="auto"/>
              <w:right w:val="single" w:sz="12" w:space="0" w:color="auto"/>
            </w:tcBorders>
          </w:tcPr>
          <w:p w14:paraId="573D5681" w14:textId="77777777" w:rsidR="0001316E" w:rsidRDefault="0001316E" w:rsidP="0001316E">
            <w:pPr>
              <w:rPr>
                <w:b/>
                <w:lang w:val="en-US" w:eastAsia="en-AU"/>
              </w:rPr>
            </w:pPr>
          </w:p>
        </w:tc>
        <w:tc>
          <w:tcPr>
            <w:tcW w:w="1092" w:type="dxa"/>
            <w:tcBorders>
              <w:top w:val="single" w:sz="12" w:space="0" w:color="auto"/>
              <w:left w:val="single" w:sz="12" w:space="0" w:color="auto"/>
            </w:tcBorders>
          </w:tcPr>
          <w:p w14:paraId="672C82BB" w14:textId="77777777" w:rsidR="0001316E" w:rsidRDefault="0001316E" w:rsidP="0001316E">
            <w:pPr>
              <w:rPr>
                <w:b/>
                <w:lang w:val="en-US" w:eastAsia="en-AU"/>
              </w:rPr>
            </w:pPr>
          </w:p>
        </w:tc>
        <w:tc>
          <w:tcPr>
            <w:tcW w:w="1121" w:type="dxa"/>
            <w:tcBorders>
              <w:top w:val="single" w:sz="12" w:space="0" w:color="auto"/>
            </w:tcBorders>
          </w:tcPr>
          <w:p w14:paraId="31A02C82" w14:textId="77777777" w:rsidR="0001316E" w:rsidRDefault="0001316E" w:rsidP="0001316E">
            <w:pPr>
              <w:rPr>
                <w:b/>
                <w:lang w:val="en-US" w:eastAsia="en-AU"/>
              </w:rPr>
            </w:pPr>
          </w:p>
        </w:tc>
        <w:tc>
          <w:tcPr>
            <w:tcW w:w="1121" w:type="dxa"/>
            <w:tcBorders>
              <w:top w:val="single" w:sz="12" w:space="0" w:color="auto"/>
            </w:tcBorders>
          </w:tcPr>
          <w:p w14:paraId="68D83245" w14:textId="77777777" w:rsidR="0001316E" w:rsidRDefault="0001316E" w:rsidP="0001316E">
            <w:pPr>
              <w:rPr>
                <w:b/>
                <w:lang w:val="en-US" w:eastAsia="en-AU"/>
              </w:rPr>
            </w:pPr>
          </w:p>
        </w:tc>
        <w:tc>
          <w:tcPr>
            <w:tcW w:w="1197" w:type="dxa"/>
            <w:tcBorders>
              <w:top w:val="single" w:sz="12" w:space="0" w:color="auto"/>
            </w:tcBorders>
          </w:tcPr>
          <w:p w14:paraId="490D6000" w14:textId="77777777" w:rsidR="0001316E" w:rsidRDefault="0001316E" w:rsidP="0001316E">
            <w:pPr>
              <w:rPr>
                <w:b/>
                <w:lang w:val="en-US" w:eastAsia="en-AU"/>
              </w:rPr>
            </w:pPr>
          </w:p>
        </w:tc>
        <w:tc>
          <w:tcPr>
            <w:tcW w:w="987" w:type="dxa"/>
            <w:tcBorders>
              <w:top w:val="single" w:sz="12" w:space="0" w:color="auto"/>
            </w:tcBorders>
          </w:tcPr>
          <w:p w14:paraId="2128BF29" w14:textId="77777777" w:rsidR="0001316E" w:rsidRDefault="0001316E" w:rsidP="0001316E">
            <w:pPr>
              <w:rPr>
                <w:b/>
                <w:lang w:val="en-US" w:eastAsia="en-AU"/>
              </w:rPr>
            </w:pPr>
          </w:p>
        </w:tc>
      </w:tr>
      <w:tr w:rsidR="0001316E" w14:paraId="0D4EC7B0" w14:textId="77777777" w:rsidTr="0001316E">
        <w:tc>
          <w:tcPr>
            <w:tcW w:w="1524" w:type="dxa"/>
            <w:vAlign w:val="center"/>
          </w:tcPr>
          <w:p w14:paraId="5FF28FEB" w14:textId="40B65FE5" w:rsidR="0001316E" w:rsidRDefault="0001316E" w:rsidP="0001316E">
            <w:pPr>
              <w:rPr>
                <w:lang w:val="en-US" w:eastAsia="en-AU"/>
              </w:rPr>
            </w:pPr>
            <w:r>
              <w:t xml:space="preserve">Cash and cash equivalents </w:t>
            </w:r>
          </w:p>
        </w:tc>
        <w:tc>
          <w:tcPr>
            <w:tcW w:w="1230" w:type="dxa"/>
            <w:vAlign w:val="center"/>
          </w:tcPr>
          <w:p w14:paraId="77881331" w14:textId="12C76F43" w:rsidR="0001316E" w:rsidRDefault="0001316E" w:rsidP="0001316E">
            <w:pPr>
              <w:jc w:val="right"/>
              <w:rPr>
                <w:b/>
                <w:lang w:val="en-US" w:eastAsia="en-AU"/>
              </w:rPr>
            </w:pPr>
            <w:r>
              <w:t xml:space="preserve">              2.34 </w:t>
            </w:r>
          </w:p>
        </w:tc>
        <w:tc>
          <w:tcPr>
            <w:tcW w:w="1147" w:type="dxa"/>
            <w:vAlign w:val="center"/>
          </w:tcPr>
          <w:p w14:paraId="3A55436D" w14:textId="080419D0" w:rsidR="0001316E" w:rsidRDefault="0001316E" w:rsidP="0001316E">
            <w:pPr>
              <w:jc w:val="right"/>
              <w:rPr>
                <w:b/>
                <w:lang w:val="en-US" w:eastAsia="en-AU"/>
              </w:rPr>
            </w:pPr>
            <w:r>
              <w:t xml:space="preserve">          10,580 </w:t>
            </w:r>
          </w:p>
        </w:tc>
        <w:tc>
          <w:tcPr>
            <w:tcW w:w="1235" w:type="dxa"/>
            <w:vAlign w:val="center"/>
          </w:tcPr>
          <w:p w14:paraId="7408738D" w14:textId="205EE415" w:rsidR="0001316E" w:rsidRDefault="0001316E" w:rsidP="0001316E">
            <w:pPr>
              <w:jc w:val="right"/>
              <w:rPr>
                <w:b/>
                <w:lang w:val="en-US" w:eastAsia="en-AU"/>
              </w:rPr>
            </w:pPr>
            <w:r>
              <w:t xml:space="preserve">            2,387 </w:t>
            </w:r>
          </w:p>
        </w:tc>
        <w:tc>
          <w:tcPr>
            <w:tcW w:w="1031" w:type="dxa"/>
            <w:vAlign w:val="center"/>
          </w:tcPr>
          <w:p w14:paraId="0345E8F4" w14:textId="7360B0D9" w:rsidR="0001316E" w:rsidRDefault="0001316E" w:rsidP="0001316E">
            <w:pPr>
              <w:jc w:val="right"/>
              <w:rPr>
                <w:b/>
                <w:lang w:val="en-US" w:eastAsia="en-AU"/>
              </w:rPr>
            </w:pPr>
            <w:r>
              <w:t xml:space="preserve">            8,192 </w:t>
            </w:r>
          </w:p>
        </w:tc>
        <w:tc>
          <w:tcPr>
            <w:tcW w:w="1130" w:type="dxa"/>
            <w:tcBorders>
              <w:right w:val="single" w:sz="12" w:space="0" w:color="auto"/>
            </w:tcBorders>
            <w:vAlign w:val="center"/>
          </w:tcPr>
          <w:p w14:paraId="2C068E84" w14:textId="5F6D7003" w:rsidR="0001316E" w:rsidRDefault="0001316E" w:rsidP="0001316E">
            <w:pPr>
              <w:jc w:val="right"/>
              <w:rPr>
                <w:b/>
                <w:lang w:val="en-US" w:eastAsia="en-AU"/>
              </w:rPr>
            </w:pPr>
            <w:r>
              <w:t xml:space="preserve">                  1 </w:t>
            </w:r>
          </w:p>
        </w:tc>
        <w:tc>
          <w:tcPr>
            <w:tcW w:w="1143" w:type="dxa"/>
            <w:tcBorders>
              <w:left w:val="single" w:sz="12" w:space="0" w:color="auto"/>
              <w:right w:val="single" w:sz="12" w:space="0" w:color="auto"/>
            </w:tcBorders>
            <w:vAlign w:val="center"/>
          </w:tcPr>
          <w:p w14:paraId="12962870" w14:textId="046F149C" w:rsidR="0001316E" w:rsidRDefault="0001316E" w:rsidP="0001316E">
            <w:pPr>
              <w:jc w:val="right"/>
              <w:rPr>
                <w:b/>
                <w:lang w:val="en-US" w:eastAsia="en-AU"/>
              </w:rPr>
            </w:pPr>
            <w:r>
              <w:t xml:space="preserve">         10,580 </w:t>
            </w:r>
          </w:p>
        </w:tc>
        <w:tc>
          <w:tcPr>
            <w:tcW w:w="1092" w:type="dxa"/>
            <w:tcBorders>
              <w:left w:val="single" w:sz="12" w:space="0" w:color="auto"/>
            </w:tcBorders>
            <w:vAlign w:val="center"/>
          </w:tcPr>
          <w:p w14:paraId="259A09EF" w14:textId="34765F44" w:rsidR="0001316E" w:rsidRDefault="0001316E" w:rsidP="0001316E">
            <w:pPr>
              <w:jc w:val="right"/>
              <w:rPr>
                <w:b/>
                <w:lang w:val="en-US" w:eastAsia="en-AU"/>
              </w:rPr>
            </w:pPr>
            <w:r>
              <w:t xml:space="preserve">            5,842 </w:t>
            </w:r>
          </w:p>
        </w:tc>
        <w:tc>
          <w:tcPr>
            <w:tcW w:w="1121" w:type="dxa"/>
            <w:vAlign w:val="center"/>
          </w:tcPr>
          <w:p w14:paraId="217BE6F9" w14:textId="3C318F31" w:rsidR="0001316E" w:rsidRDefault="0001316E" w:rsidP="0001316E">
            <w:pPr>
              <w:jc w:val="right"/>
              <w:rPr>
                <w:b/>
                <w:lang w:val="en-US" w:eastAsia="en-AU"/>
              </w:rPr>
            </w:pPr>
            <w:r>
              <w:t xml:space="preserve">            4,738 </w:t>
            </w:r>
          </w:p>
        </w:tc>
        <w:tc>
          <w:tcPr>
            <w:tcW w:w="1121" w:type="dxa"/>
            <w:vAlign w:val="center"/>
          </w:tcPr>
          <w:p w14:paraId="2958AD6F" w14:textId="544F1C52" w:rsidR="0001316E" w:rsidRDefault="0001316E" w:rsidP="0001316E">
            <w:pPr>
              <w:jc w:val="right"/>
              <w:rPr>
                <w:b/>
                <w:lang w:val="en-US" w:eastAsia="en-AU"/>
              </w:rPr>
            </w:pPr>
            <w:r>
              <w:t xml:space="preserve">                 -   </w:t>
            </w:r>
          </w:p>
        </w:tc>
        <w:tc>
          <w:tcPr>
            <w:tcW w:w="1197" w:type="dxa"/>
            <w:vAlign w:val="center"/>
          </w:tcPr>
          <w:p w14:paraId="4A024008" w14:textId="79FE679A" w:rsidR="0001316E" w:rsidRDefault="0001316E" w:rsidP="0001316E">
            <w:pPr>
              <w:jc w:val="right"/>
              <w:rPr>
                <w:b/>
                <w:lang w:val="en-US" w:eastAsia="en-AU"/>
              </w:rPr>
            </w:pPr>
            <w:r>
              <w:t xml:space="preserve">                 -   </w:t>
            </w:r>
          </w:p>
        </w:tc>
        <w:tc>
          <w:tcPr>
            <w:tcW w:w="987" w:type="dxa"/>
            <w:vAlign w:val="center"/>
          </w:tcPr>
          <w:p w14:paraId="535F6266" w14:textId="2FD97BC7" w:rsidR="0001316E" w:rsidRDefault="0001316E" w:rsidP="0001316E">
            <w:pPr>
              <w:jc w:val="right"/>
              <w:rPr>
                <w:b/>
                <w:lang w:val="en-US" w:eastAsia="en-AU"/>
              </w:rPr>
            </w:pPr>
            <w:r>
              <w:t xml:space="preserve">                   -   </w:t>
            </w:r>
          </w:p>
        </w:tc>
      </w:tr>
      <w:tr w:rsidR="0001316E" w14:paraId="713A7D96" w14:textId="77777777" w:rsidTr="0001316E">
        <w:tc>
          <w:tcPr>
            <w:tcW w:w="1524" w:type="dxa"/>
            <w:vAlign w:val="center"/>
          </w:tcPr>
          <w:p w14:paraId="224F5C3E" w14:textId="2F899861" w:rsidR="0001316E" w:rsidRDefault="0001316E" w:rsidP="0001316E">
            <w:pPr>
              <w:rPr>
                <w:lang w:val="en-US" w:eastAsia="en-AU"/>
              </w:rPr>
            </w:pPr>
            <w:r>
              <w:t>Restricted Cash</w:t>
            </w:r>
          </w:p>
        </w:tc>
        <w:tc>
          <w:tcPr>
            <w:tcW w:w="1230" w:type="dxa"/>
            <w:vAlign w:val="center"/>
          </w:tcPr>
          <w:p w14:paraId="59927DEE" w14:textId="456E4C72" w:rsidR="0001316E" w:rsidRDefault="0001316E" w:rsidP="0001316E">
            <w:pPr>
              <w:jc w:val="right"/>
              <w:rPr>
                <w:b/>
                <w:lang w:val="en-US" w:eastAsia="en-AU"/>
              </w:rPr>
            </w:pPr>
            <w:r>
              <w:t xml:space="preserve">              1.98 </w:t>
            </w:r>
          </w:p>
        </w:tc>
        <w:tc>
          <w:tcPr>
            <w:tcW w:w="1147" w:type="dxa"/>
            <w:vAlign w:val="center"/>
          </w:tcPr>
          <w:p w14:paraId="63F5F145" w14:textId="3377925F" w:rsidR="0001316E" w:rsidRDefault="0001316E" w:rsidP="0001316E">
            <w:pPr>
              <w:jc w:val="right"/>
              <w:rPr>
                <w:b/>
                <w:lang w:val="en-US" w:eastAsia="en-AU"/>
              </w:rPr>
            </w:pPr>
            <w:r>
              <w:t xml:space="preserve">          85,742 </w:t>
            </w:r>
          </w:p>
        </w:tc>
        <w:tc>
          <w:tcPr>
            <w:tcW w:w="1235" w:type="dxa"/>
            <w:vAlign w:val="center"/>
          </w:tcPr>
          <w:p w14:paraId="6D35CDCA" w14:textId="0D372201" w:rsidR="0001316E" w:rsidRDefault="0001316E" w:rsidP="0001316E">
            <w:pPr>
              <w:jc w:val="right"/>
              <w:rPr>
                <w:b/>
                <w:lang w:val="en-US" w:eastAsia="en-AU"/>
              </w:rPr>
            </w:pPr>
            <w:r>
              <w:t xml:space="preserve">          85,736 </w:t>
            </w:r>
          </w:p>
        </w:tc>
        <w:tc>
          <w:tcPr>
            <w:tcW w:w="1031" w:type="dxa"/>
            <w:vAlign w:val="center"/>
          </w:tcPr>
          <w:p w14:paraId="4424A389" w14:textId="17202B86" w:rsidR="0001316E" w:rsidRDefault="0001316E" w:rsidP="0001316E">
            <w:pPr>
              <w:jc w:val="right"/>
              <w:rPr>
                <w:b/>
                <w:lang w:val="en-US" w:eastAsia="en-AU"/>
              </w:rPr>
            </w:pPr>
            <w:r>
              <w:t xml:space="preserve">                  6 </w:t>
            </w:r>
          </w:p>
        </w:tc>
        <w:tc>
          <w:tcPr>
            <w:tcW w:w="1130" w:type="dxa"/>
            <w:tcBorders>
              <w:right w:val="single" w:sz="12" w:space="0" w:color="auto"/>
            </w:tcBorders>
            <w:vAlign w:val="center"/>
          </w:tcPr>
          <w:p w14:paraId="4CA2A100" w14:textId="48327F22" w:rsidR="0001316E" w:rsidRDefault="0001316E" w:rsidP="0001316E">
            <w:pPr>
              <w:jc w:val="right"/>
              <w:rPr>
                <w:b/>
                <w:lang w:val="en-US" w:eastAsia="en-AU"/>
              </w:rPr>
            </w:pPr>
            <w:r>
              <w:t xml:space="preserve">                 -   </w:t>
            </w:r>
          </w:p>
        </w:tc>
        <w:tc>
          <w:tcPr>
            <w:tcW w:w="1143" w:type="dxa"/>
            <w:tcBorders>
              <w:left w:val="single" w:sz="12" w:space="0" w:color="auto"/>
              <w:right w:val="single" w:sz="12" w:space="0" w:color="auto"/>
            </w:tcBorders>
            <w:vAlign w:val="center"/>
          </w:tcPr>
          <w:p w14:paraId="16075BDD" w14:textId="544411D1" w:rsidR="0001316E" w:rsidRDefault="0001316E" w:rsidP="0001316E">
            <w:pPr>
              <w:jc w:val="right"/>
              <w:rPr>
                <w:b/>
                <w:lang w:val="en-US" w:eastAsia="en-AU"/>
              </w:rPr>
            </w:pPr>
            <w:r>
              <w:t xml:space="preserve">         85,742 </w:t>
            </w:r>
          </w:p>
        </w:tc>
        <w:tc>
          <w:tcPr>
            <w:tcW w:w="1092" w:type="dxa"/>
            <w:tcBorders>
              <w:left w:val="single" w:sz="12" w:space="0" w:color="auto"/>
            </w:tcBorders>
            <w:vAlign w:val="center"/>
          </w:tcPr>
          <w:p w14:paraId="335BDF1D" w14:textId="526C704B" w:rsidR="0001316E" w:rsidRDefault="0001316E" w:rsidP="0001316E">
            <w:pPr>
              <w:jc w:val="right"/>
              <w:rPr>
                <w:b/>
                <w:lang w:val="en-US" w:eastAsia="en-AU"/>
              </w:rPr>
            </w:pPr>
            <w:r>
              <w:t xml:space="preserve">          85,742 </w:t>
            </w:r>
          </w:p>
        </w:tc>
        <w:tc>
          <w:tcPr>
            <w:tcW w:w="1121" w:type="dxa"/>
            <w:vAlign w:val="center"/>
          </w:tcPr>
          <w:p w14:paraId="668B2D5B" w14:textId="251CC045" w:rsidR="0001316E" w:rsidRDefault="0001316E" w:rsidP="0001316E">
            <w:pPr>
              <w:jc w:val="right"/>
              <w:rPr>
                <w:b/>
                <w:lang w:val="en-US" w:eastAsia="en-AU"/>
              </w:rPr>
            </w:pPr>
            <w:r>
              <w:t xml:space="preserve">                 -   </w:t>
            </w:r>
          </w:p>
        </w:tc>
        <w:tc>
          <w:tcPr>
            <w:tcW w:w="1121" w:type="dxa"/>
            <w:vAlign w:val="center"/>
          </w:tcPr>
          <w:p w14:paraId="0457E364" w14:textId="5B08D46E" w:rsidR="0001316E" w:rsidRDefault="0001316E" w:rsidP="0001316E">
            <w:pPr>
              <w:jc w:val="right"/>
              <w:rPr>
                <w:b/>
                <w:lang w:val="en-US" w:eastAsia="en-AU"/>
              </w:rPr>
            </w:pPr>
            <w:r>
              <w:t xml:space="preserve">                 -   </w:t>
            </w:r>
          </w:p>
        </w:tc>
        <w:tc>
          <w:tcPr>
            <w:tcW w:w="1197" w:type="dxa"/>
            <w:vAlign w:val="center"/>
          </w:tcPr>
          <w:p w14:paraId="3ABB12F3" w14:textId="7CCA7718" w:rsidR="0001316E" w:rsidRDefault="0001316E" w:rsidP="0001316E">
            <w:pPr>
              <w:jc w:val="right"/>
              <w:rPr>
                <w:b/>
                <w:lang w:val="en-US" w:eastAsia="en-AU"/>
              </w:rPr>
            </w:pPr>
            <w:r>
              <w:t xml:space="preserve">                 -   </w:t>
            </w:r>
          </w:p>
        </w:tc>
        <w:tc>
          <w:tcPr>
            <w:tcW w:w="987" w:type="dxa"/>
            <w:vAlign w:val="center"/>
          </w:tcPr>
          <w:p w14:paraId="35D2C0C8" w14:textId="7E47CC93" w:rsidR="0001316E" w:rsidRDefault="0001316E" w:rsidP="0001316E">
            <w:pPr>
              <w:jc w:val="right"/>
              <w:rPr>
                <w:b/>
                <w:lang w:val="en-US" w:eastAsia="en-AU"/>
              </w:rPr>
            </w:pPr>
            <w:r>
              <w:t xml:space="preserve">                   -   </w:t>
            </w:r>
          </w:p>
        </w:tc>
      </w:tr>
      <w:tr w:rsidR="0001316E" w14:paraId="06A276BB" w14:textId="77777777" w:rsidTr="0001316E">
        <w:tc>
          <w:tcPr>
            <w:tcW w:w="1524" w:type="dxa"/>
            <w:vAlign w:val="center"/>
          </w:tcPr>
          <w:p w14:paraId="6BF0E7E3" w14:textId="4CA77FF4" w:rsidR="0001316E" w:rsidRDefault="0001316E" w:rsidP="0001316E">
            <w:pPr>
              <w:rPr>
                <w:lang w:val="en-US" w:eastAsia="en-AU"/>
              </w:rPr>
            </w:pPr>
            <w:r>
              <w:t>Receivables</w:t>
            </w:r>
            <w:r>
              <w:rPr>
                <w:vertAlign w:val="superscript"/>
              </w:rPr>
              <w:t xml:space="preserve"> (a)</w:t>
            </w:r>
          </w:p>
        </w:tc>
        <w:tc>
          <w:tcPr>
            <w:tcW w:w="1230" w:type="dxa"/>
            <w:vAlign w:val="center"/>
          </w:tcPr>
          <w:p w14:paraId="13FCEE2C" w14:textId="23802328" w:rsidR="0001316E" w:rsidRDefault="0001316E" w:rsidP="0001316E">
            <w:pPr>
              <w:jc w:val="right"/>
              <w:rPr>
                <w:b/>
                <w:lang w:val="en-US" w:eastAsia="en-AU"/>
              </w:rPr>
            </w:pPr>
            <w:r>
              <w:t xml:space="preserve">                 -   </w:t>
            </w:r>
          </w:p>
        </w:tc>
        <w:tc>
          <w:tcPr>
            <w:tcW w:w="1147" w:type="dxa"/>
            <w:vAlign w:val="center"/>
          </w:tcPr>
          <w:p w14:paraId="6949C774" w14:textId="05D183D6" w:rsidR="0001316E" w:rsidRDefault="0001316E" w:rsidP="0001316E">
            <w:pPr>
              <w:jc w:val="right"/>
              <w:rPr>
                <w:b/>
                <w:lang w:val="en-US" w:eastAsia="en-AU"/>
              </w:rPr>
            </w:pPr>
            <w:r>
              <w:t xml:space="preserve">               997 </w:t>
            </w:r>
          </w:p>
        </w:tc>
        <w:tc>
          <w:tcPr>
            <w:tcW w:w="1235" w:type="dxa"/>
            <w:vAlign w:val="center"/>
          </w:tcPr>
          <w:p w14:paraId="4E759331" w14:textId="51BB5519" w:rsidR="0001316E" w:rsidRDefault="0001316E" w:rsidP="0001316E">
            <w:pPr>
              <w:jc w:val="right"/>
              <w:rPr>
                <w:b/>
                <w:lang w:val="en-US" w:eastAsia="en-AU"/>
              </w:rPr>
            </w:pPr>
            <w:r>
              <w:t xml:space="preserve">                 -   </w:t>
            </w:r>
          </w:p>
        </w:tc>
        <w:tc>
          <w:tcPr>
            <w:tcW w:w="1031" w:type="dxa"/>
            <w:vAlign w:val="center"/>
          </w:tcPr>
          <w:p w14:paraId="0F9CA7C7" w14:textId="1ABC8E4E" w:rsidR="0001316E" w:rsidRDefault="0001316E" w:rsidP="0001316E">
            <w:pPr>
              <w:jc w:val="right"/>
              <w:rPr>
                <w:b/>
                <w:lang w:val="en-US" w:eastAsia="en-AU"/>
              </w:rPr>
            </w:pPr>
            <w:r>
              <w:t xml:space="preserve">                 -   </w:t>
            </w:r>
          </w:p>
        </w:tc>
        <w:tc>
          <w:tcPr>
            <w:tcW w:w="1130" w:type="dxa"/>
            <w:tcBorders>
              <w:right w:val="single" w:sz="12" w:space="0" w:color="auto"/>
            </w:tcBorders>
            <w:vAlign w:val="center"/>
          </w:tcPr>
          <w:p w14:paraId="07DD4321" w14:textId="4EAC013B" w:rsidR="0001316E" w:rsidRDefault="0001316E" w:rsidP="0001316E">
            <w:pPr>
              <w:jc w:val="right"/>
              <w:rPr>
                <w:b/>
                <w:lang w:val="en-US" w:eastAsia="en-AU"/>
              </w:rPr>
            </w:pPr>
            <w:r>
              <w:t xml:space="preserve">               997 </w:t>
            </w:r>
          </w:p>
        </w:tc>
        <w:tc>
          <w:tcPr>
            <w:tcW w:w="1143" w:type="dxa"/>
            <w:tcBorders>
              <w:left w:val="single" w:sz="12" w:space="0" w:color="auto"/>
              <w:right w:val="single" w:sz="12" w:space="0" w:color="auto"/>
            </w:tcBorders>
            <w:vAlign w:val="center"/>
          </w:tcPr>
          <w:p w14:paraId="4E65078E" w14:textId="37B8056F" w:rsidR="0001316E" w:rsidRDefault="0001316E" w:rsidP="0001316E">
            <w:pPr>
              <w:jc w:val="right"/>
              <w:rPr>
                <w:b/>
                <w:lang w:val="en-US" w:eastAsia="en-AU"/>
              </w:rPr>
            </w:pPr>
            <w:r>
              <w:t xml:space="preserve">              997 </w:t>
            </w:r>
          </w:p>
        </w:tc>
        <w:tc>
          <w:tcPr>
            <w:tcW w:w="1092" w:type="dxa"/>
            <w:tcBorders>
              <w:left w:val="single" w:sz="12" w:space="0" w:color="auto"/>
            </w:tcBorders>
            <w:vAlign w:val="center"/>
          </w:tcPr>
          <w:p w14:paraId="14DF9FC4" w14:textId="29B5345D" w:rsidR="0001316E" w:rsidRDefault="0001316E" w:rsidP="0001316E">
            <w:pPr>
              <w:jc w:val="right"/>
              <w:rPr>
                <w:b/>
                <w:lang w:val="en-US" w:eastAsia="en-AU"/>
              </w:rPr>
            </w:pPr>
            <w:r>
              <w:t xml:space="preserve">              997 </w:t>
            </w:r>
          </w:p>
        </w:tc>
        <w:tc>
          <w:tcPr>
            <w:tcW w:w="1121" w:type="dxa"/>
            <w:vAlign w:val="center"/>
          </w:tcPr>
          <w:p w14:paraId="6200D920" w14:textId="27A6A0BD" w:rsidR="0001316E" w:rsidRDefault="0001316E" w:rsidP="0001316E">
            <w:pPr>
              <w:jc w:val="right"/>
              <w:rPr>
                <w:b/>
                <w:lang w:val="en-US" w:eastAsia="en-AU"/>
              </w:rPr>
            </w:pPr>
            <w:r>
              <w:t xml:space="preserve">                 -   </w:t>
            </w:r>
          </w:p>
        </w:tc>
        <w:tc>
          <w:tcPr>
            <w:tcW w:w="1121" w:type="dxa"/>
            <w:vAlign w:val="center"/>
          </w:tcPr>
          <w:p w14:paraId="55967FEF" w14:textId="3E713B0B" w:rsidR="0001316E" w:rsidRDefault="0001316E" w:rsidP="0001316E">
            <w:pPr>
              <w:jc w:val="right"/>
              <w:rPr>
                <w:b/>
                <w:lang w:val="en-US" w:eastAsia="en-AU"/>
              </w:rPr>
            </w:pPr>
            <w:r>
              <w:t xml:space="preserve">                 -   </w:t>
            </w:r>
          </w:p>
        </w:tc>
        <w:tc>
          <w:tcPr>
            <w:tcW w:w="1197" w:type="dxa"/>
            <w:vAlign w:val="center"/>
          </w:tcPr>
          <w:p w14:paraId="09B6CF77" w14:textId="77777777" w:rsidR="0001316E" w:rsidRDefault="0001316E" w:rsidP="0001316E">
            <w:pPr>
              <w:jc w:val="right"/>
              <w:rPr>
                <w:b/>
                <w:lang w:val="en-US" w:eastAsia="en-AU"/>
              </w:rPr>
            </w:pPr>
          </w:p>
        </w:tc>
        <w:tc>
          <w:tcPr>
            <w:tcW w:w="987" w:type="dxa"/>
            <w:vAlign w:val="center"/>
          </w:tcPr>
          <w:p w14:paraId="4541C153" w14:textId="18F2DA4F" w:rsidR="0001316E" w:rsidRDefault="0001316E" w:rsidP="0001316E">
            <w:pPr>
              <w:jc w:val="right"/>
              <w:rPr>
                <w:b/>
                <w:lang w:val="en-US" w:eastAsia="en-AU"/>
              </w:rPr>
            </w:pPr>
            <w:r>
              <w:t xml:space="preserve">                   -   </w:t>
            </w:r>
          </w:p>
        </w:tc>
      </w:tr>
      <w:tr w:rsidR="0001316E" w14:paraId="24483858" w14:textId="77777777" w:rsidTr="0001316E">
        <w:tc>
          <w:tcPr>
            <w:tcW w:w="1524" w:type="dxa"/>
            <w:vAlign w:val="center"/>
          </w:tcPr>
          <w:p w14:paraId="5312E46F" w14:textId="77777777" w:rsidR="0001316E" w:rsidRDefault="0001316E" w:rsidP="0001316E">
            <w:pPr>
              <w:rPr>
                <w:lang w:eastAsia="en-AU"/>
              </w:rPr>
            </w:pPr>
            <w:r>
              <w:t>Other financial assets</w:t>
            </w:r>
          </w:p>
          <w:p w14:paraId="21B194CA" w14:textId="77777777" w:rsidR="0001316E" w:rsidRDefault="0001316E" w:rsidP="0001316E">
            <w:pPr>
              <w:rPr>
                <w:lang w:val="en-US" w:eastAsia="en-AU"/>
              </w:rPr>
            </w:pPr>
          </w:p>
        </w:tc>
        <w:tc>
          <w:tcPr>
            <w:tcW w:w="1230" w:type="dxa"/>
            <w:vAlign w:val="center"/>
          </w:tcPr>
          <w:p w14:paraId="34A5CD58" w14:textId="37ADBCDA" w:rsidR="0001316E" w:rsidRDefault="0001316E" w:rsidP="0001316E">
            <w:pPr>
              <w:jc w:val="right"/>
              <w:rPr>
                <w:b/>
                <w:lang w:val="en-US" w:eastAsia="en-AU"/>
              </w:rPr>
            </w:pPr>
            <w:r>
              <w:t xml:space="preserve">              2.60 </w:t>
            </w:r>
          </w:p>
        </w:tc>
        <w:tc>
          <w:tcPr>
            <w:tcW w:w="1147" w:type="dxa"/>
            <w:tcBorders>
              <w:bottom w:val="single" w:sz="12" w:space="0" w:color="auto"/>
            </w:tcBorders>
            <w:vAlign w:val="center"/>
          </w:tcPr>
          <w:p w14:paraId="57C37924" w14:textId="1F32BADC" w:rsidR="0001316E" w:rsidRDefault="0001316E" w:rsidP="0001316E">
            <w:pPr>
              <w:jc w:val="right"/>
              <w:rPr>
                <w:b/>
                <w:lang w:val="en-US" w:eastAsia="en-AU"/>
              </w:rPr>
            </w:pPr>
            <w:r>
              <w:t xml:space="preserve">          14,529 </w:t>
            </w:r>
          </w:p>
        </w:tc>
        <w:tc>
          <w:tcPr>
            <w:tcW w:w="1235" w:type="dxa"/>
            <w:tcBorders>
              <w:bottom w:val="single" w:sz="12" w:space="0" w:color="auto"/>
            </w:tcBorders>
            <w:vAlign w:val="center"/>
          </w:tcPr>
          <w:p w14:paraId="010B418F" w14:textId="78373E38" w:rsidR="0001316E" w:rsidRDefault="0001316E" w:rsidP="0001316E">
            <w:pPr>
              <w:jc w:val="right"/>
              <w:rPr>
                <w:b/>
                <w:lang w:val="en-US" w:eastAsia="en-AU"/>
              </w:rPr>
            </w:pPr>
            <w:r>
              <w:t xml:space="preserve">                 -   </w:t>
            </w:r>
          </w:p>
        </w:tc>
        <w:tc>
          <w:tcPr>
            <w:tcW w:w="1031" w:type="dxa"/>
            <w:tcBorders>
              <w:bottom w:val="single" w:sz="12" w:space="0" w:color="auto"/>
            </w:tcBorders>
            <w:vAlign w:val="center"/>
          </w:tcPr>
          <w:p w14:paraId="27DEB882" w14:textId="7A5AE24D" w:rsidR="0001316E" w:rsidRDefault="0001316E" w:rsidP="0001316E">
            <w:pPr>
              <w:jc w:val="right"/>
              <w:rPr>
                <w:b/>
                <w:lang w:val="en-US" w:eastAsia="en-AU"/>
              </w:rPr>
            </w:pPr>
            <w:r>
              <w:t xml:space="preserve">          14,529 </w:t>
            </w:r>
          </w:p>
        </w:tc>
        <w:tc>
          <w:tcPr>
            <w:tcW w:w="1130" w:type="dxa"/>
            <w:tcBorders>
              <w:bottom w:val="single" w:sz="12" w:space="0" w:color="auto"/>
              <w:right w:val="single" w:sz="12" w:space="0" w:color="auto"/>
            </w:tcBorders>
            <w:vAlign w:val="center"/>
          </w:tcPr>
          <w:p w14:paraId="2659177D" w14:textId="0BA89CD6" w:rsidR="0001316E" w:rsidRDefault="0001316E" w:rsidP="0001316E">
            <w:pPr>
              <w:jc w:val="right"/>
              <w:rPr>
                <w:b/>
                <w:lang w:val="en-US" w:eastAsia="en-AU"/>
              </w:rPr>
            </w:pPr>
            <w:r>
              <w:t xml:space="preserve">                 -   </w:t>
            </w:r>
          </w:p>
        </w:tc>
        <w:tc>
          <w:tcPr>
            <w:tcW w:w="1143" w:type="dxa"/>
            <w:tcBorders>
              <w:left w:val="single" w:sz="12" w:space="0" w:color="auto"/>
              <w:bottom w:val="single" w:sz="12" w:space="0" w:color="auto"/>
              <w:right w:val="single" w:sz="12" w:space="0" w:color="auto"/>
            </w:tcBorders>
            <w:vAlign w:val="center"/>
          </w:tcPr>
          <w:p w14:paraId="42E6E798" w14:textId="5E9570C4" w:rsidR="0001316E" w:rsidRDefault="0001316E" w:rsidP="0001316E">
            <w:pPr>
              <w:jc w:val="right"/>
              <w:rPr>
                <w:b/>
                <w:lang w:val="en-US" w:eastAsia="en-AU"/>
              </w:rPr>
            </w:pPr>
            <w:r>
              <w:t xml:space="preserve">         14,529 </w:t>
            </w:r>
          </w:p>
        </w:tc>
        <w:tc>
          <w:tcPr>
            <w:tcW w:w="1092" w:type="dxa"/>
            <w:tcBorders>
              <w:left w:val="single" w:sz="12" w:space="0" w:color="auto"/>
              <w:bottom w:val="single" w:sz="12" w:space="0" w:color="auto"/>
            </w:tcBorders>
            <w:vAlign w:val="center"/>
          </w:tcPr>
          <w:p w14:paraId="2F4F97DC" w14:textId="261403CB" w:rsidR="0001316E" w:rsidRDefault="0001316E" w:rsidP="0001316E">
            <w:pPr>
              <w:jc w:val="right"/>
              <w:rPr>
                <w:b/>
                <w:lang w:val="en-US" w:eastAsia="en-AU"/>
              </w:rPr>
            </w:pPr>
            <w:r>
              <w:t xml:space="preserve">                 -   </w:t>
            </w:r>
          </w:p>
        </w:tc>
        <w:tc>
          <w:tcPr>
            <w:tcW w:w="1121" w:type="dxa"/>
            <w:tcBorders>
              <w:bottom w:val="single" w:sz="12" w:space="0" w:color="auto"/>
            </w:tcBorders>
            <w:vAlign w:val="center"/>
          </w:tcPr>
          <w:p w14:paraId="1B81A8CB" w14:textId="68E24E7F" w:rsidR="0001316E" w:rsidRDefault="0001316E" w:rsidP="0001316E">
            <w:pPr>
              <w:jc w:val="right"/>
              <w:rPr>
                <w:b/>
                <w:lang w:val="en-US" w:eastAsia="en-AU"/>
              </w:rPr>
            </w:pPr>
            <w:r>
              <w:t xml:space="preserve">                 -   </w:t>
            </w:r>
          </w:p>
        </w:tc>
        <w:tc>
          <w:tcPr>
            <w:tcW w:w="1121" w:type="dxa"/>
            <w:tcBorders>
              <w:bottom w:val="single" w:sz="12" w:space="0" w:color="auto"/>
            </w:tcBorders>
            <w:vAlign w:val="center"/>
          </w:tcPr>
          <w:p w14:paraId="58352D5D" w14:textId="4CEA507A" w:rsidR="0001316E" w:rsidRDefault="0001316E" w:rsidP="0001316E">
            <w:pPr>
              <w:jc w:val="right"/>
              <w:rPr>
                <w:b/>
                <w:lang w:val="en-US" w:eastAsia="en-AU"/>
              </w:rPr>
            </w:pPr>
            <w:r>
              <w:t xml:space="preserve">          10,964 </w:t>
            </w:r>
          </w:p>
        </w:tc>
        <w:tc>
          <w:tcPr>
            <w:tcW w:w="1197" w:type="dxa"/>
            <w:tcBorders>
              <w:bottom w:val="single" w:sz="12" w:space="0" w:color="auto"/>
            </w:tcBorders>
            <w:vAlign w:val="center"/>
          </w:tcPr>
          <w:p w14:paraId="0B1A3CC7" w14:textId="541E3934" w:rsidR="0001316E" w:rsidRDefault="0001316E" w:rsidP="0001316E">
            <w:pPr>
              <w:jc w:val="right"/>
              <w:rPr>
                <w:b/>
                <w:lang w:val="en-US" w:eastAsia="en-AU"/>
              </w:rPr>
            </w:pPr>
            <w:r>
              <w:t xml:space="preserve">            3,565 </w:t>
            </w:r>
          </w:p>
        </w:tc>
        <w:tc>
          <w:tcPr>
            <w:tcW w:w="987" w:type="dxa"/>
            <w:tcBorders>
              <w:bottom w:val="single" w:sz="12" w:space="0" w:color="auto"/>
            </w:tcBorders>
            <w:vAlign w:val="bottom"/>
          </w:tcPr>
          <w:p w14:paraId="089A58AA" w14:textId="26855469" w:rsidR="0001316E" w:rsidRDefault="0001316E" w:rsidP="0001316E">
            <w:pPr>
              <w:jc w:val="right"/>
              <w:rPr>
                <w:b/>
                <w:lang w:val="en-US" w:eastAsia="en-AU"/>
              </w:rPr>
            </w:pPr>
            <w:r>
              <w:t xml:space="preserve">                   -   </w:t>
            </w:r>
          </w:p>
        </w:tc>
      </w:tr>
      <w:tr w:rsidR="0001316E" w14:paraId="6EE24B1A" w14:textId="77777777" w:rsidTr="0001316E">
        <w:tc>
          <w:tcPr>
            <w:tcW w:w="1524" w:type="dxa"/>
          </w:tcPr>
          <w:p w14:paraId="01A63F7F" w14:textId="77777777" w:rsidR="0001316E" w:rsidRDefault="0001316E" w:rsidP="0001316E">
            <w:pPr>
              <w:rPr>
                <w:b/>
                <w:lang w:val="en-US" w:eastAsia="en-AU"/>
              </w:rPr>
            </w:pPr>
          </w:p>
        </w:tc>
        <w:tc>
          <w:tcPr>
            <w:tcW w:w="1230" w:type="dxa"/>
          </w:tcPr>
          <w:p w14:paraId="61DE8F1A" w14:textId="77777777" w:rsidR="0001316E" w:rsidRDefault="0001316E" w:rsidP="0001316E">
            <w:pPr>
              <w:rPr>
                <w:b/>
                <w:lang w:val="en-US" w:eastAsia="en-AU"/>
              </w:rPr>
            </w:pPr>
          </w:p>
        </w:tc>
        <w:tc>
          <w:tcPr>
            <w:tcW w:w="1147" w:type="dxa"/>
            <w:tcBorders>
              <w:top w:val="single" w:sz="12" w:space="0" w:color="auto"/>
              <w:bottom w:val="double" w:sz="4" w:space="0" w:color="auto"/>
            </w:tcBorders>
            <w:vAlign w:val="center"/>
          </w:tcPr>
          <w:p w14:paraId="3224B97B" w14:textId="34F3F9EC" w:rsidR="0001316E" w:rsidRPr="0001316E" w:rsidRDefault="0001316E" w:rsidP="0001316E">
            <w:pPr>
              <w:jc w:val="right"/>
              <w:rPr>
                <w:b/>
                <w:lang w:val="en-US" w:eastAsia="en-AU"/>
              </w:rPr>
            </w:pPr>
            <w:r w:rsidRPr="0001316E">
              <w:rPr>
                <w:b/>
              </w:rPr>
              <w:t xml:space="preserve">        111,848 </w:t>
            </w:r>
          </w:p>
        </w:tc>
        <w:tc>
          <w:tcPr>
            <w:tcW w:w="1235" w:type="dxa"/>
            <w:tcBorders>
              <w:top w:val="single" w:sz="12" w:space="0" w:color="auto"/>
              <w:bottom w:val="double" w:sz="4" w:space="0" w:color="auto"/>
            </w:tcBorders>
            <w:vAlign w:val="center"/>
          </w:tcPr>
          <w:p w14:paraId="45EC6B3D" w14:textId="0EC7B053" w:rsidR="0001316E" w:rsidRPr="0001316E" w:rsidRDefault="0001316E" w:rsidP="0001316E">
            <w:pPr>
              <w:jc w:val="right"/>
              <w:rPr>
                <w:b/>
                <w:lang w:val="en-US" w:eastAsia="en-AU"/>
              </w:rPr>
            </w:pPr>
            <w:r w:rsidRPr="0001316E">
              <w:rPr>
                <w:b/>
              </w:rPr>
              <w:t xml:space="preserve">          88,123 </w:t>
            </w:r>
          </w:p>
        </w:tc>
        <w:tc>
          <w:tcPr>
            <w:tcW w:w="1031" w:type="dxa"/>
            <w:tcBorders>
              <w:top w:val="single" w:sz="12" w:space="0" w:color="auto"/>
              <w:bottom w:val="double" w:sz="4" w:space="0" w:color="auto"/>
            </w:tcBorders>
            <w:vAlign w:val="center"/>
          </w:tcPr>
          <w:p w14:paraId="19DAEEE9" w14:textId="1DC40E9C" w:rsidR="0001316E" w:rsidRPr="0001316E" w:rsidRDefault="0001316E" w:rsidP="0001316E">
            <w:pPr>
              <w:jc w:val="right"/>
              <w:rPr>
                <w:b/>
                <w:lang w:val="en-US" w:eastAsia="en-AU"/>
              </w:rPr>
            </w:pPr>
            <w:r w:rsidRPr="0001316E">
              <w:rPr>
                <w:b/>
              </w:rPr>
              <w:t xml:space="preserve">          22,727 </w:t>
            </w:r>
          </w:p>
        </w:tc>
        <w:tc>
          <w:tcPr>
            <w:tcW w:w="1130" w:type="dxa"/>
            <w:tcBorders>
              <w:top w:val="single" w:sz="12" w:space="0" w:color="auto"/>
              <w:bottom w:val="double" w:sz="4" w:space="0" w:color="auto"/>
              <w:right w:val="single" w:sz="12" w:space="0" w:color="auto"/>
            </w:tcBorders>
            <w:vAlign w:val="center"/>
          </w:tcPr>
          <w:p w14:paraId="7F0C1BC2" w14:textId="057141D4" w:rsidR="0001316E" w:rsidRPr="0001316E" w:rsidRDefault="0001316E" w:rsidP="0001316E">
            <w:pPr>
              <w:jc w:val="right"/>
              <w:rPr>
                <w:b/>
                <w:lang w:val="en-US" w:eastAsia="en-AU"/>
              </w:rPr>
            </w:pPr>
            <w:r w:rsidRPr="0001316E">
              <w:rPr>
                <w:b/>
              </w:rPr>
              <w:t xml:space="preserve">               998 </w:t>
            </w:r>
          </w:p>
        </w:tc>
        <w:tc>
          <w:tcPr>
            <w:tcW w:w="1143" w:type="dxa"/>
            <w:tcBorders>
              <w:top w:val="single" w:sz="12" w:space="0" w:color="auto"/>
              <w:left w:val="single" w:sz="12" w:space="0" w:color="auto"/>
              <w:bottom w:val="double" w:sz="4" w:space="0" w:color="auto"/>
              <w:right w:val="single" w:sz="12" w:space="0" w:color="auto"/>
            </w:tcBorders>
            <w:vAlign w:val="center"/>
          </w:tcPr>
          <w:p w14:paraId="0E91EDBF" w14:textId="64F71C9C" w:rsidR="0001316E" w:rsidRPr="0001316E" w:rsidRDefault="0001316E" w:rsidP="0001316E">
            <w:pPr>
              <w:jc w:val="right"/>
              <w:rPr>
                <w:b/>
                <w:lang w:val="en-US" w:eastAsia="en-AU"/>
              </w:rPr>
            </w:pPr>
            <w:r w:rsidRPr="0001316E">
              <w:rPr>
                <w:b/>
              </w:rPr>
              <w:t xml:space="preserve">        111,848 </w:t>
            </w:r>
          </w:p>
        </w:tc>
        <w:tc>
          <w:tcPr>
            <w:tcW w:w="1092" w:type="dxa"/>
            <w:tcBorders>
              <w:top w:val="single" w:sz="12" w:space="0" w:color="auto"/>
              <w:left w:val="single" w:sz="12" w:space="0" w:color="auto"/>
              <w:bottom w:val="double" w:sz="4" w:space="0" w:color="auto"/>
            </w:tcBorders>
            <w:vAlign w:val="center"/>
          </w:tcPr>
          <w:p w14:paraId="0F5A6D11" w14:textId="77116828" w:rsidR="0001316E" w:rsidRPr="0001316E" w:rsidRDefault="0001316E" w:rsidP="0001316E">
            <w:pPr>
              <w:jc w:val="right"/>
              <w:rPr>
                <w:b/>
                <w:lang w:val="en-US" w:eastAsia="en-AU"/>
              </w:rPr>
            </w:pPr>
            <w:r w:rsidRPr="0001316E">
              <w:rPr>
                <w:b/>
              </w:rPr>
              <w:t xml:space="preserve">          92,581 </w:t>
            </w:r>
          </w:p>
        </w:tc>
        <w:tc>
          <w:tcPr>
            <w:tcW w:w="1121" w:type="dxa"/>
            <w:tcBorders>
              <w:top w:val="single" w:sz="12" w:space="0" w:color="auto"/>
              <w:bottom w:val="double" w:sz="4" w:space="0" w:color="auto"/>
            </w:tcBorders>
            <w:vAlign w:val="center"/>
          </w:tcPr>
          <w:p w14:paraId="1B16CCE4" w14:textId="71D5BE6A" w:rsidR="0001316E" w:rsidRPr="0001316E" w:rsidRDefault="0001316E" w:rsidP="0001316E">
            <w:pPr>
              <w:jc w:val="right"/>
              <w:rPr>
                <w:b/>
                <w:lang w:val="en-US" w:eastAsia="en-AU"/>
              </w:rPr>
            </w:pPr>
            <w:r w:rsidRPr="0001316E">
              <w:rPr>
                <w:b/>
              </w:rPr>
              <w:t xml:space="preserve">            4,738 </w:t>
            </w:r>
          </w:p>
        </w:tc>
        <w:tc>
          <w:tcPr>
            <w:tcW w:w="1121" w:type="dxa"/>
            <w:tcBorders>
              <w:top w:val="single" w:sz="12" w:space="0" w:color="auto"/>
              <w:bottom w:val="double" w:sz="4" w:space="0" w:color="auto"/>
            </w:tcBorders>
            <w:vAlign w:val="center"/>
          </w:tcPr>
          <w:p w14:paraId="54BF04A5" w14:textId="2FF6DA53" w:rsidR="0001316E" w:rsidRPr="0001316E" w:rsidRDefault="0001316E" w:rsidP="0001316E">
            <w:pPr>
              <w:jc w:val="right"/>
              <w:rPr>
                <w:b/>
                <w:lang w:val="en-US" w:eastAsia="en-AU"/>
              </w:rPr>
            </w:pPr>
            <w:r w:rsidRPr="0001316E">
              <w:rPr>
                <w:b/>
              </w:rPr>
              <w:t xml:space="preserve">          10,964 </w:t>
            </w:r>
          </w:p>
        </w:tc>
        <w:tc>
          <w:tcPr>
            <w:tcW w:w="1197" w:type="dxa"/>
            <w:tcBorders>
              <w:top w:val="single" w:sz="12" w:space="0" w:color="auto"/>
              <w:bottom w:val="double" w:sz="4" w:space="0" w:color="auto"/>
            </w:tcBorders>
            <w:vAlign w:val="center"/>
          </w:tcPr>
          <w:p w14:paraId="3F220229" w14:textId="2C2278B2" w:rsidR="0001316E" w:rsidRPr="0001316E" w:rsidRDefault="0001316E" w:rsidP="0001316E">
            <w:pPr>
              <w:jc w:val="right"/>
              <w:rPr>
                <w:b/>
                <w:lang w:val="en-US" w:eastAsia="en-AU"/>
              </w:rPr>
            </w:pPr>
            <w:r w:rsidRPr="0001316E">
              <w:rPr>
                <w:b/>
              </w:rPr>
              <w:t xml:space="preserve">            3,565 </w:t>
            </w:r>
          </w:p>
        </w:tc>
        <w:tc>
          <w:tcPr>
            <w:tcW w:w="987" w:type="dxa"/>
            <w:tcBorders>
              <w:top w:val="single" w:sz="12" w:space="0" w:color="auto"/>
              <w:bottom w:val="double" w:sz="4" w:space="0" w:color="auto"/>
            </w:tcBorders>
            <w:vAlign w:val="center"/>
          </w:tcPr>
          <w:p w14:paraId="16B9BF08" w14:textId="417D16A3" w:rsidR="0001316E" w:rsidRPr="0001316E" w:rsidRDefault="0001316E" w:rsidP="0001316E">
            <w:pPr>
              <w:jc w:val="right"/>
              <w:rPr>
                <w:b/>
                <w:lang w:val="en-US" w:eastAsia="en-AU"/>
              </w:rPr>
            </w:pPr>
            <w:r w:rsidRPr="0001316E">
              <w:rPr>
                <w:b/>
              </w:rPr>
              <w:t xml:space="preserve">                   -   </w:t>
            </w:r>
          </w:p>
        </w:tc>
      </w:tr>
      <w:tr w:rsidR="0001316E" w14:paraId="7B802892" w14:textId="77777777" w:rsidTr="0001316E">
        <w:tc>
          <w:tcPr>
            <w:tcW w:w="1524" w:type="dxa"/>
          </w:tcPr>
          <w:p w14:paraId="7A68234C" w14:textId="77777777" w:rsidR="00980D36" w:rsidRDefault="00980D36" w:rsidP="00980D36">
            <w:pPr>
              <w:rPr>
                <w:b/>
                <w:lang w:val="en-US" w:eastAsia="en-AU"/>
              </w:rPr>
            </w:pPr>
          </w:p>
        </w:tc>
        <w:tc>
          <w:tcPr>
            <w:tcW w:w="1230" w:type="dxa"/>
          </w:tcPr>
          <w:p w14:paraId="081F0862" w14:textId="77777777" w:rsidR="00980D36" w:rsidRDefault="00980D36" w:rsidP="00980D36">
            <w:pPr>
              <w:rPr>
                <w:b/>
                <w:lang w:val="en-US" w:eastAsia="en-AU"/>
              </w:rPr>
            </w:pPr>
          </w:p>
        </w:tc>
        <w:tc>
          <w:tcPr>
            <w:tcW w:w="1147" w:type="dxa"/>
            <w:tcBorders>
              <w:top w:val="double" w:sz="4" w:space="0" w:color="auto"/>
            </w:tcBorders>
          </w:tcPr>
          <w:p w14:paraId="29914F20" w14:textId="77777777" w:rsidR="00980D36" w:rsidRDefault="00980D36" w:rsidP="00980D36">
            <w:pPr>
              <w:rPr>
                <w:b/>
                <w:lang w:val="en-US" w:eastAsia="en-AU"/>
              </w:rPr>
            </w:pPr>
          </w:p>
        </w:tc>
        <w:tc>
          <w:tcPr>
            <w:tcW w:w="1235" w:type="dxa"/>
            <w:tcBorders>
              <w:top w:val="double" w:sz="4" w:space="0" w:color="auto"/>
            </w:tcBorders>
          </w:tcPr>
          <w:p w14:paraId="469548F4" w14:textId="77777777" w:rsidR="00980D36" w:rsidRDefault="00980D36" w:rsidP="00980D36">
            <w:pPr>
              <w:rPr>
                <w:b/>
                <w:lang w:val="en-US" w:eastAsia="en-AU"/>
              </w:rPr>
            </w:pPr>
          </w:p>
        </w:tc>
        <w:tc>
          <w:tcPr>
            <w:tcW w:w="1031" w:type="dxa"/>
            <w:tcBorders>
              <w:top w:val="double" w:sz="4" w:space="0" w:color="auto"/>
            </w:tcBorders>
          </w:tcPr>
          <w:p w14:paraId="681C99AC" w14:textId="77777777" w:rsidR="00980D36" w:rsidRDefault="00980D36" w:rsidP="00980D36">
            <w:pPr>
              <w:rPr>
                <w:b/>
                <w:lang w:val="en-US" w:eastAsia="en-AU"/>
              </w:rPr>
            </w:pPr>
          </w:p>
        </w:tc>
        <w:tc>
          <w:tcPr>
            <w:tcW w:w="1130" w:type="dxa"/>
            <w:tcBorders>
              <w:top w:val="double" w:sz="4" w:space="0" w:color="auto"/>
              <w:right w:val="single" w:sz="12" w:space="0" w:color="auto"/>
            </w:tcBorders>
          </w:tcPr>
          <w:p w14:paraId="2C403DF1" w14:textId="77777777" w:rsidR="00980D36" w:rsidRDefault="00980D36" w:rsidP="00980D36">
            <w:pPr>
              <w:rPr>
                <w:b/>
                <w:lang w:val="en-US" w:eastAsia="en-AU"/>
              </w:rPr>
            </w:pPr>
          </w:p>
        </w:tc>
        <w:tc>
          <w:tcPr>
            <w:tcW w:w="1143" w:type="dxa"/>
            <w:tcBorders>
              <w:top w:val="double" w:sz="4" w:space="0" w:color="auto"/>
              <w:left w:val="single" w:sz="12" w:space="0" w:color="auto"/>
              <w:right w:val="single" w:sz="12" w:space="0" w:color="auto"/>
            </w:tcBorders>
          </w:tcPr>
          <w:p w14:paraId="379513F4" w14:textId="77777777" w:rsidR="00980D36" w:rsidRDefault="00980D36" w:rsidP="00980D36">
            <w:pPr>
              <w:rPr>
                <w:b/>
                <w:lang w:val="en-US" w:eastAsia="en-AU"/>
              </w:rPr>
            </w:pPr>
          </w:p>
        </w:tc>
        <w:tc>
          <w:tcPr>
            <w:tcW w:w="1092" w:type="dxa"/>
            <w:tcBorders>
              <w:top w:val="double" w:sz="4" w:space="0" w:color="auto"/>
              <w:left w:val="single" w:sz="12" w:space="0" w:color="auto"/>
            </w:tcBorders>
          </w:tcPr>
          <w:p w14:paraId="6D2B4377" w14:textId="77777777" w:rsidR="00980D36" w:rsidRDefault="00980D36" w:rsidP="00980D36">
            <w:pPr>
              <w:rPr>
                <w:b/>
                <w:lang w:val="en-US" w:eastAsia="en-AU"/>
              </w:rPr>
            </w:pPr>
          </w:p>
        </w:tc>
        <w:tc>
          <w:tcPr>
            <w:tcW w:w="1121" w:type="dxa"/>
            <w:tcBorders>
              <w:top w:val="double" w:sz="4" w:space="0" w:color="auto"/>
            </w:tcBorders>
          </w:tcPr>
          <w:p w14:paraId="2FC8258A" w14:textId="77777777" w:rsidR="00980D36" w:rsidRDefault="00980D36" w:rsidP="00980D36">
            <w:pPr>
              <w:rPr>
                <w:b/>
                <w:lang w:val="en-US" w:eastAsia="en-AU"/>
              </w:rPr>
            </w:pPr>
          </w:p>
        </w:tc>
        <w:tc>
          <w:tcPr>
            <w:tcW w:w="1121" w:type="dxa"/>
            <w:tcBorders>
              <w:top w:val="double" w:sz="4" w:space="0" w:color="auto"/>
            </w:tcBorders>
          </w:tcPr>
          <w:p w14:paraId="2C54FBF8" w14:textId="77777777" w:rsidR="00980D36" w:rsidRDefault="00980D36" w:rsidP="00980D36">
            <w:pPr>
              <w:rPr>
                <w:b/>
                <w:lang w:val="en-US" w:eastAsia="en-AU"/>
              </w:rPr>
            </w:pPr>
          </w:p>
        </w:tc>
        <w:tc>
          <w:tcPr>
            <w:tcW w:w="1197" w:type="dxa"/>
            <w:tcBorders>
              <w:top w:val="double" w:sz="4" w:space="0" w:color="auto"/>
            </w:tcBorders>
          </w:tcPr>
          <w:p w14:paraId="535334F4" w14:textId="77777777" w:rsidR="00980D36" w:rsidRDefault="00980D36" w:rsidP="00980D36">
            <w:pPr>
              <w:rPr>
                <w:b/>
                <w:lang w:val="en-US" w:eastAsia="en-AU"/>
              </w:rPr>
            </w:pPr>
          </w:p>
        </w:tc>
        <w:tc>
          <w:tcPr>
            <w:tcW w:w="987" w:type="dxa"/>
            <w:tcBorders>
              <w:top w:val="double" w:sz="4" w:space="0" w:color="auto"/>
            </w:tcBorders>
          </w:tcPr>
          <w:p w14:paraId="3A236901" w14:textId="77777777" w:rsidR="00980D36" w:rsidRDefault="00980D36" w:rsidP="00980D36">
            <w:pPr>
              <w:rPr>
                <w:b/>
                <w:lang w:val="en-US" w:eastAsia="en-AU"/>
              </w:rPr>
            </w:pPr>
          </w:p>
        </w:tc>
      </w:tr>
      <w:tr w:rsidR="0001316E" w14:paraId="07819CA0" w14:textId="77777777" w:rsidTr="0001316E">
        <w:tc>
          <w:tcPr>
            <w:tcW w:w="1524" w:type="dxa"/>
          </w:tcPr>
          <w:p w14:paraId="7EA167BD" w14:textId="5B12B584" w:rsidR="00980D36" w:rsidRPr="0001316E" w:rsidRDefault="0001316E" w:rsidP="00980D36">
            <w:pPr>
              <w:rPr>
                <w:b/>
                <w:lang w:val="en-US" w:eastAsia="en-AU"/>
              </w:rPr>
            </w:pPr>
            <w:r>
              <w:rPr>
                <w:b/>
                <w:lang w:val="en-US" w:eastAsia="en-AU"/>
              </w:rPr>
              <w:t>Financial Liabilities</w:t>
            </w:r>
          </w:p>
        </w:tc>
        <w:tc>
          <w:tcPr>
            <w:tcW w:w="1230" w:type="dxa"/>
          </w:tcPr>
          <w:p w14:paraId="1115C3DC" w14:textId="77777777" w:rsidR="00980D36" w:rsidRDefault="00980D36" w:rsidP="00980D36">
            <w:pPr>
              <w:rPr>
                <w:b/>
                <w:lang w:val="en-US" w:eastAsia="en-AU"/>
              </w:rPr>
            </w:pPr>
          </w:p>
        </w:tc>
        <w:tc>
          <w:tcPr>
            <w:tcW w:w="1147" w:type="dxa"/>
          </w:tcPr>
          <w:p w14:paraId="0B078EB0" w14:textId="77777777" w:rsidR="00980D36" w:rsidRDefault="00980D36" w:rsidP="00980D36">
            <w:pPr>
              <w:rPr>
                <w:b/>
                <w:lang w:val="en-US" w:eastAsia="en-AU"/>
              </w:rPr>
            </w:pPr>
          </w:p>
        </w:tc>
        <w:tc>
          <w:tcPr>
            <w:tcW w:w="1235" w:type="dxa"/>
          </w:tcPr>
          <w:p w14:paraId="3BF9BF85" w14:textId="77777777" w:rsidR="00980D36" w:rsidRDefault="00980D36" w:rsidP="00980D36">
            <w:pPr>
              <w:rPr>
                <w:b/>
                <w:lang w:val="en-US" w:eastAsia="en-AU"/>
              </w:rPr>
            </w:pPr>
          </w:p>
        </w:tc>
        <w:tc>
          <w:tcPr>
            <w:tcW w:w="1031" w:type="dxa"/>
          </w:tcPr>
          <w:p w14:paraId="77351307" w14:textId="77777777" w:rsidR="00980D36" w:rsidRDefault="00980D36" w:rsidP="00980D36">
            <w:pPr>
              <w:rPr>
                <w:b/>
                <w:lang w:val="en-US" w:eastAsia="en-AU"/>
              </w:rPr>
            </w:pPr>
          </w:p>
        </w:tc>
        <w:tc>
          <w:tcPr>
            <w:tcW w:w="1130" w:type="dxa"/>
            <w:tcBorders>
              <w:right w:val="single" w:sz="12" w:space="0" w:color="auto"/>
            </w:tcBorders>
          </w:tcPr>
          <w:p w14:paraId="4A27D8D9" w14:textId="77777777" w:rsidR="00980D36" w:rsidRDefault="00980D36" w:rsidP="00980D36">
            <w:pPr>
              <w:rPr>
                <w:b/>
                <w:lang w:val="en-US" w:eastAsia="en-AU"/>
              </w:rPr>
            </w:pPr>
          </w:p>
        </w:tc>
        <w:tc>
          <w:tcPr>
            <w:tcW w:w="1143" w:type="dxa"/>
            <w:tcBorders>
              <w:left w:val="single" w:sz="12" w:space="0" w:color="auto"/>
              <w:right w:val="single" w:sz="12" w:space="0" w:color="auto"/>
            </w:tcBorders>
          </w:tcPr>
          <w:p w14:paraId="75B6C67C" w14:textId="77777777" w:rsidR="00980D36" w:rsidRDefault="00980D36" w:rsidP="00980D36">
            <w:pPr>
              <w:rPr>
                <w:b/>
                <w:lang w:val="en-US" w:eastAsia="en-AU"/>
              </w:rPr>
            </w:pPr>
          </w:p>
        </w:tc>
        <w:tc>
          <w:tcPr>
            <w:tcW w:w="1092" w:type="dxa"/>
            <w:tcBorders>
              <w:left w:val="single" w:sz="12" w:space="0" w:color="auto"/>
            </w:tcBorders>
          </w:tcPr>
          <w:p w14:paraId="7FE97216" w14:textId="77777777" w:rsidR="00980D36" w:rsidRDefault="00980D36" w:rsidP="00980D36">
            <w:pPr>
              <w:rPr>
                <w:b/>
                <w:lang w:val="en-US" w:eastAsia="en-AU"/>
              </w:rPr>
            </w:pPr>
          </w:p>
        </w:tc>
        <w:tc>
          <w:tcPr>
            <w:tcW w:w="1121" w:type="dxa"/>
          </w:tcPr>
          <w:p w14:paraId="39CABDB0" w14:textId="77777777" w:rsidR="00980D36" w:rsidRDefault="00980D36" w:rsidP="00980D36">
            <w:pPr>
              <w:rPr>
                <w:b/>
                <w:lang w:val="en-US" w:eastAsia="en-AU"/>
              </w:rPr>
            </w:pPr>
          </w:p>
        </w:tc>
        <w:tc>
          <w:tcPr>
            <w:tcW w:w="1121" w:type="dxa"/>
          </w:tcPr>
          <w:p w14:paraId="31DBE0FB" w14:textId="77777777" w:rsidR="00980D36" w:rsidRDefault="00980D36" w:rsidP="00980D36">
            <w:pPr>
              <w:rPr>
                <w:b/>
                <w:lang w:val="en-US" w:eastAsia="en-AU"/>
              </w:rPr>
            </w:pPr>
          </w:p>
        </w:tc>
        <w:tc>
          <w:tcPr>
            <w:tcW w:w="1197" w:type="dxa"/>
          </w:tcPr>
          <w:p w14:paraId="5B52C111" w14:textId="77777777" w:rsidR="00980D36" w:rsidRDefault="00980D36" w:rsidP="00980D36">
            <w:pPr>
              <w:rPr>
                <w:b/>
                <w:lang w:val="en-US" w:eastAsia="en-AU"/>
              </w:rPr>
            </w:pPr>
          </w:p>
        </w:tc>
        <w:tc>
          <w:tcPr>
            <w:tcW w:w="987" w:type="dxa"/>
          </w:tcPr>
          <w:p w14:paraId="10C598BF" w14:textId="77777777" w:rsidR="00980D36" w:rsidRDefault="00980D36" w:rsidP="00980D36">
            <w:pPr>
              <w:rPr>
                <w:b/>
                <w:lang w:val="en-US" w:eastAsia="en-AU"/>
              </w:rPr>
            </w:pPr>
          </w:p>
        </w:tc>
      </w:tr>
      <w:tr w:rsidR="00125596" w14:paraId="68F6B1DF" w14:textId="77777777" w:rsidTr="00125596">
        <w:tc>
          <w:tcPr>
            <w:tcW w:w="1524" w:type="dxa"/>
            <w:vAlign w:val="center"/>
          </w:tcPr>
          <w:p w14:paraId="697698A1" w14:textId="77CA6C4E" w:rsidR="00125596" w:rsidRPr="0001316E" w:rsidRDefault="00125596" w:rsidP="00125596">
            <w:pPr>
              <w:rPr>
                <w:lang w:val="en-US" w:eastAsia="en-AU"/>
              </w:rPr>
            </w:pPr>
            <w:r>
              <w:rPr>
                <w:lang w:val="en-US" w:eastAsia="en-AU"/>
              </w:rPr>
              <w:t>Payables</w:t>
            </w:r>
          </w:p>
        </w:tc>
        <w:tc>
          <w:tcPr>
            <w:tcW w:w="1230" w:type="dxa"/>
            <w:vAlign w:val="center"/>
          </w:tcPr>
          <w:p w14:paraId="05CA52B3" w14:textId="08D4F819" w:rsidR="00125596" w:rsidRDefault="00125596" w:rsidP="00125596">
            <w:pPr>
              <w:jc w:val="right"/>
              <w:rPr>
                <w:b/>
                <w:lang w:val="en-US" w:eastAsia="en-AU"/>
              </w:rPr>
            </w:pPr>
            <w:r>
              <w:t xml:space="preserve">                 -   </w:t>
            </w:r>
          </w:p>
        </w:tc>
        <w:tc>
          <w:tcPr>
            <w:tcW w:w="1147" w:type="dxa"/>
            <w:tcBorders>
              <w:bottom w:val="single" w:sz="12" w:space="0" w:color="auto"/>
            </w:tcBorders>
            <w:vAlign w:val="center"/>
          </w:tcPr>
          <w:p w14:paraId="3DD35A52" w14:textId="6D3E7D11" w:rsidR="00125596" w:rsidRDefault="00125596" w:rsidP="00125596">
            <w:pPr>
              <w:jc w:val="right"/>
              <w:rPr>
                <w:b/>
                <w:lang w:val="en-US" w:eastAsia="en-AU"/>
              </w:rPr>
            </w:pPr>
            <w:r>
              <w:t xml:space="preserve">               804 </w:t>
            </w:r>
          </w:p>
        </w:tc>
        <w:tc>
          <w:tcPr>
            <w:tcW w:w="1235" w:type="dxa"/>
            <w:tcBorders>
              <w:bottom w:val="single" w:sz="12" w:space="0" w:color="auto"/>
            </w:tcBorders>
            <w:vAlign w:val="center"/>
          </w:tcPr>
          <w:p w14:paraId="703CC597" w14:textId="1150F8E7" w:rsidR="00125596" w:rsidRDefault="00125596" w:rsidP="00125596">
            <w:pPr>
              <w:jc w:val="right"/>
              <w:rPr>
                <w:b/>
                <w:lang w:val="en-US" w:eastAsia="en-AU"/>
              </w:rPr>
            </w:pPr>
            <w:r>
              <w:t xml:space="preserve">                 -   </w:t>
            </w:r>
          </w:p>
        </w:tc>
        <w:tc>
          <w:tcPr>
            <w:tcW w:w="1031" w:type="dxa"/>
            <w:tcBorders>
              <w:bottom w:val="single" w:sz="12" w:space="0" w:color="auto"/>
            </w:tcBorders>
            <w:vAlign w:val="center"/>
          </w:tcPr>
          <w:p w14:paraId="66752ED5" w14:textId="6A6975FB" w:rsidR="00125596" w:rsidRDefault="00125596" w:rsidP="00125596">
            <w:pPr>
              <w:jc w:val="right"/>
              <w:rPr>
                <w:b/>
                <w:lang w:val="en-US" w:eastAsia="en-AU"/>
              </w:rPr>
            </w:pPr>
            <w:r>
              <w:t xml:space="preserve">                 -   </w:t>
            </w:r>
          </w:p>
        </w:tc>
        <w:tc>
          <w:tcPr>
            <w:tcW w:w="1130" w:type="dxa"/>
            <w:tcBorders>
              <w:bottom w:val="single" w:sz="12" w:space="0" w:color="auto"/>
              <w:right w:val="single" w:sz="12" w:space="0" w:color="auto"/>
            </w:tcBorders>
            <w:vAlign w:val="center"/>
          </w:tcPr>
          <w:p w14:paraId="3892A0AF" w14:textId="6AE003A2" w:rsidR="00125596" w:rsidRDefault="00125596" w:rsidP="00125596">
            <w:pPr>
              <w:jc w:val="right"/>
              <w:rPr>
                <w:b/>
                <w:lang w:val="en-US" w:eastAsia="en-AU"/>
              </w:rPr>
            </w:pPr>
            <w:r>
              <w:t xml:space="preserve">               804 </w:t>
            </w:r>
          </w:p>
        </w:tc>
        <w:tc>
          <w:tcPr>
            <w:tcW w:w="1143" w:type="dxa"/>
            <w:tcBorders>
              <w:left w:val="single" w:sz="12" w:space="0" w:color="auto"/>
              <w:bottom w:val="single" w:sz="12" w:space="0" w:color="auto"/>
              <w:right w:val="single" w:sz="12" w:space="0" w:color="auto"/>
            </w:tcBorders>
            <w:vAlign w:val="center"/>
          </w:tcPr>
          <w:p w14:paraId="6C2B245A" w14:textId="2EF85BCF" w:rsidR="00125596" w:rsidRDefault="00125596" w:rsidP="00125596">
            <w:pPr>
              <w:jc w:val="right"/>
              <w:rPr>
                <w:b/>
                <w:lang w:val="en-US" w:eastAsia="en-AU"/>
              </w:rPr>
            </w:pPr>
            <w:r>
              <w:t xml:space="preserve">              804 </w:t>
            </w:r>
          </w:p>
        </w:tc>
        <w:tc>
          <w:tcPr>
            <w:tcW w:w="1092" w:type="dxa"/>
            <w:tcBorders>
              <w:left w:val="single" w:sz="12" w:space="0" w:color="auto"/>
              <w:bottom w:val="single" w:sz="12" w:space="0" w:color="auto"/>
            </w:tcBorders>
            <w:vAlign w:val="center"/>
          </w:tcPr>
          <w:p w14:paraId="4E1E752C" w14:textId="08E6D4B7" w:rsidR="00125596" w:rsidRDefault="00125596" w:rsidP="00125596">
            <w:pPr>
              <w:jc w:val="right"/>
              <w:rPr>
                <w:b/>
                <w:lang w:val="en-US" w:eastAsia="en-AU"/>
              </w:rPr>
            </w:pPr>
            <w:r>
              <w:t xml:space="preserve">              804 </w:t>
            </w:r>
          </w:p>
        </w:tc>
        <w:tc>
          <w:tcPr>
            <w:tcW w:w="1121" w:type="dxa"/>
            <w:tcBorders>
              <w:bottom w:val="single" w:sz="12" w:space="0" w:color="auto"/>
            </w:tcBorders>
            <w:vAlign w:val="center"/>
          </w:tcPr>
          <w:p w14:paraId="01820928" w14:textId="1A7B3305" w:rsidR="00125596" w:rsidRDefault="00125596" w:rsidP="00125596">
            <w:pPr>
              <w:jc w:val="right"/>
              <w:rPr>
                <w:b/>
                <w:lang w:val="en-US" w:eastAsia="en-AU"/>
              </w:rPr>
            </w:pPr>
            <w:r>
              <w:t xml:space="preserve">                 -   </w:t>
            </w:r>
          </w:p>
        </w:tc>
        <w:tc>
          <w:tcPr>
            <w:tcW w:w="1121" w:type="dxa"/>
            <w:tcBorders>
              <w:bottom w:val="single" w:sz="12" w:space="0" w:color="auto"/>
            </w:tcBorders>
            <w:vAlign w:val="center"/>
          </w:tcPr>
          <w:p w14:paraId="74A5F3C8" w14:textId="036105AF" w:rsidR="00125596" w:rsidRDefault="00125596" w:rsidP="00125596">
            <w:pPr>
              <w:jc w:val="right"/>
              <w:rPr>
                <w:b/>
                <w:lang w:val="en-US" w:eastAsia="en-AU"/>
              </w:rPr>
            </w:pPr>
            <w:r>
              <w:t xml:space="preserve">                 -   </w:t>
            </w:r>
          </w:p>
        </w:tc>
        <w:tc>
          <w:tcPr>
            <w:tcW w:w="1197" w:type="dxa"/>
            <w:tcBorders>
              <w:bottom w:val="single" w:sz="12" w:space="0" w:color="auto"/>
            </w:tcBorders>
            <w:vAlign w:val="center"/>
          </w:tcPr>
          <w:p w14:paraId="1D863EF7" w14:textId="3C23CD43" w:rsidR="00125596" w:rsidRDefault="00125596" w:rsidP="00125596">
            <w:pPr>
              <w:jc w:val="right"/>
              <w:rPr>
                <w:b/>
                <w:lang w:val="en-US" w:eastAsia="en-AU"/>
              </w:rPr>
            </w:pPr>
            <w:r>
              <w:t xml:space="preserve">                 -   </w:t>
            </w:r>
          </w:p>
        </w:tc>
        <w:tc>
          <w:tcPr>
            <w:tcW w:w="987" w:type="dxa"/>
            <w:tcBorders>
              <w:bottom w:val="single" w:sz="12" w:space="0" w:color="auto"/>
            </w:tcBorders>
            <w:vAlign w:val="center"/>
          </w:tcPr>
          <w:p w14:paraId="422A39C2" w14:textId="44865024" w:rsidR="00125596" w:rsidRDefault="00125596" w:rsidP="00125596">
            <w:pPr>
              <w:jc w:val="right"/>
              <w:rPr>
                <w:b/>
                <w:lang w:val="en-US" w:eastAsia="en-AU"/>
              </w:rPr>
            </w:pPr>
            <w:r>
              <w:t xml:space="preserve">                   -   </w:t>
            </w:r>
          </w:p>
        </w:tc>
      </w:tr>
      <w:tr w:rsidR="00125596" w14:paraId="70F0FE46" w14:textId="77777777" w:rsidTr="00125596">
        <w:tc>
          <w:tcPr>
            <w:tcW w:w="1524" w:type="dxa"/>
          </w:tcPr>
          <w:p w14:paraId="4DA77A17" w14:textId="77777777" w:rsidR="00125596" w:rsidRDefault="00125596" w:rsidP="00125596">
            <w:pPr>
              <w:rPr>
                <w:lang w:val="en-US" w:eastAsia="en-AU"/>
              </w:rPr>
            </w:pPr>
          </w:p>
        </w:tc>
        <w:tc>
          <w:tcPr>
            <w:tcW w:w="1230" w:type="dxa"/>
          </w:tcPr>
          <w:p w14:paraId="2D03A251" w14:textId="77777777" w:rsidR="00125596" w:rsidRDefault="00125596" w:rsidP="00125596">
            <w:pPr>
              <w:rPr>
                <w:b/>
                <w:lang w:val="en-US" w:eastAsia="en-AU"/>
              </w:rPr>
            </w:pPr>
          </w:p>
        </w:tc>
        <w:tc>
          <w:tcPr>
            <w:tcW w:w="1147" w:type="dxa"/>
            <w:tcBorders>
              <w:top w:val="single" w:sz="12" w:space="0" w:color="auto"/>
              <w:bottom w:val="double" w:sz="4" w:space="0" w:color="auto"/>
            </w:tcBorders>
            <w:vAlign w:val="bottom"/>
          </w:tcPr>
          <w:p w14:paraId="7F76CEB8" w14:textId="15695B5B" w:rsidR="00125596" w:rsidRPr="00125596" w:rsidRDefault="00125596" w:rsidP="00125596">
            <w:pPr>
              <w:jc w:val="right"/>
              <w:rPr>
                <w:b/>
                <w:lang w:val="en-US" w:eastAsia="en-AU"/>
              </w:rPr>
            </w:pPr>
            <w:r w:rsidRPr="00125596">
              <w:rPr>
                <w:b/>
              </w:rPr>
              <w:t xml:space="preserve">               804 </w:t>
            </w:r>
          </w:p>
        </w:tc>
        <w:tc>
          <w:tcPr>
            <w:tcW w:w="1235" w:type="dxa"/>
            <w:tcBorders>
              <w:top w:val="single" w:sz="12" w:space="0" w:color="auto"/>
              <w:bottom w:val="double" w:sz="4" w:space="0" w:color="auto"/>
            </w:tcBorders>
            <w:vAlign w:val="bottom"/>
          </w:tcPr>
          <w:p w14:paraId="0BE56C1F" w14:textId="05E274D3" w:rsidR="00125596" w:rsidRPr="00125596" w:rsidRDefault="00125596" w:rsidP="00125596">
            <w:pPr>
              <w:jc w:val="right"/>
              <w:rPr>
                <w:b/>
                <w:lang w:val="en-US" w:eastAsia="en-AU"/>
              </w:rPr>
            </w:pPr>
            <w:r w:rsidRPr="00125596">
              <w:rPr>
                <w:b/>
              </w:rPr>
              <w:t xml:space="preserve">                 -   </w:t>
            </w:r>
          </w:p>
        </w:tc>
        <w:tc>
          <w:tcPr>
            <w:tcW w:w="1031" w:type="dxa"/>
            <w:tcBorders>
              <w:top w:val="single" w:sz="12" w:space="0" w:color="auto"/>
              <w:bottom w:val="double" w:sz="4" w:space="0" w:color="auto"/>
            </w:tcBorders>
            <w:vAlign w:val="bottom"/>
          </w:tcPr>
          <w:p w14:paraId="7B719DBA" w14:textId="5BA8700F" w:rsidR="00125596" w:rsidRPr="00125596" w:rsidRDefault="00125596" w:rsidP="00125596">
            <w:pPr>
              <w:jc w:val="right"/>
              <w:rPr>
                <w:b/>
                <w:lang w:val="en-US" w:eastAsia="en-AU"/>
              </w:rPr>
            </w:pPr>
            <w:r w:rsidRPr="00125596">
              <w:rPr>
                <w:b/>
              </w:rPr>
              <w:t xml:space="preserve">                 -   </w:t>
            </w:r>
          </w:p>
        </w:tc>
        <w:tc>
          <w:tcPr>
            <w:tcW w:w="1130" w:type="dxa"/>
            <w:tcBorders>
              <w:top w:val="single" w:sz="12" w:space="0" w:color="auto"/>
              <w:bottom w:val="double" w:sz="4" w:space="0" w:color="auto"/>
              <w:right w:val="single" w:sz="12" w:space="0" w:color="auto"/>
            </w:tcBorders>
            <w:vAlign w:val="bottom"/>
          </w:tcPr>
          <w:p w14:paraId="50BCD8D0" w14:textId="67DFCC22" w:rsidR="00125596" w:rsidRPr="00125596" w:rsidRDefault="00125596" w:rsidP="00125596">
            <w:pPr>
              <w:jc w:val="right"/>
              <w:rPr>
                <w:b/>
                <w:lang w:val="en-US" w:eastAsia="en-AU"/>
              </w:rPr>
            </w:pPr>
            <w:r w:rsidRPr="00125596">
              <w:rPr>
                <w:b/>
              </w:rPr>
              <w:t xml:space="preserve">               804 </w:t>
            </w:r>
          </w:p>
        </w:tc>
        <w:tc>
          <w:tcPr>
            <w:tcW w:w="1143" w:type="dxa"/>
            <w:tcBorders>
              <w:top w:val="single" w:sz="12" w:space="0" w:color="auto"/>
              <w:left w:val="single" w:sz="12" w:space="0" w:color="auto"/>
              <w:bottom w:val="double" w:sz="4" w:space="0" w:color="auto"/>
              <w:right w:val="single" w:sz="12" w:space="0" w:color="auto"/>
            </w:tcBorders>
            <w:vAlign w:val="bottom"/>
          </w:tcPr>
          <w:p w14:paraId="77D6814B" w14:textId="0FA728A5" w:rsidR="00125596" w:rsidRPr="00125596" w:rsidRDefault="00125596" w:rsidP="00125596">
            <w:pPr>
              <w:jc w:val="right"/>
              <w:rPr>
                <w:b/>
                <w:lang w:val="en-US" w:eastAsia="en-AU"/>
              </w:rPr>
            </w:pPr>
            <w:r w:rsidRPr="00125596">
              <w:rPr>
                <w:b/>
              </w:rPr>
              <w:t xml:space="preserve">              804 </w:t>
            </w:r>
          </w:p>
        </w:tc>
        <w:tc>
          <w:tcPr>
            <w:tcW w:w="1092" w:type="dxa"/>
            <w:tcBorders>
              <w:top w:val="single" w:sz="12" w:space="0" w:color="auto"/>
              <w:left w:val="single" w:sz="12" w:space="0" w:color="auto"/>
              <w:bottom w:val="double" w:sz="4" w:space="0" w:color="auto"/>
            </w:tcBorders>
            <w:vAlign w:val="bottom"/>
          </w:tcPr>
          <w:p w14:paraId="7B2B235D" w14:textId="1ACEF1D3" w:rsidR="00125596" w:rsidRPr="00125596" w:rsidRDefault="00125596" w:rsidP="00125596">
            <w:pPr>
              <w:jc w:val="right"/>
              <w:rPr>
                <w:b/>
                <w:lang w:val="en-US" w:eastAsia="en-AU"/>
              </w:rPr>
            </w:pPr>
            <w:r w:rsidRPr="00125596">
              <w:rPr>
                <w:b/>
              </w:rPr>
              <w:t xml:space="preserve">              804 </w:t>
            </w:r>
          </w:p>
        </w:tc>
        <w:tc>
          <w:tcPr>
            <w:tcW w:w="1121" w:type="dxa"/>
            <w:tcBorders>
              <w:top w:val="single" w:sz="12" w:space="0" w:color="auto"/>
              <w:bottom w:val="double" w:sz="4" w:space="0" w:color="auto"/>
            </w:tcBorders>
            <w:vAlign w:val="bottom"/>
          </w:tcPr>
          <w:p w14:paraId="40F89036" w14:textId="101FE1C1" w:rsidR="00125596" w:rsidRPr="00125596" w:rsidRDefault="00125596" w:rsidP="00125596">
            <w:pPr>
              <w:jc w:val="right"/>
              <w:rPr>
                <w:b/>
                <w:lang w:val="en-US" w:eastAsia="en-AU"/>
              </w:rPr>
            </w:pPr>
            <w:r w:rsidRPr="00125596">
              <w:rPr>
                <w:b/>
              </w:rPr>
              <w:t xml:space="preserve">                 -   </w:t>
            </w:r>
          </w:p>
        </w:tc>
        <w:tc>
          <w:tcPr>
            <w:tcW w:w="1121" w:type="dxa"/>
            <w:tcBorders>
              <w:top w:val="single" w:sz="12" w:space="0" w:color="auto"/>
              <w:bottom w:val="double" w:sz="4" w:space="0" w:color="auto"/>
            </w:tcBorders>
            <w:vAlign w:val="bottom"/>
          </w:tcPr>
          <w:p w14:paraId="1AC130F9" w14:textId="32246223" w:rsidR="00125596" w:rsidRPr="00125596" w:rsidRDefault="00125596" w:rsidP="00125596">
            <w:pPr>
              <w:jc w:val="right"/>
              <w:rPr>
                <w:b/>
                <w:lang w:val="en-US" w:eastAsia="en-AU"/>
              </w:rPr>
            </w:pPr>
            <w:r w:rsidRPr="00125596">
              <w:rPr>
                <w:b/>
              </w:rPr>
              <w:t xml:space="preserve">                 -   </w:t>
            </w:r>
          </w:p>
        </w:tc>
        <w:tc>
          <w:tcPr>
            <w:tcW w:w="1197" w:type="dxa"/>
            <w:tcBorders>
              <w:top w:val="single" w:sz="12" w:space="0" w:color="auto"/>
              <w:bottom w:val="double" w:sz="4" w:space="0" w:color="auto"/>
            </w:tcBorders>
            <w:vAlign w:val="bottom"/>
          </w:tcPr>
          <w:p w14:paraId="008093A2" w14:textId="38D594F5" w:rsidR="00125596" w:rsidRPr="00125596" w:rsidRDefault="00125596" w:rsidP="00125596">
            <w:pPr>
              <w:jc w:val="right"/>
              <w:rPr>
                <w:b/>
                <w:lang w:val="en-US" w:eastAsia="en-AU"/>
              </w:rPr>
            </w:pPr>
            <w:r w:rsidRPr="00125596">
              <w:rPr>
                <w:b/>
              </w:rPr>
              <w:t xml:space="preserve">                 -   </w:t>
            </w:r>
          </w:p>
        </w:tc>
        <w:tc>
          <w:tcPr>
            <w:tcW w:w="987" w:type="dxa"/>
            <w:tcBorders>
              <w:top w:val="single" w:sz="12" w:space="0" w:color="auto"/>
              <w:bottom w:val="double" w:sz="4" w:space="0" w:color="auto"/>
            </w:tcBorders>
            <w:vAlign w:val="bottom"/>
          </w:tcPr>
          <w:p w14:paraId="5FAC52CA" w14:textId="74C05657" w:rsidR="00125596" w:rsidRPr="00125596" w:rsidRDefault="00125596" w:rsidP="00125596">
            <w:pPr>
              <w:jc w:val="right"/>
              <w:rPr>
                <w:b/>
                <w:lang w:val="en-US" w:eastAsia="en-AU"/>
              </w:rPr>
            </w:pPr>
            <w:r w:rsidRPr="00125596">
              <w:rPr>
                <w:b/>
              </w:rPr>
              <w:t xml:space="preserve">                   -   </w:t>
            </w:r>
          </w:p>
        </w:tc>
      </w:tr>
    </w:tbl>
    <w:p w14:paraId="1E08C83D" w14:textId="77777777" w:rsidR="00980D36" w:rsidRDefault="00980D36" w:rsidP="00980D36">
      <w:pPr>
        <w:rPr>
          <w:vertAlign w:val="superscript"/>
          <w:lang w:val="en-US" w:eastAsia="en-AU"/>
        </w:rPr>
      </w:pPr>
    </w:p>
    <w:p w14:paraId="16DD658B" w14:textId="28F45563" w:rsidR="00125596" w:rsidRPr="00125596" w:rsidRDefault="00125596" w:rsidP="00026A6F">
      <w:pPr>
        <w:pStyle w:val="ListParagraph"/>
        <w:numPr>
          <w:ilvl w:val="0"/>
          <w:numId w:val="54"/>
        </w:numPr>
        <w:rPr>
          <w:vertAlign w:val="superscript"/>
          <w:lang w:val="en-US" w:eastAsia="en-AU"/>
        </w:rPr>
      </w:pPr>
      <w:r>
        <w:rPr>
          <w:lang w:val="en-US" w:eastAsia="en-AU"/>
        </w:rPr>
        <w:t xml:space="preserve">The amount of Receivables excludes GST recoverable from the ATO (statutory receivable). </w:t>
      </w:r>
    </w:p>
    <w:p w14:paraId="7F98EE21" w14:textId="77777777" w:rsidR="00125596" w:rsidRDefault="00125596" w:rsidP="00125596">
      <w:pPr>
        <w:rPr>
          <w:vertAlign w:val="superscript"/>
          <w:lang w:val="en-US" w:eastAsia="en-AU"/>
        </w:rPr>
      </w:pPr>
    </w:p>
    <w:p w14:paraId="1398DA5A" w14:textId="69FD7247" w:rsidR="00125596" w:rsidRDefault="00125596">
      <w:pPr>
        <w:keepLines w:val="0"/>
        <w:spacing w:after="0" w:line="240" w:lineRule="auto"/>
        <w:rPr>
          <w:vertAlign w:val="superscript"/>
          <w:lang w:val="en-US" w:eastAsia="en-AU"/>
        </w:rPr>
      </w:pPr>
      <w:r>
        <w:rPr>
          <w:vertAlign w:val="superscript"/>
          <w:lang w:val="en-US" w:eastAsia="en-AU"/>
        </w:rPr>
        <w:br w:type="page"/>
      </w:r>
    </w:p>
    <w:p w14:paraId="3B1607DA" w14:textId="44A26F24" w:rsidR="00125596" w:rsidRDefault="00125596" w:rsidP="00026A6F">
      <w:pPr>
        <w:pStyle w:val="ListParagraph"/>
        <w:numPr>
          <w:ilvl w:val="0"/>
          <w:numId w:val="53"/>
        </w:numPr>
        <w:rPr>
          <w:b/>
          <w:lang w:val="en-US" w:eastAsia="en-AU"/>
        </w:rPr>
      </w:pPr>
      <w:r>
        <w:rPr>
          <w:b/>
          <w:lang w:val="en-US" w:eastAsia="en-AU"/>
        </w:rPr>
        <w:t xml:space="preserve">Interest rate sensitivity analysis </w:t>
      </w:r>
      <w:r>
        <w:rPr>
          <w:b/>
          <w:lang w:val="en-US" w:eastAsia="en-AU"/>
        </w:rPr>
        <w:br/>
      </w:r>
    </w:p>
    <w:p w14:paraId="5518D8C5" w14:textId="77777777" w:rsidR="00125596" w:rsidRDefault="00125596" w:rsidP="00125596">
      <w:pPr>
        <w:rPr>
          <w:lang w:val="en-US" w:eastAsia="en-AU"/>
        </w:rPr>
      </w:pPr>
      <w:r w:rsidRPr="00125596">
        <w:rPr>
          <w:lang w:val="en-US" w:eastAsia="en-AU"/>
        </w:rPr>
        <w:t>The following table represents a summary of the interest rate sensitivity of the Authority’s financial assets and liabilities at the end of the reporting period on the surplus for the period and equity for a 1% change in interest rates. It is assumed that the change in interest rates is held constant thro</w:t>
      </w:r>
      <w:r>
        <w:rPr>
          <w:lang w:val="en-US" w:eastAsia="en-AU"/>
        </w:rPr>
        <w:t>ughout the reporting period.</w:t>
      </w:r>
    </w:p>
    <w:p w14:paraId="3C9BCD8C" w14:textId="3853E240" w:rsidR="00125596" w:rsidRDefault="00125596" w:rsidP="00125596">
      <w:pPr>
        <w:rPr>
          <w:lang w:val="en-US" w:eastAsia="en-AU"/>
        </w:rPr>
      </w:pPr>
      <w:r>
        <w:rPr>
          <w:lang w:val="en-US" w:eastAsia="en-AU"/>
        </w:rPr>
        <w:tab/>
      </w:r>
      <w:r>
        <w:rPr>
          <w:lang w:val="en-US" w:eastAsia="en-AU"/>
        </w:rPr>
        <w:tab/>
      </w:r>
      <w:r>
        <w:rPr>
          <w:lang w:val="en-US" w:eastAsia="en-AU"/>
        </w:rPr>
        <w:tab/>
        <w:t xml:space="preserve">    </w:t>
      </w:r>
      <w:r w:rsidR="00026A6F">
        <w:rPr>
          <w:lang w:val="en-US" w:eastAsia="en-AU"/>
        </w:rPr>
        <w:t xml:space="preserve">   </w:t>
      </w:r>
      <w:r w:rsidR="00B33C01">
        <w:rPr>
          <w:lang w:val="en-US" w:eastAsia="en-AU"/>
        </w:rPr>
        <w:t xml:space="preserve"> </w:t>
      </w:r>
      <w:r w:rsidR="00026A6F">
        <w:rPr>
          <w:lang w:val="en-US" w:eastAsia="en-AU"/>
        </w:rPr>
        <w:t xml:space="preserve">    </w:t>
      </w:r>
      <w:r>
        <w:rPr>
          <w:lang w:val="en-US" w:eastAsia="en-AU"/>
        </w:rPr>
        <w:t>Carrying amount</w:t>
      </w:r>
      <w:r>
        <w:rPr>
          <w:lang w:val="en-US" w:eastAsia="en-AU"/>
        </w:rPr>
        <w:tab/>
      </w:r>
      <w:r>
        <w:rPr>
          <w:lang w:val="en-US" w:eastAsia="en-AU"/>
        </w:rPr>
        <w:tab/>
      </w:r>
      <w:r w:rsidR="00026A6F">
        <w:rPr>
          <w:lang w:val="en-US" w:eastAsia="en-AU"/>
        </w:rPr>
        <w:t xml:space="preserve">                      </w:t>
      </w:r>
      <w:r w:rsidR="00B33C01">
        <w:rPr>
          <w:lang w:val="en-US" w:eastAsia="en-AU"/>
        </w:rPr>
        <w:t xml:space="preserve"> </w:t>
      </w:r>
      <w:r w:rsidR="00026A6F">
        <w:rPr>
          <w:lang w:val="en-US" w:eastAsia="en-AU"/>
        </w:rPr>
        <w:t xml:space="preserve">  </w:t>
      </w:r>
      <w:r w:rsidR="00B33C01">
        <w:rPr>
          <w:lang w:val="en-US" w:eastAsia="en-AU"/>
        </w:rPr>
        <w:t xml:space="preserve"> </w:t>
      </w:r>
      <w:r>
        <w:rPr>
          <w:lang w:val="en-US" w:eastAsia="en-AU"/>
        </w:rPr>
        <w:t>-100 base points</w:t>
      </w:r>
      <w:r w:rsidR="00B33C01">
        <w:rPr>
          <w:lang w:val="en-US" w:eastAsia="en-AU"/>
        </w:rPr>
        <w:tab/>
      </w:r>
      <w:r w:rsidR="00B33C01">
        <w:rPr>
          <w:lang w:val="en-US" w:eastAsia="en-AU"/>
        </w:rPr>
        <w:tab/>
      </w:r>
      <w:r w:rsidR="00B33C01">
        <w:rPr>
          <w:lang w:val="en-US" w:eastAsia="en-AU"/>
        </w:rPr>
        <w:tab/>
      </w:r>
      <w:r w:rsidR="00B33C01">
        <w:rPr>
          <w:lang w:val="en-US" w:eastAsia="en-AU"/>
        </w:rPr>
        <w:tab/>
      </w:r>
      <w:r w:rsidR="00026A6F">
        <w:rPr>
          <w:lang w:val="en-US" w:eastAsia="en-AU"/>
        </w:rPr>
        <w:t xml:space="preserve">      </w:t>
      </w:r>
      <w:r w:rsidR="00B33C01">
        <w:rPr>
          <w:lang w:val="en-US" w:eastAsia="en-AU"/>
        </w:rPr>
        <w:t>+100 base points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nterest rate sensitivity analysis"/>
        <w:tblDescription w:val="This table provides a summary of the interest rate sensitivity of the Authority's financial assets and liabilities at the end of the reporting period on the surplus for the period and equiry for a 1% change in interest rates. "/>
      </w:tblPr>
      <w:tblGrid>
        <w:gridCol w:w="2486"/>
        <w:gridCol w:w="2290"/>
        <w:gridCol w:w="2297"/>
        <w:gridCol w:w="2294"/>
        <w:gridCol w:w="2297"/>
        <w:gridCol w:w="2294"/>
      </w:tblGrid>
      <w:tr w:rsidR="00125596" w14:paraId="1D49919B" w14:textId="77777777" w:rsidTr="00F11774">
        <w:trPr>
          <w:tblHeader/>
        </w:trPr>
        <w:tc>
          <w:tcPr>
            <w:tcW w:w="2486" w:type="dxa"/>
          </w:tcPr>
          <w:p w14:paraId="36A7D36B" w14:textId="77777777" w:rsidR="00125596" w:rsidRDefault="00125596" w:rsidP="00125596">
            <w:pPr>
              <w:rPr>
                <w:lang w:val="en-US" w:eastAsia="en-AU"/>
              </w:rPr>
            </w:pPr>
          </w:p>
        </w:tc>
        <w:tc>
          <w:tcPr>
            <w:tcW w:w="2290" w:type="dxa"/>
          </w:tcPr>
          <w:p w14:paraId="5F668E6E" w14:textId="2E024013" w:rsidR="00125596" w:rsidRDefault="00B33C01" w:rsidP="00B33C01">
            <w:pPr>
              <w:jc w:val="right"/>
              <w:rPr>
                <w:lang w:val="en-US" w:eastAsia="en-AU"/>
              </w:rPr>
            </w:pPr>
            <w:r>
              <w:rPr>
                <w:lang w:val="en-US" w:eastAsia="en-AU"/>
              </w:rPr>
              <w:t>$000</w:t>
            </w:r>
          </w:p>
        </w:tc>
        <w:tc>
          <w:tcPr>
            <w:tcW w:w="2297" w:type="dxa"/>
          </w:tcPr>
          <w:p w14:paraId="7C72F4A3" w14:textId="18E35D90" w:rsidR="00125596" w:rsidRDefault="00B33C01" w:rsidP="00B33C01">
            <w:pPr>
              <w:jc w:val="right"/>
              <w:rPr>
                <w:lang w:val="en-US" w:eastAsia="en-AU"/>
              </w:rPr>
            </w:pPr>
            <w:r>
              <w:rPr>
                <w:lang w:val="en-US" w:eastAsia="en-AU"/>
              </w:rPr>
              <w:t>Surplus</w:t>
            </w:r>
          </w:p>
        </w:tc>
        <w:tc>
          <w:tcPr>
            <w:tcW w:w="2294" w:type="dxa"/>
          </w:tcPr>
          <w:p w14:paraId="612019E2" w14:textId="49BDFDB1" w:rsidR="00125596" w:rsidRDefault="00B33C01" w:rsidP="00B33C01">
            <w:pPr>
              <w:jc w:val="right"/>
              <w:rPr>
                <w:lang w:val="en-US" w:eastAsia="en-AU"/>
              </w:rPr>
            </w:pPr>
            <w:r>
              <w:rPr>
                <w:lang w:val="en-US" w:eastAsia="en-AU"/>
              </w:rPr>
              <w:t>Equity</w:t>
            </w:r>
          </w:p>
        </w:tc>
        <w:tc>
          <w:tcPr>
            <w:tcW w:w="2297" w:type="dxa"/>
          </w:tcPr>
          <w:p w14:paraId="278DD8EE" w14:textId="18BA4AB7" w:rsidR="00125596" w:rsidRDefault="00B33C01" w:rsidP="00B33C01">
            <w:pPr>
              <w:jc w:val="right"/>
              <w:rPr>
                <w:lang w:val="en-US" w:eastAsia="en-AU"/>
              </w:rPr>
            </w:pPr>
            <w:r>
              <w:rPr>
                <w:lang w:val="en-US" w:eastAsia="en-AU"/>
              </w:rPr>
              <w:t>Surplus</w:t>
            </w:r>
          </w:p>
        </w:tc>
        <w:tc>
          <w:tcPr>
            <w:tcW w:w="2294" w:type="dxa"/>
          </w:tcPr>
          <w:p w14:paraId="07C7F689" w14:textId="3DD11909" w:rsidR="00125596" w:rsidRDefault="00B33C01" w:rsidP="00B33C01">
            <w:pPr>
              <w:jc w:val="right"/>
              <w:rPr>
                <w:lang w:val="en-US" w:eastAsia="en-AU"/>
              </w:rPr>
            </w:pPr>
            <w:r>
              <w:rPr>
                <w:lang w:val="en-US" w:eastAsia="en-AU"/>
              </w:rPr>
              <w:t>Equity</w:t>
            </w:r>
          </w:p>
        </w:tc>
      </w:tr>
      <w:tr w:rsidR="00B33C01" w14:paraId="45854A6B" w14:textId="77777777" w:rsidTr="007F4C4C">
        <w:tc>
          <w:tcPr>
            <w:tcW w:w="2486" w:type="dxa"/>
          </w:tcPr>
          <w:p w14:paraId="2A63A4C0" w14:textId="65892BD6" w:rsidR="00B33C01" w:rsidRPr="00B33C01" w:rsidRDefault="00B33C01" w:rsidP="00B33C01">
            <w:pPr>
              <w:rPr>
                <w:b/>
                <w:lang w:val="en-US" w:eastAsia="en-AU"/>
              </w:rPr>
            </w:pPr>
            <w:r>
              <w:rPr>
                <w:b/>
                <w:lang w:val="en-US" w:eastAsia="en-AU"/>
              </w:rPr>
              <w:t>2018</w:t>
            </w:r>
          </w:p>
        </w:tc>
        <w:tc>
          <w:tcPr>
            <w:tcW w:w="2290" w:type="dxa"/>
          </w:tcPr>
          <w:p w14:paraId="4BB4317E" w14:textId="77777777" w:rsidR="00B33C01" w:rsidRDefault="00B33C01" w:rsidP="00B33C01">
            <w:pPr>
              <w:rPr>
                <w:lang w:val="en-US" w:eastAsia="en-AU"/>
              </w:rPr>
            </w:pPr>
          </w:p>
        </w:tc>
        <w:tc>
          <w:tcPr>
            <w:tcW w:w="2297" w:type="dxa"/>
          </w:tcPr>
          <w:p w14:paraId="5ADB7D26" w14:textId="5A63985E" w:rsidR="00B33C01" w:rsidRDefault="00B33C01" w:rsidP="00B33C01">
            <w:pPr>
              <w:jc w:val="right"/>
              <w:rPr>
                <w:lang w:val="en-US" w:eastAsia="en-AU"/>
              </w:rPr>
            </w:pPr>
            <w:r>
              <w:rPr>
                <w:lang w:val="en-US" w:eastAsia="en-AU"/>
              </w:rPr>
              <w:t>$000</w:t>
            </w:r>
          </w:p>
        </w:tc>
        <w:tc>
          <w:tcPr>
            <w:tcW w:w="2294" w:type="dxa"/>
          </w:tcPr>
          <w:p w14:paraId="315CF47F" w14:textId="6E9E7CA7" w:rsidR="00B33C01" w:rsidRDefault="00B33C01" w:rsidP="00B33C01">
            <w:pPr>
              <w:jc w:val="right"/>
              <w:rPr>
                <w:lang w:val="en-US" w:eastAsia="en-AU"/>
              </w:rPr>
            </w:pPr>
            <w:r w:rsidRPr="0014350E">
              <w:rPr>
                <w:lang w:val="en-US" w:eastAsia="en-AU"/>
              </w:rPr>
              <w:t>$000</w:t>
            </w:r>
          </w:p>
        </w:tc>
        <w:tc>
          <w:tcPr>
            <w:tcW w:w="2297" w:type="dxa"/>
          </w:tcPr>
          <w:p w14:paraId="561C6FDF" w14:textId="5120FE6A" w:rsidR="00B33C01" w:rsidRDefault="00B33C01" w:rsidP="00B33C01">
            <w:pPr>
              <w:jc w:val="right"/>
              <w:rPr>
                <w:lang w:val="en-US" w:eastAsia="en-AU"/>
              </w:rPr>
            </w:pPr>
            <w:r w:rsidRPr="0014350E">
              <w:rPr>
                <w:lang w:val="en-US" w:eastAsia="en-AU"/>
              </w:rPr>
              <w:t>$000</w:t>
            </w:r>
          </w:p>
        </w:tc>
        <w:tc>
          <w:tcPr>
            <w:tcW w:w="2294" w:type="dxa"/>
          </w:tcPr>
          <w:p w14:paraId="1BFC9FA5" w14:textId="79CD0A23" w:rsidR="00B33C01" w:rsidRDefault="00B33C01" w:rsidP="00B33C01">
            <w:pPr>
              <w:jc w:val="right"/>
              <w:rPr>
                <w:lang w:val="en-US" w:eastAsia="en-AU"/>
              </w:rPr>
            </w:pPr>
            <w:r w:rsidRPr="0014350E">
              <w:rPr>
                <w:lang w:val="en-US" w:eastAsia="en-AU"/>
              </w:rPr>
              <w:t>$000</w:t>
            </w:r>
          </w:p>
        </w:tc>
      </w:tr>
      <w:tr w:rsidR="00125596" w14:paraId="41D9DFB4" w14:textId="77777777" w:rsidTr="007F4C4C">
        <w:tc>
          <w:tcPr>
            <w:tcW w:w="2486" w:type="dxa"/>
          </w:tcPr>
          <w:p w14:paraId="2584BDAB" w14:textId="641B193A" w:rsidR="00125596" w:rsidRPr="007F4C4C" w:rsidRDefault="007F4C4C" w:rsidP="00125596">
            <w:pPr>
              <w:rPr>
                <w:u w:val="single"/>
                <w:lang w:val="en-US" w:eastAsia="en-AU"/>
              </w:rPr>
            </w:pPr>
            <w:r>
              <w:rPr>
                <w:u w:val="single"/>
                <w:lang w:val="en-US" w:eastAsia="en-AU"/>
              </w:rPr>
              <w:t>Financial Assets</w:t>
            </w:r>
          </w:p>
        </w:tc>
        <w:tc>
          <w:tcPr>
            <w:tcW w:w="2290" w:type="dxa"/>
          </w:tcPr>
          <w:p w14:paraId="706D17F1" w14:textId="77777777" w:rsidR="00125596" w:rsidRDefault="00125596" w:rsidP="00125596">
            <w:pPr>
              <w:rPr>
                <w:lang w:val="en-US" w:eastAsia="en-AU"/>
              </w:rPr>
            </w:pPr>
          </w:p>
        </w:tc>
        <w:tc>
          <w:tcPr>
            <w:tcW w:w="2297" w:type="dxa"/>
          </w:tcPr>
          <w:p w14:paraId="243C7C0D" w14:textId="77777777" w:rsidR="00125596" w:rsidRDefault="00125596" w:rsidP="00125596">
            <w:pPr>
              <w:rPr>
                <w:lang w:val="en-US" w:eastAsia="en-AU"/>
              </w:rPr>
            </w:pPr>
          </w:p>
        </w:tc>
        <w:tc>
          <w:tcPr>
            <w:tcW w:w="2294" w:type="dxa"/>
          </w:tcPr>
          <w:p w14:paraId="3F6FD02C" w14:textId="77777777" w:rsidR="00125596" w:rsidRDefault="00125596" w:rsidP="00125596">
            <w:pPr>
              <w:rPr>
                <w:lang w:val="en-US" w:eastAsia="en-AU"/>
              </w:rPr>
            </w:pPr>
          </w:p>
        </w:tc>
        <w:tc>
          <w:tcPr>
            <w:tcW w:w="2297" w:type="dxa"/>
          </w:tcPr>
          <w:p w14:paraId="3F91EC78" w14:textId="77777777" w:rsidR="00125596" w:rsidRDefault="00125596" w:rsidP="00125596">
            <w:pPr>
              <w:rPr>
                <w:lang w:val="en-US" w:eastAsia="en-AU"/>
              </w:rPr>
            </w:pPr>
          </w:p>
        </w:tc>
        <w:tc>
          <w:tcPr>
            <w:tcW w:w="2294" w:type="dxa"/>
          </w:tcPr>
          <w:p w14:paraId="5C29922E" w14:textId="77777777" w:rsidR="00125596" w:rsidRDefault="00125596" w:rsidP="00125596">
            <w:pPr>
              <w:rPr>
                <w:lang w:val="en-US" w:eastAsia="en-AU"/>
              </w:rPr>
            </w:pPr>
          </w:p>
        </w:tc>
      </w:tr>
      <w:tr w:rsidR="007F4C4C" w14:paraId="6B1CDD35" w14:textId="77777777" w:rsidTr="00DA304E">
        <w:tc>
          <w:tcPr>
            <w:tcW w:w="2486" w:type="dxa"/>
          </w:tcPr>
          <w:p w14:paraId="5E67D2EE" w14:textId="7EA3BA35" w:rsidR="007F4C4C" w:rsidRDefault="007F4C4C" w:rsidP="007F4C4C">
            <w:pPr>
              <w:rPr>
                <w:lang w:val="en-US" w:eastAsia="en-AU"/>
              </w:rPr>
            </w:pPr>
            <w:r>
              <w:rPr>
                <w:lang w:val="en-US" w:eastAsia="en-AU"/>
              </w:rPr>
              <w:t>Cash and cash equivalents</w:t>
            </w:r>
          </w:p>
        </w:tc>
        <w:tc>
          <w:tcPr>
            <w:tcW w:w="2290" w:type="dxa"/>
            <w:vAlign w:val="bottom"/>
          </w:tcPr>
          <w:p w14:paraId="5013ECCC" w14:textId="5EF07CB9" w:rsidR="007F4C4C" w:rsidRDefault="007F4C4C" w:rsidP="007F4C4C">
            <w:pPr>
              <w:jc w:val="right"/>
              <w:rPr>
                <w:lang w:val="en-US" w:eastAsia="en-AU"/>
              </w:rPr>
            </w:pPr>
            <w:r>
              <w:t xml:space="preserve">            3,044 </w:t>
            </w:r>
          </w:p>
        </w:tc>
        <w:tc>
          <w:tcPr>
            <w:tcW w:w="2297" w:type="dxa"/>
            <w:vAlign w:val="bottom"/>
          </w:tcPr>
          <w:p w14:paraId="27701D03" w14:textId="026D08A2" w:rsidR="007F4C4C" w:rsidRPr="007F4C4C" w:rsidRDefault="007F4C4C" w:rsidP="007F4C4C">
            <w:pPr>
              <w:jc w:val="right"/>
              <w:rPr>
                <w:color w:val="FF0000"/>
                <w:lang w:val="en-US" w:eastAsia="en-AU"/>
              </w:rPr>
            </w:pPr>
            <w:r w:rsidRPr="007F4C4C">
              <w:rPr>
                <w:color w:val="FF0000"/>
              </w:rPr>
              <w:t>(30)</w:t>
            </w:r>
          </w:p>
        </w:tc>
        <w:tc>
          <w:tcPr>
            <w:tcW w:w="2294" w:type="dxa"/>
            <w:vAlign w:val="bottom"/>
          </w:tcPr>
          <w:p w14:paraId="1315B9D5" w14:textId="2BF0CD80" w:rsidR="007F4C4C" w:rsidRPr="007F4C4C" w:rsidRDefault="007F4C4C" w:rsidP="007F4C4C">
            <w:pPr>
              <w:jc w:val="right"/>
              <w:rPr>
                <w:color w:val="FF0000"/>
                <w:lang w:val="en-US" w:eastAsia="en-AU"/>
              </w:rPr>
            </w:pPr>
            <w:r w:rsidRPr="007F4C4C">
              <w:rPr>
                <w:color w:val="FF0000"/>
              </w:rPr>
              <w:t>(30)</w:t>
            </w:r>
          </w:p>
        </w:tc>
        <w:tc>
          <w:tcPr>
            <w:tcW w:w="2297" w:type="dxa"/>
            <w:vAlign w:val="bottom"/>
          </w:tcPr>
          <w:p w14:paraId="4386EDA1" w14:textId="1AF9E068" w:rsidR="007F4C4C" w:rsidRDefault="007F4C4C" w:rsidP="007F4C4C">
            <w:pPr>
              <w:jc w:val="right"/>
              <w:rPr>
                <w:lang w:val="en-US" w:eastAsia="en-AU"/>
              </w:rPr>
            </w:pPr>
            <w:r>
              <w:t xml:space="preserve">30 </w:t>
            </w:r>
          </w:p>
        </w:tc>
        <w:tc>
          <w:tcPr>
            <w:tcW w:w="2294" w:type="dxa"/>
            <w:vAlign w:val="bottom"/>
          </w:tcPr>
          <w:p w14:paraId="2A571DBE" w14:textId="7F22C13B" w:rsidR="007F4C4C" w:rsidRDefault="007F4C4C" w:rsidP="007F4C4C">
            <w:pPr>
              <w:jc w:val="right"/>
              <w:rPr>
                <w:lang w:val="en-US" w:eastAsia="en-AU"/>
              </w:rPr>
            </w:pPr>
            <w:r>
              <w:t xml:space="preserve">30 </w:t>
            </w:r>
          </w:p>
        </w:tc>
      </w:tr>
      <w:tr w:rsidR="007F4C4C" w14:paraId="25C19227" w14:textId="77777777" w:rsidTr="00026A6F">
        <w:tc>
          <w:tcPr>
            <w:tcW w:w="2486" w:type="dxa"/>
          </w:tcPr>
          <w:p w14:paraId="4D5F3CA1" w14:textId="6A2B71EC" w:rsidR="007F4C4C" w:rsidRDefault="007F4C4C" w:rsidP="007F4C4C">
            <w:pPr>
              <w:rPr>
                <w:lang w:val="en-US" w:eastAsia="en-AU"/>
              </w:rPr>
            </w:pPr>
            <w:r>
              <w:rPr>
                <w:lang w:val="en-US" w:eastAsia="en-AU"/>
              </w:rPr>
              <w:t>Restricted cash and cash equivalents</w:t>
            </w:r>
          </w:p>
        </w:tc>
        <w:tc>
          <w:tcPr>
            <w:tcW w:w="2290" w:type="dxa"/>
            <w:vAlign w:val="bottom"/>
          </w:tcPr>
          <w:p w14:paraId="59A5C86D" w14:textId="4AEDB766" w:rsidR="007F4C4C" w:rsidRDefault="007F4C4C" w:rsidP="007F4C4C">
            <w:pPr>
              <w:jc w:val="right"/>
              <w:rPr>
                <w:lang w:val="en-US" w:eastAsia="en-AU"/>
              </w:rPr>
            </w:pPr>
            <w:r>
              <w:t xml:space="preserve">          86,623 </w:t>
            </w:r>
          </w:p>
        </w:tc>
        <w:tc>
          <w:tcPr>
            <w:tcW w:w="2297" w:type="dxa"/>
            <w:tcBorders>
              <w:bottom w:val="single" w:sz="12" w:space="0" w:color="auto"/>
            </w:tcBorders>
            <w:vAlign w:val="bottom"/>
          </w:tcPr>
          <w:p w14:paraId="4806D291" w14:textId="50086624" w:rsidR="007F4C4C" w:rsidRPr="007F4C4C" w:rsidRDefault="007F4C4C" w:rsidP="007F4C4C">
            <w:pPr>
              <w:jc w:val="right"/>
              <w:rPr>
                <w:color w:val="FF0000"/>
                <w:lang w:val="en-US" w:eastAsia="en-AU"/>
              </w:rPr>
            </w:pPr>
            <w:r w:rsidRPr="007F4C4C">
              <w:rPr>
                <w:color w:val="FF0000"/>
              </w:rPr>
              <w:t>(866)</w:t>
            </w:r>
          </w:p>
        </w:tc>
        <w:tc>
          <w:tcPr>
            <w:tcW w:w="2294" w:type="dxa"/>
            <w:tcBorders>
              <w:bottom w:val="single" w:sz="12" w:space="0" w:color="auto"/>
            </w:tcBorders>
            <w:vAlign w:val="bottom"/>
          </w:tcPr>
          <w:p w14:paraId="48C8DDC4" w14:textId="6D435E39" w:rsidR="007F4C4C" w:rsidRPr="007F4C4C" w:rsidRDefault="007F4C4C" w:rsidP="007F4C4C">
            <w:pPr>
              <w:jc w:val="right"/>
              <w:rPr>
                <w:color w:val="FF0000"/>
                <w:lang w:val="en-US" w:eastAsia="en-AU"/>
              </w:rPr>
            </w:pPr>
            <w:r w:rsidRPr="007F4C4C">
              <w:rPr>
                <w:color w:val="FF0000"/>
              </w:rPr>
              <w:t>(866)</w:t>
            </w:r>
          </w:p>
        </w:tc>
        <w:tc>
          <w:tcPr>
            <w:tcW w:w="2297" w:type="dxa"/>
            <w:tcBorders>
              <w:bottom w:val="single" w:sz="12" w:space="0" w:color="auto"/>
            </w:tcBorders>
            <w:vAlign w:val="bottom"/>
          </w:tcPr>
          <w:p w14:paraId="5CF080EB" w14:textId="735BF143" w:rsidR="007F4C4C" w:rsidRDefault="007F4C4C" w:rsidP="007F4C4C">
            <w:pPr>
              <w:jc w:val="right"/>
              <w:rPr>
                <w:lang w:val="en-US" w:eastAsia="en-AU"/>
              </w:rPr>
            </w:pPr>
            <w:r>
              <w:t xml:space="preserve">866 </w:t>
            </w:r>
          </w:p>
        </w:tc>
        <w:tc>
          <w:tcPr>
            <w:tcW w:w="2294" w:type="dxa"/>
            <w:tcBorders>
              <w:bottom w:val="single" w:sz="12" w:space="0" w:color="auto"/>
            </w:tcBorders>
            <w:vAlign w:val="bottom"/>
          </w:tcPr>
          <w:p w14:paraId="118E939C" w14:textId="294388DC" w:rsidR="007F4C4C" w:rsidRDefault="007F4C4C" w:rsidP="007F4C4C">
            <w:pPr>
              <w:jc w:val="right"/>
              <w:rPr>
                <w:lang w:val="en-US" w:eastAsia="en-AU"/>
              </w:rPr>
            </w:pPr>
            <w:r>
              <w:t xml:space="preserve">866 </w:t>
            </w:r>
          </w:p>
        </w:tc>
      </w:tr>
      <w:tr w:rsidR="007F4C4C" w14:paraId="312934B3" w14:textId="77777777" w:rsidTr="00026A6F">
        <w:tc>
          <w:tcPr>
            <w:tcW w:w="2486" w:type="dxa"/>
          </w:tcPr>
          <w:p w14:paraId="0E10AAC7" w14:textId="1FBE4F84" w:rsidR="007F4C4C" w:rsidRPr="007F4C4C" w:rsidRDefault="007F4C4C" w:rsidP="007F4C4C">
            <w:pPr>
              <w:rPr>
                <w:b/>
                <w:lang w:val="en-US" w:eastAsia="en-AU"/>
              </w:rPr>
            </w:pPr>
            <w:r>
              <w:rPr>
                <w:b/>
                <w:lang w:val="en-US" w:eastAsia="en-AU"/>
              </w:rPr>
              <w:t>Total increase/(Decrease)</w:t>
            </w:r>
          </w:p>
        </w:tc>
        <w:tc>
          <w:tcPr>
            <w:tcW w:w="2290" w:type="dxa"/>
          </w:tcPr>
          <w:p w14:paraId="30744825" w14:textId="77777777" w:rsidR="007F4C4C" w:rsidRDefault="007F4C4C" w:rsidP="007F4C4C">
            <w:pPr>
              <w:rPr>
                <w:lang w:val="en-US" w:eastAsia="en-AU"/>
              </w:rPr>
            </w:pPr>
          </w:p>
        </w:tc>
        <w:tc>
          <w:tcPr>
            <w:tcW w:w="2297" w:type="dxa"/>
            <w:tcBorders>
              <w:top w:val="single" w:sz="12" w:space="0" w:color="auto"/>
              <w:bottom w:val="double" w:sz="4" w:space="0" w:color="auto"/>
            </w:tcBorders>
            <w:vAlign w:val="bottom"/>
          </w:tcPr>
          <w:p w14:paraId="78008197" w14:textId="22F0FF41" w:rsidR="007F4C4C" w:rsidRPr="007F4C4C" w:rsidRDefault="007F4C4C" w:rsidP="007F4C4C">
            <w:pPr>
              <w:jc w:val="right"/>
              <w:rPr>
                <w:b/>
                <w:color w:val="FF0000"/>
                <w:lang w:val="en-US" w:eastAsia="en-AU"/>
              </w:rPr>
            </w:pPr>
            <w:r w:rsidRPr="007F4C4C">
              <w:rPr>
                <w:b/>
                <w:color w:val="FF0000"/>
              </w:rPr>
              <w:t>(896)</w:t>
            </w:r>
          </w:p>
        </w:tc>
        <w:tc>
          <w:tcPr>
            <w:tcW w:w="2294" w:type="dxa"/>
            <w:tcBorders>
              <w:top w:val="single" w:sz="12" w:space="0" w:color="auto"/>
              <w:bottom w:val="double" w:sz="4" w:space="0" w:color="auto"/>
            </w:tcBorders>
            <w:vAlign w:val="bottom"/>
          </w:tcPr>
          <w:p w14:paraId="46786901" w14:textId="127D245A" w:rsidR="007F4C4C" w:rsidRPr="007F4C4C" w:rsidRDefault="007F4C4C" w:rsidP="007F4C4C">
            <w:pPr>
              <w:jc w:val="right"/>
              <w:rPr>
                <w:b/>
                <w:color w:val="FF0000"/>
                <w:lang w:val="en-US" w:eastAsia="en-AU"/>
              </w:rPr>
            </w:pPr>
            <w:r w:rsidRPr="007F4C4C">
              <w:rPr>
                <w:b/>
                <w:color w:val="FF0000"/>
              </w:rPr>
              <w:t>(896)</w:t>
            </w:r>
          </w:p>
        </w:tc>
        <w:tc>
          <w:tcPr>
            <w:tcW w:w="2297" w:type="dxa"/>
            <w:tcBorders>
              <w:top w:val="single" w:sz="12" w:space="0" w:color="auto"/>
              <w:bottom w:val="double" w:sz="4" w:space="0" w:color="auto"/>
            </w:tcBorders>
            <w:vAlign w:val="bottom"/>
          </w:tcPr>
          <w:p w14:paraId="14611B9D" w14:textId="3189D509" w:rsidR="007F4C4C" w:rsidRPr="007F4C4C" w:rsidRDefault="007F4C4C" w:rsidP="007F4C4C">
            <w:pPr>
              <w:jc w:val="right"/>
              <w:rPr>
                <w:b/>
                <w:lang w:val="en-US" w:eastAsia="en-AU"/>
              </w:rPr>
            </w:pPr>
            <w:r w:rsidRPr="007F4C4C">
              <w:rPr>
                <w:b/>
              </w:rPr>
              <w:t xml:space="preserve">896 </w:t>
            </w:r>
          </w:p>
        </w:tc>
        <w:tc>
          <w:tcPr>
            <w:tcW w:w="2294" w:type="dxa"/>
            <w:tcBorders>
              <w:top w:val="single" w:sz="12" w:space="0" w:color="auto"/>
              <w:bottom w:val="double" w:sz="4" w:space="0" w:color="auto"/>
            </w:tcBorders>
            <w:vAlign w:val="bottom"/>
          </w:tcPr>
          <w:p w14:paraId="6C6D1E1D" w14:textId="0FBE8A25" w:rsidR="007F4C4C" w:rsidRPr="007F4C4C" w:rsidRDefault="007F4C4C" w:rsidP="007F4C4C">
            <w:pPr>
              <w:jc w:val="right"/>
              <w:rPr>
                <w:b/>
                <w:lang w:val="en-US" w:eastAsia="en-AU"/>
              </w:rPr>
            </w:pPr>
            <w:r w:rsidRPr="007F4C4C">
              <w:rPr>
                <w:b/>
              </w:rPr>
              <w:t xml:space="preserve">896 </w:t>
            </w:r>
          </w:p>
        </w:tc>
      </w:tr>
      <w:tr w:rsidR="00125596" w14:paraId="710EE25E" w14:textId="77777777" w:rsidTr="00026A6F">
        <w:tc>
          <w:tcPr>
            <w:tcW w:w="2486" w:type="dxa"/>
          </w:tcPr>
          <w:p w14:paraId="4048F7D9" w14:textId="77777777" w:rsidR="00125596" w:rsidRDefault="00125596" w:rsidP="00125596">
            <w:pPr>
              <w:rPr>
                <w:lang w:val="en-US" w:eastAsia="en-AU"/>
              </w:rPr>
            </w:pPr>
          </w:p>
          <w:p w14:paraId="4A5915A0" w14:textId="77777777" w:rsidR="00026A6F" w:rsidRDefault="00026A6F" w:rsidP="00125596">
            <w:pPr>
              <w:rPr>
                <w:lang w:val="en-US" w:eastAsia="en-AU"/>
              </w:rPr>
            </w:pPr>
          </w:p>
          <w:p w14:paraId="569F7424" w14:textId="77777777" w:rsidR="00026A6F" w:rsidRDefault="00026A6F" w:rsidP="00125596">
            <w:pPr>
              <w:rPr>
                <w:lang w:val="en-US" w:eastAsia="en-AU"/>
              </w:rPr>
            </w:pPr>
          </w:p>
          <w:p w14:paraId="14D77BBD" w14:textId="77777777" w:rsidR="00026A6F" w:rsidRDefault="00026A6F" w:rsidP="00125596">
            <w:pPr>
              <w:rPr>
                <w:lang w:val="en-US" w:eastAsia="en-AU"/>
              </w:rPr>
            </w:pPr>
          </w:p>
        </w:tc>
        <w:tc>
          <w:tcPr>
            <w:tcW w:w="2290" w:type="dxa"/>
          </w:tcPr>
          <w:p w14:paraId="29B2CACB" w14:textId="77777777" w:rsidR="00125596" w:rsidRDefault="00125596" w:rsidP="00026A6F">
            <w:pPr>
              <w:jc w:val="right"/>
              <w:rPr>
                <w:lang w:val="en-US" w:eastAsia="en-AU"/>
              </w:rPr>
            </w:pPr>
          </w:p>
        </w:tc>
        <w:tc>
          <w:tcPr>
            <w:tcW w:w="2297" w:type="dxa"/>
            <w:tcBorders>
              <w:top w:val="double" w:sz="4" w:space="0" w:color="auto"/>
            </w:tcBorders>
          </w:tcPr>
          <w:p w14:paraId="4B1A8C03" w14:textId="77777777" w:rsidR="00125596" w:rsidRDefault="00125596" w:rsidP="00125596">
            <w:pPr>
              <w:rPr>
                <w:lang w:val="en-US" w:eastAsia="en-AU"/>
              </w:rPr>
            </w:pPr>
          </w:p>
        </w:tc>
        <w:tc>
          <w:tcPr>
            <w:tcW w:w="2294" w:type="dxa"/>
            <w:tcBorders>
              <w:top w:val="double" w:sz="4" w:space="0" w:color="auto"/>
            </w:tcBorders>
          </w:tcPr>
          <w:p w14:paraId="547A26C1" w14:textId="77777777" w:rsidR="00125596" w:rsidRDefault="00125596" w:rsidP="00125596">
            <w:pPr>
              <w:rPr>
                <w:lang w:val="en-US" w:eastAsia="en-AU"/>
              </w:rPr>
            </w:pPr>
          </w:p>
        </w:tc>
        <w:tc>
          <w:tcPr>
            <w:tcW w:w="2297" w:type="dxa"/>
            <w:tcBorders>
              <w:top w:val="double" w:sz="4" w:space="0" w:color="auto"/>
            </w:tcBorders>
          </w:tcPr>
          <w:p w14:paraId="6D2DA7E1" w14:textId="77777777" w:rsidR="00125596" w:rsidRDefault="00125596" w:rsidP="00125596">
            <w:pPr>
              <w:rPr>
                <w:lang w:val="en-US" w:eastAsia="en-AU"/>
              </w:rPr>
            </w:pPr>
          </w:p>
        </w:tc>
        <w:tc>
          <w:tcPr>
            <w:tcW w:w="2294" w:type="dxa"/>
            <w:tcBorders>
              <w:top w:val="double" w:sz="4" w:space="0" w:color="auto"/>
            </w:tcBorders>
          </w:tcPr>
          <w:p w14:paraId="0B8E66EA" w14:textId="77777777" w:rsidR="00125596" w:rsidRDefault="00125596" w:rsidP="00125596">
            <w:pPr>
              <w:rPr>
                <w:lang w:val="en-US" w:eastAsia="en-AU"/>
              </w:rPr>
            </w:pPr>
          </w:p>
        </w:tc>
      </w:tr>
      <w:tr w:rsidR="00026A6F" w14:paraId="06E36F2B" w14:textId="77777777" w:rsidTr="00DA304E">
        <w:tc>
          <w:tcPr>
            <w:tcW w:w="2486" w:type="dxa"/>
          </w:tcPr>
          <w:p w14:paraId="630F154D" w14:textId="77777777" w:rsidR="00026A6F" w:rsidRDefault="00026A6F" w:rsidP="00125596">
            <w:pPr>
              <w:rPr>
                <w:lang w:val="en-US" w:eastAsia="en-AU"/>
              </w:rPr>
            </w:pPr>
          </w:p>
        </w:tc>
        <w:tc>
          <w:tcPr>
            <w:tcW w:w="2290" w:type="dxa"/>
          </w:tcPr>
          <w:p w14:paraId="54B10D34" w14:textId="51F83A2A" w:rsidR="00026A6F" w:rsidRDefault="00026A6F" w:rsidP="00026A6F">
            <w:pPr>
              <w:jc w:val="right"/>
              <w:rPr>
                <w:lang w:val="en-US" w:eastAsia="en-AU"/>
              </w:rPr>
            </w:pPr>
            <w:r>
              <w:rPr>
                <w:lang w:val="en-US" w:eastAsia="en-AU"/>
              </w:rPr>
              <w:t>Carrying amount</w:t>
            </w:r>
          </w:p>
        </w:tc>
        <w:tc>
          <w:tcPr>
            <w:tcW w:w="4591" w:type="dxa"/>
            <w:gridSpan w:val="2"/>
          </w:tcPr>
          <w:p w14:paraId="6B5D37F0" w14:textId="2E8BBE90" w:rsidR="00026A6F" w:rsidRDefault="00026A6F" w:rsidP="00026A6F">
            <w:pPr>
              <w:jc w:val="right"/>
              <w:rPr>
                <w:lang w:val="en-US" w:eastAsia="en-AU"/>
              </w:rPr>
            </w:pPr>
            <w:r>
              <w:rPr>
                <w:lang w:val="en-US" w:eastAsia="en-AU"/>
              </w:rPr>
              <w:t>-100 base points</w:t>
            </w:r>
          </w:p>
        </w:tc>
        <w:tc>
          <w:tcPr>
            <w:tcW w:w="4591" w:type="dxa"/>
            <w:gridSpan w:val="2"/>
          </w:tcPr>
          <w:p w14:paraId="662725D6" w14:textId="4E544A87" w:rsidR="00026A6F" w:rsidRDefault="00026A6F" w:rsidP="00026A6F">
            <w:pPr>
              <w:jc w:val="right"/>
              <w:rPr>
                <w:lang w:val="en-US" w:eastAsia="en-AU"/>
              </w:rPr>
            </w:pPr>
            <w:r>
              <w:rPr>
                <w:lang w:val="en-US" w:eastAsia="en-AU"/>
              </w:rPr>
              <w:t>+100 base points</w:t>
            </w:r>
          </w:p>
        </w:tc>
      </w:tr>
      <w:tr w:rsidR="00026A6F" w14:paraId="72DE054C" w14:textId="77777777" w:rsidTr="007F4C4C">
        <w:tc>
          <w:tcPr>
            <w:tcW w:w="2486" w:type="dxa"/>
          </w:tcPr>
          <w:p w14:paraId="5E2C71BA" w14:textId="77777777" w:rsidR="00026A6F" w:rsidRDefault="00026A6F" w:rsidP="00026A6F">
            <w:pPr>
              <w:rPr>
                <w:lang w:val="en-US" w:eastAsia="en-AU"/>
              </w:rPr>
            </w:pPr>
          </w:p>
        </w:tc>
        <w:tc>
          <w:tcPr>
            <w:tcW w:w="2290" w:type="dxa"/>
          </w:tcPr>
          <w:p w14:paraId="6A13D3BF" w14:textId="722E04EC" w:rsidR="00026A6F" w:rsidRDefault="00026A6F" w:rsidP="00026A6F">
            <w:pPr>
              <w:jc w:val="right"/>
              <w:rPr>
                <w:lang w:val="en-US" w:eastAsia="en-AU"/>
              </w:rPr>
            </w:pPr>
            <w:r>
              <w:rPr>
                <w:lang w:val="en-US" w:eastAsia="en-AU"/>
              </w:rPr>
              <w:t>$000</w:t>
            </w:r>
          </w:p>
        </w:tc>
        <w:tc>
          <w:tcPr>
            <w:tcW w:w="2297" w:type="dxa"/>
          </w:tcPr>
          <w:p w14:paraId="15AF24CD" w14:textId="6A7FBD8E" w:rsidR="00026A6F" w:rsidRDefault="00026A6F" w:rsidP="00026A6F">
            <w:pPr>
              <w:jc w:val="right"/>
              <w:rPr>
                <w:lang w:val="en-US" w:eastAsia="en-AU"/>
              </w:rPr>
            </w:pPr>
            <w:r>
              <w:rPr>
                <w:lang w:val="en-US" w:eastAsia="en-AU"/>
              </w:rPr>
              <w:t>Surplus</w:t>
            </w:r>
          </w:p>
        </w:tc>
        <w:tc>
          <w:tcPr>
            <w:tcW w:w="2294" w:type="dxa"/>
          </w:tcPr>
          <w:p w14:paraId="7B237ADA" w14:textId="4197D91C" w:rsidR="00026A6F" w:rsidRDefault="00026A6F" w:rsidP="00026A6F">
            <w:pPr>
              <w:jc w:val="right"/>
              <w:rPr>
                <w:lang w:val="en-US" w:eastAsia="en-AU"/>
              </w:rPr>
            </w:pPr>
            <w:r>
              <w:rPr>
                <w:lang w:val="en-US" w:eastAsia="en-AU"/>
              </w:rPr>
              <w:t>Equity</w:t>
            </w:r>
          </w:p>
        </w:tc>
        <w:tc>
          <w:tcPr>
            <w:tcW w:w="2297" w:type="dxa"/>
          </w:tcPr>
          <w:p w14:paraId="1B2CE7BF" w14:textId="7970EFEB" w:rsidR="00026A6F" w:rsidRDefault="00026A6F" w:rsidP="00026A6F">
            <w:pPr>
              <w:jc w:val="right"/>
              <w:rPr>
                <w:lang w:val="en-US" w:eastAsia="en-AU"/>
              </w:rPr>
            </w:pPr>
            <w:r>
              <w:rPr>
                <w:lang w:val="en-US" w:eastAsia="en-AU"/>
              </w:rPr>
              <w:t>Surplus</w:t>
            </w:r>
          </w:p>
        </w:tc>
        <w:tc>
          <w:tcPr>
            <w:tcW w:w="2294" w:type="dxa"/>
          </w:tcPr>
          <w:p w14:paraId="24C34941" w14:textId="7CB10806" w:rsidR="00026A6F" w:rsidRDefault="00026A6F" w:rsidP="00026A6F">
            <w:pPr>
              <w:jc w:val="right"/>
              <w:rPr>
                <w:lang w:val="en-US" w:eastAsia="en-AU"/>
              </w:rPr>
            </w:pPr>
            <w:r>
              <w:rPr>
                <w:lang w:val="en-US" w:eastAsia="en-AU"/>
              </w:rPr>
              <w:t>Equity</w:t>
            </w:r>
          </w:p>
        </w:tc>
      </w:tr>
      <w:tr w:rsidR="00026A6F" w14:paraId="50DD50E3" w14:textId="77777777" w:rsidTr="007F4C4C">
        <w:tc>
          <w:tcPr>
            <w:tcW w:w="2486" w:type="dxa"/>
          </w:tcPr>
          <w:p w14:paraId="4A7E27C6" w14:textId="3E375AD3" w:rsidR="00026A6F" w:rsidRPr="00026A6F" w:rsidRDefault="00026A6F" w:rsidP="00026A6F">
            <w:pPr>
              <w:rPr>
                <w:b/>
                <w:lang w:val="en-US" w:eastAsia="en-AU"/>
              </w:rPr>
            </w:pPr>
            <w:r>
              <w:rPr>
                <w:b/>
                <w:lang w:val="en-US" w:eastAsia="en-AU"/>
              </w:rPr>
              <w:t>2017</w:t>
            </w:r>
          </w:p>
        </w:tc>
        <w:tc>
          <w:tcPr>
            <w:tcW w:w="2290" w:type="dxa"/>
          </w:tcPr>
          <w:p w14:paraId="64C8B7CF" w14:textId="77777777" w:rsidR="00026A6F" w:rsidRDefault="00026A6F" w:rsidP="00026A6F">
            <w:pPr>
              <w:rPr>
                <w:lang w:val="en-US" w:eastAsia="en-AU"/>
              </w:rPr>
            </w:pPr>
          </w:p>
        </w:tc>
        <w:tc>
          <w:tcPr>
            <w:tcW w:w="2297" w:type="dxa"/>
          </w:tcPr>
          <w:p w14:paraId="03407B16" w14:textId="2E8DBF8C" w:rsidR="00026A6F" w:rsidRDefault="00026A6F" w:rsidP="00026A6F">
            <w:pPr>
              <w:jc w:val="right"/>
              <w:rPr>
                <w:lang w:val="en-US" w:eastAsia="en-AU"/>
              </w:rPr>
            </w:pPr>
            <w:r>
              <w:rPr>
                <w:lang w:val="en-US" w:eastAsia="en-AU"/>
              </w:rPr>
              <w:t>$000</w:t>
            </w:r>
          </w:p>
        </w:tc>
        <w:tc>
          <w:tcPr>
            <w:tcW w:w="2294" w:type="dxa"/>
          </w:tcPr>
          <w:p w14:paraId="5BBEAA45" w14:textId="0EFA30F5" w:rsidR="00026A6F" w:rsidRDefault="00026A6F" w:rsidP="00026A6F">
            <w:pPr>
              <w:jc w:val="right"/>
              <w:rPr>
                <w:lang w:val="en-US" w:eastAsia="en-AU"/>
              </w:rPr>
            </w:pPr>
            <w:r w:rsidRPr="0014350E">
              <w:rPr>
                <w:lang w:val="en-US" w:eastAsia="en-AU"/>
              </w:rPr>
              <w:t>$000</w:t>
            </w:r>
          </w:p>
        </w:tc>
        <w:tc>
          <w:tcPr>
            <w:tcW w:w="2297" w:type="dxa"/>
          </w:tcPr>
          <w:p w14:paraId="3C970A83" w14:textId="2F34EB57" w:rsidR="00026A6F" w:rsidRDefault="00026A6F" w:rsidP="00026A6F">
            <w:pPr>
              <w:jc w:val="right"/>
              <w:rPr>
                <w:lang w:val="en-US" w:eastAsia="en-AU"/>
              </w:rPr>
            </w:pPr>
            <w:r w:rsidRPr="0014350E">
              <w:rPr>
                <w:lang w:val="en-US" w:eastAsia="en-AU"/>
              </w:rPr>
              <w:t>$000</w:t>
            </w:r>
          </w:p>
        </w:tc>
        <w:tc>
          <w:tcPr>
            <w:tcW w:w="2294" w:type="dxa"/>
          </w:tcPr>
          <w:p w14:paraId="097B0E39" w14:textId="1C353542" w:rsidR="00026A6F" w:rsidRDefault="00026A6F" w:rsidP="00026A6F">
            <w:pPr>
              <w:jc w:val="right"/>
              <w:rPr>
                <w:lang w:val="en-US" w:eastAsia="en-AU"/>
              </w:rPr>
            </w:pPr>
            <w:r w:rsidRPr="0014350E">
              <w:rPr>
                <w:lang w:val="en-US" w:eastAsia="en-AU"/>
              </w:rPr>
              <w:t>$000</w:t>
            </w:r>
          </w:p>
        </w:tc>
      </w:tr>
      <w:tr w:rsidR="00125596" w14:paraId="68F62710" w14:textId="77777777" w:rsidTr="007F4C4C">
        <w:tc>
          <w:tcPr>
            <w:tcW w:w="2486" w:type="dxa"/>
          </w:tcPr>
          <w:p w14:paraId="5574E66F" w14:textId="6CA43102" w:rsidR="00125596" w:rsidRPr="00026A6F" w:rsidRDefault="00026A6F" w:rsidP="00125596">
            <w:pPr>
              <w:rPr>
                <w:u w:val="single"/>
                <w:lang w:val="en-US" w:eastAsia="en-AU"/>
              </w:rPr>
            </w:pPr>
            <w:r>
              <w:rPr>
                <w:u w:val="single"/>
                <w:lang w:val="en-US" w:eastAsia="en-AU"/>
              </w:rPr>
              <w:t>Financial Assets</w:t>
            </w:r>
          </w:p>
        </w:tc>
        <w:tc>
          <w:tcPr>
            <w:tcW w:w="2290" w:type="dxa"/>
          </w:tcPr>
          <w:p w14:paraId="00B92597" w14:textId="77777777" w:rsidR="00125596" w:rsidRDefault="00125596" w:rsidP="00125596">
            <w:pPr>
              <w:rPr>
                <w:lang w:val="en-US" w:eastAsia="en-AU"/>
              </w:rPr>
            </w:pPr>
          </w:p>
        </w:tc>
        <w:tc>
          <w:tcPr>
            <w:tcW w:w="2297" w:type="dxa"/>
          </w:tcPr>
          <w:p w14:paraId="59E3CF98" w14:textId="77777777" w:rsidR="00125596" w:rsidRDefault="00125596" w:rsidP="00026A6F">
            <w:pPr>
              <w:jc w:val="right"/>
              <w:rPr>
                <w:lang w:val="en-US" w:eastAsia="en-AU"/>
              </w:rPr>
            </w:pPr>
          </w:p>
        </w:tc>
        <w:tc>
          <w:tcPr>
            <w:tcW w:w="2294" w:type="dxa"/>
          </w:tcPr>
          <w:p w14:paraId="139FEDD6" w14:textId="77777777" w:rsidR="00125596" w:rsidRDefault="00125596" w:rsidP="00026A6F">
            <w:pPr>
              <w:jc w:val="right"/>
              <w:rPr>
                <w:lang w:val="en-US" w:eastAsia="en-AU"/>
              </w:rPr>
            </w:pPr>
          </w:p>
        </w:tc>
        <w:tc>
          <w:tcPr>
            <w:tcW w:w="2297" w:type="dxa"/>
          </w:tcPr>
          <w:p w14:paraId="7973F418" w14:textId="77777777" w:rsidR="00125596" w:rsidRDefault="00125596" w:rsidP="00026A6F">
            <w:pPr>
              <w:jc w:val="right"/>
              <w:rPr>
                <w:lang w:val="en-US" w:eastAsia="en-AU"/>
              </w:rPr>
            </w:pPr>
          </w:p>
        </w:tc>
        <w:tc>
          <w:tcPr>
            <w:tcW w:w="2294" w:type="dxa"/>
          </w:tcPr>
          <w:p w14:paraId="70683640" w14:textId="77777777" w:rsidR="00125596" w:rsidRDefault="00125596" w:rsidP="00026A6F">
            <w:pPr>
              <w:jc w:val="right"/>
              <w:rPr>
                <w:lang w:val="en-US" w:eastAsia="en-AU"/>
              </w:rPr>
            </w:pPr>
          </w:p>
        </w:tc>
      </w:tr>
      <w:tr w:rsidR="00026A6F" w14:paraId="7140BB0A" w14:textId="77777777" w:rsidTr="00DA304E">
        <w:tc>
          <w:tcPr>
            <w:tcW w:w="2486" w:type="dxa"/>
          </w:tcPr>
          <w:p w14:paraId="46458DB8" w14:textId="71F90A31" w:rsidR="00026A6F" w:rsidRDefault="00026A6F" w:rsidP="00026A6F">
            <w:pPr>
              <w:rPr>
                <w:lang w:val="en-US" w:eastAsia="en-AU"/>
              </w:rPr>
            </w:pPr>
            <w:r>
              <w:rPr>
                <w:lang w:val="en-US" w:eastAsia="en-AU"/>
              </w:rPr>
              <w:t>Cash and cash equivalents</w:t>
            </w:r>
          </w:p>
        </w:tc>
        <w:tc>
          <w:tcPr>
            <w:tcW w:w="2290" w:type="dxa"/>
            <w:vAlign w:val="bottom"/>
          </w:tcPr>
          <w:p w14:paraId="755A9DD0" w14:textId="25FFD71E" w:rsidR="00026A6F" w:rsidRDefault="00026A6F" w:rsidP="00026A6F">
            <w:pPr>
              <w:jc w:val="right"/>
              <w:rPr>
                <w:lang w:val="en-US" w:eastAsia="en-AU"/>
              </w:rPr>
            </w:pPr>
            <w:r>
              <w:t xml:space="preserve">            2,387 </w:t>
            </w:r>
          </w:p>
        </w:tc>
        <w:tc>
          <w:tcPr>
            <w:tcW w:w="2297" w:type="dxa"/>
            <w:vAlign w:val="bottom"/>
          </w:tcPr>
          <w:p w14:paraId="306529D4" w14:textId="67C6A067" w:rsidR="00026A6F" w:rsidRPr="00026A6F" w:rsidRDefault="00026A6F" w:rsidP="00026A6F">
            <w:pPr>
              <w:jc w:val="right"/>
              <w:rPr>
                <w:color w:val="FF0000"/>
                <w:lang w:val="en-US" w:eastAsia="en-AU"/>
              </w:rPr>
            </w:pPr>
            <w:r w:rsidRPr="00026A6F">
              <w:rPr>
                <w:color w:val="FF0000"/>
              </w:rPr>
              <w:t>(23)</w:t>
            </w:r>
          </w:p>
        </w:tc>
        <w:tc>
          <w:tcPr>
            <w:tcW w:w="2294" w:type="dxa"/>
            <w:vAlign w:val="bottom"/>
          </w:tcPr>
          <w:p w14:paraId="340267D5" w14:textId="1339A12E" w:rsidR="00026A6F" w:rsidRPr="00026A6F" w:rsidRDefault="00026A6F" w:rsidP="00026A6F">
            <w:pPr>
              <w:jc w:val="right"/>
              <w:rPr>
                <w:color w:val="FF0000"/>
                <w:lang w:val="en-US" w:eastAsia="en-AU"/>
              </w:rPr>
            </w:pPr>
            <w:r w:rsidRPr="00026A6F">
              <w:rPr>
                <w:color w:val="FF0000"/>
              </w:rPr>
              <w:t>(23)</w:t>
            </w:r>
          </w:p>
        </w:tc>
        <w:tc>
          <w:tcPr>
            <w:tcW w:w="2297" w:type="dxa"/>
            <w:vAlign w:val="bottom"/>
          </w:tcPr>
          <w:p w14:paraId="5B562A99" w14:textId="562D4BF6" w:rsidR="00026A6F" w:rsidRDefault="00026A6F" w:rsidP="00026A6F">
            <w:pPr>
              <w:jc w:val="right"/>
              <w:rPr>
                <w:lang w:val="en-US" w:eastAsia="en-AU"/>
              </w:rPr>
            </w:pPr>
            <w:r>
              <w:t xml:space="preserve">23 </w:t>
            </w:r>
          </w:p>
        </w:tc>
        <w:tc>
          <w:tcPr>
            <w:tcW w:w="2294" w:type="dxa"/>
            <w:vAlign w:val="bottom"/>
          </w:tcPr>
          <w:p w14:paraId="13AD0FB8" w14:textId="4B35F103" w:rsidR="00026A6F" w:rsidRDefault="00026A6F" w:rsidP="00026A6F">
            <w:pPr>
              <w:jc w:val="right"/>
              <w:rPr>
                <w:lang w:val="en-US" w:eastAsia="en-AU"/>
              </w:rPr>
            </w:pPr>
            <w:r>
              <w:t xml:space="preserve">23 </w:t>
            </w:r>
          </w:p>
        </w:tc>
      </w:tr>
      <w:tr w:rsidR="00026A6F" w14:paraId="5D84E529" w14:textId="77777777" w:rsidTr="00026A6F">
        <w:tc>
          <w:tcPr>
            <w:tcW w:w="2486" w:type="dxa"/>
          </w:tcPr>
          <w:p w14:paraId="5B546D7C" w14:textId="7A08EC5D" w:rsidR="00026A6F" w:rsidRDefault="00026A6F" w:rsidP="00026A6F">
            <w:pPr>
              <w:rPr>
                <w:lang w:val="en-US" w:eastAsia="en-AU"/>
              </w:rPr>
            </w:pPr>
            <w:r>
              <w:rPr>
                <w:lang w:val="en-US" w:eastAsia="en-AU"/>
              </w:rPr>
              <w:t>Restricted cash and cash equivalents</w:t>
            </w:r>
          </w:p>
        </w:tc>
        <w:tc>
          <w:tcPr>
            <w:tcW w:w="2290" w:type="dxa"/>
            <w:vAlign w:val="bottom"/>
          </w:tcPr>
          <w:p w14:paraId="50F91BD1" w14:textId="62EC6BF1" w:rsidR="00026A6F" w:rsidRDefault="00026A6F" w:rsidP="00026A6F">
            <w:pPr>
              <w:jc w:val="right"/>
              <w:rPr>
                <w:lang w:val="en-US" w:eastAsia="en-AU"/>
              </w:rPr>
            </w:pPr>
            <w:r>
              <w:t xml:space="preserve">          85,736 </w:t>
            </w:r>
          </w:p>
        </w:tc>
        <w:tc>
          <w:tcPr>
            <w:tcW w:w="2297" w:type="dxa"/>
            <w:tcBorders>
              <w:bottom w:val="single" w:sz="12" w:space="0" w:color="auto"/>
            </w:tcBorders>
            <w:vAlign w:val="bottom"/>
          </w:tcPr>
          <w:p w14:paraId="7FACFEBC" w14:textId="4A04759F" w:rsidR="00026A6F" w:rsidRPr="00026A6F" w:rsidRDefault="00026A6F" w:rsidP="00026A6F">
            <w:pPr>
              <w:jc w:val="right"/>
              <w:rPr>
                <w:color w:val="FF0000"/>
                <w:lang w:val="en-US" w:eastAsia="en-AU"/>
              </w:rPr>
            </w:pPr>
            <w:r w:rsidRPr="00026A6F">
              <w:rPr>
                <w:color w:val="FF0000"/>
              </w:rPr>
              <w:t>(857)</w:t>
            </w:r>
          </w:p>
        </w:tc>
        <w:tc>
          <w:tcPr>
            <w:tcW w:w="2294" w:type="dxa"/>
            <w:tcBorders>
              <w:bottom w:val="single" w:sz="12" w:space="0" w:color="auto"/>
            </w:tcBorders>
            <w:vAlign w:val="bottom"/>
          </w:tcPr>
          <w:p w14:paraId="2AB55C06" w14:textId="24E90CA6" w:rsidR="00026A6F" w:rsidRPr="00026A6F" w:rsidRDefault="00026A6F" w:rsidP="00026A6F">
            <w:pPr>
              <w:jc w:val="right"/>
              <w:rPr>
                <w:color w:val="FF0000"/>
                <w:lang w:val="en-US" w:eastAsia="en-AU"/>
              </w:rPr>
            </w:pPr>
            <w:r w:rsidRPr="00026A6F">
              <w:rPr>
                <w:color w:val="FF0000"/>
              </w:rPr>
              <w:t>(857)</w:t>
            </w:r>
          </w:p>
        </w:tc>
        <w:tc>
          <w:tcPr>
            <w:tcW w:w="2297" w:type="dxa"/>
            <w:tcBorders>
              <w:bottom w:val="single" w:sz="12" w:space="0" w:color="auto"/>
            </w:tcBorders>
            <w:vAlign w:val="bottom"/>
          </w:tcPr>
          <w:p w14:paraId="0A98110C" w14:textId="22C7EF04" w:rsidR="00026A6F" w:rsidRDefault="00026A6F" w:rsidP="00026A6F">
            <w:pPr>
              <w:jc w:val="right"/>
              <w:rPr>
                <w:lang w:val="en-US" w:eastAsia="en-AU"/>
              </w:rPr>
            </w:pPr>
            <w:r>
              <w:t xml:space="preserve">857 </w:t>
            </w:r>
          </w:p>
        </w:tc>
        <w:tc>
          <w:tcPr>
            <w:tcW w:w="2294" w:type="dxa"/>
            <w:tcBorders>
              <w:bottom w:val="single" w:sz="12" w:space="0" w:color="auto"/>
            </w:tcBorders>
            <w:vAlign w:val="bottom"/>
          </w:tcPr>
          <w:p w14:paraId="06D2BC0D" w14:textId="6F6BDECC" w:rsidR="00026A6F" w:rsidRDefault="00026A6F" w:rsidP="00026A6F">
            <w:pPr>
              <w:jc w:val="right"/>
              <w:rPr>
                <w:lang w:val="en-US" w:eastAsia="en-AU"/>
              </w:rPr>
            </w:pPr>
            <w:r>
              <w:t xml:space="preserve">857 </w:t>
            </w:r>
          </w:p>
        </w:tc>
      </w:tr>
      <w:tr w:rsidR="00026A6F" w14:paraId="4C6E400B" w14:textId="77777777" w:rsidTr="00026A6F">
        <w:tc>
          <w:tcPr>
            <w:tcW w:w="2486" w:type="dxa"/>
          </w:tcPr>
          <w:p w14:paraId="4E5836B4" w14:textId="4360A1A6" w:rsidR="00026A6F" w:rsidRPr="00026A6F" w:rsidRDefault="00026A6F" w:rsidP="00026A6F">
            <w:pPr>
              <w:rPr>
                <w:b/>
                <w:lang w:val="en-US" w:eastAsia="en-AU"/>
              </w:rPr>
            </w:pPr>
            <w:r>
              <w:rPr>
                <w:b/>
                <w:lang w:val="en-US" w:eastAsia="en-AU"/>
              </w:rPr>
              <w:t>Total Increase/(Decrease)</w:t>
            </w:r>
          </w:p>
        </w:tc>
        <w:tc>
          <w:tcPr>
            <w:tcW w:w="2290" w:type="dxa"/>
          </w:tcPr>
          <w:p w14:paraId="293764F1" w14:textId="77777777" w:rsidR="00026A6F" w:rsidRDefault="00026A6F" w:rsidP="00026A6F">
            <w:pPr>
              <w:rPr>
                <w:lang w:val="en-US" w:eastAsia="en-AU"/>
              </w:rPr>
            </w:pPr>
          </w:p>
        </w:tc>
        <w:tc>
          <w:tcPr>
            <w:tcW w:w="2297" w:type="dxa"/>
            <w:tcBorders>
              <w:top w:val="single" w:sz="12" w:space="0" w:color="auto"/>
              <w:bottom w:val="double" w:sz="4" w:space="0" w:color="auto"/>
            </w:tcBorders>
            <w:vAlign w:val="bottom"/>
          </w:tcPr>
          <w:p w14:paraId="4D284B50" w14:textId="7C11FB8C" w:rsidR="00026A6F" w:rsidRPr="00026A6F" w:rsidRDefault="00026A6F" w:rsidP="00026A6F">
            <w:pPr>
              <w:jc w:val="right"/>
              <w:rPr>
                <w:b/>
                <w:color w:val="FF0000"/>
                <w:lang w:val="en-US" w:eastAsia="en-AU"/>
              </w:rPr>
            </w:pPr>
            <w:r w:rsidRPr="00026A6F">
              <w:rPr>
                <w:b/>
                <w:color w:val="FF0000"/>
              </w:rPr>
              <w:t>(880)</w:t>
            </w:r>
          </w:p>
        </w:tc>
        <w:tc>
          <w:tcPr>
            <w:tcW w:w="2294" w:type="dxa"/>
            <w:tcBorders>
              <w:top w:val="single" w:sz="12" w:space="0" w:color="auto"/>
              <w:bottom w:val="double" w:sz="4" w:space="0" w:color="auto"/>
            </w:tcBorders>
            <w:vAlign w:val="bottom"/>
          </w:tcPr>
          <w:p w14:paraId="1DDE2D22" w14:textId="58EC1E5F" w:rsidR="00026A6F" w:rsidRPr="00026A6F" w:rsidRDefault="00026A6F" w:rsidP="00026A6F">
            <w:pPr>
              <w:jc w:val="right"/>
              <w:rPr>
                <w:b/>
                <w:color w:val="FF0000"/>
                <w:lang w:val="en-US" w:eastAsia="en-AU"/>
              </w:rPr>
            </w:pPr>
            <w:r w:rsidRPr="00026A6F">
              <w:rPr>
                <w:b/>
                <w:color w:val="FF0000"/>
              </w:rPr>
              <w:t>(880)</w:t>
            </w:r>
          </w:p>
        </w:tc>
        <w:tc>
          <w:tcPr>
            <w:tcW w:w="2297" w:type="dxa"/>
            <w:tcBorders>
              <w:top w:val="single" w:sz="12" w:space="0" w:color="auto"/>
              <w:bottom w:val="double" w:sz="4" w:space="0" w:color="auto"/>
            </w:tcBorders>
            <w:vAlign w:val="bottom"/>
          </w:tcPr>
          <w:p w14:paraId="6F76287F" w14:textId="592E8825" w:rsidR="00026A6F" w:rsidRPr="00026A6F" w:rsidRDefault="00026A6F" w:rsidP="00026A6F">
            <w:pPr>
              <w:jc w:val="right"/>
              <w:rPr>
                <w:b/>
                <w:lang w:val="en-US" w:eastAsia="en-AU"/>
              </w:rPr>
            </w:pPr>
            <w:r w:rsidRPr="00026A6F">
              <w:rPr>
                <w:b/>
              </w:rPr>
              <w:t xml:space="preserve">880 </w:t>
            </w:r>
          </w:p>
        </w:tc>
        <w:tc>
          <w:tcPr>
            <w:tcW w:w="2294" w:type="dxa"/>
            <w:tcBorders>
              <w:top w:val="single" w:sz="12" w:space="0" w:color="auto"/>
              <w:bottom w:val="double" w:sz="4" w:space="0" w:color="auto"/>
            </w:tcBorders>
            <w:vAlign w:val="bottom"/>
          </w:tcPr>
          <w:p w14:paraId="22FC845A" w14:textId="6929C8C8" w:rsidR="00026A6F" w:rsidRPr="00026A6F" w:rsidRDefault="00026A6F" w:rsidP="00026A6F">
            <w:pPr>
              <w:jc w:val="right"/>
              <w:rPr>
                <w:b/>
                <w:lang w:val="en-US" w:eastAsia="en-AU"/>
              </w:rPr>
            </w:pPr>
            <w:r w:rsidRPr="00026A6F">
              <w:rPr>
                <w:b/>
              </w:rPr>
              <w:t xml:space="preserve">880 </w:t>
            </w:r>
          </w:p>
        </w:tc>
      </w:tr>
    </w:tbl>
    <w:p w14:paraId="57A48074" w14:textId="3540DCF3" w:rsidR="00125596" w:rsidRPr="00125596" w:rsidRDefault="00125596" w:rsidP="00125596">
      <w:pPr>
        <w:rPr>
          <w:lang w:val="en-US" w:eastAsia="en-AU"/>
        </w:rPr>
      </w:pPr>
      <w:r w:rsidRPr="00125596">
        <w:rPr>
          <w:lang w:val="en-US" w:eastAsia="en-AU"/>
        </w:rPr>
        <w:tab/>
      </w:r>
      <w:r w:rsidRPr="00125596">
        <w:rPr>
          <w:lang w:val="en-US" w:eastAsia="en-AU"/>
        </w:rPr>
        <w:tab/>
      </w:r>
      <w:r w:rsidRPr="00125596">
        <w:rPr>
          <w:lang w:val="en-US" w:eastAsia="en-AU"/>
        </w:rPr>
        <w:tab/>
      </w:r>
      <w:r w:rsidRPr="00125596">
        <w:rPr>
          <w:lang w:val="en-US" w:eastAsia="en-AU"/>
        </w:rPr>
        <w:tab/>
      </w:r>
      <w:r w:rsidRPr="00125596">
        <w:rPr>
          <w:lang w:val="en-US" w:eastAsia="en-AU"/>
        </w:rPr>
        <w:tab/>
      </w:r>
      <w:r w:rsidRPr="00125596">
        <w:rPr>
          <w:lang w:val="en-US" w:eastAsia="en-AU"/>
        </w:rPr>
        <w:tab/>
      </w:r>
      <w:r w:rsidRPr="00125596">
        <w:rPr>
          <w:lang w:val="en-US" w:eastAsia="en-AU"/>
        </w:rPr>
        <w:tab/>
      </w:r>
      <w:r w:rsidRPr="00125596">
        <w:rPr>
          <w:lang w:val="en-US" w:eastAsia="en-AU"/>
        </w:rPr>
        <w:tab/>
      </w:r>
    </w:p>
    <w:p w14:paraId="6C550871" w14:textId="77777777" w:rsidR="00DA304E" w:rsidRDefault="00DA304E" w:rsidP="00125596">
      <w:pPr>
        <w:rPr>
          <w:lang w:val="en-US" w:eastAsia="en-AU"/>
        </w:rPr>
        <w:sectPr w:rsidR="00DA304E" w:rsidSect="000405A4">
          <w:pgSz w:w="16838" w:h="11906" w:orient="landscape" w:code="9"/>
          <w:pgMar w:top="1440" w:right="1440" w:bottom="1440" w:left="1440" w:header="709" w:footer="0" w:gutter="0"/>
          <w:cols w:space="708"/>
          <w:titlePg/>
          <w:docGrid w:linePitch="360"/>
        </w:sectPr>
      </w:pPr>
    </w:p>
    <w:p w14:paraId="5CE0C738" w14:textId="0B6B9CBD" w:rsidR="00125596" w:rsidRDefault="00DA304E" w:rsidP="00DA304E">
      <w:pPr>
        <w:pStyle w:val="Heading3nonumber"/>
        <w:rPr>
          <w:lang w:val="en-US" w:eastAsia="en-AU"/>
        </w:rPr>
      </w:pPr>
      <w:bookmarkStart w:id="798" w:name="_Toc525122194"/>
      <w:r>
        <w:rPr>
          <w:lang w:val="en-US" w:eastAsia="en-AU"/>
        </w:rPr>
        <w:t>8.2 Contingent assets and liabilities</w:t>
      </w:r>
      <w:bookmarkEnd w:id="798"/>
      <w:r>
        <w:rPr>
          <w:lang w:val="en-US" w:eastAsia="en-AU"/>
        </w:rPr>
        <w:t xml:space="preserve"> </w:t>
      </w:r>
    </w:p>
    <w:p w14:paraId="30501613" w14:textId="2920FE5E" w:rsidR="00DA304E" w:rsidRDefault="00DA304E" w:rsidP="00DA304E">
      <w:pPr>
        <w:rPr>
          <w:lang w:val="en-US" w:eastAsia="en-AU"/>
        </w:rPr>
      </w:pPr>
      <w:r w:rsidRPr="00DA304E">
        <w:rPr>
          <w:lang w:val="en-US" w:eastAsia="en-AU"/>
        </w:rPr>
        <w:t>Contingent assets and contingent liabilities are not recognised in the statement of financial position but are disclosed and, if quantifiable, are</w:t>
      </w:r>
      <w:r>
        <w:rPr>
          <w:lang w:val="en-US" w:eastAsia="en-AU"/>
        </w:rPr>
        <w:t xml:space="preserve"> measured at nominal value.</w:t>
      </w:r>
    </w:p>
    <w:p w14:paraId="2623091A" w14:textId="517E294D" w:rsidR="00DA304E" w:rsidRDefault="00DA304E" w:rsidP="00DA304E">
      <w:pPr>
        <w:rPr>
          <w:lang w:val="en-US" w:eastAsia="en-AU"/>
        </w:rPr>
      </w:pPr>
      <w:r w:rsidRPr="00DA304E">
        <w:rPr>
          <w:lang w:val="en-US" w:eastAsia="en-AU"/>
        </w:rPr>
        <w:t>Contingent assets and liabilities are presented inclusive of GST receivable o</w:t>
      </w:r>
      <w:r>
        <w:rPr>
          <w:lang w:val="en-US" w:eastAsia="en-AU"/>
        </w:rPr>
        <w:t>r payable respectively.</w:t>
      </w:r>
    </w:p>
    <w:p w14:paraId="68F3EE64" w14:textId="1D2E3D9A" w:rsidR="00024979" w:rsidRDefault="00024979" w:rsidP="00024979">
      <w:pPr>
        <w:pStyle w:val="Heading4"/>
        <w:ind w:left="0"/>
      </w:pPr>
      <w:r>
        <w:t>8.2.1 Contingent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ntingent assets"/>
        <w:tblDescription w:val="This table outlines the Authority's contingent assets for the reporting period. There were none in existence at 30 June 2018 and up to the date of this report. "/>
      </w:tblPr>
      <w:tblGrid>
        <w:gridCol w:w="6374"/>
        <w:gridCol w:w="1276"/>
        <w:gridCol w:w="1366"/>
      </w:tblGrid>
      <w:tr w:rsidR="00024979" w14:paraId="7E6385EB" w14:textId="77777777" w:rsidTr="00F11774">
        <w:trPr>
          <w:tblHeader/>
        </w:trPr>
        <w:tc>
          <w:tcPr>
            <w:tcW w:w="6374" w:type="dxa"/>
          </w:tcPr>
          <w:p w14:paraId="4C8B2D45" w14:textId="77777777" w:rsidR="00024979" w:rsidRDefault="00024979" w:rsidP="00024979">
            <w:pPr>
              <w:rPr>
                <w:lang w:val="en-US" w:eastAsia="en-AU"/>
              </w:rPr>
            </w:pPr>
          </w:p>
        </w:tc>
        <w:tc>
          <w:tcPr>
            <w:tcW w:w="1276" w:type="dxa"/>
          </w:tcPr>
          <w:p w14:paraId="125489FC" w14:textId="1E8DB820" w:rsidR="00024979" w:rsidRPr="00024979" w:rsidRDefault="00024979" w:rsidP="00024979">
            <w:pPr>
              <w:jc w:val="right"/>
              <w:rPr>
                <w:b/>
                <w:lang w:val="en-US" w:eastAsia="en-AU"/>
              </w:rPr>
            </w:pPr>
            <w:r>
              <w:rPr>
                <w:b/>
                <w:lang w:val="en-US" w:eastAsia="en-AU"/>
              </w:rPr>
              <w:t>2018</w:t>
            </w:r>
            <w:r>
              <w:rPr>
                <w:b/>
                <w:lang w:val="en-US" w:eastAsia="en-AU"/>
              </w:rPr>
              <w:br/>
              <w:t>$000</w:t>
            </w:r>
          </w:p>
        </w:tc>
        <w:tc>
          <w:tcPr>
            <w:tcW w:w="1366" w:type="dxa"/>
          </w:tcPr>
          <w:p w14:paraId="503E3AD3" w14:textId="3DDD6317" w:rsidR="00024979" w:rsidRPr="00024979" w:rsidRDefault="00024979" w:rsidP="00024979">
            <w:pPr>
              <w:jc w:val="right"/>
              <w:rPr>
                <w:b/>
                <w:lang w:val="en-US" w:eastAsia="en-AU"/>
              </w:rPr>
            </w:pPr>
            <w:r>
              <w:rPr>
                <w:b/>
                <w:lang w:val="en-US" w:eastAsia="en-AU"/>
              </w:rPr>
              <w:t>2017</w:t>
            </w:r>
            <w:r>
              <w:rPr>
                <w:b/>
                <w:lang w:val="en-US" w:eastAsia="en-AU"/>
              </w:rPr>
              <w:br/>
              <w:t>$000</w:t>
            </w:r>
          </w:p>
        </w:tc>
      </w:tr>
      <w:tr w:rsidR="00024979" w14:paraId="150429F3" w14:textId="77777777" w:rsidTr="00024979">
        <w:tc>
          <w:tcPr>
            <w:tcW w:w="6374" w:type="dxa"/>
          </w:tcPr>
          <w:p w14:paraId="4B157D55" w14:textId="79570900" w:rsidR="00024979" w:rsidRPr="00024979" w:rsidRDefault="00024979" w:rsidP="00024979">
            <w:pPr>
              <w:rPr>
                <w:lang w:eastAsia="en-AU"/>
              </w:rPr>
            </w:pPr>
            <w:r>
              <w:t xml:space="preserve">There were no contingent assets in existence at </w:t>
            </w:r>
            <w:r>
              <w:br/>
              <w:t>30 June 2018 and up to the date of this report.</w:t>
            </w:r>
          </w:p>
        </w:tc>
        <w:tc>
          <w:tcPr>
            <w:tcW w:w="1276" w:type="dxa"/>
            <w:tcBorders>
              <w:bottom w:val="single" w:sz="4" w:space="0" w:color="auto"/>
            </w:tcBorders>
          </w:tcPr>
          <w:p w14:paraId="1276148D" w14:textId="3C7BDABA" w:rsidR="00024979" w:rsidRDefault="00024979" w:rsidP="00024979">
            <w:pPr>
              <w:jc w:val="right"/>
              <w:rPr>
                <w:lang w:val="en-US" w:eastAsia="en-AU"/>
              </w:rPr>
            </w:pPr>
            <w:r>
              <w:rPr>
                <w:lang w:val="en-US" w:eastAsia="en-AU"/>
              </w:rPr>
              <w:t>-</w:t>
            </w:r>
          </w:p>
        </w:tc>
        <w:tc>
          <w:tcPr>
            <w:tcW w:w="1366" w:type="dxa"/>
            <w:tcBorders>
              <w:bottom w:val="single" w:sz="4" w:space="0" w:color="auto"/>
            </w:tcBorders>
          </w:tcPr>
          <w:p w14:paraId="56FF2390" w14:textId="7682D826" w:rsidR="00024979" w:rsidRDefault="00024979" w:rsidP="00024979">
            <w:pPr>
              <w:jc w:val="right"/>
              <w:rPr>
                <w:lang w:val="en-US" w:eastAsia="en-AU"/>
              </w:rPr>
            </w:pPr>
            <w:r>
              <w:rPr>
                <w:lang w:val="en-US" w:eastAsia="en-AU"/>
              </w:rPr>
              <w:t>-</w:t>
            </w:r>
          </w:p>
        </w:tc>
      </w:tr>
      <w:tr w:rsidR="00024979" w14:paraId="7C3F2C26" w14:textId="77777777" w:rsidTr="00024979">
        <w:tc>
          <w:tcPr>
            <w:tcW w:w="6374" w:type="dxa"/>
          </w:tcPr>
          <w:p w14:paraId="5BCA1290" w14:textId="77777777" w:rsidR="00024979" w:rsidRDefault="00024979" w:rsidP="00024979">
            <w:pPr>
              <w:rPr>
                <w:lang w:val="en-US" w:eastAsia="en-AU"/>
              </w:rPr>
            </w:pPr>
          </w:p>
        </w:tc>
        <w:tc>
          <w:tcPr>
            <w:tcW w:w="1276" w:type="dxa"/>
            <w:tcBorders>
              <w:top w:val="single" w:sz="4" w:space="0" w:color="auto"/>
              <w:bottom w:val="double" w:sz="4" w:space="0" w:color="auto"/>
            </w:tcBorders>
          </w:tcPr>
          <w:p w14:paraId="7236FC7F" w14:textId="6C7C8DB0" w:rsidR="00024979" w:rsidRDefault="00024979" w:rsidP="00024979">
            <w:pPr>
              <w:jc w:val="right"/>
              <w:rPr>
                <w:lang w:val="en-US" w:eastAsia="en-AU"/>
              </w:rPr>
            </w:pPr>
            <w:r>
              <w:rPr>
                <w:lang w:val="en-US" w:eastAsia="en-AU"/>
              </w:rPr>
              <w:t>-</w:t>
            </w:r>
          </w:p>
        </w:tc>
        <w:tc>
          <w:tcPr>
            <w:tcW w:w="1366" w:type="dxa"/>
            <w:tcBorders>
              <w:top w:val="single" w:sz="4" w:space="0" w:color="auto"/>
              <w:bottom w:val="double" w:sz="4" w:space="0" w:color="auto"/>
            </w:tcBorders>
          </w:tcPr>
          <w:p w14:paraId="42817A57" w14:textId="01547793" w:rsidR="00024979" w:rsidRDefault="00024979" w:rsidP="00024979">
            <w:pPr>
              <w:jc w:val="right"/>
              <w:rPr>
                <w:lang w:val="en-US" w:eastAsia="en-AU"/>
              </w:rPr>
            </w:pPr>
            <w:r>
              <w:rPr>
                <w:lang w:val="en-US" w:eastAsia="en-AU"/>
              </w:rPr>
              <w:t>-</w:t>
            </w:r>
          </w:p>
        </w:tc>
      </w:tr>
    </w:tbl>
    <w:p w14:paraId="19C339C9" w14:textId="41E04735" w:rsidR="00024979" w:rsidRDefault="00024979" w:rsidP="00024979">
      <w:pPr>
        <w:pStyle w:val="Heading4"/>
        <w:ind w:left="0"/>
      </w:pPr>
      <w:r>
        <w:t xml:space="preserve">8.2.2 Contingent liabilities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ntingent liabilities"/>
        <w:tblDescription w:val="This table outlines the Authority's contingent liabilities for the reporting period. There were none in existence at 30 June 2018 and up to the date of this report. "/>
      </w:tblPr>
      <w:tblGrid>
        <w:gridCol w:w="6374"/>
        <w:gridCol w:w="1276"/>
        <w:gridCol w:w="1366"/>
      </w:tblGrid>
      <w:tr w:rsidR="00024979" w14:paraId="4BB77F0A" w14:textId="77777777" w:rsidTr="00F11774">
        <w:trPr>
          <w:tblHeader/>
        </w:trPr>
        <w:tc>
          <w:tcPr>
            <w:tcW w:w="6374" w:type="dxa"/>
          </w:tcPr>
          <w:p w14:paraId="1319FA15" w14:textId="77777777" w:rsidR="00024979" w:rsidRDefault="00024979" w:rsidP="008D090C">
            <w:pPr>
              <w:rPr>
                <w:lang w:val="en-US" w:eastAsia="en-AU"/>
              </w:rPr>
            </w:pPr>
          </w:p>
        </w:tc>
        <w:tc>
          <w:tcPr>
            <w:tcW w:w="1276" w:type="dxa"/>
          </w:tcPr>
          <w:p w14:paraId="669BC5DA" w14:textId="77777777" w:rsidR="00024979" w:rsidRPr="00024979" w:rsidRDefault="00024979" w:rsidP="008D090C">
            <w:pPr>
              <w:jc w:val="right"/>
              <w:rPr>
                <w:b/>
                <w:lang w:val="en-US" w:eastAsia="en-AU"/>
              </w:rPr>
            </w:pPr>
            <w:r>
              <w:rPr>
                <w:b/>
                <w:lang w:val="en-US" w:eastAsia="en-AU"/>
              </w:rPr>
              <w:t>2018</w:t>
            </w:r>
            <w:r>
              <w:rPr>
                <w:b/>
                <w:lang w:val="en-US" w:eastAsia="en-AU"/>
              </w:rPr>
              <w:br/>
              <w:t>$000</w:t>
            </w:r>
          </w:p>
        </w:tc>
        <w:tc>
          <w:tcPr>
            <w:tcW w:w="1366" w:type="dxa"/>
          </w:tcPr>
          <w:p w14:paraId="01022E51" w14:textId="77777777" w:rsidR="00024979" w:rsidRPr="00024979" w:rsidRDefault="00024979" w:rsidP="008D090C">
            <w:pPr>
              <w:jc w:val="right"/>
              <w:rPr>
                <w:b/>
                <w:lang w:val="en-US" w:eastAsia="en-AU"/>
              </w:rPr>
            </w:pPr>
            <w:r>
              <w:rPr>
                <w:b/>
                <w:lang w:val="en-US" w:eastAsia="en-AU"/>
              </w:rPr>
              <w:t>2017</w:t>
            </w:r>
            <w:r>
              <w:rPr>
                <w:b/>
                <w:lang w:val="en-US" w:eastAsia="en-AU"/>
              </w:rPr>
              <w:br/>
              <w:t>$000</w:t>
            </w:r>
          </w:p>
        </w:tc>
      </w:tr>
      <w:tr w:rsidR="00024979" w14:paraId="2118EE4C" w14:textId="77777777" w:rsidTr="008D090C">
        <w:tc>
          <w:tcPr>
            <w:tcW w:w="6374" w:type="dxa"/>
          </w:tcPr>
          <w:p w14:paraId="59918384" w14:textId="238D8D42" w:rsidR="00024979" w:rsidRPr="00024979" w:rsidRDefault="00024979" w:rsidP="00024979">
            <w:pPr>
              <w:rPr>
                <w:lang w:eastAsia="en-AU"/>
              </w:rPr>
            </w:pPr>
            <w:r>
              <w:t xml:space="preserve">There were no contingent liabilities in existence at </w:t>
            </w:r>
            <w:r>
              <w:br/>
              <w:t>30 June 2018 and up to the date of this report.</w:t>
            </w:r>
          </w:p>
        </w:tc>
        <w:tc>
          <w:tcPr>
            <w:tcW w:w="1276" w:type="dxa"/>
            <w:tcBorders>
              <w:bottom w:val="single" w:sz="4" w:space="0" w:color="auto"/>
            </w:tcBorders>
          </w:tcPr>
          <w:p w14:paraId="3E6F3EF0" w14:textId="77777777" w:rsidR="00024979" w:rsidRDefault="00024979" w:rsidP="008D090C">
            <w:pPr>
              <w:jc w:val="right"/>
              <w:rPr>
                <w:lang w:val="en-US" w:eastAsia="en-AU"/>
              </w:rPr>
            </w:pPr>
            <w:r>
              <w:rPr>
                <w:lang w:val="en-US" w:eastAsia="en-AU"/>
              </w:rPr>
              <w:t>-</w:t>
            </w:r>
          </w:p>
        </w:tc>
        <w:tc>
          <w:tcPr>
            <w:tcW w:w="1366" w:type="dxa"/>
            <w:tcBorders>
              <w:bottom w:val="single" w:sz="4" w:space="0" w:color="auto"/>
            </w:tcBorders>
          </w:tcPr>
          <w:p w14:paraId="4CCE4AD0" w14:textId="77777777" w:rsidR="00024979" w:rsidRDefault="00024979" w:rsidP="008D090C">
            <w:pPr>
              <w:jc w:val="right"/>
              <w:rPr>
                <w:lang w:val="en-US" w:eastAsia="en-AU"/>
              </w:rPr>
            </w:pPr>
            <w:r>
              <w:rPr>
                <w:lang w:val="en-US" w:eastAsia="en-AU"/>
              </w:rPr>
              <w:t>-</w:t>
            </w:r>
          </w:p>
        </w:tc>
      </w:tr>
      <w:tr w:rsidR="00024979" w14:paraId="54F110BC" w14:textId="77777777" w:rsidTr="008D090C">
        <w:tc>
          <w:tcPr>
            <w:tcW w:w="6374" w:type="dxa"/>
          </w:tcPr>
          <w:p w14:paraId="547AA031" w14:textId="77777777" w:rsidR="00024979" w:rsidRDefault="00024979" w:rsidP="008D090C">
            <w:pPr>
              <w:rPr>
                <w:lang w:val="en-US" w:eastAsia="en-AU"/>
              </w:rPr>
            </w:pPr>
          </w:p>
        </w:tc>
        <w:tc>
          <w:tcPr>
            <w:tcW w:w="1276" w:type="dxa"/>
            <w:tcBorders>
              <w:top w:val="single" w:sz="4" w:space="0" w:color="auto"/>
              <w:bottom w:val="double" w:sz="4" w:space="0" w:color="auto"/>
            </w:tcBorders>
          </w:tcPr>
          <w:p w14:paraId="7F6055AF" w14:textId="77777777" w:rsidR="00024979" w:rsidRDefault="00024979" w:rsidP="008D090C">
            <w:pPr>
              <w:jc w:val="right"/>
              <w:rPr>
                <w:lang w:val="en-US" w:eastAsia="en-AU"/>
              </w:rPr>
            </w:pPr>
            <w:r>
              <w:rPr>
                <w:lang w:val="en-US" w:eastAsia="en-AU"/>
              </w:rPr>
              <w:t>-</w:t>
            </w:r>
          </w:p>
        </w:tc>
        <w:tc>
          <w:tcPr>
            <w:tcW w:w="1366" w:type="dxa"/>
            <w:tcBorders>
              <w:top w:val="single" w:sz="4" w:space="0" w:color="auto"/>
              <w:bottom w:val="double" w:sz="4" w:space="0" w:color="auto"/>
            </w:tcBorders>
          </w:tcPr>
          <w:p w14:paraId="2DC40B45" w14:textId="77777777" w:rsidR="00024979" w:rsidRDefault="00024979" w:rsidP="008D090C">
            <w:pPr>
              <w:jc w:val="right"/>
              <w:rPr>
                <w:lang w:val="en-US" w:eastAsia="en-AU"/>
              </w:rPr>
            </w:pPr>
            <w:r>
              <w:rPr>
                <w:lang w:val="en-US" w:eastAsia="en-AU"/>
              </w:rPr>
              <w:t>-</w:t>
            </w:r>
          </w:p>
        </w:tc>
      </w:tr>
    </w:tbl>
    <w:p w14:paraId="54188562" w14:textId="77777777" w:rsidR="00024979" w:rsidRPr="00024979" w:rsidRDefault="00024979" w:rsidP="00024979">
      <w:pPr>
        <w:rPr>
          <w:lang w:val="en-US" w:eastAsia="en-AU"/>
        </w:rPr>
      </w:pPr>
    </w:p>
    <w:p w14:paraId="1332C14C" w14:textId="28EC9F23" w:rsidR="00024979" w:rsidRDefault="00024979" w:rsidP="00024979">
      <w:pPr>
        <w:pStyle w:val="Heading3nonumber"/>
        <w:rPr>
          <w:lang w:val="en-US" w:eastAsia="en-AU"/>
        </w:rPr>
      </w:pPr>
      <w:bookmarkStart w:id="799" w:name="_Toc525122195"/>
      <w:r>
        <w:rPr>
          <w:lang w:val="en-US" w:eastAsia="en-AU"/>
        </w:rPr>
        <w:t>8.3 Fair value measurements</w:t>
      </w:r>
      <w:bookmarkEnd w:id="7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air value measurements"/>
        <w:tblDescription w:val="This table outlines the fair value measurement of assets for the reporting period. "/>
      </w:tblPr>
      <w:tblGrid>
        <w:gridCol w:w="2405"/>
        <w:gridCol w:w="1559"/>
        <w:gridCol w:w="1445"/>
        <w:gridCol w:w="1803"/>
        <w:gridCol w:w="1804"/>
      </w:tblGrid>
      <w:tr w:rsidR="00D96B9C" w14:paraId="3F1D141B" w14:textId="77777777" w:rsidTr="00F11774">
        <w:trPr>
          <w:tblHeader/>
        </w:trPr>
        <w:tc>
          <w:tcPr>
            <w:tcW w:w="2405" w:type="dxa"/>
          </w:tcPr>
          <w:p w14:paraId="0484D12B" w14:textId="6CCE064A" w:rsidR="00D96B9C" w:rsidRDefault="00D96B9C" w:rsidP="00D96B9C">
            <w:pPr>
              <w:rPr>
                <w:lang w:val="en-US" w:eastAsia="en-AU"/>
              </w:rPr>
            </w:pPr>
            <w:r>
              <w:rPr>
                <w:lang w:val="en-US" w:eastAsia="en-AU"/>
              </w:rPr>
              <w:t xml:space="preserve">Assets measured at fair value: </w:t>
            </w:r>
          </w:p>
        </w:tc>
        <w:tc>
          <w:tcPr>
            <w:tcW w:w="1559" w:type="dxa"/>
          </w:tcPr>
          <w:p w14:paraId="76591252" w14:textId="57FA3611" w:rsidR="00D96B9C" w:rsidRPr="00D96B9C" w:rsidRDefault="00D96B9C" w:rsidP="00D96B9C">
            <w:pPr>
              <w:jc w:val="right"/>
              <w:rPr>
                <w:b/>
                <w:lang w:val="en-US" w:eastAsia="en-AU"/>
              </w:rPr>
            </w:pPr>
            <w:r>
              <w:rPr>
                <w:b/>
                <w:lang w:val="en-US" w:eastAsia="en-AU"/>
              </w:rPr>
              <w:t>Level 1</w:t>
            </w:r>
            <w:r>
              <w:rPr>
                <w:b/>
                <w:lang w:val="en-US" w:eastAsia="en-AU"/>
              </w:rPr>
              <w:br/>
            </w:r>
            <w:r>
              <w:rPr>
                <w:b/>
                <w:lang w:val="en-US" w:eastAsia="en-AU"/>
              </w:rPr>
              <w:br/>
              <w:t>$000</w:t>
            </w:r>
          </w:p>
        </w:tc>
        <w:tc>
          <w:tcPr>
            <w:tcW w:w="1445" w:type="dxa"/>
          </w:tcPr>
          <w:p w14:paraId="5220BA5D" w14:textId="5A70C64A" w:rsidR="00D96B9C" w:rsidRPr="00D96B9C" w:rsidRDefault="00D96B9C" w:rsidP="00D96B9C">
            <w:pPr>
              <w:jc w:val="right"/>
              <w:rPr>
                <w:b/>
                <w:lang w:val="en-US" w:eastAsia="en-AU"/>
              </w:rPr>
            </w:pPr>
            <w:r>
              <w:rPr>
                <w:b/>
                <w:lang w:val="en-US" w:eastAsia="en-AU"/>
              </w:rPr>
              <w:t>Level 2</w:t>
            </w:r>
            <w:r>
              <w:rPr>
                <w:b/>
                <w:lang w:val="en-US" w:eastAsia="en-AU"/>
              </w:rPr>
              <w:br/>
            </w:r>
            <w:r>
              <w:rPr>
                <w:b/>
                <w:lang w:val="en-US" w:eastAsia="en-AU"/>
              </w:rPr>
              <w:br/>
              <w:t>$000</w:t>
            </w:r>
          </w:p>
        </w:tc>
        <w:tc>
          <w:tcPr>
            <w:tcW w:w="1803" w:type="dxa"/>
          </w:tcPr>
          <w:p w14:paraId="4C9A7540" w14:textId="70030B80" w:rsidR="00D96B9C" w:rsidRPr="00D96B9C" w:rsidRDefault="00D96B9C" w:rsidP="00D96B9C">
            <w:pPr>
              <w:jc w:val="right"/>
              <w:rPr>
                <w:b/>
                <w:lang w:val="en-US" w:eastAsia="en-AU"/>
              </w:rPr>
            </w:pPr>
            <w:r>
              <w:rPr>
                <w:b/>
                <w:lang w:val="en-US" w:eastAsia="en-AU"/>
              </w:rPr>
              <w:t>Level 3</w:t>
            </w:r>
            <w:r>
              <w:rPr>
                <w:b/>
                <w:lang w:val="en-US" w:eastAsia="en-AU"/>
              </w:rPr>
              <w:br/>
            </w:r>
            <w:r>
              <w:rPr>
                <w:b/>
                <w:lang w:val="en-US" w:eastAsia="en-AU"/>
              </w:rPr>
              <w:br/>
              <w:t>$000</w:t>
            </w:r>
          </w:p>
        </w:tc>
        <w:tc>
          <w:tcPr>
            <w:tcW w:w="1804" w:type="dxa"/>
          </w:tcPr>
          <w:p w14:paraId="5C90EE91" w14:textId="7A8EC06C" w:rsidR="00D96B9C" w:rsidRPr="00D96B9C" w:rsidRDefault="00D96B9C" w:rsidP="00D96B9C">
            <w:pPr>
              <w:jc w:val="right"/>
              <w:rPr>
                <w:b/>
                <w:lang w:val="en-US" w:eastAsia="en-AU"/>
              </w:rPr>
            </w:pPr>
            <w:r>
              <w:rPr>
                <w:b/>
                <w:lang w:val="en-US" w:eastAsia="en-AU"/>
              </w:rPr>
              <w:t>Fair value at end of period</w:t>
            </w:r>
            <w:r>
              <w:rPr>
                <w:b/>
                <w:lang w:val="en-US" w:eastAsia="en-AU"/>
              </w:rPr>
              <w:br/>
              <w:t>$000</w:t>
            </w:r>
          </w:p>
        </w:tc>
      </w:tr>
      <w:tr w:rsidR="00D96B9C" w14:paraId="1F2862E9" w14:textId="77777777" w:rsidTr="00D96B9C">
        <w:tc>
          <w:tcPr>
            <w:tcW w:w="2405" w:type="dxa"/>
          </w:tcPr>
          <w:p w14:paraId="59992B12" w14:textId="3FDD1E1E" w:rsidR="00D96B9C" w:rsidRPr="00D96B9C" w:rsidRDefault="00D96B9C" w:rsidP="00D96B9C">
            <w:pPr>
              <w:rPr>
                <w:b/>
                <w:lang w:val="en-US" w:eastAsia="en-AU"/>
              </w:rPr>
            </w:pPr>
            <w:r>
              <w:rPr>
                <w:b/>
                <w:lang w:val="en-US" w:eastAsia="en-AU"/>
              </w:rPr>
              <w:t>2018</w:t>
            </w:r>
          </w:p>
        </w:tc>
        <w:tc>
          <w:tcPr>
            <w:tcW w:w="1559" w:type="dxa"/>
          </w:tcPr>
          <w:p w14:paraId="64163484" w14:textId="77777777" w:rsidR="00D96B9C" w:rsidRDefault="00D96B9C" w:rsidP="00D96B9C">
            <w:pPr>
              <w:jc w:val="right"/>
              <w:rPr>
                <w:lang w:val="en-US" w:eastAsia="en-AU"/>
              </w:rPr>
            </w:pPr>
          </w:p>
        </w:tc>
        <w:tc>
          <w:tcPr>
            <w:tcW w:w="1445" w:type="dxa"/>
          </w:tcPr>
          <w:p w14:paraId="42E9AA22" w14:textId="77777777" w:rsidR="00D96B9C" w:rsidRDefault="00D96B9C" w:rsidP="00D96B9C">
            <w:pPr>
              <w:jc w:val="right"/>
              <w:rPr>
                <w:lang w:val="en-US" w:eastAsia="en-AU"/>
              </w:rPr>
            </w:pPr>
          </w:p>
        </w:tc>
        <w:tc>
          <w:tcPr>
            <w:tcW w:w="1803" w:type="dxa"/>
          </w:tcPr>
          <w:p w14:paraId="1930AFB3" w14:textId="77777777" w:rsidR="00D96B9C" w:rsidRDefault="00D96B9C" w:rsidP="00D96B9C">
            <w:pPr>
              <w:jc w:val="right"/>
              <w:rPr>
                <w:lang w:val="en-US" w:eastAsia="en-AU"/>
              </w:rPr>
            </w:pPr>
          </w:p>
        </w:tc>
        <w:tc>
          <w:tcPr>
            <w:tcW w:w="1804" w:type="dxa"/>
          </w:tcPr>
          <w:p w14:paraId="7BD1153B" w14:textId="77777777" w:rsidR="00D96B9C" w:rsidRDefault="00D96B9C" w:rsidP="00D96B9C">
            <w:pPr>
              <w:jc w:val="right"/>
              <w:rPr>
                <w:lang w:val="en-US" w:eastAsia="en-AU"/>
              </w:rPr>
            </w:pPr>
          </w:p>
        </w:tc>
      </w:tr>
      <w:tr w:rsidR="00D96B9C" w14:paraId="72A5402A" w14:textId="77777777" w:rsidTr="00D96B9C">
        <w:tc>
          <w:tcPr>
            <w:tcW w:w="2405" w:type="dxa"/>
          </w:tcPr>
          <w:p w14:paraId="6B673C77" w14:textId="20D93F0A" w:rsidR="00D96B9C" w:rsidRDefault="00D96B9C" w:rsidP="00D96B9C">
            <w:pPr>
              <w:rPr>
                <w:lang w:val="en-US" w:eastAsia="en-AU"/>
              </w:rPr>
            </w:pPr>
            <w:r>
              <w:rPr>
                <w:lang w:val="en-US" w:eastAsia="en-AU"/>
              </w:rPr>
              <w:t>Land (note 5.1)</w:t>
            </w:r>
          </w:p>
        </w:tc>
        <w:tc>
          <w:tcPr>
            <w:tcW w:w="1559" w:type="dxa"/>
          </w:tcPr>
          <w:p w14:paraId="7287876E" w14:textId="77777777" w:rsidR="00D96B9C" w:rsidRDefault="00D96B9C" w:rsidP="00D96B9C">
            <w:pPr>
              <w:jc w:val="right"/>
              <w:rPr>
                <w:lang w:val="en-US" w:eastAsia="en-AU"/>
              </w:rPr>
            </w:pPr>
          </w:p>
        </w:tc>
        <w:tc>
          <w:tcPr>
            <w:tcW w:w="1445" w:type="dxa"/>
          </w:tcPr>
          <w:p w14:paraId="54637DDF" w14:textId="5AFB861F" w:rsidR="00D96B9C" w:rsidRDefault="00D96B9C" w:rsidP="00D96B9C">
            <w:pPr>
              <w:jc w:val="right"/>
              <w:rPr>
                <w:lang w:val="en-US" w:eastAsia="en-AU"/>
              </w:rPr>
            </w:pPr>
            <w:r>
              <w:rPr>
                <w:lang w:val="en-US" w:eastAsia="en-AU"/>
              </w:rPr>
              <w:t>14,000</w:t>
            </w:r>
          </w:p>
        </w:tc>
        <w:tc>
          <w:tcPr>
            <w:tcW w:w="1803" w:type="dxa"/>
          </w:tcPr>
          <w:p w14:paraId="07E0B80B" w14:textId="77777777" w:rsidR="00D96B9C" w:rsidRDefault="00D96B9C" w:rsidP="00D96B9C">
            <w:pPr>
              <w:jc w:val="right"/>
              <w:rPr>
                <w:lang w:val="en-US" w:eastAsia="en-AU"/>
              </w:rPr>
            </w:pPr>
          </w:p>
        </w:tc>
        <w:tc>
          <w:tcPr>
            <w:tcW w:w="1804" w:type="dxa"/>
          </w:tcPr>
          <w:p w14:paraId="53014447" w14:textId="692A330B" w:rsidR="00D96B9C" w:rsidRDefault="00D96B9C" w:rsidP="00D96B9C">
            <w:pPr>
              <w:jc w:val="right"/>
              <w:rPr>
                <w:lang w:val="en-US" w:eastAsia="en-AU"/>
              </w:rPr>
            </w:pPr>
            <w:r>
              <w:rPr>
                <w:lang w:val="en-US" w:eastAsia="en-AU"/>
              </w:rPr>
              <w:t>14,000</w:t>
            </w:r>
          </w:p>
        </w:tc>
      </w:tr>
      <w:tr w:rsidR="00D96B9C" w14:paraId="3D2C1F08" w14:textId="77777777" w:rsidTr="00D96B9C">
        <w:tc>
          <w:tcPr>
            <w:tcW w:w="2405" w:type="dxa"/>
          </w:tcPr>
          <w:p w14:paraId="489B8C6F" w14:textId="139CE19B" w:rsidR="00D96B9C" w:rsidRDefault="00D96B9C" w:rsidP="00D96B9C">
            <w:pPr>
              <w:rPr>
                <w:lang w:val="en-US" w:eastAsia="en-AU"/>
              </w:rPr>
            </w:pPr>
            <w:r>
              <w:rPr>
                <w:lang w:val="en-US" w:eastAsia="en-AU"/>
              </w:rPr>
              <w:t>Buildings (note 5.1)</w:t>
            </w:r>
          </w:p>
        </w:tc>
        <w:tc>
          <w:tcPr>
            <w:tcW w:w="1559" w:type="dxa"/>
          </w:tcPr>
          <w:p w14:paraId="12675DDC" w14:textId="77777777" w:rsidR="00D96B9C" w:rsidRDefault="00D96B9C" w:rsidP="00D96B9C">
            <w:pPr>
              <w:jc w:val="right"/>
              <w:rPr>
                <w:lang w:val="en-US" w:eastAsia="en-AU"/>
              </w:rPr>
            </w:pPr>
          </w:p>
        </w:tc>
        <w:tc>
          <w:tcPr>
            <w:tcW w:w="1445" w:type="dxa"/>
          </w:tcPr>
          <w:p w14:paraId="22888B1A" w14:textId="7E5532DE" w:rsidR="00D96B9C" w:rsidRDefault="00D96B9C" w:rsidP="00D96B9C">
            <w:pPr>
              <w:jc w:val="right"/>
              <w:rPr>
                <w:lang w:val="en-US" w:eastAsia="en-AU"/>
              </w:rPr>
            </w:pPr>
            <w:r>
              <w:rPr>
                <w:lang w:val="en-US" w:eastAsia="en-AU"/>
              </w:rPr>
              <w:t>1,500</w:t>
            </w:r>
          </w:p>
        </w:tc>
        <w:tc>
          <w:tcPr>
            <w:tcW w:w="1803" w:type="dxa"/>
          </w:tcPr>
          <w:p w14:paraId="6B4D378A" w14:textId="77777777" w:rsidR="00D96B9C" w:rsidRDefault="00D96B9C" w:rsidP="00D96B9C">
            <w:pPr>
              <w:jc w:val="right"/>
              <w:rPr>
                <w:lang w:val="en-US" w:eastAsia="en-AU"/>
              </w:rPr>
            </w:pPr>
          </w:p>
        </w:tc>
        <w:tc>
          <w:tcPr>
            <w:tcW w:w="1804" w:type="dxa"/>
          </w:tcPr>
          <w:p w14:paraId="0C5893D6" w14:textId="42D33E40" w:rsidR="00D96B9C" w:rsidRDefault="00D96B9C" w:rsidP="00D96B9C">
            <w:pPr>
              <w:jc w:val="right"/>
              <w:rPr>
                <w:lang w:val="en-US" w:eastAsia="en-AU"/>
              </w:rPr>
            </w:pPr>
            <w:r>
              <w:rPr>
                <w:lang w:val="en-US" w:eastAsia="en-AU"/>
              </w:rPr>
              <w:t>1,500</w:t>
            </w:r>
            <w:r>
              <w:rPr>
                <w:lang w:val="en-US" w:eastAsia="en-AU"/>
              </w:rPr>
              <w:br/>
            </w:r>
            <w:r>
              <w:rPr>
                <w:lang w:val="en-US" w:eastAsia="en-AU"/>
              </w:rPr>
              <w:br/>
            </w:r>
          </w:p>
        </w:tc>
      </w:tr>
      <w:tr w:rsidR="00D96B9C" w14:paraId="03E4BE89" w14:textId="77777777" w:rsidTr="00D96B9C">
        <w:tc>
          <w:tcPr>
            <w:tcW w:w="2405" w:type="dxa"/>
          </w:tcPr>
          <w:p w14:paraId="60AF48C6" w14:textId="77777777" w:rsidR="00D96B9C" w:rsidRDefault="00D96B9C" w:rsidP="00D96B9C">
            <w:pPr>
              <w:rPr>
                <w:lang w:val="en-US" w:eastAsia="en-AU"/>
              </w:rPr>
            </w:pPr>
          </w:p>
        </w:tc>
        <w:tc>
          <w:tcPr>
            <w:tcW w:w="1559" w:type="dxa"/>
            <w:tcBorders>
              <w:top w:val="single" w:sz="4" w:space="0" w:color="auto"/>
            </w:tcBorders>
          </w:tcPr>
          <w:p w14:paraId="3F87D016" w14:textId="3B786C98" w:rsidR="00D96B9C" w:rsidRDefault="00D96B9C" w:rsidP="00D96B9C">
            <w:pPr>
              <w:jc w:val="right"/>
              <w:rPr>
                <w:lang w:val="en-US" w:eastAsia="en-AU"/>
              </w:rPr>
            </w:pPr>
            <w:r>
              <w:rPr>
                <w:lang w:val="en-US" w:eastAsia="en-AU"/>
              </w:rPr>
              <w:t>-</w:t>
            </w:r>
          </w:p>
        </w:tc>
        <w:tc>
          <w:tcPr>
            <w:tcW w:w="1445" w:type="dxa"/>
            <w:tcBorders>
              <w:top w:val="single" w:sz="4" w:space="0" w:color="auto"/>
            </w:tcBorders>
          </w:tcPr>
          <w:p w14:paraId="5846B501" w14:textId="258D6629" w:rsidR="00D96B9C" w:rsidRPr="00D96B9C" w:rsidRDefault="00D96B9C" w:rsidP="00D96B9C">
            <w:pPr>
              <w:jc w:val="right"/>
              <w:rPr>
                <w:b/>
                <w:lang w:val="en-US" w:eastAsia="en-AU"/>
              </w:rPr>
            </w:pPr>
            <w:r>
              <w:rPr>
                <w:b/>
                <w:lang w:val="en-US" w:eastAsia="en-AU"/>
              </w:rPr>
              <w:t>15,500</w:t>
            </w:r>
          </w:p>
        </w:tc>
        <w:tc>
          <w:tcPr>
            <w:tcW w:w="1803" w:type="dxa"/>
            <w:tcBorders>
              <w:top w:val="single" w:sz="4" w:space="0" w:color="auto"/>
            </w:tcBorders>
          </w:tcPr>
          <w:p w14:paraId="2B9ADF7A" w14:textId="3C9501F2" w:rsidR="00D96B9C" w:rsidRDefault="00D96B9C" w:rsidP="00D96B9C">
            <w:pPr>
              <w:jc w:val="right"/>
              <w:rPr>
                <w:lang w:val="en-US" w:eastAsia="en-AU"/>
              </w:rPr>
            </w:pPr>
            <w:r>
              <w:rPr>
                <w:lang w:val="en-US" w:eastAsia="en-AU"/>
              </w:rPr>
              <w:t>-</w:t>
            </w:r>
          </w:p>
        </w:tc>
        <w:tc>
          <w:tcPr>
            <w:tcW w:w="1804" w:type="dxa"/>
            <w:tcBorders>
              <w:top w:val="single" w:sz="4" w:space="0" w:color="auto"/>
            </w:tcBorders>
          </w:tcPr>
          <w:p w14:paraId="6F7C0550" w14:textId="15EAC83B" w:rsidR="00D96B9C" w:rsidRPr="00D96B9C" w:rsidRDefault="00D96B9C" w:rsidP="00D96B9C">
            <w:pPr>
              <w:jc w:val="right"/>
              <w:rPr>
                <w:b/>
                <w:lang w:val="en-US" w:eastAsia="en-AU"/>
              </w:rPr>
            </w:pPr>
            <w:r>
              <w:rPr>
                <w:b/>
                <w:lang w:val="en-US" w:eastAsia="en-AU"/>
              </w:rPr>
              <w:t>15,500</w:t>
            </w:r>
          </w:p>
        </w:tc>
      </w:tr>
      <w:tr w:rsidR="00D96B9C" w14:paraId="1F770F5C" w14:textId="77777777" w:rsidTr="00D96B9C">
        <w:tc>
          <w:tcPr>
            <w:tcW w:w="2405" w:type="dxa"/>
          </w:tcPr>
          <w:p w14:paraId="796E339B" w14:textId="2DF99E66" w:rsidR="00D96B9C" w:rsidRPr="00D96B9C" w:rsidRDefault="00D96B9C" w:rsidP="00D96B9C">
            <w:pPr>
              <w:rPr>
                <w:b/>
                <w:lang w:val="en-US" w:eastAsia="en-AU"/>
              </w:rPr>
            </w:pPr>
            <w:r>
              <w:rPr>
                <w:b/>
                <w:lang w:val="en-US" w:eastAsia="en-AU"/>
              </w:rPr>
              <w:t>2017</w:t>
            </w:r>
          </w:p>
        </w:tc>
        <w:tc>
          <w:tcPr>
            <w:tcW w:w="1559" w:type="dxa"/>
            <w:tcBorders>
              <w:top w:val="double" w:sz="4" w:space="0" w:color="auto"/>
            </w:tcBorders>
          </w:tcPr>
          <w:p w14:paraId="13BEB719" w14:textId="77777777" w:rsidR="00D96B9C" w:rsidRDefault="00D96B9C" w:rsidP="00D96B9C">
            <w:pPr>
              <w:rPr>
                <w:lang w:val="en-US" w:eastAsia="en-AU"/>
              </w:rPr>
            </w:pPr>
          </w:p>
        </w:tc>
        <w:tc>
          <w:tcPr>
            <w:tcW w:w="1445" w:type="dxa"/>
            <w:tcBorders>
              <w:top w:val="double" w:sz="4" w:space="0" w:color="auto"/>
            </w:tcBorders>
          </w:tcPr>
          <w:p w14:paraId="1683023E" w14:textId="77777777" w:rsidR="00D96B9C" w:rsidRDefault="00D96B9C" w:rsidP="00D96B9C">
            <w:pPr>
              <w:rPr>
                <w:lang w:val="en-US" w:eastAsia="en-AU"/>
              </w:rPr>
            </w:pPr>
          </w:p>
        </w:tc>
        <w:tc>
          <w:tcPr>
            <w:tcW w:w="1803" w:type="dxa"/>
            <w:tcBorders>
              <w:top w:val="double" w:sz="4" w:space="0" w:color="auto"/>
            </w:tcBorders>
          </w:tcPr>
          <w:p w14:paraId="3AF9B4EE" w14:textId="77777777" w:rsidR="00D96B9C" w:rsidRDefault="00D96B9C" w:rsidP="00D96B9C">
            <w:pPr>
              <w:rPr>
                <w:lang w:val="en-US" w:eastAsia="en-AU"/>
              </w:rPr>
            </w:pPr>
          </w:p>
        </w:tc>
        <w:tc>
          <w:tcPr>
            <w:tcW w:w="1804" w:type="dxa"/>
            <w:tcBorders>
              <w:top w:val="double" w:sz="4" w:space="0" w:color="auto"/>
            </w:tcBorders>
          </w:tcPr>
          <w:p w14:paraId="189ECEFA" w14:textId="77777777" w:rsidR="00D96B9C" w:rsidRDefault="00D96B9C" w:rsidP="00D96B9C">
            <w:pPr>
              <w:rPr>
                <w:lang w:val="en-US" w:eastAsia="en-AU"/>
              </w:rPr>
            </w:pPr>
          </w:p>
        </w:tc>
      </w:tr>
      <w:tr w:rsidR="00D96B9C" w14:paraId="4976AEB7" w14:textId="77777777" w:rsidTr="00D96B9C">
        <w:tc>
          <w:tcPr>
            <w:tcW w:w="2405" w:type="dxa"/>
          </w:tcPr>
          <w:p w14:paraId="3594FB4A" w14:textId="157D4BAB" w:rsidR="00D96B9C" w:rsidRDefault="00D96B9C" w:rsidP="00D96B9C">
            <w:pPr>
              <w:rPr>
                <w:lang w:val="en-US" w:eastAsia="en-AU"/>
              </w:rPr>
            </w:pPr>
            <w:r>
              <w:rPr>
                <w:lang w:val="en-US" w:eastAsia="en-AU"/>
              </w:rPr>
              <w:t>Land (note 5.1)</w:t>
            </w:r>
          </w:p>
        </w:tc>
        <w:tc>
          <w:tcPr>
            <w:tcW w:w="1559" w:type="dxa"/>
          </w:tcPr>
          <w:p w14:paraId="2F790892" w14:textId="77777777" w:rsidR="00D96B9C" w:rsidRDefault="00D96B9C" w:rsidP="00D96B9C">
            <w:pPr>
              <w:jc w:val="right"/>
              <w:rPr>
                <w:lang w:val="en-US" w:eastAsia="en-AU"/>
              </w:rPr>
            </w:pPr>
          </w:p>
        </w:tc>
        <w:tc>
          <w:tcPr>
            <w:tcW w:w="1445" w:type="dxa"/>
          </w:tcPr>
          <w:p w14:paraId="514A95D7" w14:textId="0922AAA7" w:rsidR="00D96B9C" w:rsidRDefault="00D96B9C" w:rsidP="00D96B9C">
            <w:pPr>
              <w:jc w:val="right"/>
              <w:rPr>
                <w:lang w:val="en-US" w:eastAsia="en-AU"/>
              </w:rPr>
            </w:pPr>
            <w:r>
              <w:rPr>
                <w:lang w:val="en-US" w:eastAsia="en-AU"/>
              </w:rPr>
              <w:t>13,800</w:t>
            </w:r>
          </w:p>
        </w:tc>
        <w:tc>
          <w:tcPr>
            <w:tcW w:w="1803" w:type="dxa"/>
          </w:tcPr>
          <w:p w14:paraId="356339EA" w14:textId="77777777" w:rsidR="00D96B9C" w:rsidRDefault="00D96B9C" w:rsidP="00D96B9C">
            <w:pPr>
              <w:jc w:val="right"/>
              <w:rPr>
                <w:lang w:val="en-US" w:eastAsia="en-AU"/>
              </w:rPr>
            </w:pPr>
          </w:p>
        </w:tc>
        <w:tc>
          <w:tcPr>
            <w:tcW w:w="1804" w:type="dxa"/>
          </w:tcPr>
          <w:p w14:paraId="3AB1938F" w14:textId="11F98EF4" w:rsidR="00D96B9C" w:rsidRDefault="00D96B9C" w:rsidP="00D96B9C">
            <w:pPr>
              <w:jc w:val="right"/>
              <w:rPr>
                <w:lang w:val="en-US" w:eastAsia="en-AU"/>
              </w:rPr>
            </w:pPr>
            <w:r>
              <w:rPr>
                <w:lang w:val="en-US" w:eastAsia="en-AU"/>
              </w:rPr>
              <w:t>13,800</w:t>
            </w:r>
          </w:p>
        </w:tc>
      </w:tr>
      <w:tr w:rsidR="00D96B9C" w14:paraId="124B90D2" w14:textId="77777777" w:rsidTr="00D96B9C">
        <w:tc>
          <w:tcPr>
            <w:tcW w:w="2405" w:type="dxa"/>
          </w:tcPr>
          <w:p w14:paraId="69196D2F" w14:textId="02CCAE79" w:rsidR="00D96B9C" w:rsidRDefault="00D96B9C" w:rsidP="00D96B9C">
            <w:pPr>
              <w:rPr>
                <w:lang w:val="en-US" w:eastAsia="en-AU"/>
              </w:rPr>
            </w:pPr>
            <w:r>
              <w:rPr>
                <w:lang w:val="en-US" w:eastAsia="en-AU"/>
              </w:rPr>
              <w:t>Buildings (note 5.1)</w:t>
            </w:r>
          </w:p>
        </w:tc>
        <w:tc>
          <w:tcPr>
            <w:tcW w:w="1559" w:type="dxa"/>
            <w:tcBorders>
              <w:bottom w:val="single" w:sz="4" w:space="0" w:color="auto"/>
            </w:tcBorders>
          </w:tcPr>
          <w:p w14:paraId="0F7E8197" w14:textId="77777777" w:rsidR="00D96B9C" w:rsidRDefault="00D96B9C" w:rsidP="00D96B9C">
            <w:pPr>
              <w:jc w:val="right"/>
              <w:rPr>
                <w:lang w:val="en-US" w:eastAsia="en-AU"/>
              </w:rPr>
            </w:pPr>
          </w:p>
        </w:tc>
        <w:tc>
          <w:tcPr>
            <w:tcW w:w="1445" w:type="dxa"/>
            <w:tcBorders>
              <w:bottom w:val="single" w:sz="4" w:space="0" w:color="auto"/>
            </w:tcBorders>
          </w:tcPr>
          <w:p w14:paraId="033E2559" w14:textId="2DEDE8A7" w:rsidR="00D96B9C" w:rsidRDefault="00D96B9C" w:rsidP="00D96B9C">
            <w:pPr>
              <w:jc w:val="right"/>
              <w:rPr>
                <w:lang w:val="en-US" w:eastAsia="en-AU"/>
              </w:rPr>
            </w:pPr>
            <w:r>
              <w:rPr>
                <w:lang w:val="en-US" w:eastAsia="en-AU"/>
              </w:rPr>
              <w:t>1,700</w:t>
            </w:r>
          </w:p>
        </w:tc>
        <w:tc>
          <w:tcPr>
            <w:tcW w:w="1803" w:type="dxa"/>
            <w:tcBorders>
              <w:bottom w:val="single" w:sz="4" w:space="0" w:color="auto"/>
            </w:tcBorders>
          </w:tcPr>
          <w:p w14:paraId="022B703F" w14:textId="77777777" w:rsidR="00D96B9C" w:rsidRDefault="00D96B9C" w:rsidP="00D96B9C">
            <w:pPr>
              <w:jc w:val="right"/>
              <w:rPr>
                <w:lang w:val="en-US" w:eastAsia="en-AU"/>
              </w:rPr>
            </w:pPr>
          </w:p>
        </w:tc>
        <w:tc>
          <w:tcPr>
            <w:tcW w:w="1804" w:type="dxa"/>
            <w:tcBorders>
              <w:bottom w:val="single" w:sz="4" w:space="0" w:color="auto"/>
            </w:tcBorders>
          </w:tcPr>
          <w:p w14:paraId="577DDB1B" w14:textId="1B03297C" w:rsidR="00D96B9C" w:rsidRDefault="00D96B9C" w:rsidP="00D96B9C">
            <w:pPr>
              <w:jc w:val="right"/>
              <w:rPr>
                <w:lang w:val="en-US" w:eastAsia="en-AU"/>
              </w:rPr>
            </w:pPr>
            <w:r>
              <w:rPr>
                <w:lang w:val="en-US" w:eastAsia="en-AU"/>
              </w:rPr>
              <w:t>1,700</w:t>
            </w:r>
          </w:p>
        </w:tc>
      </w:tr>
      <w:tr w:rsidR="00D96B9C" w14:paraId="460D592B" w14:textId="77777777" w:rsidTr="00D96B9C">
        <w:tc>
          <w:tcPr>
            <w:tcW w:w="2405" w:type="dxa"/>
          </w:tcPr>
          <w:p w14:paraId="70F7B0C6" w14:textId="77777777" w:rsidR="00D96B9C" w:rsidRDefault="00D96B9C" w:rsidP="00D96B9C">
            <w:pPr>
              <w:rPr>
                <w:lang w:val="en-US" w:eastAsia="en-AU"/>
              </w:rPr>
            </w:pPr>
          </w:p>
        </w:tc>
        <w:tc>
          <w:tcPr>
            <w:tcW w:w="1559" w:type="dxa"/>
            <w:tcBorders>
              <w:top w:val="single" w:sz="4" w:space="0" w:color="auto"/>
              <w:bottom w:val="double" w:sz="4" w:space="0" w:color="auto"/>
            </w:tcBorders>
          </w:tcPr>
          <w:p w14:paraId="69458D5E" w14:textId="635B3337" w:rsidR="00D96B9C" w:rsidRDefault="00D96B9C" w:rsidP="00D96B9C">
            <w:pPr>
              <w:jc w:val="right"/>
              <w:rPr>
                <w:lang w:val="en-US" w:eastAsia="en-AU"/>
              </w:rPr>
            </w:pPr>
            <w:r>
              <w:rPr>
                <w:lang w:val="en-US" w:eastAsia="en-AU"/>
              </w:rPr>
              <w:t>-</w:t>
            </w:r>
          </w:p>
        </w:tc>
        <w:tc>
          <w:tcPr>
            <w:tcW w:w="1445" w:type="dxa"/>
            <w:tcBorders>
              <w:top w:val="single" w:sz="4" w:space="0" w:color="auto"/>
              <w:bottom w:val="double" w:sz="4" w:space="0" w:color="auto"/>
            </w:tcBorders>
          </w:tcPr>
          <w:p w14:paraId="2C4D4FA7" w14:textId="3CC8B586" w:rsidR="00D96B9C" w:rsidRPr="00D96B9C" w:rsidRDefault="00D96B9C" w:rsidP="00D96B9C">
            <w:pPr>
              <w:jc w:val="right"/>
              <w:rPr>
                <w:b/>
                <w:lang w:val="en-US" w:eastAsia="en-AU"/>
              </w:rPr>
            </w:pPr>
            <w:r>
              <w:rPr>
                <w:b/>
                <w:lang w:val="en-US" w:eastAsia="en-AU"/>
              </w:rPr>
              <w:t>15,500</w:t>
            </w:r>
          </w:p>
        </w:tc>
        <w:tc>
          <w:tcPr>
            <w:tcW w:w="1803" w:type="dxa"/>
            <w:tcBorders>
              <w:top w:val="single" w:sz="4" w:space="0" w:color="auto"/>
              <w:bottom w:val="double" w:sz="4" w:space="0" w:color="auto"/>
            </w:tcBorders>
          </w:tcPr>
          <w:p w14:paraId="2CF580DA" w14:textId="7AE8A8C6" w:rsidR="00D96B9C" w:rsidRDefault="00D96B9C" w:rsidP="00D96B9C">
            <w:pPr>
              <w:jc w:val="right"/>
              <w:rPr>
                <w:lang w:val="en-US" w:eastAsia="en-AU"/>
              </w:rPr>
            </w:pPr>
            <w:r>
              <w:rPr>
                <w:lang w:val="en-US" w:eastAsia="en-AU"/>
              </w:rPr>
              <w:t>-</w:t>
            </w:r>
          </w:p>
        </w:tc>
        <w:tc>
          <w:tcPr>
            <w:tcW w:w="1804" w:type="dxa"/>
            <w:tcBorders>
              <w:top w:val="single" w:sz="4" w:space="0" w:color="auto"/>
              <w:bottom w:val="double" w:sz="4" w:space="0" w:color="auto"/>
            </w:tcBorders>
          </w:tcPr>
          <w:p w14:paraId="615CF419" w14:textId="4A9F9EA1" w:rsidR="00D96B9C" w:rsidRPr="00D96B9C" w:rsidRDefault="00D96B9C" w:rsidP="00D96B9C">
            <w:pPr>
              <w:jc w:val="right"/>
              <w:rPr>
                <w:b/>
                <w:lang w:val="en-US" w:eastAsia="en-AU"/>
              </w:rPr>
            </w:pPr>
            <w:r>
              <w:rPr>
                <w:b/>
                <w:lang w:val="en-US" w:eastAsia="en-AU"/>
              </w:rPr>
              <w:t>15,500</w:t>
            </w:r>
          </w:p>
        </w:tc>
      </w:tr>
      <w:tr w:rsidR="00D96B9C" w14:paraId="56EA5835" w14:textId="77777777" w:rsidTr="00D96B9C">
        <w:tc>
          <w:tcPr>
            <w:tcW w:w="2405" w:type="dxa"/>
          </w:tcPr>
          <w:p w14:paraId="692DD33C" w14:textId="77777777" w:rsidR="00D96B9C" w:rsidRDefault="00D96B9C" w:rsidP="00D96B9C">
            <w:pPr>
              <w:rPr>
                <w:lang w:val="en-US" w:eastAsia="en-AU"/>
              </w:rPr>
            </w:pPr>
          </w:p>
        </w:tc>
        <w:tc>
          <w:tcPr>
            <w:tcW w:w="1559" w:type="dxa"/>
            <w:tcBorders>
              <w:top w:val="double" w:sz="4" w:space="0" w:color="auto"/>
            </w:tcBorders>
          </w:tcPr>
          <w:p w14:paraId="1E0D9544" w14:textId="77777777" w:rsidR="00D96B9C" w:rsidRDefault="00D96B9C" w:rsidP="00D96B9C">
            <w:pPr>
              <w:jc w:val="right"/>
              <w:rPr>
                <w:lang w:val="en-US" w:eastAsia="en-AU"/>
              </w:rPr>
            </w:pPr>
          </w:p>
        </w:tc>
        <w:tc>
          <w:tcPr>
            <w:tcW w:w="1445" w:type="dxa"/>
            <w:tcBorders>
              <w:top w:val="double" w:sz="4" w:space="0" w:color="auto"/>
            </w:tcBorders>
          </w:tcPr>
          <w:p w14:paraId="0A241DD5" w14:textId="77777777" w:rsidR="00D96B9C" w:rsidRDefault="00D96B9C" w:rsidP="00D96B9C">
            <w:pPr>
              <w:jc w:val="right"/>
              <w:rPr>
                <w:b/>
                <w:lang w:val="en-US" w:eastAsia="en-AU"/>
              </w:rPr>
            </w:pPr>
          </w:p>
        </w:tc>
        <w:tc>
          <w:tcPr>
            <w:tcW w:w="1803" w:type="dxa"/>
            <w:tcBorders>
              <w:top w:val="double" w:sz="4" w:space="0" w:color="auto"/>
            </w:tcBorders>
          </w:tcPr>
          <w:p w14:paraId="26993CD6" w14:textId="77777777" w:rsidR="00D96B9C" w:rsidRDefault="00D96B9C" w:rsidP="00D96B9C">
            <w:pPr>
              <w:jc w:val="right"/>
              <w:rPr>
                <w:lang w:val="en-US" w:eastAsia="en-AU"/>
              </w:rPr>
            </w:pPr>
          </w:p>
        </w:tc>
        <w:tc>
          <w:tcPr>
            <w:tcW w:w="1804" w:type="dxa"/>
            <w:tcBorders>
              <w:top w:val="double" w:sz="4" w:space="0" w:color="auto"/>
            </w:tcBorders>
          </w:tcPr>
          <w:p w14:paraId="5FBFAA05" w14:textId="77777777" w:rsidR="00D96B9C" w:rsidRDefault="00D96B9C" w:rsidP="00D96B9C">
            <w:pPr>
              <w:jc w:val="right"/>
              <w:rPr>
                <w:b/>
                <w:lang w:val="en-US" w:eastAsia="en-AU"/>
              </w:rPr>
            </w:pPr>
          </w:p>
        </w:tc>
      </w:tr>
    </w:tbl>
    <w:p w14:paraId="75285FB5" w14:textId="27F120C9" w:rsidR="00024979" w:rsidRPr="00024979" w:rsidRDefault="00D96B9C" w:rsidP="00D96B9C">
      <w:pPr>
        <w:rPr>
          <w:lang w:val="en-US" w:eastAsia="en-AU"/>
        </w:rPr>
      </w:pPr>
      <w:r w:rsidRPr="00D96B9C">
        <w:rPr>
          <w:lang w:val="en-US" w:eastAsia="en-AU"/>
        </w:rPr>
        <w:t>There were no transfers between Levels 1, 2 or 3 during the current and the previous periods.</w:t>
      </w:r>
    </w:p>
    <w:p w14:paraId="35D54328" w14:textId="3C24DD41" w:rsidR="00DA304E" w:rsidRDefault="004D4621" w:rsidP="00DA304E">
      <w:pPr>
        <w:rPr>
          <w:b/>
          <w:lang w:val="en-US" w:eastAsia="en-AU"/>
        </w:rPr>
      </w:pPr>
      <w:r>
        <w:rPr>
          <w:b/>
          <w:lang w:val="en-US" w:eastAsia="en-AU"/>
        </w:rPr>
        <w:t>Valuation techniques to derive Level 2 fair values</w:t>
      </w:r>
    </w:p>
    <w:p w14:paraId="2D3A99A3" w14:textId="0A25A4C7" w:rsidR="004D4621" w:rsidRDefault="004D4621" w:rsidP="00DA304E">
      <w:pPr>
        <w:rPr>
          <w:lang w:val="en-US" w:eastAsia="en-AU"/>
        </w:rPr>
      </w:pPr>
      <w:r w:rsidRPr="004D4621">
        <w:rPr>
          <w:lang w:val="en-US" w:eastAsia="en-AU"/>
        </w:rPr>
        <w:t xml:space="preserve">Level 2 fair values of Land and Buildings (office accommodation) are derived using the market approach.  Market evidence of sales prices/commercial rents of comparable land and buildings (office accommodation) in close proximity is used to determine price </w:t>
      </w:r>
      <w:r>
        <w:rPr>
          <w:lang w:val="en-US" w:eastAsia="en-AU"/>
        </w:rPr>
        <w:t>per square metre.</w:t>
      </w:r>
    </w:p>
    <w:p w14:paraId="1E464DDC" w14:textId="653C0069" w:rsidR="004D4621" w:rsidRDefault="004D4621" w:rsidP="00DA304E">
      <w:pPr>
        <w:rPr>
          <w:b/>
          <w:lang w:val="en-US" w:eastAsia="en-AU"/>
        </w:rPr>
      </w:pPr>
      <w:r>
        <w:rPr>
          <w:b/>
          <w:lang w:val="en-US" w:eastAsia="en-AU"/>
        </w:rPr>
        <w:t>Valuation Processes</w:t>
      </w:r>
    </w:p>
    <w:p w14:paraId="612F0E14" w14:textId="7F18C4D0" w:rsidR="004D4621" w:rsidRDefault="004D4621" w:rsidP="00DA304E">
      <w:pPr>
        <w:rPr>
          <w:lang w:val="en-US" w:eastAsia="en-AU"/>
        </w:rPr>
      </w:pPr>
      <w:r>
        <w:rPr>
          <w:lang w:val="en-US" w:eastAsia="en-AU"/>
        </w:rPr>
        <w:t xml:space="preserve">There were no changes in valuation techniques during the period. </w:t>
      </w:r>
    </w:p>
    <w:p w14:paraId="49E8B29B" w14:textId="6F5D87DE" w:rsidR="004D4621" w:rsidRDefault="00D27C50" w:rsidP="00D27C50">
      <w:pPr>
        <w:pStyle w:val="Heading2nonumber"/>
        <w:numPr>
          <w:ilvl w:val="0"/>
          <w:numId w:val="50"/>
        </w:numPr>
        <w:rPr>
          <w:lang w:val="en-US" w:eastAsia="en-AU"/>
        </w:rPr>
      </w:pPr>
      <w:bookmarkStart w:id="800" w:name="_Toc525122196"/>
      <w:r>
        <w:rPr>
          <w:lang w:val="en-US" w:eastAsia="en-AU"/>
        </w:rPr>
        <w:t>Other disclosures</w:t>
      </w:r>
      <w:bookmarkEnd w:id="800"/>
      <w:r>
        <w:rPr>
          <w:lang w:val="en-US" w:eastAsia="en-AU"/>
        </w:rPr>
        <w:t xml:space="preserve"> </w:t>
      </w:r>
    </w:p>
    <w:p w14:paraId="3604C099" w14:textId="4298F559" w:rsidR="00D27C50" w:rsidRDefault="00D27C50" w:rsidP="00D27C50">
      <w:pPr>
        <w:rPr>
          <w:lang w:val="en-US" w:eastAsia="en-AU"/>
        </w:rPr>
      </w:pPr>
      <w:r w:rsidRPr="00D27C50">
        <w:rPr>
          <w:lang w:val="en-US" w:eastAsia="en-AU"/>
        </w:rPr>
        <w:t>This section includes additional material disclosures required by accounting standards or other pronouncements, for the understandin</w:t>
      </w:r>
      <w:r>
        <w:rPr>
          <w:lang w:val="en-US" w:eastAsia="en-AU"/>
        </w:rPr>
        <w:t>g of this financial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ection 9"/>
        <w:tblDescription w:val="This table outlines the structure of Section 9 - Other disclosures. "/>
      </w:tblPr>
      <w:tblGrid>
        <w:gridCol w:w="7508"/>
        <w:gridCol w:w="1508"/>
      </w:tblGrid>
      <w:tr w:rsidR="00D27C50" w14:paraId="44C9BB36" w14:textId="77777777" w:rsidTr="00F11774">
        <w:trPr>
          <w:tblHeader/>
        </w:trPr>
        <w:tc>
          <w:tcPr>
            <w:tcW w:w="7508" w:type="dxa"/>
            <w:tcBorders>
              <w:bottom w:val="single" w:sz="12" w:space="0" w:color="auto"/>
            </w:tcBorders>
          </w:tcPr>
          <w:p w14:paraId="09556F0A" w14:textId="77777777" w:rsidR="00D27C50" w:rsidRDefault="00D27C50" w:rsidP="00D27C50">
            <w:pPr>
              <w:rPr>
                <w:lang w:val="en-US" w:eastAsia="en-AU"/>
              </w:rPr>
            </w:pPr>
          </w:p>
        </w:tc>
        <w:tc>
          <w:tcPr>
            <w:tcW w:w="1508" w:type="dxa"/>
            <w:tcBorders>
              <w:bottom w:val="single" w:sz="12" w:space="0" w:color="auto"/>
            </w:tcBorders>
          </w:tcPr>
          <w:p w14:paraId="2D919339" w14:textId="4535BD18" w:rsidR="00D27C50" w:rsidRPr="00D27C50" w:rsidRDefault="00D27C50" w:rsidP="00D27C50">
            <w:pPr>
              <w:jc w:val="center"/>
              <w:rPr>
                <w:b/>
                <w:lang w:val="en-US" w:eastAsia="en-AU"/>
              </w:rPr>
            </w:pPr>
            <w:r>
              <w:rPr>
                <w:b/>
                <w:lang w:val="en-US" w:eastAsia="en-AU"/>
              </w:rPr>
              <w:t>Notes</w:t>
            </w:r>
          </w:p>
        </w:tc>
      </w:tr>
      <w:tr w:rsidR="00D27C50" w14:paraId="5A8B4921" w14:textId="77777777" w:rsidTr="00D27C50">
        <w:tc>
          <w:tcPr>
            <w:tcW w:w="7508" w:type="dxa"/>
            <w:tcBorders>
              <w:top w:val="single" w:sz="12" w:space="0" w:color="auto"/>
            </w:tcBorders>
          </w:tcPr>
          <w:p w14:paraId="0A1FE7BA" w14:textId="39A41171" w:rsidR="00D27C50" w:rsidRDefault="00D27C50" w:rsidP="00D27C50">
            <w:pPr>
              <w:rPr>
                <w:lang w:val="en-US" w:eastAsia="en-AU"/>
              </w:rPr>
            </w:pPr>
            <w:r>
              <w:rPr>
                <w:lang w:val="en-US" w:eastAsia="en-AU"/>
              </w:rPr>
              <w:t>Events occurring after the end of the reporting period</w:t>
            </w:r>
          </w:p>
        </w:tc>
        <w:tc>
          <w:tcPr>
            <w:tcW w:w="1508" w:type="dxa"/>
            <w:tcBorders>
              <w:top w:val="single" w:sz="12" w:space="0" w:color="auto"/>
            </w:tcBorders>
          </w:tcPr>
          <w:p w14:paraId="05098DA3" w14:textId="663E0014" w:rsidR="00D27C50" w:rsidRDefault="00D27C50" w:rsidP="00D27C50">
            <w:pPr>
              <w:jc w:val="center"/>
              <w:rPr>
                <w:lang w:val="en-US" w:eastAsia="en-AU"/>
              </w:rPr>
            </w:pPr>
            <w:r>
              <w:rPr>
                <w:lang w:val="en-US" w:eastAsia="en-AU"/>
              </w:rPr>
              <w:t>9.1</w:t>
            </w:r>
          </w:p>
        </w:tc>
      </w:tr>
      <w:tr w:rsidR="00D27C50" w14:paraId="58FA073F" w14:textId="77777777" w:rsidTr="00D27C50">
        <w:tc>
          <w:tcPr>
            <w:tcW w:w="7508" w:type="dxa"/>
          </w:tcPr>
          <w:p w14:paraId="2C81698E" w14:textId="7395EBE9" w:rsidR="00D27C50" w:rsidRDefault="00D27C50" w:rsidP="00D27C50">
            <w:pPr>
              <w:rPr>
                <w:lang w:val="en-US" w:eastAsia="en-AU"/>
              </w:rPr>
            </w:pPr>
            <w:r>
              <w:rPr>
                <w:lang w:val="en-US" w:eastAsia="en-AU"/>
              </w:rPr>
              <w:t>Future impact of Australians standards issued not yet operative</w:t>
            </w:r>
          </w:p>
        </w:tc>
        <w:tc>
          <w:tcPr>
            <w:tcW w:w="1508" w:type="dxa"/>
          </w:tcPr>
          <w:p w14:paraId="7BBB3C02" w14:textId="59883205" w:rsidR="00D27C50" w:rsidRDefault="00D27C50" w:rsidP="00D27C50">
            <w:pPr>
              <w:jc w:val="center"/>
              <w:rPr>
                <w:lang w:val="en-US" w:eastAsia="en-AU"/>
              </w:rPr>
            </w:pPr>
            <w:r>
              <w:rPr>
                <w:lang w:val="en-US" w:eastAsia="en-AU"/>
              </w:rPr>
              <w:t>9.2</w:t>
            </w:r>
          </w:p>
        </w:tc>
      </w:tr>
      <w:tr w:rsidR="00D27C50" w14:paraId="0EA0224A" w14:textId="77777777" w:rsidTr="00D27C50">
        <w:tc>
          <w:tcPr>
            <w:tcW w:w="7508" w:type="dxa"/>
          </w:tcPr>
          <w:p w14:paraId="0AF4D2BB" w14:textId="58F3C4B4" w:rsidR="00D27C50" w:rsidRDefault="00D27C50" w:rsidP="00D27C50">
            <w:pPr>
              <w:rPr>
                <w:lang w:val="en-US" w:eastAsia="en-AU"/>
              </w:rPr>
            </w:pPr>
            <w:r>
              <w:rPr>
                <w:lang w:val="en-US" w:eastAsia="en-AU"/>
              </w:rPr>
              <w:t>Key management personnel</w:t>
            </w:r>
          </w:p>
        </w:tc>
        <w:tc>
          <w:tcPr>
            <w:tcW w:w="1508" w:type="dxa"/>
          </w:tcPr>
          <w:p w14:paraId="6D45176A" w14:textId="1ACE13E5" w:rsidR="00D27C50" w:rsidRDefault="00D27C50" w:rsidP="00D27C50">
            <w:pPr>
              <w:jc w:val="center"/>
              <w:rPr>
                <w:lang w:val="en-US" w:eastAsia="en-AU"/>
              </w:rPr>
            </w:pPr>
            <w:r>
              <w:rPr>
                <w:lang w:val="en-US" w:eastAsia="en-AU"/>
              </w:rPr>
              <w:t>9.3</w:t>
            </w:r>
          </w:p>
        </w:tc>
      </w:tr>
      <w:tr w:rsidR="00D27C50" w14:paraId="6BB25FD5" w14:textId="77777777" w:rsidTr="00D27C50">
        <w:tc>
          <w:tcPr>
            <w:tcW w:w="7508" w:type="dxa"/>
          </w:tcPr>
          <w:p w14:paraId="30503033" w14:textId="353B205E" w:rsidR="00D27C50" w:rsidRDefault="00D27C50" w:rsidP="00D27C50">
            <w:pPr>
              <w:rPr>
                <w:lang w:val="en-US" w:eastAsia="en-AU"/>
              </w:rPr>
            </w:pPr>
            <w:r>
              <w:t>Related parties</w:t>
            </w:r>
          </w:p>
        </w:tc>
        <w:tc>
          <w:tcPr>
            <w:tcW w:w="1508" w:type="dxa"/>
            <w:vAlign w:val="center"/>
          </w:tcPr>
          <w:p w14:paraId="0F55DAAA" w14:textId="2B9AE620" w:rsidR="00D27C50" w:rsidRDefault="00D27C50" w:rsidP="00D27C50">
            <w:pPr>
              <w:jc w:val="center"/>
              <w:rPr>
                <w:lang w:val="en-US" w:eastAsia="en-AU"/>
              </w:rPr>
            </w:pPr>
            <w:r>
              <w:t>9.4</w:t>
            </w:r>
          </w:p>
        </w:tc>
      </w:tr>
      <w:tr w:rsidR="00D27C50" w14:paraId="33EC3923" w14:textId="77777777" w:rsidTr="00D27C50">
        <w:tc>
          <w:tcPr>
            <w:tcW w:w="7508" w:type="dxa"/>
          </w:tcPr>
          <w:p w14:paraId="3513516F" w14:textId="38557D42" w:rsidR="00D27C50" w:rsidRDefault="00D27C50" w:rsidP="00D27C50">
            <w:pPr>
              <w:rPr>
                <w:lang w:val="en-US" w:eastAsia="en-AU"/>
              </w:rPr>
            </w:pPr>
            <w:r>
              <w:t>Related bodies</w:t>
            </w:r>
          </w:p>
        </w:tc>
        <w:tc>
          <w:tcPr>
            <w:tcW w:w="1508" w:type="dxa"/>
            <w:vAlign w:val="center"/>
          </w:tcPr>
          <w:p w14:paraId="4127EE42" w14:textId="707B33B0" w:rsidR="00D27C50" w:rsidRDefault="00D27C50" w:rsidP="00D27C50">
            <w:pPr>
              <w:jc w:val="center"/>
              <w:rPr>
                <w:lang w:val="en-US" w:eastAsia="en-AU"/>
              </w:rPr>
            </w:pPr>
            <w:r>
              <w:t>9.5</w:t>
            </w:r>
          </w:p>
        </w:tc>
      </w:tr>
      <w:tr w:rsidR="00D27C50" w14:paraId="4DB2C514" w14:textId="77777777" w:rsidTr="00D27C50">
        <w:tc>
          <w:tcPr>
            <w:tcW w:w="7508" w:type="dxa"/>
          </w:tcPr>
          <w:p w14:paraId="0858C16B" w14:textId="51C70567" w:rsidR="00D27C50" w:rsidRDefault="00D27C50" w:rsidP="00D27C50">
            <w:pPr>
              <w:tabs>
                <w:tab w:val="left" w:pos="1515"/>
              </w:tabs>
              <w:rPr>
                <w:lang w:val="en-US" w:eastAsia="en-AU"/>
              </w:rPr>
            </w:pPr>
            <w:r>
              <w:rPr>
                <w:lang w:val="en-US" w:eastAsia="en-AU"/>
              </w:rPr>
              <w:t>Affiliated bodies</w:t>
            </w:r>
          </w:p>
        </w:tc>
        <w:tc>
          <w:tcPr>
            <w:tcW w:w="1508" w:type="dxa"/>
          </w:tcPr>
          <w:p w14:paraId="5000E735" w14:textId="5B2723D9" w:rsidR="00D27C50" w:rsidRDefault="00D27C50" w:rsidP="00D27C50">
            <w:pPr>
              <w:jc w:val="center"/>
              <w:rPr>
                <w:lang w:val="en-US" w:eastAsia="en-AU"/>
              </w:rPr>
            </w:pPr>
            <w:r>
              <w:rPr>
                <w:lang w:val="en-US" w:eastAsia="en-AU"/>
              </w:rPr>
              <w:t>9.6</w:t>
            </w:r>
          </w:p>
        </w:tc>
      </w:tr>
      <w:tr w:rsidR="00D27C50" w14:paraId="4254329F" w14:textId="77777777" w:rsidTr="00D27C50">
        <w:tc>
          <w:tcPr>
            <w:tcW w:w="7508" w:type="dxa"/>
          </w:tcPr>
          <w:p w14:paraId="5E3F6E86" w14:textId="31A75818" w:rsidR="00D27C50" w:rsidRDefault="00D27C50" w:rsidP="00D27C50">
            <w:pPr>
              <w:rPr>
                <w:lang w:val="en-US" w:eastAsia="en-AU"/>
              </w:rPr>
            </w:pPr>
            <w:r>
              <w:t>Indian Ocean Territories</w:t>
            </w:r>
          </w:p>
        </w:tc>
        <w:tc>
          <w:tcPr>
            <w:tcW w:w="1508" w:type="dxa"/>
            <w:vAlign w:val="center"/>
          </w:tcPr>
          <w:p w14:paraId="427FF7DA" w14:textId="28A6415E" w:rsidR="00D27C50" w:rsidRDefault="00D27C50" w:rsidP="00D27C50">
            <w:pPr>
              <w:jc w:val="center"/>
              <w:rPr>
                <w:lang w:val="en-US" w:eastAsia="en-AU"/>
              </w:rPr>
            </w:pPr>
            <w:r>
              <w:t>9.7</w:t>
            </w:r>
          </w:p>
        </w:tc>
      </w:tr>
      <w:tr w:rsidR="00D27C50" w14:paraId="5401F0F4" w14:textId="77777777" w:rsidTr="00D27C50">
        <w:tc>
          <w:tcPr>
            <w:tcW w:w="7508" w:type="dxa"/>
          </w:tcPr>
          <w:p w14:paraId="58E86F7B" w14:textId="7BEB4BAF" w:rsidR="00D27C50" w:rsidRDefault="00D27C50" w:rsidP="00D27C50">
            <w:pPr>
              <w:rPr>
                <w:lang w:val="en-US" w:eastAsia="en-AU"/>
              </w:rPr>
            </w:pPr>
            <w:r>
              <w:t>Workers' Compensation &amp; Injury Management Trust Account</w:t>
            </w:r>
          </w:p>
        </w:tc>
        <w:tc>
          <w:tcPr>
            <w:tcW w:w="1508" w:type="dxa"/>
            <w:vAlign w:val="center"/>
          </w:tcPr>
          <w:p w14:paraId="68099E11" w14:textId="0D266CC6" w:rsidR="00D27C50" w:rsidRDefault="00D27C50" w:rsidP="00D27C50">
            <w:pPr>
              <w:jc w:val="center"/>
              <w:rPr>
                <w:lang w:val="en-US" w:eastAsia="en-AU"/>
              </w:rPr>
            </w:pPr>
            <w:r>
              <w:t>9.8</w:t>
            </w:r>
          </w:p>
        </w:tc>
      </w:tr>
      <w:tr w:rsidR="00D27C50" w14:paraId="107F9D96" w14:textId="77777777" w:rsidTr="00D27C50">
        <w:tc>
          <w:tcPr>
            <w:tcW w:w="7508" w:type="dxa"/>
          </w:tcPr>
          <w:p w14:paraId="12DBCBA5" w14:textId="0CC376E8" w:rsidR="00D27C50" w:rsidRDefault="00D27C50" w:rsidP="00D27C50">
            <w:pPr>
              <w:rPr>
                <w:lang w:val="en-US" w:eastAsia="en-AU"/>
              </w:rPr>
            </w:pPr>
            <w:r>
              <w:t>Remuneration of auditors</w:t>
            </w:r>
          </w:p>
        </w:tc>
        <w:tc>
          <w:tcPr>
            <w:tcW w:w="1508" w:type="dxa"/>
            <w:vAlign w:val="center"/>
          </w:tcPr>
          <w:p w14:paraId="15203AE2" w14:textId="16278F32" w:rsidR="00D27C50" w:rsidRDefault="00D27C50" w:rsidP="00D27C50">
            <w:pPr>
              <w:jc w:val="center"/>
              <w:rPr>
                <w:lang w:val="en-US" w:eastAsia="en-AU"/>
              </w:rPr>
            </w:pPr>
            <w:r>
              <w:t>9.9</w:t>
            </w:r>
          </w:p>
        </w:tc>
      </w:tr>
      <w:tr w:rsidR="00D27C50" w14:paraId="024A2C82" w14:textId="77777777" w:rsidTr="00D27C50">
        <w:tc>
          <w:tcPr>
            <w:tcW w:w="7508" w:type="dxa"/>
          </w:tcPr>
          <w:p w14:paraId="1B99FD46" w14:textId="41B55F59" w:rsidR="00D27C50" w:rsidRDefault="00D27C50" w:rsidP="00D27C50">
            <w:pPr>
              <w:rPr>
                <w:lang w:val="en-US" w:eastAsia="en-AU"/>
              </w:rPr>
            </w:pPr>
            <w:r>
              <w:t>Equity</w:t>
            </w:r>
          </w:p>
        </w:tc>
        <w:tc>
          <w:tcPr>
            <w:tcW w:w="1508" w:type="dxa"/>
            <w:vAlign w:val="center"/>
          </w:tcPr>
          <w:p w14:paraId="7D961901" w14:textId="06AD2B89" w:rsidR="00D27C50" w:rsidRDefault="00D27C50" w:rsidP="00D27C50">
            <w:pPr>
              <w:jc w:val="center"/>
              <w:rPr>
                <w:lang w:val="en-US" w:eastAsia="en-AU"/>
              </w:rPr>
            </w:pPr>
            <w:r>
              <w:t>9.10</w:t>
            </w:r>
          </w:p>
        </w:tc>
      </w:tr>
      <w:tr w:rsidR="00D27C50" w14:paraId="1EA44C77" w14:textId="77777777" w:rsidTr="00D27C50">
        <w:tc>
          <w:tcPr>
            <w:tcW w:w="7508" w:type="dxa"/>
          </w:tcPr>
          <w:p w14:paraId="307CFBD0" w14:textId="6617B498" w:rsidR="00D27C50" w:rsidRDefault="00D27C50" w:rsidP="00D27C50">
            <w:pPr>
              <w:rPr>
                <w:lang w:val="en-US" w:eastAsia="en-AU"/>
              </w:rPr>
            </w:pPr>
            <w:r>
              <w:t>Supplementary financial information</w:t>
            </w:r>
          </w:p>
        </w:tc>
        <w:tc>
          <w:tcPr>
            <w:tcW w:w="1508" w:type="dxa"/>
            <w:vAlign w:val="center"/>
          </w:tcPr>
          <w:p w14:paraId="45D53021" w14:textId="3C6BED5A" w:rsidR="00D27C50" w:rsidRDefault="00D27C50" w:rsidP="00D27C50">
            <w:pPr>
              <w:jc w:val="center"/>
              <w:rPr>
                <w:lang w:val="en-US" w:eastAsia="en-AU"/>
              </w:rPr>
            </w:pPr>
            <w:r>
              <w:t>9.11</w:t>
            </w:r>
          </w:p>
        </w:tc>
      </w:tr>
      <w:tr w:rsidR="00D27C50" w14:paraId="1E1D0D81" w14:textId="77777777" w:rsidTr="00D27C50">
        <w:tc>
          <w:tcPr>
            <w:tcW w:w="7508" w:type="dxa"/>
          </w:tcPr>
          <w:p w14:paraId="5A0993C1" w14:textId="36780E33" w:rsidR="00D27C50" w:rsidRDefault="00D27C50" w:rsidP="00D27C50">
            <w:pPr>
              <w:rPr>
                <w:lang w:val="en-US" w:eastAsia="en-AU"/>
              </w:rPr>
            </w:pPr>
            <w:r>
              <w:t>Explanatory statement</w:t>
            </w:r>
          </w:p>
        </w:tc>
        <w:tc>
          <w:tcPr>
            <w:tcW w:w="1508" w:type="dxa"/>
            <w:vAlign w:val="center"/>
          </w:tcPr>
          <w:p w14:paraId="3C7636B2" w14:textId="137D7395" w:rsidR="00D27C50" w:rsidRDefault="00D27C50" w:rsidP="00D27C50">
            <w:pPr>
              <w:jc w:val="center"/>
              <w:rPr>
                <w:lang w:val="en-US" w:eastAsia="en-AU"/>
              </w:rPr>
            </w:pPr>
            <w:r>
              <w:t>9.12</w:t>
            </w:r>
          </w:p>
        </w:tc>
      </w:tr>
    </w:tbl>
    <w:p w14:paraId="0139291C" w14:textId="7BBDCE3E" w:rsidR="00D27C50" w:rsidRDefault="00D27C50" w:rsidP="00D27C50">
      <w:pPr>
        <w:pStyle w:val="Heading3nonumber"/>
        <w:numPr>
          <w:ilvl w:val="1"/>
          <w:numId w:val="50"/>
        </w:numPr>
        <w:rPr>
          <w:lang w:val="en-US" w:eastAsia="en-AU"/>
        </w:rPr>
      </w:pPr>
      <w:bookmarkStart w:id="801" w:name="_Toc525122197"/>
      <w:r>
        <w:rPr>
          <w:lang w:val="en-US" w:eastAsia="en-AU"/>
        </w:rPr>
        <w:t>Events occurring after the end of the reporting period</w:t>
      </w:r>
      <w:bookmarkEnd w:id="801"/>
      <w:r>
        <w:rPr>
          <w:lang w:val="en-US" w:eastAsia="en-AU"/>
        </w:rPr>
        <w:t xml:space="preserve"> </w:t>
      </w:r>
    </w:p>
    <w:p w14:paraId="58E1CACB" w14:textId="5BDAD6CA" w:rsidR="00D27C50" w:rsidRDefault="00D27C50" w:rsidP="00D27C50">
      <w:pPr>
        <w:rPr>
          <w:lang w:val="en-US" w:eastAsia="en-AU"/>
        </w:rPr>
      </w:pPr>
      <w:r w:rsidRPr="00D27C50">
        <w:rPr>
          <w:lang w:val="en-US" w:eastAsia="en-AU"/>
        </w:rPr>
        <w:t>There were no known events occurring after the end of the reporting period and up to the date of this report.</w:t>
      </w:r>
    </w:p>
    <w:p w14:paraId="756EED41" w14:textId="755AAADE" w:rsidR="00D27C50" w:rsidRDefault="00D27C50" w:rsidP="00D27C50">
      <w:pPr>
        <w:pStyle w:val="Heading3nonumber"/>
        <w:numPr>
          <w:ilvl w:val="1"/>
          <w:numId w:val="50"/>
        </w:numPr>
        <w:rPr>
          <w:lang w:val="en-US" w:eastAsia="en-AU"/>
        </w:rPr>
      </w:pPr>
      <w:bookmarkStart w:id="802" w:name="_Toc525122198"/>
      <w:r>
        <w:rPr>
          <w:lang w:val="en-US" w:eastAsia="en-AU"/>
        </w:rPr>
        <w:t>Future impact of Australian Accounting Standards not yet operative</w:t>
      </w:r>
      <w:bookmarkEnd w:id="802"/>
      <w:r>
        <w:rPr>
          <w:lang w:val="en-US" w:eastAsia="en-AU"/>
        </w:rPr>
        <w:t xml:space="preserve"> </w:t>
      </w:r>
    </w:p>
    <w:p w14:paraId="40ECE233" w14:textId="66081DBE" w:rsidR="00D27C50" w:rsidRDefault="00D27C50" w:rsidP="00D27C50">
      <w:pPr>
        <w:rPr>
          <w:lang w:val="en-US" w:eastAsia="en-AU"/>
        </w:rPr>
      </w:pPr>
      <w:r w:rsidRPr="00D27C50">
        <w:rPr>
          <w:lang w:val="en-US" w:eastAsia="en-AU"/>
        </w:rPr>
        <w:t>The Authority cannot early adopt an Australian Accounting Standard unless specifically permitted by TI 1101 Application of Australian Accounting Standards and Other Pronouncements or by an exemption from TI 1101. Where applicable, the Authority plans to apply the following Australian Accounting Standards from their a</w:t>
      </w:r>
      <w:r>
        <w:rPr>
          <w:lang w:val="en-US" w:eastAsia="en-AU"/>
        </w:rPr>
        <w:t>pplication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uture impact of Australian Accounting Standards"/>
        <w:tblDescription w:val="This table outlines the Australian Accounting Standards the Authority plans to apply from their application date. "/>
      </w:tblPr>
      <w:tblGrid>
        <w:gridCol w:w="1843"/>
        <w:gridCol w:w="4815"/>
        <w:gridCol w:w="2358"/>
      </w:tblGrid>
      <w:tr w:rsidR="00D27C50" w14:paraId="70911F84" w14:textId="77777777" w:rsidTr="00F11774">
        <w:trPr>
          <w:tblHeader/>
        </w:trPr>
        <w:tc>
          <w:tcPr>
            <w:tcW w:w="1843" w:type="dxa"/>
          </w:tcPr>
          <w:p w14:paraId="54401AAE" w14:textId="77777777" w:rsidR="00D27C50" w:rsidRDefault="00D27C50" w:rsidP="00D27C50">
            <w:pPr>
              <w:rPr>
                <w:lang w:val="en-US" w:eastAsia="en-AU"/>
              </w:rPr>
            </w:pPr>
          </w:p>
        </w:tc>
        <w:tc>
          <w:tcPr>
            <w:tcW w:w="4815" w:type="dxa"/>
          </w:tcPr>
          <w:p w14:paraId="3A4C5EC0" w14:textId="77777777" w:rsidR="00D27C50" w:rsidRDefault="00D27C50" w:rsidP="00D27C50">
            <w:pPr>
              <w:rPr>
                <w:lang w:val="en-US" w:eastAsia="en-AU"/>
              </w:rPr>
            </w:pPr>
          </w:p>
        </w:tc>
        <w:tc>
          <w:tcPr>
            <w:tcW w:w="2358" w:type="dxa"/>
            <w:tcBorders>
              <w:bottom w:val="single" w:sz="12" w:space="0" w:color="auto"/>
            </w:tcBorders>
          </w:tcPr>
          <w:p w14:paraId="1EDBC7EA" w14:textId="747CEA65" w:rsidR="00D27C50" w:rsidRPr="00D27C50" w:rsidRDefault="00D27C50" w:rsidP="00D27C50">
            <w:pPr>
              <w:rPr>
                <w:b/>
                <w:lang w:val="en-US" w:eastAsia="en-AU"/>
              </w:rPr>
            </w:pPr>
            <w:r>
              <w:rPr>
                <w:b/>
                <w:lang w:val="en-US" w:eastAsia="en-AU"/>
              </w:rPr>
              <w:t>Operative for reporting periods beginning on/after</w:t>
            </w:r>
          </w:p>
        </w:tc>
      </w:tr>
      <w:tr w:rsidR="00D27C50" w14:paraId="3BF0E00C" w14:textId="77777777" w:rsidTr="00583F7F">
        <w:tc>
          <w:tcPr>
            <w:tcW w:w="1843" w:type="dxa"/>
          </w:tcPr>
          <w:p w14:paraId="0A72FE0C" w14:textId="229CAFDD" w:rsidR="00D27C50" w:rsidRDefault="00D27C50" w:rsidP="00D27C50">
            <w:pPr>
              <w:rPr>
                <w:lang w:val="en-US" w:eastAsia="en-AU"/>
              </w:rPr>
            </w:pPr>
            <w:r>
              <w:rPr>
                <w:lang w:val="en-US" w:eastAsia="en-AU"/>
              </w:rPr>
              <w:br/>
              <w:t>AASB 9</w:t>
            </w:r>
          </w:p>
        </w:tc>
        <w:tc>
          <w:tcPr>
            <w:tcW w:w="4815" w:type="dxa"/>
          </w:tcPr>
          <w:p w14:paraId="211EA586" w14:textId="5F36596F" w:rsidR="00D27C50" w:rsidRDefault="00D27C50" w:rsidP="00D27C50">
            <w:pPr>
              <w:rPr>
                <w:i/>
                <w:lang w:val="en-US" w:eastAsia="en-AU"/>
              </w:rPr>
            </w:pPr>
            <w:r>
              <w:rPr>
                <w:lang w:val="en-US" w:eastAsia="en-AU"/>
              </w:rPr>
              <w:br/>
            </w:r>
            <w:r>
              <w:rPr>
                <w:i/>
                <w:lang w:val="en-US" w:eastAsia="en-AU"/>
              </w:rPr>
              <w:t>Financial Instruments</w:t>
            </w:r>
          </w:p>
          <w:p w14:paraId="3C0A03D5" w14:textId="007B4127" w:rsidR="00D27C50" w:rsidRPr="00D27C50" w:rsidRDefault="00D27C50" w:rsidP="00D27C50">
            <w:pPr>
              <w:rPr>
                <w:lang w:val="en-US" w:eastAsia="en-AU"/>
              </w:rPr>
            </w:pPr>
            <w:r w:rsidRPr="00D27C50">
              <w:rPr>
                <w:lang w:val="en-US" w:eastAsia="en-AU"/>
              </w:rPr>
              <w:t>This Standard supersedes AASB 139 Financial Instruments: Recognition and Measurement, introducing a number of changes to</w:t>
            </w:r>
            <w:r>
              <w:rPr>
                <w:lang w:val="en-US" w:eastAsia="en-AU"/>
              </w:rPr>
              <w:t xml:space="preserve"> accounting treatments.</w:t>
            </w:r>
            <w:r w:rsidRPr="00D27C50">
              <w:rPr>
                <w:lang w:val="en-US" w:eastAsia="en-AU"/>
              </w:rPr>
              <w:tab/>
            </w:r>
            <w:r w:rsidRPr="00D27C50">
              <w:rPr>
                <w:lang w:val="en-US" w:eastAsia="en-AU"/>
              </w:rPr>
              <w:tab/>
            </w:r>
          </w:p>
          <w:p w14:paraId="6C3CA546" w14:textId="08E3A50E" w:rsidR="00D27C50" w:rsidRDefault="00D27C50" w:rsidP="00D27C50">
            <w:pPr>
              <w:rPr>
                <w:lang w:val="en-US" w:eastAsia="en-AU"/>
              </w:rPr>
            </w:pPr>
            <w:r w:rsidRPr="00D27C50">
              <w:rPr>
                <w:lang w:val="en-US" w:eastAsia="en-AU"/>
              </w:rPr>
              <w:t xml:space="preserve">The mandatory application date of this Standard is currently 1 January 2018 after being amended by AASB 2012-6, AASB 2013-9 and AASB 2014-1 Amendments to Australian Accounting Standards. </w:t>
            </w:r>
            <w:r w:rsidRPr="00D27C50">
              <w:rPr>
                <w:lang w:val="en-US" w:eastAsia="en-AU"/>
              </w:rPr>
              <w:tab/>
            </w:r>
            <w:r w:rsidR="00583F7F">
              <w:rPr>
                <w:lang w:val="en-US" w:eastAsia="en-AU"/>
              </w:rPr>
              <w:br/>
            </w:r>
            <w:r w:rsidRPr="00D27C50">
              <w:rPr>
                <w:lang w:val="en-US" w:eastAsia="en-AU"/>
              </w:rPr>
              <w:tab/>
            </w:r>
            <w:r w:rsidRPr="00D27C50">
              <w:rPr>
                <w:lang w:val="en-US" w:eastAsia="en-AU"/>
              </w:rPr>
              <w:tab/>
            </w:r>
          </w:p>
          <w:p w14:paraId="7888C5D5" w14:textId="6D9D5A40" w:rsidR="00D27C50" w:rsidRPr="00D27C50" w:rsidRDefault="00D27C50" w:rsidP="00D27C50">
            <w:pPr>
              <w:rPr>
                <w:lang w:val="en-US" w:eastAsia="en-AU"/>
              </w:rPr>
            </w:pPr>
            <w:r w:rsidRPr="00D27C50">
              <w:rPr>
                <w:lang w:val="en-US" w:eastAsia="en-AU"/>
              </w:rPr>
              <w:t>The Authority has assessed that recognition of expected credit losses will increase the amount of impairment losses recognised as Other expenses in the Statement of Comprehensive Income by $38k, and  have no material impact on the Authority’s Surplus/(Deficit) for the period.</w:t>
            </w:r>
            <w:r w:rsidRPr="00D27C50">
              <w:rPr>
                <w:lang w:val="en-US" w:eastAsia="en-AU"/>
              </w:rPr>
              <w:tab/>
            </w:r>
            <w:r w:rsidRPr="00D27C50">
              <w:rPr>
                <w:lang w:val="en-US" w:eastAsia="en-AU"/>
              </w:rPr>
              <w:tab/>
            </w:r>
            <w:r w:rsidRPr="00D27C50">
              <w:rPr>
                <w:lang w:val="en-US" w:eastAsia="en-AU"/>
              </w:rPr>
              <w:tab/>
            </w:r>
          </w:p>
        </w:tc>
        <w:tc>
          <w:tcPr>
            <w:tcW w:w="2358" w:type="dxa"/>
            <w:tcBorders>
              <w:top w:val="single" w:sz="12" w:space="0" w:color="auto"/>
            </w:tcBorders>
          </w:tcPr>
          <w:p w14:paraId="321A746A" w14:textId="55A47073" w:rsidR="00D27C50" w:rsidRDefault="00D27C50" w:rsidP="00D27C50">
            <w:pPr>
              <w:jc w:val="right"/>
              <w:rPr>
                <w:lang w:val="en-US" w:eastAsia="en-AU"/>
              </w:rPr>
            </w:pPr>
            <w:r>
              <w:rPr>
                <w:lang w:val="en-US" w:eastAsia="en-AU"/>
              </w:rPr>
              <w:br/>
              <w:t>1 Jan 2018</w:t>
            </w:r>
          </w:p>
        </w:tc>
      </w:tr>
      <w:tr w:rsidR="00D27C50" w14:paraId="6F5BE8E1" w14:textId="77777777" w:rsidTr="00583F7F">
        <w:tc>
          <w:tcPr>
            <w:tcW w:w="1843" w:type="dxa"/>
          </w:tcPr>
          <w:p w14:paraId="22D00886" w14:textId="489C31C6" w:rsidR="00D27C50" w:rsidRDefault="00D27C50" w:rsidP="00D27C50">
            <w:pPr>
              <w:rPr>
                <w:lang w:val="en-US" w:eastAsia="en-AU"/>
              </w:rPr>
            </w:pPr>
            <w:r>
              <w:rPr>
                <w:lang w:val="en-US" w:eastAsia="en-AU"/>
              </w:rPr>
              <w:t>AASB 15</w:t>
            </w:r>
          </w:p>
        </w:tc>
        <w:tc>
          <w:tcPr>
            <w:tcW w:w="4815" w:type="dxa"/>
          </w:tcPr>
          <w:p w14:paraId="314CB4AF" w14:textId="77777777" w:rsidR="00D27C50" w:rsidRDefault="00D27C50" w:rsidP="00D27C50">
            <w:pPr>
              <w:rPr>
                <w:i/>
                <w:lang w:val="en-US" w:eastAsia="en-AU"/>
              </w:rPr>
            </w:pPr>
            <w:r>
              <w:rPr>
                <w:i/>
                <w:lang w:val="en-US" w:eastAsia="en-AU"/>
              </w:rPr>
              <w:t>Revenue from Contracts with Customers</w:t>
            </w:r>
          </w:p>
          <w:p w14:paraId="616073D5" w14:textId="77777777" w:rsidR="00D27C50" w:rsidRPr="00D27C50" w:rsidRDefault="00D27C50" w:rsidP="00D27C50">
            <w:pPr>
              <w:rPr>
                <w:lang w:val="en-US" w:eastAsia="en-AU"/>
              </w:rPr>
            </w:pPr>
            <w:r w:rsidRPr="00D27C50">
              <w:rPr>
                <w:lang w:val="en-US" w:eastAsia="en-AU"/>
              </w:rPr>
              <w:t>This Standard establishes the principles that the Authority shall apply to report useful information to users of financial statements about the nature, amount, timing and uncertainty of revenue and cash flows arising from a contract with a customer. The mandatory application date of this Standard is currently 1 January 2019 after being amended by AASB 2016</w:t>
            </w:r>
            <w:r w:rsidRPr="00D27C50">
              <w:rPr>
                <w:rFonts w:ascii="Cambria Math" w:hAnsi="Cambria Math" w:cs="Cambria Math"/>
                <w:lang w:val="en-US" w:eastAsia="en-AU"/>
              </w:rPr>
              <w:t>‑</w:t>
            </w:r>
            <w:r w:rsidRPr="00D27C50">
              <w:rPr>
                <w:lang w:val="en-US" w:eastAsia="en-AU"/>
              </w:rPr>
              <w:t>7.</w:t>
            </w:r>
            <w:r w:rsidRPr="00D27C50">
              <w:rPr>
                <w:lang w:val="en-US" w:eastAsia="en-AU"/>
              </w:rPr>
              <w:tab/>
            </w:r>
            <w:r w:rsidRPr="00D27C50">
              <w:rPr>
                <w:lang w:val="en-US" w:eastAsia="en-AU"/>
              </w:rPr>
              <w:tab/>
            </w:r>
            <w:r w:rsidRPr="00D27C50">
              <w:rPr>
                <w:lang w:val="en-US" w:eastAsia="en-AU"/>
              </w:rPr>
              <w:tab/>
            </w:r>
          </w:p>
          <w:p w14:paraId="21E3C031" w14:textId="74514D23" w:rsidR="00D27C50" w:rsidRPr="00D27C50" w:rsidRDefault="00D27C50" w:rsidP="00D27C50">
            <w:pPr>
              <w:rPr>
                <w:lang w:val="en-US" w:eastAsia="en-AU"/>
              </w:rPr>
            </w:pPr>
            <w:r w:rsidRPr="00D27C50">
              <w:rPr>
                <w:lang w:val="en-US" w:eastAsia="en-AU"/>
              </w:rPr>
              <w:t>There is no</w:t>
            </w:r>
            <w:r>
              <w:rPr>
                <w:lang w:val="en-US" w:eastAsia="en-AU"/>
              </w:rPr>
              <w:t xml:space="preserve"> financial impact.</w:t>
            </w:r>
          </w:p>
        </w:tc>
        <w:tc>
          <w:tcPr>
            <w:tcW w:w="2358" w:type="dxa"/>
          </w:tcPr>
          <w:p w14:paraId="3950E487" w14:textId="2D690760" w:rsidR="00D27C50" w:rsidRDefault="00D27C50" w:rsidP="00D27C50">
            <w:pPr>
              <w:jc w:val="right"/>
              <w:rPr>
                <w:lang w:val="en-US" w:eastAsia="en-AU"/>
              </w:rPr>
            </w:pPr>
            <w:r>
              <w:rPr>
                <w:lang w:val="en-US" w:eastAsia="en-AU"/>
              </w:rPr>
              <w:t>1 Jan 2019</w:t>
            </w:r>
          </w:p>
        </w:tc>
      </w:tr>
      <w:tr w:rsidR="00D27C50" w14:paraId="1EDD30FD" w14:textId="77777777" w:rsidTr="00583F7F">
        <w:tc>
          <w:tcPr>
            <w:tcW w:w="1843" w:type="dxa"/>
          </w:tcPr>
          <w:p w14:paraId="3401F7C6" w14:textId="6E09246F" w:rsidR="00D27C50" w:rsidRDefault="00D27C50" w:rsidP="00D27C50">
            <w:pPr>
              <w:rPr>
                <w:lang w:val="en-US" w:eastAsia="en-AU"/>
              </w:rPr>
            </w:pPr>
            <w:r>
              <w:rPr>
                <w:lang w:val="en-US" w:eastAsia="en-AU"/>
              </w:rPr>
              <w:t>AASB 16</w:t>
            </w:r>
          </w:p>
        </w:tc>
        <w:tc>
          <w:tcPr>
            <w:tcW w:w="4815" w:type="dxa"/>
          </w:tcPr>
          <w:p w14:paraId="5F83C04E" w14:textId="77777777" w:rsidR="00D27C50" w:rsidRDefault="00D27C50" w:rsidP="00D27C50">
            <w:pPr>
              <w:rPr>
                <w:i/>
                <w:lang w:val="en-US" w:eastAsia="en-AU"/>
              </w:rPr>
            </w:pPr>
            <w:r>
              <w:rPr>
                <w:i/>
                <w:lang w:val="en-US" w:eastAsia="en-AU"/>
              </w:rPr>
              <w:t>Income of Not-for-Profit Entities</w:t>
            </w:r>
          </w:p>
          <w:p w14:paraId="4A8B4078" w14:textId="547C6C25" w:rsidR="00D27C50" w:rsidRPr="00D27C50" w:rsidRDefault="00D27C50" w:rsidP="00D27C50">
            <w:pPr>
              <w:rPr>
                <w:lang w:val="en-US" w:eastAsia="en-AU"/>
              </w:rPr>
            </w:pPr>
            <w:r w:rsidRPr="00D27C50">
              <w:rPr>
                <w:lang w:val="en-US" w:eastAsia="en-AU"/>
              </w:rPr>
              <w:t>This Standard clarifies and simplifies the income recognition requirements that apply to not</w:t>
            </w:r>
            <w:r w:rsidRPr="00D27C50">
              <w:rPr>
                <w:rFonts w:ascii="Cambria Math" w:hAnsi="Cambria Math" w:cs="Cambria Math"/>
                <w:lang w:val="en-US" w:eastAsia="en-AU"/>
              </w:rPr>
              <w:t>‑</w:t>
            </w:r>
            <w:r w:rsidRPr="00D27C50">
              <w:rPr>
                <w:lang w:val="en-US" w:eastAsia="en-AU"/>
              </w:rPr>
              <w:t>for</w:t>
            </w:r>
            <w:r w:rsidRPr="00D27C50">
              <w:rPr>
                <w:rFonts w:ascii="Cambria Math" w:hAnsi="Cambria Math" w:cs="Cambria Math"/>
                <w:lang w:val="en-US" w:eastAsia="en-AU"/>
              </w:rPr>
              <w:t>‑</w:t>
            </w:r>
            <w:r w:rsidRPr="00D27C50">
              <w:rPr>
                <w:lang w:val="en-US" w:eastAsia="en-AU"/>
              </w:rPr>
              <w:t>profit</w:t>
            </w:r>
            <w:r w:rsidRPr="00D27C50">
              <w:rPr>
                <w:rFonts w:cs="Arial"/>
                <w:lang w:val="en-US" w:eastAsia="en-AU"/>
              </w:rPr>
              <w:t> </w:t>
            </w:r>
            <w:r w:rsidRPr="00D27C50">
              <w:rPr>
                <w:lang w:val="en-US" w:eastAsia="en-AU"/>
              </w:rPr>
              <w:t>(NFP) entities, more closely reflecting the economic reality of NFP entity transactions that are not contracts with customers. Timing of income recognition is dependent on whether such a transaction gives rise to a liability or other performance obligation (a promise to transfer a good or service), or a contribution by owners, related to an asset (such as cash or another asset) received by an entity. [The Authority anticipates that the application will not materially impact appropriati</w:t>
            </w:r>
            <w:r>
              <w:rPr>
                <w:lang w:val="en-US" w:eastAsia="en-AU"/>
              </w:rPr>
              <w:t>on or untied grant revenues.]</w:t>
            </w:r>
            <w:r w:rsidR="00583F7F">
              <w:rPr>
                <w:lang w:val="en-US" w:eastAsia="en-AU"/>
              </w:rPr>
              <w:br/>
            </w:r>
            <w:r w:rsidR="00583F7F">
              <w:rPr>
                <w:lang w:val="en-US" w:eastAsia="en-AU"/>
              </w:rPr>
              <w:br/>
            </w:r>
          </w:p>
        </w:tc>
        <w:tc>
          <w:tcPr>
            <w:tcW w:w="2358" w:type="dxa"/>
          </w:tcPr>
          <w:p w14:paraId="5B3517C1" w14:textId="592E47C2" w:rsidR="00D27C50" w:rsidRDefault="00D27C50" w:rsidP="00D27C50">
            <w:pPr>
              <w:jc w:val="right"/>
              <w:rPr>
                <w:lang w:val="en-US" w:eastAsia="en-AU"/>
              </w:rPr>
            </w:pPr>
            <w:r>
              <w:rPr>
                <w:lang w:val="en-US" w:eastAsia="en-AU"/>
              </w:rPr>
              <w:t>1 Jan 2019</w:t>
            </w:r>
          </w:p>
        </w:tc>
      </w:tr>
      <w:tr w:rsidR="00D27C50" w14:paraId="4E126ADE" w14:textId="77777777" w:rsidTr="00583F7F">
        <w:tc>
          <w:tcPr>
            <w:tcW w:w="1843" w:type="dxa"/>
          </w:tcPr>
          <w:p w14:paraId="26AD26A3" w14:textId="1D078B41" w:rsidR="00D27C50" w:rsidRDefault="00583F7F" w:rsidP="00D27C50">
            <w:pPr>
              <w:rPr>
                <w:lang w:val="en-US" w:eastAsia="en-AU"/>
              </w:rPr>
            </w:pPr>
            <w:r>
              <w:rPr>
                <w:lang w:val="en-US" w:eastAsia="en-AU"/>
              </w:rPr>
              <w:t>AASB 1059</w:t>
            </w:r>
          </w:p>
        </w:tc>
        <w:tc>
          <w:tcPr>
            <w:tcW w:w="4815" w:type="dxa"/>
          </w:tcPr>
          <w:p w14:paraId="39586C31" w14:textId="77777777" w:rsidR="00D27C50" w:rsidRDefault="00583F7F" w:rsidP="00D27C50">
            <w:pPr>
              <w:rPr>
                <w:i/>
                <w:lang w:val="en-US" w:eastAsia="en-AU"/>
              </w:rPr>
            </w:pPr>
            <w:r>
              <w:rPr>
                <w:i/>
                <w:lang w:val="en-US" w:eastAsia="en-AU"/>
              </w:rPr>
              <w:t>Service Concession Arrangements: Grantors</w:t>
            </w:r>
          </w:p>
          <w:p w14:paraId="5BB0150D" w14:textId="67A7CD46" w:rsidR="00583F7F" w:rsidRPr="00583F7F" w:rsidRDefault="00583F7F" w:rsidP="00D27C50">
            <w:pPr>
              <w:rPr>
                <w:lang w:val="en-US" w:eastAsia="en-AU"/>
              </w:rPr>
            </w:pPr>
            <w:r w:rsidRPr="00583F7F">
              <w:rPr>
                <w:lang w:val="en-US" w:eastAsia="en-AU"/>
              </w:rPr>
              <w:t xml:space="preserve">This Standard addresses the accounting for a service concession arrangement (a type of public private partnership) by a grantor that is a public sector entity by prescribing the accounting for the arrangement from the grantor’s perspective. Timing and measurement for the recognition of a specific asset class occurs on commencement of the arrangement and the accounting for associated liabilities is determined by whether the grantee is paid by the grantor or users of the public service provided. </w:t>
            </w:r>
            <w:r w:rsidRPr="00583F7F">
              <w:rPr>
                <w:i/>
                <w:lang w:val="en-US" w:eastAsia="en-AU"/>
              </w:rPr>
              <w:t>[The Authority has not identified any public private partnerships within scope of the Standard.]</w:t>
            </w:r>
          </w:p>
        </w:tc>
        <w:tc>
          <w:tcPr>
            <w:tcW w:w="2358" w:type="dxa"/>
          </w:tcPr>
          <w:p w14:paraId="0D248BC3" w14:textId="783C38B5" w:rsidR="00D27C50" w:rsidRDefault="00583F7F" w:rsidP="00D27C50">
            <w:pPr>
              <w:jc w:val="right"/>
              <w:rPr>
                <w:lang w:val="en-US" w:eastAsia="en-AU"/>
              </w:rPr>
            </w:pPr>
            <w:r>
              <w:rPr>
                <w:lang w:val="en-US" w:eastAsia="en-AU"/>
              </w:rPr>
              <w:t>1 Jan 2019</w:t>
            </w:r>
          </w:p>
        </w:tc>
      </w:tr>
      <w:tr w:rsidR="00D27C50" w14:paraId="4966769D" w14:textId="77777777" w:rsidTr="00583F7F">
        <w:tc>
          <w:tcPr>
            <w:tcW w:w="1843" w:type="dxa"/>
          </w:tcPr>
          <w:p w14:paraId="339A94E0" w14:textId="2B7AECAB" w:rsidR="00D27C50" w:rsidRDefault="00583F7F" w:rsidP="00D27C50">
            <w:pPr>
              <w:rPr>
                <w:lang w:val="en-US" w:eastAsia="en-AU"/>
              </w:rPr>
            </w:pPr>
            <w:r>
              <w:rPr>
                <w:lang w:val="en-US" w:eastAsia="en-AU"/>
              </w:rPr>
              <w:t>AASB 2010-7</w:t>
            </w:r>
          </w:p>
        </w:tc>
        <w:tc>
          <w:tcPr>
            <w:tcW w:w="4815" w:type="dxa"/>
          </w:tcPr>
          <w:p w14:paraId="3FF5AC91" w14:textId="77777777" w:rsidR="00D27C50" w:rsidRDefault="00583F7F" w:rsidP="00D27C50">
            <w:pPr>
              <w:rPr>
                <w:i/>
                <w:lang w:val="en-US" w:eastAsia="en-AU"/>
              </w:rPr>
            </w:pPr>
            <w:r w:rsidRPr="00583F7F">
              <w:rPr>
                <w:i/>
                <w:lang w:val="en-US" w:eastAsia="en-AU"/>
              </w:rPr>
              <w:t>Amendments to Australian Accounting Standards arising from AASB 9 (December 2010) [AASB 1, 3, 4, 5, 7, 101, 102, 108, 112, 118, 120, 121, 127, 128, 131, 132, 136, 137, 139, 1023 &amp; 1038 and Int 2, 5, 10, 12, 19 &amp; 127]</w:t>
            </w:r>
          </w:p>
          <w:p w14:paraId="399D2BC3" w14:textId="7AF5989E" w:rsidR="00583F7F" w:rsidRPr="00583F7F" w:rsidRDefault="00583F7F" w:rsidP="00583F7F">
            <w:pPr>
              <w:rPr>
                <w:lang w:val="en-US" w:eastAsia="en-AU"/>
              </w:rPr>
            </w:pPr>
            <w:r w:rsidRPr="00583F7F">
              <w:rPr>
                <w:lang w:val="en-US" w:eastAsia="en-AU"/>
              </w:rPr>
              <w:t>This Standard makes consequential amendments to other Australian Accounting Standards and Interpretations as a result of issu</w:t>
            </w:r>
            <w:r>
              <w:rPr>
                <w:lang w:val="en-US" w:eastAsia="en-AU"/>
              </w:rPr>
              <w:t>ing AASB 9 in December 2010.</w:t>
            </w:r>
            <w:r w:rsidRPr="00583F7F">
              <w:rPr>
                <w:lang w:val="en-US" w:eastAsia="en-AU"/>
              </w:rPr>
              <w:tab/>
            </w:r>
          </w:p>
          <w:p w14:paraId="67107664" w14:textId="77777777" w:rsidR="00583F7F" w:rsidRDefault="00583F7F" w:rsidP="00583F7F">
            <w:pPr>
              <w:rPr>
                <w:lang w:val="en-US" w:eastAsia="en-AU"/>
              </w:rPr>
            </w:pPr>
            <w:r w:rsidRPr="00583F7F">
              <w:rPr>
                <w:lang w:val="en-US" w:eastAsia="en-AU"/>
              </w:rPr>
              <w:t>The mandatory application date of this Standard has been amended by AASB 2012-6 and AASB 2014-1 to 1 January 2018. [Other than the exposures to AASB 9 noted above, the Authority is only insignificantly impacted by the application of the Standard.]</w:t>
            </w:r>
            <w:r w:rsidRPr="00583F7F">
              <w:rPr>
                <w:lang w:val="en-US" w:eastAsia="en-AU"/>
              </w:rPr>
              <w:tab/>
            </w:r>
            <w:r w:rsidRPr="00583F7F">
              <w:rPr>
                <w:lang w:val="en-US" w:eastAsia="en-AU"/>
              </w:rPr>
              <w:tab/>
            </w:r>
            <w:r w:rsidRPr="00583F7F">
              <w:rPr>
                <w:lang w:val="en-US" w:eastAsia="en-AU"/>
              </w:rPr>
              <w:tab/>
            </w:r>
          </w:p>
          <w:p w14:paraId="4C4E2121" w14:textId="76EC6CA2" w:rsidR="00583F7F" w:rsidRPr="00583F7F" w:rsidRDefault="00583F7F" w:rsidP="00583F7F">
            <w:pPr>
              <w:rPr>
                <w:lang w:val="en-US" w:eastAsia="en-AU"/>
              </w:rPr>
            </w:pPr>
          </w:p>
        </w:tc>
        <w:tc>
          <w:tcPr>
            <w:tcW w:w="2358" w:type="dxa"/>
          </w:tcPr>
          <w:p w14:paraId="6C59BAF7" w14:textId="276099B6" w:rsidR="00D27C50" w:rsidRDefault="00583F7F" w:rsidP="00D27C50">
            <w:pPr>
              <w:jc w:val="right"/>
              <w:rPr>
                <w:lang w:val="en-US" w:eastAsia="en-AU"/>
              </w:rPr>
            </w:pPr>
            <w:r>
              <w:rPr>
                <w:lang w:val="en-US" w:eastAsia="en-AU"/>
              </w:rPr>
              <w:t>1 Jan 2018</w:t>
            </w:r>
          </w:p>
        </w:tc>
      </w:tr>
      <w:tr w:rsidR="00D27C50" w14:paraId="217487C9" w14:textId="77777777" w:rsidTr="00583F7F">
        <w:tc>
          <w:tcPr>
            <w:tcW w:w="1843" w:type="dxa"/>
          </w:tcPr>
          <w:p w14:paraId="7AE139A0" w14:textId="3AECEFF1" w:rsidR="00D27C50" w:rsidRDefault="00583F7F" w:rsidP="00D27C50">
            <w:pPr>
              <w:rPr>
                <w:lang w:val="en-US" w:eastAsia="en-AU"/>
              </w:rPr>
            </w:pPr>
            <w:r>
              <w:rPr>
                <w:lang w:val="en-US" w:eastAsia="en-AU"/>
              </w:rPr>
              <w:t>AASB 2014-1</w:t>
            </w:r>
          </w:p>
        </w:tc>
        <w:tc>
          <w:tcPr>
            <w:tcW w:w="4815" w:type="dxa"/>
          </w:tcPr>
          <w:p w14:paraId="2EBDC4D9" w14:textId="77777777" w:rsidR="00D27C50" w:rsidRDefault="00583F7F" w:rsidP="00D27C50">
            <w:pPr>
              <w:rPr>
                <w:i/>
                <w:lang w:val="en-US" w:eastAsia="en-AU"/>
              </w:rPr>
            </w:pPr>
            <w:r>
              <w:rPr>
                <w:i/>
                <w:lang w:val="en-US" w:eastAsia="en-AU"/>
              </w:rPr>
              <w:t>Amendments to Australian Accounting Standards</w:t>
            </w:r>
          </w:p>
          <w:p w14:paraId="2D6CB21A" w14:textId="23CC85F9" w:rsidR="00583F7F" w:rsidRPr="00583F7F" w:rsidRDefault="00583F7F" w:rsidP="00D27C50">
            <w:pPr>
              <w:rPr>
                <w:lang w:val="en-US" w:eastAsia="en-AU"/>
              </w:rPr>
            </w:pPr>
            <w:r w:rsidRPr="00583F7F">
              <w:rPr>
                <w:lang w:val="en-US" w:eastAsia="en-AU"/>
              </w:rPr>
              <w:t>Part E of this Standard makes amendments to AASB 9 and consequential amendments to other Standards. [These changes have no impact as Appendix E has been superseded and the Authority was not per</w:t>
            </w:r>
            <w:r>
              <w:rPr>
                <w:lang w:val="en-US" w:eastAsia="en-AU"/>
              </w:rPr>
              <w:t>mitted to early adopt AASB 9].</w:t>
            </w:r>
            <w:r w:rsidRPr="00583F7F">
              <w:rPr>
                <w:lang w:val="en-US" w:eastAsia="en-AU"/>
              </w:rPr>
              <w:tab/>
            </w:r>
          </w:p>
        </w:tc>
        <w:tc>
          <w:tcPr>
            <w:tcW w:w="2358" w:type="dxa"/>
          </w:tcPr>
          <w:p w14:paraId="3DF95667" w14:textId="783C5E72" w:rsidR="00D27C50" w:rsidRDefault="00583F7F" w:rsidP="00D27C50">
            <w:pPr>
              <w:jc w:val="right"/>
              <w:rPr>
                <w:lang w:val="en-US" w:eastAsia="en-AU"/>
              </w:rPr>
            </w:pPr>
            <w:r>
              <w:rPr>
                <w:lang w:val="en-US" w:eastAsia="en-AU"/>
              </w:rPr>
              <w:t>1 Jan 2018</w:t>
            </w:r>
          </w:p>
        </w:tc>
      </w:tr>
      <w:tr w:rsidR="00D27C50" w14:paraId="3A882D2A" w14:textId="77777777" w:rsidTr="00583F7F">
        <w:tc>
          <w:tcPr>
            <w:tcW w:w="1843" w:type="dxa"/>
          </w:tcPr>
          <w:p w14:paraId="0E89DFBF" w14:textId="3F003612" w:rsidR="00D27C50" w:rsidRDefault="00583F7F" w:rsidP="00D27C50">
            <w:pPr>
              <w:rPr>
                <w:lang w:val="en-US" w:eastAsia="en-AU"/>
              </w:rPr>
            </w:pPr>
            <w:r>
              <w:rPr>
                <w:lang w:val="en-US" w:eastAsia="en-AU"/>
              </w:rPr>
              <w:t>AASB 2014-15</w:t>
            </w:r>
          </w:p>
        </w:tc>
        <w:tc>
          <w:tcPr>
            <w:tcW w:w="4815" w:type="dxa"/>
          </w:tcPr>
          <w:p w14:paraId="1A3060CD" w14:textId="77777777" w:rsidR="00583F7F" w:rsidRDefault="00583F7F" w:rsidP="00583F7F">
            <w:pPr>
              <w:rPr>
                <w:i/>
              </w:rPr>
            </w:pPr>
            <w:r w:rsidRPr="00583F7F">
              <w:rPr>
                <w:i/>
              </w:rPr>
              <w:t>Amendments to Australian Accounting Standards arising from AASB 15</w:t>
            </w:r>
          </w:p>
          <w:p w14:paraId="5A595EED" w14:textId="5FF786D3" w:rsidR="00D27C50" w:rsidRPr="00583F7F" w:rsidRDefault="00583F7F" w:rsidP="00D27C50">
            <w:pPr>
              <w:rPr>
                <w:lang w:eastAsia="en-AU"/>
              </w:rPr>
            </w:pPr>
            <w:r w:rsidRPr="00583F7F">
              <w:rPr>
                <w:lang w:eastAsia="en-AU"/>
              </w:rPr>
              <w:t>This Standard gives effect to the consequential amendments to Australian Accounting Standards (including Interpretations) arising from the issuance of AASB 15. The mandatory application date of this Standard has been amended by AASB 2015</w:t>
            </w:r>
            <w:r w:rsidRPr="00583F7F">
              <w:rPr>
                <w:rFonts w:ascii="Cambria Math" w:hAnsi="Cambria Math" w:cs="Cambria Math"/>
                <w:lang w:eastAsia="en-AU"/>
              </w:rPr>
              <w:t>‑</w:t>
            </w:r>
            <w:r w:rsidRPr="00583F7F">
              <w:rPr>
                <w:lang w:eastAsia="en-AU"/>
              </w:rPr>
              <w:t>8 to 1</w:t>
            </w:r>
            <w:r w:rsidRPr="00583F7F">
              <w:rPr>
                <w:rFonts w:cs="Arial"/>
                <w:lang w:eastAsia="en-AU"/>
              </w:rPr>
              <w:t> </w:t>
            </w:r>
            <w:r w:rsidRPr="00583F7F">
              <w:rPr>
                <w:lang w:eastAsia="en-AU"/>
              </w:rPr>
              <w:t>January</w:t>
            </w:r>
            <w:r w:rsidRPr="00583F7F">
              <w:rPr>
                <w:rFonts w:cs="Arial"/>
                <w:lang w:eastAsia="en-AU"/>
              </w:rPr>
              <w:t> </w:t>
            </w:r>
            <w:r w:rsidRPr="00583F7F">
              <w:rPr>
                <w:lang w:eastAsia="en-AU"/>
              </w:rPr>
              <w:t>2018. [The Authority has not yet determined the application or the poten</w:t>
            </w:r>
            <w:r>
              <w:rPr>
                <w:lang w:eastAsia="en-AU"/>
              </w:rPr>
              <w:t>tial impact of the Standard.]</w:t>
            </w:r>
          </w:p>
        </w:tc>
        <w:tc>
          <w:tcPr>
            <w:tcW w:w="2358" w:type="dxa"/>
          </w:tcPr>
          <w:p w14:paraId="319BA14F" w14:textId="6A6E3AD5" w:rsidR="00D27C50" w:rsidRDefault="00583F7F" w:rsidP="00D27C50">
            <w:pPr>
              <w:jc w:val="right"/>
              <w:rPr>
                <w:lang w:val="en-US" w:eastAsia="en-AU"/>
              </w:rPr>
            </w:pPr>
            <w:r>
              <w:rPr>
                <w:lang w:val="en-US" w:eastAsia="en-AU"/>
              </w:rPr>
              <w:t>1 Jan 2018</w:t>
            </w:r>
          </w:p>
        </w:tc>
      </w:tr>
      <w:tr w:rsidR="00D27C50" w14:paraId="78EFCD84" w14:textId="77777777" w:rsidTr="00583F7F">
        <w:tc>
          <w:tcPr>
            <w:tcW w:w="1843" w:type="dxa"/>
          </w:tcPr>
          <w:p w14:paraId="15397974" w14:textId="35FC3494" w:rsidR="00D27C50" w:rsidRDefault="00583F7F" w:rsidP="00D27C50">
            <w:pPr>
              <w:rPr>
                <w:lang w:val="en-US" w:eastAsia="en-AU"/>
              </w:rPr>
            </w:pPr>
            <w:r>
              <w:rPr>
                <w:lang w:val="en-US" w:eastAsia="en-AU"/>
              </w:rPr>
              <w:t>AASB 2014-7</w:t>
            </w:r>
          </w:p>
        </w:tc>
        <w:tc>
          <w:tcPr>
            <w:tcW w:w="4815" w:type="dxa"/>
          </w:tcPr>
          <w:p w14:paraId="4B14B1CB" w14:textId="77777777" w:rsidR="00D27C50" w:rsidRDefault="00583F7F" w:rsidP="00D27C50">
            <w:pPr>
              <w:rPr>
                <w:i/>
                <w:lang w:val="en-US" w:eastAsia="en-AU"/>
              </w:rPr>
            </w:pPr>
            <w:r w:rsidRPr="00583F7F">
              <w:rPr>
                <w:i/>
                <w:lang w:val="en-US" w:eastAsia="en-AU"/>
              </w:rPr>
              <w:t>Amendments to Australian Accounting Standards arising from AASB 9 (December 2014)</w:t>
            </w:r>
          </w:p>
          <w:p w14:paraId="7D9AB7C3" w14:textId="77777777" w:rsidR="00583F7F" w:rsidRDefault="00583F7F" w:rsidP="00D27C50">
            <w:pPr>
              <w:rPr>
                <w:lang w:val="en-US" w:eastAsia="en-AU"/>
              </w:rPr>
            </w:pPr>
            <w:r w:rsidRPr="00583F7F">
              <w:rPr>
                <w:lang w:val="en-US" w:eastAsia="en-AU"/>
              </w:rPr>
              <w:t>This Standard gives effect to the consequential amendments to Australian Accounting Standards (including Interpretations) arising from the issuance of AASB 9 (December 2014). [The Authority has not yet determined the application or the poten</w:t>
            </w:r>
            <w:r>
              <w:rPr>
                <w:lang w:val="en-US" w:eastAsia="en-AU"/>
              </w:rPr>
              <w:t>tial impact of the Standard.]</w:t>
            </w:r>
            <w:r>
              <w:rPr>
                <w:lang w:val="en-US" w:eastAsia="en-AU"/>
              </w:rPr>
              <w:br/>
            </w:r>
            <w:r>
              <w:rPr>
                <w:lang w:val="en-US" w:eastAsia="en-AU"/>
              </w:rPr>
              <w:br/>
            </w:r>
            <w:r>
              <w:rPr>
                <w:lang w:val="en-US" w:eastAsia="en-AU"/>
              </w:rPr>
              <w:br/>
            </w:r>
          </w:p>
          <w:p w14:paraId="58F51EC5" w14:textId="1653D6E8" w:rsidR="00583F7F" w:rsidRPr="00583F7F" w:rsidRDefault="00583F7F" w:rsidP="00D27C50">
            <w:pPr>
              <w:rPr>
                <w:lang w:val="en-US" w:eastAsia="en-AU"/>
              </w:rPr>
            </w:pPr>
          </w:p>
        </w:tc>
        <w:tc>
          <w:tcPr>
            <w:tcW w:w="2358" w:type="dxa"/>
          </w:tcPr>
          <w:p w14:paraId="4EAA5E48" w14:textId="120769AB" w:rsidR="00D27C50" w:rsidRDefault="00583F7F" w:rsidP="00D27C50">
            <w:pPr>
              <w:jc w:val="right"/>
              <w:rPr>
                <w:lang w:val="en-US" w:eastAsia="en-AU"/>
              </w:rPr>
            </w:pPr>
            <w:r>
              <w:rPr>
                <w:lang w:val="en-US" w:eastAsia="en-AU"/>
              </w:rPr>
              <w:t>1 Jan 2018</w:t>
            </w:r>
          </w:p>
        </w:tc>
      </w:tr>
      <w:tr w:rsidR="00D27C50" w14:paraId="238BC51E" w14:textId="77777777" w:rsidTr="00583F7F">
        <w:tc>
          <w:tcPr>
            <w:tcW w:w="1843" w:type="dxa"/>
          </w:tcPr>
          <w:p w14:paraId="22AC273B" w14:textId="416D89AE" w:rsidR="00D27C50" w:rsidRDefault="00583F7F" w:rsidP="00D27C50">
            <w:pPr>
              <w:rPr>
                <w:lang w:val="en-US" w:eastAsia="en-AU"/>
              </w:rPr>
            </w:pPr>
            <w:r>
              <w:rPr>
                <w:lang w:val="en-US" w:eastAsia="en-AU"/>
              </w:rPr>
              <w:t>AASB 2015-8</w:t>
            </w:r>
          </w:p>
        </w:tc>
        <w:tc>
          <w:tcPr>
            <w:tcW w:w="4815" w:type="dxa"/>
          </w:tcPr>
          <w:p w14:paraId="351922BD" w14:textId="77777777" w:rsidR="00D27C50" w:rsidRDefault="00583F7F" w:rsidP="00D27C50">
            <w:pPr>
              <w:rPr>
                <w:i/>
                <w:lang w:val="en-US" w:eastAsia="en-AU"/>
              </w:rPr>
            </w:pPr>
            <w:r>
              <w:rPr>
                <w:i/>
                <w:lang w:val="en-US" w:eastAsia="en-AU"/>
              </w:rPr>
              <w:t>Amendments to Australian Accounting Standards – Effective Date of AASB 15</w:t>
            </w:r>
          </w:p>
          <w:p w14:paraId="4169DA06" w14:textId="6FFB6C93" w:rsidR="00583F7F" w:rsidRPr="00583F7F" w:rsidRDefault="00583F7F" w:rsidP="00D27C50">
            <w:pPr>
              <w:rPr>
                <w:lang w:val="en-US" w:eastAsia="en-AU"/>
              </w:rPr>
            </w:pPr>
            <w:r w:rsidRPr="00583F7F">
              <w:rPr>
                <w:lang w:val="en-US" w:eastAsia="en-AU"/>
              </w:rPr>
              <w:t>This Standard amends the mandatory application date of AASB 15 to 1 January 2018 (instead of 1 January 2017). It also defers the consequential amendments that were originally set out in AASB 2014-5. There is no financial impac</w:t>
            </w:r>
            <w:r>
              <w:rPr>
                <w:lang w:val="en-US" w:eastAsia="en-AU"/>
              </w:rPr>
              <w:t>t arising from this Standard.</w:t>
            </w:r>
          </w:p>
        </w:tc>
        <w:tc>
          <w:tcPr>
            <w:tcW w:w="2358" w:type="dxa"/>
          </w:tcPr>
          <w:p w14:paraId="14DDFEFC" w14:textId="29683E73" w:rsidR="00D27C50" w:rsidRDefault="00583F7F" w:rsidP="00D27C50">
            <w:pPr>
              <w:jc w:val="right"/>
              <w:rPr>
                <w:lang w:val="en-US" w:eastAsia="en-AU"/>
              </w:rPr>
            </w:pPr>
            <w:r>
              <w:rPr>
                <w:lang w:val="en-US" w:eastAsia="en-AU"/>
              </w:rPr>
              <w:t>1 Jan 2018</w:t>
            </w:r>
          </w:p>
        </w:tc>
      </w:tr>
      <w:tr w:rsidR="00D27C50" w14:paraId="5E11E672" w14:textId="77777777" w:rsidTr="00583F7F">
        <w:tc>
          <w:tcPr>
            <w:tcW w:w="1843" w:type="dxa"/>
          </w:tcPr>
          <w:p w14:paraId="4415D2E2" w14:textId="1F309626" w:rsidR="00D27C50" w:rsidRDefault="00583F7F" w:rsidP="00D27C50">
            <w:pPr>
              <w:rPr>
                <w:lang w:val="en-US" w:eastAsia="en-AU"/>
              </w:rPr>
            </w:pPr>
            <w:r>
              <w:rPr>
                <w:lang w:val="en-US" w:eastAsia="en-AU"/>
              </w:rPr>
              <w:t>AASB 2016-3</w:t>
            </w:r>
          </w:p>
        </w:tc>
        <w:tc>
          <w:tcPr>
            <w:tcW w:w="4815" w:type="dxa"/>
          </w:tcPr>
          <w:p w14:paraId="2652B32D" w14:textId="77777777" w:rsidR="00D27C50" w:rsidRDefault="00583F7F" w:rsidP="00D27C50">
            <w:pPr>
              <w:rPr>
                <w:i/>
                <w:lang w:val="en-US" w:eastAsia="en-AU"/>
              </w:rPr>
            </w:pPr>
            <w:r w:rsidRPr="00583F7F">
              <w:rPr>
                <w:i/>
                <w:lang w:val="en-US" w:eastAsia="en-AU"/>
              </w:rPr>
              <w:t>Amendments to Australian Accounting Standards – Clarifications to AASB 15</w:t>
            </w:r>
          </w:p>
          <w:p w14:paraId="144810C8" w14:textId="4597C04B" w:rsidR="00583F7F" w:rsidRPr="00583F7F" w:rsidRDefault="00583F7F" w:rsidP="00D27C50">
            <w:pPr>
              <w:rPr>
                <w:lang w:val="en-US" w:eastAsia="en-AU"/>
              </w:rPr>
            </w:pPr>
            <w:r w:rsidRPr="00583F7F">
              <w:rPr>
                <w:lang w:val="en-US" w:eastAsia="en-AU"/>
              </w:rPr>
              <w:t xml:space="preserve">This Standard clarifies identifying performance obligations, principal versus agent considerations, timing of recognising revenue from granting a licence, and, provides further transitional provisions to AASB 15. </w:t>
            </w:r>
            <w:r w:rsidRPr="00583F7F">
              <w:rPr>
                <w:i/>
                <w:lang w:val="en-US" w:eastAsia="en-AU"/>
              </w:rPr>
              <w:t>[The Authority has not yet determined the application or the potential impact when the deferred AASB 15 becomes effective from 1 January 2019].</w:t>
            </w:r>
          </w:p>
        </w:tc>
        <w:tc>
          <w:tcPr>
            <w:tcW w:w="2358" w:type="dxa"/>
          </w:tcPr>
          <w:p w14:paraId="2BB8729E" w14:textId="69B8D369" w:rsidR="00D27C50" w:rsidRDefault="00583F7F" w:rsidP="00D27C50">
            <w:pPr>
              <w:jc w:val="right"/>
              <w:rPr>
                <w:lang w:val="en-US" w:eastAsia="en-AU"/>
              </w:rPr>
            </w:pPr>
            <w:r>
              <w:rPr>
                <w:lang w:val="en-US" w:eastAsia="en-AU"/>
              </w:rPr>
              <w:t>1 Jan 2018</w:t>
            </w:r>
          </w:p>
        </w:tc>
      </w:tr>
      <w:tr w:rsidR="00D27C50" w14:paraId="68B3873B" w14:textId="77777777" w:rsidTr="00583F7F">
        <w:tc>
          <w:tcPr>
            <w:tcW w:w="1843" w:type="dxa"/>
          </w:tcPr>
          <w:p w14:paraId="6FC29574" w14:textId="25FCF783" w:rsidR="00D27C50" w:rsidRDefault="00583F7F" w:rsidP="00D27C50">
            <w:pPr>
              <w:rPr>
                <w:lang w:val="en-US" w:eastAsia="en-AU"/>
              </w:rPr>
            </w:pPr>
            <w:r>
              <w:rPr>
                <w:lang w:val="en-US" w:eastAsia="en-AU"/>
              </w:rPr>
              <w:t>AASB 2016-7</w:t>
            </w:r>
          </w:p>
        </w:tc>
        <w:tc>
          <w:tcPr>
            <w:tcW w:w="4815" w:type="dxa"/>
          </w:tcPr>
          <w:p w14:paraId="1FECC8F3" w14:textId="77777777" w:rsidR="00D27C50" w:rsidRDefault="00583F7F" w:rsidP="00D27C50">
            <w:pPr>
              <w:rPr>
                <w:i/>
                <w:lang w:val="en-US" w:eastAsia="en-AU"/>
              </w:rPr>
            </w:pPr>
            <w:r w:rsidRPr="00583F7F">
              <w:rPr>
                <w:i/>
                <w:lang w:val="en-US" w:eastAsia="en-AU"/>
              </w:rPr>
              <w:t xml:space="preserve">Amendments to Australian Accounting Standards – Deferral of AASB 15 for </w:t>
            </w:r>
            <w:r>
              <w:rPr>
                <w:i/>
                <w:lang w:val="en-US" w:eastAsia="en-AU"/>
              </w:rPr>
              <w:br/>
            </w:r>
            <w:r w:rsidRPr="00583F7F">
              <w:rPr>
                <w:i/>
                <w:lang w:val="en-US" w:eastAsia="en-AU"/>
              </w:rPr>
              <w:t>Not-for-Profit Entities</w:t>
            </w:r>
          </w:p>
          <w:p w14:paraId="16EC6E84" w14:textId="6EDF2322" w:rsidR="00583F7F" w:rsidRPr="00583F7F" w:rsidRDefault="00583F7F" w:rsidP="00D27C50">
            <w:pPr>
              <w:rPr>
                <w:lang w:val="en-US" w:eastAsia="en-AU"/>
              </w:rPr>
            </w:pPr>
            <w:r w:rsidRPr="00583F7F">
              <w:rPr>
                <w:lang w:val="en-US" w:eastAsia="en-AU"/>
              </w:rPr>
              <w:t>This Standard defers, for not-for-profit entities, the mandatory application date of AASB 15 to 1 January 2019, and the consequential amendments that were originally set out in AASB 2014-5. There is no financial impac</w:t>
            </w:r>
            <w:r>
              <w:rPr>
                <w:lang w:val="en-US" w:eastAsia="en-AU"/>
              </w:rPr>
              <w:t>t arising from this standard.</w:t>
            </w:r>
            <w:r>
              <w:rPr>
                <w:lang w:val="en-US" w:eastAsia="en-AU"/>
              </w:rPr>
              <w:br/>
            </w:r>
            <w:r>
              <w:rPr>
                <w:lang w:val="en-US" w:eastAsia="en-AU"/>
              </w:rPr>
              <w:br/>
            </w:r>
            <w:r>
              <w:rPr>
                <w:lang w:val="en-US" w:eastAsia="en-AU"/>
              </w:rPr>
              <w:br/>
            </w:r>
            <w:r>
              <w:rPr>
                <w:lang w:val="en-US" w:eastAsia="en-AU"/>
              </w:rPr>
              <w:br/>
            </w:r>
            <w:r>
              <w:rPr>
                <w:lang w:val="en-US" w:eastAsia="en-AU"/>
              </w:rPr>
              <w:br/>
            </w:r>
            <w:r>
              <w:rPr>
                <w:lang w:val="en-US" w:eastAsia="en-AU"/>
              </w:rPr>
              <w:br/>
            </w:r>
          </w:p>
        </w:tc>
        <w:tc>
          <w:tcPr>
            <w:tcW w:w="2358" w:type="dxa"/>
          </w:tcPr>
          <w:p w14:paraId="07587CAC" w14:textId="0E344902" w:rsidR="00D27C50" w:rsidRDefault="00583F7F" w:rsidP="00D27C50">
            <w:pPr>
              <w:jc w:val="right"/>
              <w:rPr>
                <w:lang w:val="en-US" w:eastAsia="en-AU"/>
              </w:rPr>
            </w:pPr>
            <w:r>
              <w:rPr>
                <w:lang w:val="en-US" w:eastAsia="en-AU"/>
              </w:rPr>
              <w:t>1 Jan 2018</w:t>
            </w:r>
          </w:p>
        </w:tc>
      </w:tr>
      <w:tr w:rsidR="00583F7F" w14:paraId="5EFB42EB" w14:textId="77777777" w:rsidTr="00583F7F">
        <w:tc>
          <w:tcPr>
            <w:tcW w:w="1843" w:type="dxa"/>
          </w:tcPr>
          <w:p w14:paraId="2DE1D9FB" w14:textId="68431506" w:rsidR="00583F7F" w:rsidRDefault="00583F7F" w:rsidP="00D27C50">
            <w:pPr>
              <w:rPr>
                <w:lang w:val="en-US" w:eastAsia="en-AU"/>
              </w:rPr>
            </w:pPr>
            <w:r>
              <w:rPr>
                <w:lang w:val="en-US" w:eastAsia="en-AU"/>
              </w:rPr>
              <w:t>AASB 2016-8</w:t>
            </w:r>
          </w:p>
        </w:tc>
        <w:tc>
          <w:tcPr>
            <w:tcW w:w="4815" w:type="dxa"/>
          </w:tcPr>
          <w:p w14:paraId="534CCFC8" w14:textId="77777777" w:rsidR="00583F7F" w:rsidRDefault="00583F7F" w:rsidP="00D27C50">
            <w:pPr>
              <w:rPr>
                <w:i/>
                <w:lang w:val="en-US" w:eastAsia="en-AU"/>
              </w:rPr>
            </w:pPr>
            <w:r w:rsidRPr="00583F7F">
              <w:rPr>
                <w:i/>
                <w:lang w:val="en-US" w:eastAsia="en-AU"/>
              </w:rPr>
              <w:t>Amendments to Australian Accounting Standards – Australian Implementation Guidance for Not</w:t>
            </w:r>
            <w:r w:rsidRPr="00583F7F">
              <w:rPr>
                <w:rFonts w:ascii="Cambria Math" w:hAnsi="Cambria Math" w:cs="Cambria Math"/>
                <w:i/>
                <w:lang w:val="en-US" w:eastAsia="en-AU"/>
              </w:rPr>
              <w:t>‑</w:t>
            </w:r>
            <w:r w:rsidRPr="00583F7F">
              <w:rPr>
                <w:i/>
                <w:lang w:val="en-US" w:eastAsia="en-AU"/>
              </w:rPr>
              <w:t>for</w:t>
            </w:r>
            <w:r w:rsidRPr="00583F7F">
              <w:rPr>
                <w:rFonts w:ascii="Cambria Math" w:hAnsi="Cambria Math" w:cs="Cambria Math"/>
                <w:i/>
                <w:lang w:val="en-US" w:eastAsia="en-AU"/>
              </w:rPr>
              <w:t>‑</w:t>
            </w:r>
            <w:r w:rsidRPr="00583F7F">
              <w:rPr>
                <w:i/>
                <w:lang w:val="en-US" w:eastAsia="en-AU"/>
              </w:rPr>
              <w:t>Profit Entities</w:t>
            </w:r>
          </w:p>
          <w:p w14:paraId="4C74394A" w14:textId="62B188C8" w:rsidR="00583F7F" w:rsidRPr="00583F7F" w:rsidRDefault="00583F7F" w:rsidP="00D27C50">
            <w:pPr>
              <w:rPr>
                <w:lang w:val="en-US" w:eastAsia="en-AU"/>
              </w:rPr>
            </w:pPr>
            <w:r w:rsidRPr="00583F7F">
              <w:rPr>
                <w:lang w:val="en-US" w:eastAsia="en-AU"/>
              </w:rPr>
              <w:t xml:space="preserve">This Standard inserts Australian requirements and authoritative implementation guidance for not-for-profit entities into AASB 9 and AASB 15. This guidance assists not-for-profit entities in applying those Standards to particular transactions and other events. </w:t>
            </w:r>
            <w:r>
              <w:rPr>
                <w:lang w:val="en-US" w:eastAsia="en-AU"/>
              </w:rPr>
              <w:t>There is no financial impact.</w:t>
            </w:r>
          </w:p>
        </w:tc>
        <w:tc>
          <w:tcPr>
            <w:tcW w:w="2358" w:type="dxa"/>
          </w:tcPr>
          <w:p w14:paraId="21C6B42F" w14:textId="0153C332" w:rsidR="00583F7F" w:rsidRDefault="00583F7F" w:rsidP="00D27C50">
            <w:pPr>
              <w:jc w:val="right"/>
              <w:rPr>
                <w:lang w:val="en-US" w:eastAsia="en-AU"/>
              </w:rPr>
            </w:pPr>
            <w:r>
              <w:rPr>
                <w:lang w:val="en-US" w:eastAsia="en-AU"/>
              </w:rPr>
              <w:t>1 Jan 2019</w:t>
            </w:r>
          </w:p>
        </w:tc>
      </w:tr>
    </w:tbl>
    <w:p w14:paraId="18F765C6" w14:textId="31BB732A" w:rsidR="00D27C50" w:rsidRDefault="00583F7F" w:rsidP="00583F7F">
      <w:pPr>
        <w:pStyle w:val="Heading3nonumber"/>
        <w:numPr>
          <w:ilvl w:val="1"/>
          <w:numId w:val="50"/>
        </w:numPr>
        <w:rPr>
          <w:lang w:val="en-US" w:eastAsia="en-AU"/>
        </w:rPr>
      </w:pPr>
      <w:bookmarkStart w:id="803" w:name="_Toc525122199"/>
      <w:r>
        <w:rPr>
          <w:lang w:val="en-US" w:eastAsia="en-AU"/>
        </w:rPr>
        <w:t>Key management personnel</w:t>
      </w:r>
      <w:bookmarkEnd w:id="803"/>
    </w:p>
    <w:p w14:paraId="5DED020F" w14:textId="6E1DFFB5" w:rsidR="00583F7F" w:rsidRPr="00583F7F" w:rsidRDefault="00583F7F" w:rsidP="00583F7F">
      <w:pPr>
        <w:rPr>
          <w:lang w:val="en-US" w:eastAsia="en-AU"/>
        </w:rPr>
      </w:pPr>
      <w:r w:rsidRPr="00583F7F">
        <w:rPr>
          <w:lang w:val="en-US" w:eastAsia="en-AU"/>
        </w:rPr>
        <w:t>The Authority has determined that key management personnel</w:t>
      </w:r>
      <w:r>
        <w:rPr>
          <w:lang w:val="en-US" w:eastAsia="en-AU"/>
        </w:rPr>
        <w:t xml:space="preserve"> include </w:t>
      </w:r>
      <w:r w:rsidRPr="00583F7F">
        <w:rPr>
          <w:lang w:val="en-US" w:eastAsia="en-AU"/>
        </w:rPr>
        <w:t xml:space="preserve">board members, senior officers of the Authority and the Cabinet Ministers. The Authority does not incur expenditures to compensate Ministers and those disclosures may be found in the Annual </w:t>
      </w:r>
      <w:r>
        <w:rPr>
          <w:lang w:val="en-US" w:eastAsia="en-AU"/>
        </w:rPr>
        <w:t xml:space="preserve">Report on State Finances. </w:t>
      </w:r>
    </w:p>
    <w:p w14:paraId="1E108657" w14:textId="2F1757F4" w:rsidR="00583F7F" w:rsidRDefault="00583F7F" w:rsidP="00583F7F">
      <w:pPr>
        <w:rPr>
          <w:lang w:val="en-US" w:eastAsia="en-AU"/>
        </w:rPr>
      </w:pPr>
      <w:r w:rsidRPr="00583F7F">
        <w:rPr>
          <w:lang w:val="en-US" w:eastAsia="en-AU"/>
        </w:rPr>
        <w:t xml:space="preserve">The total fees, salaries, superannuation, non-monetary benefits and other benefits for senior officers of the Authority for the reporting period are presented </w:t>
      </w:r>
      <w:r>
        <w:rPr>
          <w:lang w:val="en-US" w:eastAsia="en-AU"/>
        </w:rPr>
        <w:t>within the following bands:</w:t>
      </w:r>
    </w:p>
    <w:p w14:paraId="72C230B0" w14:textId="186B081F" w:rsidR="00F31958" w:rsidRDefault="00F31958" w:rsidP="00583F7F">
      <w:pPr>
        <w:rPr>
          <w:b/>
          <w:lang w:val="en-US" w:eastAsia="en-AU"/>
        </w:rPr>
      </w:pPr>
      <w:r>
        <w:rPr>
          <w:b/>
          <w:lang w:val="en-US" w:eastAsia="en-AU"/>
        </w:rPr>
        <w:t xml:space="preserve">Compensation of members of the Accountable Authority </w:t>
      </w:r>
    </w:p>
    <w:p w14:paraId="5D234A1A" w14:textId="2DDEB42B" w:rsidR="00F31958" w:rsidRDefault="00F31958" w:rsidP="00583F7F">
      <w:pPr>
        <w:rPr>
          <w:b/>
          <w:lang w:val="en-US" w:eastAsia="en-AU"/>
        </w:rPr>
      </w:pPr>
      <w:r>
        <w:rPr>
          <w:b/>
          <w:lang w:val="en-US" w:eastAsia="en-AU"/>
        </w:rPr>
        <w:t>Compensation Band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Key management personnel"/>
        <w:tblDescription w:val="This table outlines the total fees, salaries, superannuation, non-monetary benefits and other beneftis for senior officers of the Authority for the reporting period. "/>
      </w:tblPr>
      <w:tblGrid>
        <w:gridCol w:w="5524"/>
        <w:gridCol w:w="1701"/>
        <w:gridCol w:w="1791"/>
      </w:tblGrid>
      <w:tr w:rsidR="00F31958" w14:paraId="2064E9AF" w14:textId="77777777" w:rsidTr="004A2352">
        <w:trPr>
          <w:tblHeader/>
        </w:trPr>
        <w:tc>
          <w:tcPr>
            <w:tcW w:w="5524" w:type="dxa"/>
          </w:tcPr>
          <w:p w14:paraId="44C07722" w14:textId="77777777" w:rsidR="00F31958" w:rsidRDefault="00F31958" w:rsidP="00583F7F">
            <w:pPr>
              <w:rPr>
                <w:lang w:val="en-US" w:eastAsia="en-AU"/>
              </w:rPr>
            </w:pPr>
          </w:p>
        </w:tc>
        <w:tc>
          <w:tcPr>
            <w:tcW w:w="1701" w:type="dxa"/>
          </w:tcPr>
          <w:p w14:paraId="26A7368F" w14:textId="6F01A7BA" w:rsidR="00F31958" w:rsidRPr="00F31958" w:rsidRDefault="00F31958" w:rsidP="00F31958">
            <w:pPr>
              <w:jc w:val="right"/>
              <w:rPr>
                <w:b/>
                <w:lang w:val="en-US" w:eastAsia="en-AU"/>
              </w:rPr>
            </w:pPr>
            <w:r>
              <w:rPr>
                <w:b/>
                <w:lang w:val="en-US" w:eastAsia="en-AU"/>
              </w:rPr>
              <w:t>2018</w:t>
            </w:r>
          </w:p>
        </w:tc>
        <w:tc>
          <w:tcPr>
            <w:tcW w:w="1791" w:type="dxa"/>
          </w:tcPr>
          <w:p w14:paraId="77E4D24E" w14:textId="2D8C8FB8" w:rsidR="00F31958" w:rsidRPr="00F31958" w:rsidRDefault="00F31958" w:rsidP="00F31958">
            <w:pPr>
              <w:jc w:val="right"/>
              <w:rPr>
                <w:b/>
                <w:lang w:val="en-US" w:eastAsia="en-AU"/>
              </w:rPr>
            </w:pPr>
            <w:r>
              <w:rPr>
                <w:b/>
                <w:lang w:val="en-US" w:eastAsia="en-AU"/>
              </w:rPr>
              <w:t>2017</w:t>
            </w:r>
          </w:p>
        </w:tc>
      </w:tr>
      <w:tr w:rsidR="00F31958" w14:paraId="6D0DB5BE" w14:textId="77777777" w:rsidTr="004A2352">
        <w:tc>
          <w:tcPr>
            <w:tcW w:w="5524" w:type="dxa"/>
          </w:tcPr>
          <w:p w14:paraId="5A658F0D" w14:textId="04725725" w:rsidR="00F31958" w:rsidRDefault="00F31958" w:rsidP="00583F7F">
            <w:pPr>
              <w:rPr>
                <w:lang w:val="en-US" w:eastAsia="en-AU"/>
              </w:rPr>
            </w:pPr>
            <w:r>
              <w:rPr>
                <w:lang w:val="en-US" w:eastAsia="en-AU"/>
              </w:rPr>
              <w:t>$</w:t>
            </w:r>
          </w:p>
        </w:tc>
        <w:tc>
          <w:tcPr>
            <w:tcW w:w="1701" w:type="dxa"/>
          </w:tcPr>
          <w:p w14:paraId="052DD392" w14:textId="77777777" w:rsidR="00F31958" w:rsidRDefault="00F31958" w:rsidP="00583F7F">
            <w:pPr>
              <w:rPr>
                <w:lang w:val="en-US" w:eastAsia="en-AU"/>
              </w:rPr>
            </w:pPr>
          </w:p>
        </w:tc>
        <w:tc>
          <w:tcPr>
            <w:tcW w:w="1791" w:type="dxa"/>
          </w:tcPr>
          <w:p w14:paraId="4A1A4674" w14:textId="77777777" w:rsidR="00F31958" w:rsidRDefault="00F31958" w:rsidP="00583F7F">
            <w:pPr>
              <w:rPr>
                <w:lang w:val="en-US" w:eastAsia="en-AU"/>
              </w:rPr>
            </w:pPr>
          </w:p>
        </w:tc>
      </w:tr>
      <w:tr w:rsidR="00F31958" w14:paraId="6BAA9070" w14:textId="77777777" w:rsidTr="004A2352">
        <w:tc>
          <w:tcPr>
            <w:tcW w:w="5524" w:type="dxa"/>
            <w:vAlign w:val="bottom"/>
          </w:tcPr>
          <w:p w14:paraId="42021F8D" w14:textId="4A2C41F7" w:rsidR="00F31958" w:rsidRDefault="00F31958" w:rsidP="00F31958">
            <w:pPr>
              <w:rPr>
                <w:lang w:val="en-US" w:eastAsia="en-AU"/>
              </w:rPr>
            </w:pPr>
            <w:r>
              <w:t>0 - 10,000</w:t>
            </w:r>
          </w:p>
        </w:tc>
        <w:tc>
          <w:tcPr>
            <w:tcW w:w="1701" w:type="dxa"/>
            <w:vAlign w:val="bottom"/>
          </w:tcPr>
          <w:p w14:paraId="668142DB" w14:textId="4A0EE9D6" w:rsidR="00F31958" w:rsidRDefault="00F31958" w:rsidP="00F31958">
            <w:pPr>
              <w:jc w:val="right"/>
              <w:rPr>
                <w:lang w:val="en-US" w:eastAsia="en-AU"/>
              </w:rPr>
            </w:pPr>
            <w:r>
              <w:t xml:space="preserve">            1 </w:t>
            </w:r>
          </w:p>
        </w:tc>
        <w:tc>
          <w:tcPr>
            <w:tcW w:w="1791" w:type="dxa"/>
            <w:vAlign w:val="bottom"/>
          </w:tcPr>
          <w:p w14:paraId="07EEB536" w14:textId="392D95FA" w:rsidR="00F31958" w:rsidRDefault="00F31958" w:rsidP="00F31958">
            <w:pPr>
              <w:jc w:val="right"/>
              <w:rPr>
                <w:lang w:val="en-US" w:eastAsia="en-AU"/>
              </w:rPr>
            </w:pPr>
            <w:r>
              <w:t xml:space="preserve">                                     1 </w:t>
            </w:r>
          </w:p>
        </w:tc>
      </w:tr>
      <w:tr w:rsidR="00F31958" w14:paraId="745F21B1" w14:textId="77777777" w:rsidTr="004A2352">
        <w:tc>
          <w:tcPr>
            <w:tcW w:w="5524" w:type="dxa"/>
            <w:vAlign w:val="bottom"/>
          </w:tcPr>
          <w:p w14:paraId="0973FEE5" w14:textId="1EEB8A7E" w:rsidR="00F31958" w:rsidRDefault="00F31958" w:rsidP="00F31958">
            <w:pPr>
              <w:rPr>
                <w:lang w:val="en-US" w:eastAsia="en-AU"/>
              </w:rPr>
            </w:pPr>
            <w:r>
              <w:t>10,001 - 20,000</w:t>
            </w:r>
          </w:p>
        </w:tc>
        <w:tc>
          <w:tcPr>
            <w:tcW w:w="1701" w:type="dxa"/>
            <w:vAlign w:val="bottom"/>
          </w:tcPr>
          <w:p w14:paraId="42064160" w14:textId="24DF6C7E" w:rsidR="00F31958" w:rsidRDefault="00F31958" w:rsidP="00F31958">
            <w:pPr>
              <w:jc w:val="right"/>
              <w:rPr>
                <w:lang w:val="en-US" w:eastAsia="en-AU"/>
              </w:rPr>
            </w:pPr>
            <w:r>
              <w:t xml:space="preserve">            4 </w:t>
            </w:r>
          </w:p>
        </w:tc>
        <w:tc>
          <w:tcPr>
            <w:tcW w:w="1791" w:type="dxa"/>
            <w:vAlign w:val="bottom"/>
          </w:tcPr>
          <w:p w14:paraId="0506E3D5" w14:textId="2A51DAFE" w:rsidR="00F31958" w:rsidRDefault="00F31958" w:rsidP="00F31958">
            <w:pPr>
              <w:jc w:val="right"/>
              <w:rPr>
                <w:lang w:val="en-US" w:eastAsia="en-AU"/>
              </w:rPr>
            </w:pPr>
            <w:r>
              <w:t xml:space="preserve">                                     4 </w:t>
            </w:r>
          </w:p>
        </w:tc>
      </w:tr>
      <w:tr w:rsidR="00F31958" w14:paraId="2BE53B4C" w14:textId="77777777" w:rsidTr="004A2352">
        <w:tc>
          <w:tcPr>
            <w:tcW w:w="5524" w:type="dxa"/>
            <w:vAlign w:val="bottom"/>
          </w:tcPr>
          <w:p w14:paraId="009C6FCD" w14:textId="4D2CD931" w:rsidR="00F31958" w:rsidRDefault="00F31958" w:rsidP="00F31958">
            <w:pPr>
              <w:rPr>
                <w:lang w:val="en-US" w:eastAsia="en-AU"/>
              </w:rPr>
            </w:pPr>
            <w:r>
              <w:t>30,001 - 40,000</w:t>
            </w:r>
          </w:p>
        </w:tc>
        <w:tc>
          <w:tcPr>
            <w:tcW w:w="1701" w:type="dxa"/>
            <w:vAlign w:val="bottom"/>
          </w:tcPr>
          <w:p w14:paraId="0C79BF8D" w14:textId="214B051D" w:rsidR="00F31958" w:rsidRDefault="00F31958" w:rsidP="00F31958">
            <w:pPr>
              <w:jc w:val="right"/>
              <w:rPr>
                <w:lang w:val="en-US" w:eastAsia="en-AU"/>
              </w:rPr>
            </w:pPr>
            <w:r>
              <w:t xml:space="preserve">            1 </w:t>
            </w:r>
          </w:p>
        </w:tc>
        <w:tc>
          <w:tcPr>
            <w:tcW w:w="1791" w:type="dxa"/>
            <w:vAlign w:val="bottom"/>
          </w:tcPr>
          <w:p w14:paraId="35B640EB" w14:textId="560FDDE9" w:rsidR="00F31958" w:rsidRDefault="00F31958" w:rsidP="00F31958">
            <w:pPr>
              <w:jc w:val="right"/>
              <w:rPr>
                <w:lang w:val="en-US" w:eastAsia="en-AU"/>
              </w:rPr>
            </w:pPr>
            <w:r>
              <w:t xml:space="preserve">                                     1 </w:t>
            </w:r>
          </w:p>
        </w:tc>
      </w:tr>
      <w:tr w:rsidR="00F31958" w14:paraId="3AD86A74" w14:textId="77777777" w:rsidTr="004A2352">
        <w:tc>
          <w:tcPr>
            <w:tcW w:w="5524" w:type="dxa"/>
          </w:tcPr>
          <w:p w14:paraId="14208C28" w14:textId="77777777" w:rsidR="00F31958" w:rsidRDefault="00F31958" w:rsidP="00583F7F">
            <w:pPr>
              <w:rPr>
                <w:lang w:val="en-US" w:eastAsia="en-AU"/>
              </w:rPr>
            </w:pPr>
          </w:p>
        </w:tc>
        <w:tc>
          <w:tcPr>
            <w:tcW w:w="1701" w:type="dxa"/>
          </w:tcPr>
          <w:p w14:paraId="39C10C36" w14:textId="77777777" w:rsidR="00F31958" w:rsidRDefault="00F31958" w:rsidP="00583F7F">
            <w:pPr>
              <w:rPr>
                <w:lang w:val="en-US" w:eastAsia="en-AU"/>
              </w:rPr>
            </w:pPr>
          </w:p>
          <w:p w14:paraId="3FADA130" w14:textId="77777777" w:rsidR="00F31958" w:rsidRDefault="00F31958" w:rsidP="00583F7F">
            <w:pPr>
              <w:rPr>
                <w:lang w:val="en-US" w:eastAsia="en-AU"/>
              </w:rPr>
            </w:pPr>
          </w:p>
        </w:tc>
        <w:tc>
          <w:tcPr>
            <w:tcW w:w="1791" w:type="dxa"/>
          </w:tcPr>
          <w:p w14:paraId="030D934C" w14:textId="77777777" w:rsidR="00F31958" w:rsidRDefault="00F31958" w:rsidP="00583F7F">
            <w:pPr>
              <w:rPr>
                <w:lang w:val="en-US" w:eastAsia="en-AU"/>
              </w:rPr>
            </w:pPr>
          </w:p>
        </w:tc>
      </w:tr>
      <w:tr w:rsidR="00F31958" w14:paraId="1962AA6C" w14:textId="77777777" w:rsidTr="004A2352">
        <w:tc>
          <w:tcPr>
            <w:tcW w:w="5524" w:type="dxa"/>
          </w:tcPr>
          <w:p w14:paraId="1B78C58D" w14:textId="77777777" w:rsidR="00F31958" w:rsidRDefault="00F31958" w:rsidP="00583F7F">
            <w:pPr>
              <w:rPr>
                <w:lang w:val="en-US" w:eastAsia="en-AU"/>
              </w:rPr>
            </w:pPr>
          </w:p>
        </w:tc>
        <w:tc>
          <w:tcPr>
            <w:tcW w:w="1701" w:type="dxa"/>
          </w:tcPr>
          <w:p w14:paraId="033F81CD" w14:textId="3DFE41EB" w:rsidR="00F31958" w:rsidRPr="00F31958" w:rsidRDefault="00F31958" w:rsidP="00F31958">
            <w:pPr>
              <w:jc w:val="right"/>
              <w:rPr>
                <w:b/>
                <w:lang w:val="en-US" w:eastAsia="en-AU"/>
              </w:rPr>
            </w:pPr>
            <w:r>
              <w:rPr>
                <w:b/>
                <w:lang w:val="en-US" w:eastAsia="en-AU"/>
              </w:rPr>
              <w:t>$000</w:t>
            </w:r>
          </w:p>
        </w:tc>
        <w:tc>
          <w:tcPr>
            <w:tcW w:w="1791" w:type="dxa"/>
          </w:tcPr>
          <w:p w14:paraId="36634534" w14:textId="5E33A717" w:rsidR="00F31958" w:rsidRPr="00F31958" w:rsidRDefault="00F31958" w:rsidP="00F31958">
            <w:pPr>
              <w:jc w:val="right"/>
              <w:rPr>
                <w:b/>
                <w:lang w:val="en-US" w:eastAsia="en-AU"/>
              </w:rPr>
            </w:pPr>
            <w:r>
              <w:rPr>
                <w:b/>
                <w:lang w:val="en-US" w:eastAsia="en-AU"/>
              </w:rPr>
              <w:t>$000</w:t>
            </w:r>
          </w:p>
        </w:tc>
      </w:tr>
      <w:tr w:rsidR="00F31958" w14:paraId="3990EEC5" w14:textId="77777777" w:rsidTr="004A2352">
        <w:tc>
          <w:tcPr>
            <w:tcW w:w="5524" w:type="dxa"/>
          </w:tcPr>
          <w:p w14:paraId="7930A322" w14:textId="27CBE470" w:rsidR="00F31958" w:rsidRDefault="00F31958" w:rsidP="00F31958">
            <w:pPr>
              <w:rPr>
                <w:lang w:val="en-US" w:eastAsia="en-AU"/>
              </w:rPr>
            </w:pPr>
            <w:r>
              <w:t>Short-term employee benefits</w:t>
            </w:r>
          </w:p>
        </w:tc>
        <w:tc>
          <w:tcPr>
            <w:tcW w:w="1701" w:type="dxa"/>
            <w:vAlign w:val="bottom"/>
          </w:tcPr>
          <w:p w14:paraId="59EF4E81" w14:textId="14BAF01C" w:rsidR="00F31958" w:rsidRDefault="00F31958" w:rsidP="00F31958">
            <w:pPr>
              <w:jc w:val="right"/>
              <w:rPr>
                <w:lang w:val="en-US" w:eastAsia="en-AU"/>
              </w:rPr>
            </w:pPr>
            <w:r>
              <w:t>96</w:t>
            </w:r>
          </w:p>
        </w:tc>
        <w:tc>
          <w:tcPr>
            <w:tcW w:w="1791" w:type="dxa"/>
            <w:vAlign w:val="bottom"/>
          </w:tcPr>
          <w:p w14:paraId="4CA38E25" w14:textId="629A1340" w:rsidR="00F31958" w:rsidRDefault="00F31958" w:rsidP="00F31958">
            <w:pPr>
              <w:jc w:val="right"/>
              <w:rPr>
                <w:lang w:val="en-US" w:eastAsia="en-AU"/>
              </w:rPr>
            </w:pPr>
            <w:r>
              <w:t>96</w:t>
            </w:r>
          </w:p>
        </w:tc>
      </w:tr>
      <w:tr w:rsidR="00F31958" w14:paraId="6EDEEDDB" w14:textId="77777777" w:rsidTr="004A2352">
        <w:tc>
          <w:tcPr>
            <w:tcW w:w="5524" w:type="dxa"/>
          </w:tcPr>
          <w:p w14:paraId="0824C06E" w14:textId="5407588E" w:rsidR="00F31958" w:rsidRDefault="00F31958" w:rsidP="00F31958">
            <w:pPr>
              <w:rPr>
                <w:lang w:val="en-US" w:eastAsia="en-AU"/>
              </w:rPr>
            </w:pPr>
            <w:r>
              <w:t>Post-employment benefits</w:t>
            </w:r>
          </w:p>
        </w:tc>
        <w:tc>
          <w:tcPr>
            <w:tcW w:w="1701" w:type="dxa"/>
            <w:vAlign w:val="bottom"/>
          </w:tcPr>
          <w:p w14:paraId="04F6ECAB" w14:textId="4BE1571D" w:rsidR="00F31958" w:rsidRDefault="00F31958" w:rsidP="00F31958">
            <w:pPr>
              <w:jc w:val="right"/>
              <w:rPr>
                <w:lang w:val="en-US" w:eastAsia="en-AU"/>
              </w:rPr>
            </w:pPr>
            <w:r>
              <w:t>9</w:t>
            </w:r>
          </w:p>
        </w:tc>
        <w:tc>
          <w:tcPr>
            <w:tcW w:w="1791" w:type="dxa"/>
            <w:vAlign w:val="bottom"/>
          </w:tcPr>
          <w:p w14:paraId="0FE21226" w14:textId="1ED7DDB6" w:rsidR="00F31958" w:rsidRDefault="00F31958" w:rsidP="00F31958">
            <w:pPr>
              <w:jc w:val="right"/>
              <w:rPr>
                <w:lang w:val="en-US" w:eastAsia="en-AU"/>
              </w:rPr>
            </w:pPr>
            <w:r>
              <w:t>9</w:t>
            </w:r>
          </w:p>
        </w:tc>
      </w:tr>
      <w:tr w:rsidR="00F31958" w14:paraId="13F4EE3C" w14:textId="77777777" w:rsidTr="004A2352">
        <w:trPr>
          <w:trHeight w:val="708"/>
        </w:trPr>
        <w:tc>
          <w:tcPr>
            <w:tcW w:w="5524" w:type="dxa"/>
          </w:tcPr>
          <w:p w14:paraId="7957D148" w14:textId="38DD1E72" w:rsidR="00F31958" w:rsidRDefault="00F31958" w:rsidP="00F31958">
            <w:pPr>
              <w:rPr>
                <w:lang w:val="en-US" w:eastAsia="en-AU"/>
              </w:rPr>
            </w:pPr>
            <w:r>
              <w:t>Other long-term benefits</w:t>
            </w:r>
          </w:p>
        </w:tc>
        <w:tc>
          <w:tcPr>
            <w:tcW w:w="1701" w:type="dxa"/>
          </w:tcPr>
          <w:p w14:paraId="3904B88F" w14:textId="6EB2AF9A" w:rsidR="00F31958" w:rsidRDefault="00F31958" w:rsidP="00F31958">
            <w:pPr>
              <w:jc w:val="right"/>
              <w:rPr>
                <w:lang w:val="en-US" w:eastAsia="en-AU"/>
              </w:rPr>
            </w:pPr>
            <w:r>
              <w:t xml:space="preserve">-            </w:t>
            </w:r>
          </w:p>
        </w:tc>
        <w:tc>
          <w:tcPr>
            <w:tcW w:w="1791" w:type="dxa"/>
          </w:tcPr>
          <w:p w14:paraId="0529141A" w14:textId="3141D740" w:rsidR="00F31958" w:rsidRDefault="00F31958" w:rsidP="00F31958">
            <w:pPr>
              <w:jc w:val="right"/>
              <w:rPr>
                <w:lang w:val="en-US" w:eastAsia="en-AU"/>
              </w:rPr>
            </w:pPr>
            <w:r>
              <w:t xml:space="preserve">-  </w:t>
            </w:r>
          </w:p>
        </w:tc>
      </w:tr>
      <w:tr w:rsidR="00F31958" w14:paraId="1EC1F59C" w14:textId="77777777" w:rsidTr="004A2352">
        <w:tc>
          <w:tcPr>
            <w:tcW w:w="5524" w:type="dxa"/>
          </w:tcPr>
          <w:p w14:paraId="36641D88" w14:textId="15E5D39C" w:rsidR="00F31958" w:rsidRDefault="00F31958" w:rsidP="00F31958">
            <w:pPr>
              <w:rPr>
                <w:lang w:val="en-US" w:eastAsia="en-AU"/>
              </w:rPr>
            </w:pPr>
            <w:r>
              <w:t>Termination benefits</w:t>
            </w:r>
          </w:p>
        </w:tc>
        <w:tc>
          <w:tcPr>
            <w:tcW w:w="1701" w:type="dxa"/>
            <w:tcBorders>
              <w:bottom w:val="single" w:sz="4" w:space="0" w:color="auto"/>
            </w:tcBorders>
          </w:tcPr>
          <w:p w14:paraId="39CDCAEA" w14:textId="35D58EE2" w:rsidR="00F31958" w:rsidRDefault="00F31958" w:rsidP="00F31958">
            <w:pPr>
              <w:jc w:val="right"/>
              <w:rPr>
                <w:lang w:val="en-US" w:eastAsia="en-AU"/>
              </w:rPr>
            </w:pPr>
            <w:r>
              <w:t xml:space="preserve">-           </w:t>
            </w:r>
          </w:p>
        </w:tc>
        <w:tc>
          <w:tcPr>
            <w:tcW w:w="1791" w:type="dxa"/>
            <w:tcBorders>
              <w:bottom w:val="single" w:sz="4" w:space="0" w:color="auto"/>
            </w:tcBorders>
          </w:tcPr>
          <w:p w14:paraId="26EE4B0D" w14:textId="5CD74EEA" w:rsidR="00F31958" w:rsidRDefault="00F31958" w:rsidP="00F31958">
            <w:pPr>
              <w:jc w:val="right"/>
              <w:rPr>
                <w:lang w:val="en-US" w:eastAsia="en-AU"/>
              </w:rPr>
            </w:pPr>
            <w:r>
              <w:t xml:space="preserve">-                                 </w:t>
            </w:r>
          </w:p>
        </w:tc>
      </w:tr>
      <w:tr w:rsidR="00F31958" w14:paraId="73503037" w14:textId="77777777" w:rsidTr="004A2352">
        <w:tc>
          <w:tcPr>
            <w:tcW w:w="5524" w:type="dxa"/>
          </w:tcPr>
          <w:p w14:paraId="11F82AE1" w14:textId="01810F19" w:rsidR="00F31958" w:rsidRPr="004A2352" w:rsidRDefault="004A2352" w:rsidP="00583F7F">
            <w:pPr>
              <w:rPr>
                <w:b/>
                <w:lang w:eastAsia="en-AU"/>
              </w:rPr>
            </w:pPr>
            <w:r w:rsidRPr="004A2352">
              <w:rPr>
                <w:b/>
              </w:rPr>
              <w:t>Total compensation of members of the Accountable Authority</w:t>
            </w:r>
          </w:p>
        </w:tc>
        <w:tc>
          <w:tcPr>
            <w:tcW w:w="1701" w:type="dxa"/>
            <w:tcBorders>
              <w:top w:val="single" w:sz="4" w:space="0" w:color="auto"/>
              <w:bottom w:val="double" w:sz="4" w:space="0" w:color="auto"/>
            </w:tcBorders>
          </w:tcPr>
          <w:p w14:paraId="7891BEF8" w14:textId="4F2CDD64" w:rsidR="00F31958" w:rsidRPr="004A2352" w:rsidRDefault="004A2352" w:rsidP="004A2352">
            <w:pPr>
              <w:jc w:val="right"/>
              <w:rPr>
                <w:b/>
                <w:lang w:val="en-US" w:eastAsia="en-AU"/>
              </w:rPr>
            </w:pPr>
            <w:r>
              <w:rPr>
                <w:b/>
                <w:lang w:val="en-US" w:eastAsia="en-AU"/>
              </w:rPr>
              <w:t>105</w:t>
            </w:r>
          </w:p>
        </w:tc>
        <w:tc>
          <w:tcPr>
            <w:tcW w:w="1791" w:type="dxa"/>
            <w:tcBorders>
              <w:top w:val="single" w:sz="4" w:space="0" w:color="auto"/>
              <w:bottom w:val="double" w:sz="4" w:space="0" w:color="auto"/>
            </w:tcBorders>
          </w:tcPr>
          <w:p w14:paraId="0A582A01" w14:textId="07361EB9" w:rsidR="00F31958" w:rsidRPr="004A2352" w:rsidRDefault="004A2352" w:rsidP="004A2352">
            <w:pPr>
              <w:jc w:val="right"/>
              <w:rPr>
                <w:b/>
                <w:lang w:val="en-US" w:eastAsia="en-AU"/>
              </w:rPr>
            </w:pPr>
            <w:r>
              <w:rPr>
                <w:b/>
                <w:lang w:val="en-US" w:eastAsia="en-AU"/>
              </w:rPr>
              <w:t>105</w:t>
            </w:r>
          </w:p>
        </w:tc>
      </w:tr>
      <w:tr w:rsidR="00F31958" w14:paraId="75C0325F" w14:textId="77777777" w:rsidTr="004A2352">
        <w:tc>
          <w:tcPr>
            <w:tcW w:w="5524" w:type="dxa"/>
          </w:tcPr>
          <w:p w14:paraId="6656B599" w14:textId="77777777" w:rsidR="00F31958" w:rsidRDefault="00F31958" w:rsidP="00583F7F">
            <w:pPr>
              <w:rPr>
                <w:lang w:val="en-US" w:eastAsia="en-AU"/>
              </w:rPr>
            </w:pPr>
          </w:p>
        </w:tc>
        <w:tc>
          <w:tcPr>
            <w:tcW w:w="1701" w:type="dxa"/>
            <w:tcBorders>
              <w:top w:val="double" w:sz="4" w:space="0" w:color="auto"/>
            </w:tcBorders>
          </w:tcPr>
          <w:p w14:paraId="2781A618" w14:textId="77777777" w:rsidR="00F31958" w:rsidRDefault="00F31958" w:rsidP="00583F7F">
            <w:pPr>
              <w:rPr>
                <w:lang w:val="en-US" w:eastAsia="en-AU"/>
              </w:rPr>
            </w:pPr>
          </w:p>
        </w:tc>
        <w:tc>
          <w:tcPr>
            <w:tcW w:w="1791" w:type="dxa"/>
            <w:tcBorders>
              <w:top w:val="double" w:sz="4" w:space="0" w:color="auto"/>
            </w:tcBorders>
          </w:tcPr>
          <w:p w14:paraId="33CDB5B2" w14:textId="77777777" w:rsidR="00F31958" w:rsidRDefault="00F31958" w:rsidP="00583F7F">
            <w:pPr>
              <w:rPr>
                <w:lang w:val="en-US" w:eastAsia="en-AU"/>
              </w:rPr>
            </w:pPr>
          </w:p>
        </w:tc>
      </w:tr>
      <w:tr w:rsidR="00F31958" w14:paraId="1A8657F6" w14:textId="77777777" w:rsidTr="004A2352">
        <w:tc>
          <w:tcPr>
            <w:tcW w:w="5524" w:type="dxa"/>
          </w:tcPr>
          <w:p w14:paraId="2E1B3FC9" w14:textId="77777777" w:rsidR="004A2352" w:rsidRDefault="004A2352" w:rsidP="00583F7F">
            <w:pPr>
              <w:rPr>
                <w:b/>
                <w:lang w:val="en-US" w:eastAsia="en-AU"/>
              </w:rPr>
            </w:pPr>
            <w:r w:rsidRPr="004A2352">
              <w:rPr>
                <w:b/>
                <w:lang w:val="en-US" w:eastAsia="en-AU"/>
              </w:rPr>
              <w:t>Compensation of senior officers other than the Accountable Authority</w:t>
            </w:r>
          </w:p>
          <w:p w14:paraId="69595601" w14:textId="666AD0B1" w:rsidR="00F31958" w:rsidRPr="004A2352" w:rsidRDefault="004A2352" w:rsidP="00583F7F">
            <w:pPr>
              <w:rPr>
                <w:b/>
                <w:lang w:val="en-US" w:eastAsia="en-AU"/>
              </w:rPr>
            </w:pPr>
            <w:r w:rsidRPr="004A2352">
              <w:rPr>
                <w:b/>
                <w:lang w:val="en-US" w:eastAsia="en-AU"/>
              </w:rPr>
              <w:t>Compensation Band ($)</w:t>
            </w:r>
          </w:p>
        </w:tc>
        <w:tc>
          <w:tcPr>
            <w:tcW w:w="1701" w:type="dxa"/>
          </w:tcPr>
          <w:p w14:paraId="234548FE" w14:textId="77777777" w:rsidR="00F31958" w:rsidRDefault="00F31958" w:rsidP="00583F7F">
            <w:pPr>
              <w:rPr>
                <w:lang w:val="en-US" w:eastAsia="en-AU"/>
              </w:rPr>
            </w:pPr>
          </w:p>
        </w:tc>
        <w:tc>
          <w:tcPr>
            <w:tcW w:w="1791" w:type="dxa"/>
          </w:tcPr>
          <w:p w14:paraId="340E0FF1" w14:textId="77777777" w:rsidR="00F31958" w:rsidRDefault="00F31958" w:rsidP="00583F7F">
            <w:pPr>
              <w:rPr>
                <w:lang w:val="en-US" w:eastAsia="en-AU"/>
              </w:rPr>
            </w:pPr>
          </w:p>
        </w:tc>
      </w:tr>
      <w:tr w:rsidR="00F31958" w14:paraId="5CD07190" w14:textId="77777777" w:rsidTr="004A2352">
        <w:tc>
          <w:tcPr>
            <w:tcW w:w="5524" w:type="dxa"/>
          </w:tcPr>
          <w:p w14:paraId="2EE92FD1" w14:textId="77777777" w:rsidR="00F31958" w:rsidRDefault="00F31958" w:rsidP="00583F7F">
            <w:pPr>
              <w:rPr>
                <w:lang w:val="en-US" w:eastAsia="en-AU"/>
              </w:rPr>
            </w:pPr>
          </w:p>
        </w:tc>
        <w:tc>
          <w:tcPr>
            <w:tcW w:w="1701" w:type="dxa"/>
          </w:tcPr>
          <w:p w14:paraId="42DC2849" w14:textId="2AD50BDD" w:rsidR="00F31958" w:rsidRPr="004A2352" w:rsidRDefault="004A2352" w:rsidP="004A2352">
            <w:pPr>
              <w:jc w:val="right"/>
              <w:rPr>
                <w:b/>
                <w:lang w:val="en-US" w:eastAsia="en-AU"/>
              </w:rPr>
            </w:pPr>
            <w:r w:rsidRPr="004A2352">
              <w:rPr>
                <w:b/>
                <w:lang w:val="en-US" w:eastAsia="en-AU"/>
              </w:rPr>
              <w:t>2018</w:t>
            </w:r>
          </w:p>
        </w:tc>
        <w:tc>
          <w:tcPr>
            <w:tcW w:w="1791" w:type="dxa"/>
          </w:tcPr>
          <w:p w14:paraId="13025DAD" w14:textId="4A34F6E6" w:rsidR="00F31958" w:rsidRPr="004A2352" w:rsidRDefault="004A2352" w:rsidP="004A2352">
            <w:pPr>
              <w:jc w:val="right"/>
              <w:rPr>
                <w:b/>
                <w:lang w:val="en-US" w:eastAsia="en-AU"/>
              </w:rPr>
            </w:pPr>
            <w:r w:rsidRPr="004A2352">
              <w:rPr>
                <w:b/>
                <w:lang w:val="en-US" w:eastAsia="en-AU"/>
              </w:rPr>
              <w:t>2017</w:t>
            </w:r>
          </w:p>
        </w:tc>
      </w:tr>
      <w:tr w:rsidR="00F31958" w14:paraId="35D73B0D" w14:textId="77777777" w:rsidTr="004A2352">
        <w:tc>
          <w:tcPr>
            <w:tcW w:w="5524" w:type="dxa"/>
          </w:tcPr>
          <w:p w14:paraId="43A19899" w14:textId="6CF0B8AF" w:rsidR="00F31958" w:rsidRDefault="004A2352" w:rsidP="004A2352">
            <w:pPr>
              <w:rPr>
                <w:lang w:val="en-US" w:eastAsia="en-AU"/>
              </w:rPr>
            </w:pPr>
            <w:r>
              <w:rPr>
                <w:lang w:val="en-US" w:eastAsia="en-AU"/>
              </w:rPr>
              <w:t>$</w:t>
            </w:r>
          </w:p>
        </w:tc>
        <w:tc>
          <w:tcPr>
            <w:tcW w:w="1701" w:type="dxa"/>
          </w:tcPr>
          <w:p w14:paraId="29680604" w14:textId="77777777" w:rsidR="00F31958" w:rsidRDefault="00F31958" w:rsidP="00583F7F">
            <w:pPr>
              <w:rPr>
                <w:lang w:val="en-US" w:eastAsia="en-AU"/>
              </w:rPr>
            </w:pPr>
          </w:p>
        </w:tc>
        <w:tc>
          <w:tcPr>
            <w:tcW w:w="1791" w:type="dxa"/>
          </w:tcPr>
          <w:p w14:paraId="16BB9887" w14:textId="77777777" w:rsidR="00F31958" w:rsidRDefault="00F31958" w:rsidP="00583F7F">
            <w:pPr>
              <w:rPr>
                <w:lang w:val="en-US" w:eastAsia="en-AU"/>
              </w:rPr>
            </w:pPr>
          </w:p>
        </w:tc>
      </w:tr>
      <w:tr w:rsidR="004A2352" w14:paraId="48C0C762" w14:textId="77777777" w:rsidTr="004A2352">
        <w:tc>
          <w:tcPr>
            <w:tcW w:w="5524" w:type="dxa"/>
            <w:vAlign w:val="center"/>
          </w:tcPr>
          <w:p w14:paraId="1D012A8E" w14:textId="38D141B6" w:rsidR="004A2352" w:rsidRDefault="004A2352" w:rsidP="004A2352">
            <w:pPr>
              <w:rPr>
                <w:lang w:val="en-US" w:eastAsia="en-AU"/>
              </w:rPr>
            </w:pPr>
            <w:r>
              <w:rPr>
                <w:noProof/>
                <w:lang w:eastAsia="en-AU"/>
              </w:rPr>
              <mc:AlternateContent>
                <mc:Choice Requires="wps">
                  <w:drawing>
                    <wp:anchor distT="0" distB="0" distL="114300" distR="114300" simplePos="0" relativeHeight="251667456" behindDoc="0" locked="0" layoutInCell="1" allowOverlap="1" wp14:anchorId="4ED2BF94" wp14:editId="6AA3722D">
                      <wp:simplePos x="0" y="0"/>
                      <wp:positionH relativeFrom="column">
                        <wp:posOffset>1360170</wp:posOffset>
                      </wp:positionH>
                      <wp:positionV relativeFrom="paragraph">
                        <wp:posOffset>51435</wp:posOffset>
                      </wp:positionV>
                      <wp:extent cx="533400" cy="1343025"/>
                      <wp:effectExtent l="0" t="0" r="19050" b="28575"/>
                      <wp:wrapNone/>
                      <wp:docPr id="24" name="Right Brace 24" descr="This bracket symbol links compensation bands 90,0001 - 100,000; 100,001 - 110,000; and 130,001 - 140,000. The explanation for this is available at (a)" title="Brackets"/>
                      <wp:cNvGraphicFramePr/>
                      <a:graphic xmlns:a="http://schemas.openxmlformats.org/drawingml/2006/main">
                        <a:graphicData uri="http://schemas.microsoft.com/office/word/2010/wordprocessingShape">
                          <wps:wsp>
                            <wps:cNvSpPr/>
                            <wps:spPr>
                              <a:xfrm>
                                <a:off x="2343150" y="5743575"/>
                                <a:ext cx="533400" cy="1343025"/>
                              </a:xfrm>
                              <a:prstGeom prst="rightBrace">
                                <a:avLst>
                                  <a:gd name="adj1" fmla="val 8333"/>
                                  <a:gd name="adj2" fmla="val 57092"/>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FB9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26" type="#_x0000_t88" alt="Title: Brackets - Description: This bracket symbol links compensation bands 90,0001 - 100,000; 100,001 - 110,000; and 130,001 - 140,000. The explanation for this is available at (a)" style="position:absolute;margin-left:107.1pt;margin-top:4.05pt;width:42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" adj="715,12332"/>
                  </w:pict>
                </mc:Fallback>
              </mc:AlternateContent>
            </w:r>
            <w:r>
              <w:rPr>
                <w:lang w:val="en-US" w:eastAsia="en-AU"/>
              </w:rPr>
              <w:t>90,001 – 100,000</w:t>
            </w:r>
          </w:p>
        </w:tc>
        <w:tc>
          <w:tcPr>
            <w:tcW w:w="1701" w:type="dxa"/>
            <w:vAlign w:val="bottom"/>
          </w:tcPr>
          <w:p w14:paraId="50CA5257" w14:textId="192C9817" w:rsidR="004A2352" w:rsidRDefault="004A2352" w:rsidP="004A2352">
            <w:pPr>
              <w:jc w:val="right"/>
              <w:rPr>
                <w:lang w:val="en-US" w:eastAsia="en-AU"/>
              </w:rPr>
            </w:pPr>
            <w:r>
              <w:t xml:space="preserve">            1 </w:t>
            </w:r>
          </w:p>
        </w:tc>
        <w:tc>
          <w:tcPr>
            <w:tcW w:w="1791" w:type="dxa"/>
            <w:vAlign w:val="bottom"/>
          </w:tcPr>
          <w:p w14:paraId="7CC5BBC1" w14:textId="5ED366D2" w:rsidR="004A2352" w:rsidRDefault="004A2352" w:rsidP="004A2352">
            <w:pPr>
              <w:jc w:val="right"/>
              <w:rPr>
                <w:lang w:val="en-US" w:eastAsia="en-AU"/>
              </w:rPr>
            </w:pPr>
            <w:r>
              <w:t xml:space="preserve">                                    -   </w:t>
            </w:r>
          </w:p>
        </w:tc>
      </w:tr>
      <w:tr w:rsidR="004A2352" w14:paraId="68D17AF3" w14:textId="77777777" w:rsidTr="008D090C">
        <w:tc>
          <w:tcPr>
            <w:tcW w:w="5524" w:type="dxa"/>
            <w:vAlign w:val="bottom"/>
          </w:tcPr>
          <w:p w14:paraId="26ADE693" w14:textId="63D9CB2A" w:rsidR="004A2352" w:rsidRDefault="004A2352" w:rsidP="004A2352">
            <w:pPr>
              <w:rPr>
                <w:lang w:val="en-US" w:eastAsia="en-AU"/>
              </w:rPr>
            </w:pPr>
            <w:r>
              <w:t>100,001 - 110,000                  (a)</w:t>
            </w:r>
          </w:p>
        </w:tc>
        <w:tc>
          <w:tcPr>
            <w:tcW w:w="1701" w:type="dxa"/>
            <w:vAlign w:val="bottom"/>
          </w:tcPr>
          <w:p w14:paraId="7873656C" w14:textId="6F1C7687" w:rsidR="004A2352" w:rsidRDefault="004A2352" w:rsidP="004A2352">
            <w:pPr>
              <w:jc w:val="right"/>
              <w:rPr>
                <w:lang w:val="en-US" w:eastAsia="en-AU"/>
              </w:rPr>
            </w:pPr>
            <w:r>
              <w:t xml:space="preserve">            1 </w:t>
            </w:r>
          </w:p>
        </w:tc>
        <w:tc>
          <w:tcPr>
            <w:tcW w:w="1791" w:type="dxa"/>
            <w:vAlign w:val="bottom"/>
          </w:tcPr>
          <w:p w14:paraId="7E06E022" w14:textId="31FC1CFE" w:rsidR="004A2352" w:rsidRDefault="004A2352" w:rsidP="004A2352">
            <w:pPr>
              <w:jc w:val="right"/>
              <w:rPr>
                <w:lang w:val="en-US" w:eastAsia="en-AU"/>
              </w:rPr>
            </w:pPr>
            <w:r>
              <w:t xml:space="preserve">                                    -   </w:t>
            </w:r>
          </w:p>
        </w:tc>
      </w:tr>
      <w:tr w:rsidR="004A2352" w14:paraId="7B0018A3" w14:textId="77777777" w:rsidTr="008D090C">
        <w:tc>
          <w:tcPr>
            <w:tcW w:w="5524" w:type="dxa"/>
            <w:vAlign w:val="bottom"/>
          </w:tcPr>
          <w:p w14:paraId="4766AD32" w14:textId="62C16E33" w:rsidR="004A2352" w:rsidRDefault="004A2352" w:rsidP="004A2352">
            <w:pPr>
              <w:rPr>
                <w:lang w:val="en-US" w:eastAsia="en-AU"/>
              </w:rPr>
            </w:pPr>
            <w:r>
              <w:t>130,001 - 140,000</w:t>
            </w:r>
          </w:p>
        </w:tc>
        <w:tc>
          <w:tcPr>
            <w:tcW w:w="1701" w:type="dxa"/>
            <w:vAlign w:val="bottom"/>
          </w:tcPr>
          <w:p w14:paraId="490F26BD" w14:textId="2FF1112B" w:rsidR="004A2352" w:rsidRDefault="004A2352" w:rsidP="004A2352">
            <w:pPr>
              <w:jc w:val="right"/>
              <w:rPr>
                <w:lang w:val="en-US" w:eastAsia="en-AU"/>
              </w:rPr>
            </w:pPr>
            <w:r>
              <w:t xml:space="preserve">            1 </w:t>
            </w:r>
          </w:p>
        </w:tc>
        <w:tc>
          <w:tcPr>
            <w:tcW w:w="1791" w:type="dxa"/>
            <w:vAlign w:val="bottom"/>
          </w:tcPr>
          <w:p w14:paraId="654DF6C0" w14:textId="4E2C70BE" w:rsidR="004A2352" w:rsidRDefault="004A2352" w:rsidP="004A2352">
            <w:pPr>
              <w:jc w:val="right"/>
              <w:rPr>
                <w:lang w:val="en-US" w:eastAsia="en-AU"/>
              </w:rPr>
            </w:pPr>
            <w:r>
              <w:t xml:space="preserve">                                    -   </w:t>
            </w:r>
          </w:p>
        </w:tc>
      </w:tr>
      <w:tr w:rsidR="004A2352" w14:paraId="77D03612" w14:textId="77777777" w:rsidTr="008D090C">
        <w:tc>
          <w:tcPr>
            <w:tcW w:w="5524" w:type="dxa"/>
            <w:vAlign w:val="bottom"/>
          </w:tcPr>
          <w:p w14:paraId="4DBE0CD7" w14:textId="31AD9483" w:rsidR="004A2352" w:rsidRDefault="004A2352" w:rsidP="004A2352">
            <w:pPr>
              <w:rPr>
                <w:lang w:val="en-US" w:eastAsia="en-AU"/>
              </w:rPr>
            </w:pPr>
            <w:r>
              <w:t>160,001 - 170,000</w:t>
            </w:r>
          </w:p>
        </w:tc>
        <w:tc>
          <w:tcPr>
            <w:tcW w:w="1701" w:type="dxa"/>
            <w:vAlign w:val="bottom"/>
          </w:tcPr>
          <w:p w14:paraId="0EFF760A" w14:textId="19EE05DD" w:rsidR="004A2352" w:rsidRDefault="004A2352" w:rsidP="004A2352">
            <w:pPr>
              <w:jc w:val="right"/>
              <w:rPr>
                <w:lang w:val="en-US" w:eastAsia="en-AU"/>
              </w:rPr>
            </w:pPr>
            <w:r>
              <w:t xml:space="preserve">            1 </w:t>
            </w:r>
          </w:p>
        </w:tc>
        <w:tc>
          <w:tcPr>
            <w:tcW w:w="1791" w:type="dxa"/>
            <w:vAlign w:val="bottom"/>
          </w:tcPr>
          <w:p w14:paraId="7960209E" w14:textId="5B63A4C8" w:rsidR="004A2352" w:rsidRDefault="004A2352" w:rsidP="004A2352">
            <w:pPr>
              <w:jc w:val="right"/>
              <w:rPr>
                <w:lang w:val="en-US" w:eastAsia="en-AU"/>
              </w:rPr>
            </w:pPr>
            <w:r>
              <w:t xml:space="preserve">                                    -   </w:t>
            </w:r>
          </w:p>
        </w:tc>
      </w:tr>
      <w:tr w:rsidR="004A2352" w14:paraId="5BB3040B" w14:textId="77777777" w:rsidTr="008D090C">
        <w:tc>
          <w:tcPr>
            <w:tcW w:w="5524" w:type="dxa"/>
            <w:vAlign w:val="bottom"/>
          </w:tcPr>
          <w:p w14:paraId="10FA48B2" w14:textId="6B273456" w:rsidR="004A2352" w:rsidRDefault="004A2352" w:rsidP="004A2352">
            <w:pPr>
              <w:rPr>
                <w:lang w:val="en-US" w:eastAsia="en-AU"/>
              </w:rPr>
            </w:pPr>
            <w:r>
              <w:t>170,001 - 180,000</w:t>
            </w:r>
          </w:p>
        </w:tc>
        <w:tc>
          <w:tcPr>
            <w:tcW w:w="1701" w:type="dxa"/>
            <w:vAlign w:val="bottom"/>
          </w:tcPr>
          <w:p w14:paraId="6CC38A4F" w14:textId="18B58106" w:rsidR="004A2352" w:rsidRDefault="004A2352" w:rsidP="004A2352">
            <w:pPr>
              <w:jc w:val="right"/>
              <w:rPr>
                <w:lang w:val="en-US" w:eastAsia="en-AU"/>
              </w:rPr>
            </w:pPr>
            <w:r>
              <w:t xml:space="preserve">            1 </w:t>
            </w:r>
          </w:p>
        </w:tc>
        <w:tc>
          <w:tcPr>
            <w:tcW w:w="1791" w:type="dxa"/>
            <w:vAlign w:val="bottom"/>
          </w:tcPr>
          <w:p w14:paraId="249DFB00" w14:textId="06237A08" w:rsidR="004A2352" w:rsidRDefault="004A2352" w:rsidP="004A2352">
            <w:pPr>
              <w:jc w:val="right"/>
              <w:rPr>
                <w:lang w:val="en-US" w:eastAsia="en-AU"/>
              </w:rPr>
            </w:pPr>
            <w:r>
              <w:t xml:space="preserve">                                     1 </w:t>
            </w:r>
          </w:p>
        </w:tc>
      </w:tr>
      <w:tr w:rsidR="004A2352" w14:paraId="3C8FDC55" w14:textId="77777777" w:rsidTr="008D090C">
        <w:tc>
          <w:tcPr>
            <w:tcW w:w="5524" w:type="dxa"/>
            <w:vAlign w:val="bottom"/>
          </w:tcPr>
          <w:p w14:paraId="0C3A0F7C" w14:textId="5A0FC3C6" w:rsidR="004A2352" w:rsidRDefault="004A2352" w:rsidP="004A2352">
            <w:pPr>
              <w:rPr>
                <w:lang w:val="en-US" w:eastAsia="en-AU"/>
              </w:rPr>
            </w:pPr>
            <w:r>
              <w:t>190,001 - 200,000</w:t>
            </w:r>
          </w:p>
        </w:tc>
        <w:tc>
          <w:tcPr>
            <w:tcW w:w="1701" w:type="dxa"/>
            <w:vAlign w:val="bottom"/>
          </w:tcPr>
          <w:p w14:paraId="2A70B7ED" w14:textId="1A0D36E3" w:rsidR="004A2352" w:rsidRDefault="004A2352" w:rsidP="004A2352">
            <w:pPr>
              <w:jc w:val="right"/>
              <w:rPr>
                <w:lang w:val="en-US" w:eastAsia="en-AU"/>
              </w:rPr>
            </w:pPr>
            <w:r>
              <w:t xml:space="preserve">           -   </w:t>
            </w:r>
          </w:p>
        </w:tc>
        <w:tc>
          <w:tcPr>
            <w:tcW w:w="1791" w:type="dxa"/>
            <w:vAlign w:val="bottom"/>
          </w:tcPr>
          <w:p w14:paraId="414CDB8F" w14:textId="07FF5BDD" w:rsidR="004A2352" w:rsidRDefault="004A2352" w:rsidP="004A2352">
            <w:pPr>
              <w:jc w:val="right"/>
              <w:rPr>
                <w:lang w:val="en-US" w:eastAsia="en-AU"/>
              </w:rPr>
            </w:pPr>
            <w:r>
              <w:t xml:space="preserve">                                     1 </w:t>
            </w:r>
          </w:p>
        </w:tc>
      </w:tr>
      <w:tr w:rsidR="004A2352" w14:paraId="2D2DF5A8" w14:textId="77777777" w:rsidTr="008D090C">
        <w:tc>
          <w:tcPr>
            <w:tcW w:w="5524" w:type="dxa"/>
            <w:vAlign w:val="bottom"/>
          </w:tcPr>
          <w:p w14:paraId="09EF10CB" w14:textId="29D65893" w:rsidR="004A2352" w:rsidRDefault="004A2352" w:rsidP="004A2352">
            <w:pPr>
              <w:rPr>
                <w:lang w:val="en-US" w:eastAsia="en-AU"/>
              </w:rPr>
            </w:pPr>
            <w:r>
              <w:t>210,001 - 220,000</w:t>
            </w:r>
          </w:p>
        </w:tc>
        <w:tc>
          <w:tcPr>
            <w:tcW w:w="1701" w:type="dxa"/>
            <w:vAlign w:val="bottom"/>
          </w:tcPr>
          <w:p w14:paraId="3363E6FB" w14:textId="6A73E601" w:rsidR="004A2352" w:rsidRDefault="004A2352" w:rsidP="004A2352">
            <w:pPr>
              <w:jc w:val="right"/>
              <w:rPr>
                <w:lang w:val="en-US" w:eastAsia="en-AU"/>
              </w:rPr>
            </w:pPr>
            <w:r>
              <w:t xml:space="preserve">           -   </w:t>
            </w:r>
          </w:p>
        </w:tc>
        <w:tc>
          <w:tcPr>
            <w:tcW w:w="1791" w:type="dxa"/>
            <w:vAlign w:val="bottom"/>
          </w:tcPr>
          <w:p w14:paraId="1AA0FD9B" w14:textId="7B4BA175" w:rsidR="004A2352" w:rsidRDefault="004A2352" w:rsidP="004A2352">
            <w:pPr>
              <w:jc w:val="right"/>
              <w:rPr>
                <w:lang w:val="en-US" w:eastAsia="en-AU"/>
              </w:rPr>
            </w:pPr>
            <w:r>
              <w:t xml:space="preserve">                                     3 </w:t>
            </w:r>
          </w:p>
        </w:tc>
      </w:tr>
      <w:tr w:rsidR="004A2352" w14:paraId="16B51F37" w14:textId="77777777" w:rsidTr="008D090C">
        <w:tc>
          <w:tcPr>
            <w:tcW w:w="5524" w:type="dxa"/>
            <w:vAlign w:val="bottom"/>
          </w:tcPr>
          <w:p w14:paraId="34A623D3" w14:textId="1F10CA7C" w:rsidR="004A2352" w:rsidRDefault="004A2352" w:rsidP="004A2352">
            <w:pPr>
              <w:rPr>
                <w:lang w:val="en-US" w:eastAsia="en-AU"/>
              </w:rPr>
            </w:pPr>
            <w:r>
              <w:t>220,001 - 230,000</w:t>
            </w:r>
          </w:p>
        </w:tc>
        <w:tc>
          <w:tcPr>
            <w:tcW w:w="1701" w:type="dxa"/>
            <w:vAlign w:val="bottom"/>
          </w:tcPr>
          <w:p w14:paraId="64B9168A" w14:textId="1F7DF154" w:rsidR="004A2352" w:rsidRDefault="004A2352" w:rsidP="004A2352">
            <w:pPr>
              <w:jc w:val="right"/>
              <w:rPr>
                <w:lang w:val="en-US" w:eastAsia="en-AU"/>
              </w:rPr>
            </w:pPr>
            <w:r>
              <w:t xml:space="preserve">            1 </w:t>
            </w:r>
          </w:p>
        </w:tc>
        <w:tc>
          <w:tcPr>
            <w:tcW w:w="1791" w:type="dxa"/>
            <w:vAlign w:val="bottom"/>
          </w:tcPr>
          <w:p w14:paraId="2BA29183" w14:textId="3D9FE5AE" w:rsidR="004A2352" w:rsidRDefault="004A2352" w:rsidP="004A2352">
            <w:pPr>
              <w:jc w:val="right"/>
              <w:rPr>
                <w:lang w:val="en-US" w:eastAsia="en-AU"/>
              </w:rPr>
            </w:pPr>
            <w:r>
              <w:t xml:space="preserve">                                    -   </w:t>
            </w:r>
          </w:p>
        </w:tc>
      </w:tr>
      <w:tr w:rsidR="004A2352" w14:paraId="62C13AC2" w14:textId="77777777" w:rsidTr="008D090C">
        <w:tc>
          <w:tcPr>
            <w:tcW w:w="5524" w:type="dxa"/>
            <w:vAlign w:val="bottom"/>
          </w:tcPr>
          <w:p w14:paraId="72F7181D" w14:textId="6234AAAC" w:rsidR="004A2352" w:rsidRDefault="004A2352" w:rsidP="004A2352">
            <w:pPr>
              <w:rPr>
                <w:lang w:val="en-US" w:eastAsia="en-AU"/>
              </w:rPr>
            </w:pPr>
            <w:r>
              <w:t>230,001 - 240,000</w:t>
            </w:r>
          </w:p>
        </w:tc>
        <w:tc>
          <w:tcPr>
            <w:tcW w:w="1701" w:type="dxa"/>
            <w:vAlign w:val="bottom"/>
          </w:tcPr>
          <w:p w14:paraId="0C65055A" w14:textId="3A3B0699" w:rsidR="004A2352" w:rsidRDefault="004A2352" w:rsidP="004A2352">
            <w:pPr>
              <w:jc w:val="right"/>
              <w:rPr>
                <w:lang w:val="en-US" w:eastAsia="en-AU"/>
              </w:rPr>
            </w:pPr>
            <w:r>
              <w:t xml:space="preserve">           -   </w:t>
            </w:r>
          </w:p>
        </w:tc>
        <w:tc>
          <w:tcPr>
            <w:tcW w:w="1791" w:type="dxa"/>
            <w:vAlign w:val="bottom"/>
          </w:tcPr>
          <w:p w14:paraId="1A8B0811" w14:textId="0578F2E1" w:rsidR="004A2352" w:rsidRDefault="004A2352" w:rsidP="004A2352">
            <w:pPr>
              <w:jc w:val="right"/>
              <w:rPr>
                <w:lang w:val="en-US" w:eastAsia="en-AU"/>
              </w:rPr>
            </w:pPr>
            <w:r>
              <w:t xml:space="preserve">                                     1 </w:t>
            </w:r>
          </w:p>
        </w:tc>
      </w:tr>
      <w:tr w:rsidR="004A2352" w14:paraId="42AF15C8" w14:textId="77777777" w:rsidTr="008D090C">
        <w:tc>
          <w:tcPr>
            <w:tcW w:w="5524" w:type="dxa"/>
            <w:vAlign w:val="bottom"/>
          </w:tcPr>
          <w:p w14:paraId="01906623" w14:textId="19846818" w:rsidR="004A2352" w:rsidRDefault="004A2352" w:rsidP="004A2352">
            <w:pPr>
              <w:rPr>
                <w:lang w:val="en-US" w:eastAsia="en-AU"/>
              </w:rPr>
            </w:pPr>
            <w:r>
              <w:t>240,000 - 250,000</w:t>
            </w:r>
          </w:p>
        </w:tc>
        <w:tc>
          <w:tcPr>
            <w:tcW w:w="1701" w:type="dxa"/>
            <w:vAlign w:val="bottom"/>
          </w:tcPr>
          <w:p w14:paraId="1BAAF3E8" w14:textId="0C0A464F" w:rsidR="004A2352" w:rsidRDefault="004A2352" w:rsidP="004A2352">
            <w:pPr>
              <w:jc w:val="right"/>
              <w:rPr>
                <w:lang w:val="en-US" w:eastAsia="en-AU"/>
              </w:rPr>
            </w:pPr>
            <w:r>
              <w:t xml:space="preserve">            1 </w:t>
            </w:r>
          </w:p>
        </w:tc>
        <w:tc>
          <w:tcPr>
            <w:tcW w:w="1791" w:type="dxa"/>
            <w:vAlign w:val="bottom"/>
          </w:tcPr>
          <w:p w14:paraId="085BBEB0" w14:textId="0137EA64" w:rsidR="004A2352" w:rsidRDefault="004A2352" w:rsidP="004A2352">
            <w:pPr>
              <w:jc w:val="right"/>
              <w:rPr>
                <w:lang w:val="en-US" w:eastAsia="en-AU"/>
              </w:rPr>
            </w:pPr>
            <w:r>
              <w:t xml:space="preserve">                                    -   </w:t>
            </w:r>
          </w:p>
        </w:tc>
      </w:tr>
      <w:tr w:rsidR="004A2352" w14:paraId="4A0668A9" w14:textId="77777777" w:rsidTr="008D090C">
        <w:tc>
          <w:tcPr>
            <w:tcW w:w="5524" w:type="dxa"/>
            <w:vAlign w:val="bottom"/>
          </w:tcPr>
          <w:p w14:paraId="5E25B1E5" w14:textId="079A31DF" w:rsidR="004A2352" w:rsidRDefault="004A2352" w:rsidP="004A2352">
            <w:pPr>
              <w:rPr>
                <w:lang w:val="en-US" w:eastAsia="en-AU"/>
              </w:rPr>
            </w:pPr>
            <w:r>
              <w:t>260,001 - 270,000</w:t>
            </w:r>
          </w:p>
        </w:tc>
        <w:tc>
          <w:tcPr>
            <w:tcW w:w="1701" w:type="dxa"/>
            <w:vAlign w:val="bottom"/>
          </w:tcPr>
          <w:p w14:paraId="67267F39" w14:textId="5927BFD0" w:rsidR="004A2352" w:rsidRDefault="004A2352" w:rsidP="004A2352">
            <w:pPr>
              <w:jc w:val="right"/>
              <w:rPr>
                <w:lang w:val="en-US" w:eastAsia="en-AU"/>
              </w:rPr>
            </w:pPr>
            <w:r>
              <w:t xml:space="preserve">           -   </w:t>
            </w:r>
          </w:p>
        </w:tc>
        <w:tc>
          <w:tcPr>
            <w:tcW w:w="1791" w:type="dxa"/>
            <w:vAlign w:val="bottom"/>
          </w:tcPr>
          <w:p w14:paraId="4AEB902A" w14:textId="64F68553" w:rsidR="004A2352" w:rsidRDefault="004A2352" w:rsidP="004A2352">
            <w:pPr>
              <w:jc w:val="right"/>
              <w:rPr>
                <w:lang w:val="en-US" w:eastAsia="en-AU"/>
              </w:rPr>
            </w:pPr>
            <w:r>
              <w:t xml:space="preserve">                                     1 </w:t>
            </w:r>
          </w:p>
        </w:tc>
      </w:tr>
      <w:tr w:rsidR="004A2352" w14:paraId="6B6B994C" w14:textId="77777777" w:rsidTr="008D090C">
        <w:tc>
          <w:tcPr>
            <w:tcW w:w="5524" w:type="dxa"/>
            <w:vAlign w:val="bottom"/>
          </w:tcPr>
          <w:p w14:paraId="5EBB2C0E" w14:textId="77777777" w:rsidR="004A2352" w:rsidRDefault="004A2352" w:rsidP="004A2352"/>
        </w:tc>
        <w:tc>
          <w:tcPr>
            <w:tcW w:w="1701" w:type="dxa"/>
            <w:vAlign w:val="bottom"/>
          </w:tcPr>
          <w:p w14:paraId="4D95EF60" w14:textId="77777777" w:rsidR="004A2352" w:rsidRDefault="004A2352" w:rsidP="004A2352">
            <w:pPr>
              <w:jc w:val="right"/>
            </w:pPr>
          </w:p>
        </w:tc>
        <w:tc>
          <w:tcPr>
            <w:tcW w:w="1791" w:type="dxa"/>
            <w:vAlign w:val="bottom"/>
          </w:tcPr>
          <w:p w14:paraId="0C0D0AFF" w14:textId="77777777" w:rsidR="004A2352" w:rsidRDefault="004A2352" w:rsidP="004A2352">
            <w:pPr>
              <w:jc w:val="right"/>
            </w:pPr>
          </w:p>
        </w:tc>
      </w:tr>
      <w:tr w:rsidR="004A2352" w14:paraId="3FABA778" w14:textId="77777777" w:rsidTr="008D090C">
        <w:tc>
          <w:tcPr>
            <w:tcW w:w="5524" w:type="dxa"/>
            <w:vAlign w:val="bottom"/>
          </w:tcPr>
          <w:p w14:paraId="4DC2423F" w14:textId="77777777" w:rsidR="004A2352" w:rsidRDefault="004A2352" w:rsidP="004A2352"/>
        </w:tc>
        <w:tc>
          <w:tcPr>
            <w:tcW w:w="1701" w:type="dxa"/>
            <w:vAlign w:val="bottom"/>
          </w:tcPr>
          <w:p w14:paraId="30745789" w14:textId="4BFED817" w:rsidR="004A2352" w:rsidRPr="004A2352" w:rsidRDefault="004A2352" w:rsidP="004A2352">
            <w:pPr>
              <w:jc w:val="right"/>
              <w:rPr>
                <w:b/>
              </w:rPr>
            </w:pPr>
            <w:r w:rsidRPr="004A2352">
              <w:rPr>
                <w:b/>
              </w:rPr>
              <w:t>$000</w:t>
            </w:r>
          </w:p>
        </w:tc>
        <w:tc>
          <w:tcPr>
            <w:tcW w:w="1791" w:type="dxa"/>
            <w:vAlign w:val="bottom"/>
          </w:tcPr>
          <w:p w14:paraId="7A4EE4C7" w14:textId="0AB4C0D4" w:rsidR="004A2352" w:rsidRPr="004A2352" w:rsidRDefault="004A2352" w:rsidP="004A2352">
            <w:pPr>
              <w:jc w:val="right"/>
              <w:rPr>
                <w:b/>
              </w:rPr>
            </w:pPr>
            <w:r w:rsidRPr="004A2352">
              <w:rPr>
                <w:b/>
              </w:rPr>
              <w:t>$000</w:t>
            </w:r>
          </w:p>
        </w:tc>
      </w:tr>
      <w:tr w:rsidR="004A2352" w14:paraId="71B4AEC4" w14:textId="77777777" w:rsidTr="004A2352">
        <w:tc>
          <w:tcPr>
            <w:tcW w:w="5524" w:type="dxa"/>
            <w:vAlign w:val="center"/>
          </w:tcPr>
          <w:p w14:paraId="78FF452D" w14:textId="7EB5EA96" w:rsidR="004A2352" w:rsidRDefault="004A2352" w:rsidP="004A2352">
            <w:r>
              <w:t>Short-term employee benefits</w:t>
            </w:r>
          </w:p>
        </w:tc>
        <w:tc>
          <w:tcPr>
            <w:tcW w:w="1701" w:type="dxa"/>
            <w:vAlign w:val="bottom"/>
          </w:tcPr>
          <w:p w14:paraId="740DC25C" w14:textId="13406C43" w:rsidR="004A2352" w:rsidRDefault="004A2352" w:rsidP="004A2352">
            <w:pPr>
              <w:jc w:val="right"/>
            </w:pPr>
            <w:r>
              <w:t xml:space="preserve">         922 </w:t>
            </w:r>
          </w:p>
        </w:tc>
        <w:tc>
          <w:tcPr>
            <w:tcW w:w="1791" w:type="dxa"/>
            <w:vAlign w:val="bottom"/>
          </w:tcPr>
          <w:p w14:paraId="4EE63CBB" w14:textId="2985F625" w:rsidR="004A2352" w:rsidRDefault="004A2352" w:rsidP="004A2352">
            <w:pPr>
              <w:jc w:val="right"/>
            </w:pPr>
            <w:r>
              <w:t xml:space="preserve">                               1,209 </w:t>
            </w:r>
          </w:p>
        </w:tc>
      </w:tr>
      <w:tr w:rsidR="004A2352" w14:paraId="5303E962" w14:textId="77777777" w:rsidTr="004A2352">
        <w:tc>
          <w:tcPr>
            <w:tcW w:w="5524" w:type="dxa"/>
            <w:vAlign w:val="center"/>
          </w:tcPr>
          <w:p w14:paraId="775FAFE2" w14:textId="23F589E2" w:rsidR="004A2352" w:rsidRDefault="004A2352" w:rsidP="004A2352">
            <w:r>
              <w:t>Post-employment benefits</w:t>
            </w:r>
          </w:p>
        </w:tc>
        <w:tc>
          <w:tcPr>
            <w:tcW w:w="1701" w:type="dxa"/>
            <w:vAlign w:val="bottom"/>
          </w:tcPr>
          <w:p w14:paraId="2CEB77F9" w14:textId="1340BEF0" w:rsidR="004A2352" w:rsidRDefault="004A2352" w:rsidP="004A2352">
            <w:pPr>
              <w:jc w:val="right"/>
            </w:pPr>
            <w:r>
              <w:t xml:space="preserve">         118 </w:t>
            </w:r>
          </w:p>
        </w:tc>
        <w:tc>
          <w:tcPr>
            <w:tcW w:w="1791" w:type="dxa"/>
            <w:vAlign w:val="bottom"/>
          </w:tcPr>
          <w:p w14:paraId="6066637F" w14:textId="35E9BA54" w:rsidR="004A2352" w:rsidRDefault="004A2352" w:rsidP="004A2352">
            <w:pPr>
              <w:jc w:val="right"/>
            </w:pPr>
            <w:r>
              <w:t xml:space="preserve">                                  157 </w:t>
            </w:r>
          </w:p>
        </w:tc>
      </w:tr>
      <w:tr w:rsidR="004A2352" w14:paraId="19EB5E5B" w14:textId="77777777" w:rsidTr="004A2352">
        <w:tc>
          <w:tcPr>
            <w:tcW w:w="5524" w:type="dxa"/>
            <w:vAlign w:val="center"/>
          </w:tcPr>
          <w:p w14:paraId="2A9D46B0" w14:textId="1DB773A7" w:rsidR="004A2352" w:rsidRDefault="004A2352" w:rsidP="004A2352">
            <w:r>
              <w:t>Other long-term benefits</w:t>
            </w:r>
          </w:p>
        </w:tc>
        <w:tc>
          <w:tcPr>
            <w:tcW w:w="1701" w:type="dxa"/>
            <w:vAlign w:val="bottom"/>
          </w:tcPr>
          <w:p w14:paraId="6EAD88D4" w14:textId="629E0ABF" w:rsidR="004A2352" w:rsidRDefault="004A2352" w:rsidP="004A2352">
            <w:pPr>
              <w:jc w:val="right"/>
            </w:pPr>
            <w:r>
              <w:t xml:space="preserve">         116 </w:t>
            </w:r>
          </w:p>
        </w:tc>
        <w:tc>
          <w:tcPr>
            <w:tcW w:w="1791" w:type="dxa"/>
            <w:vAlign w:val="bottom"/>
          </w:tcPr>
          <w:p w14:paraId="12672461" w14:textId="640F203E" w:rsidR="004A2352" w:rsidRDefault="004A2352" w:rsidP="004A2352">
            <w:pPr>
              <w:jc w:val="right"/>
            </w:pPr>
            <w:r>
              <w:t xml:space="preserve">                                  144 </w:t>
            </w:r>
          </w:p>
        </w:tc>
      </w:tr>
      <w:tr w:rsidR="004A2352" w14:paraId="266C0CCB" w14:textId="77777777" w:rsidTr="00631D5A">
        <w:tc>
          <w:tcPr>
            <w:tcW w:w="5524" w:type="dxa"/>
            <w:vAlign w:val="center"/>
          </w:tcPr>
          <w:p w14:paraId="47A6D221" w14:textId="21DC8B43" w:rsidR="004A2352" w:rsidRDefault="004A2352" w:rsidP="004A2352">
            <w:r>
              <w:t>Termination benefits</w:t>
            </w:r>
          </w:p>
        </w:tc>
        <w:tc>
          <w:tcPr>
            <w:tcW w:w="1701" w:type="dxa"/>
            <w:tcBorders>
              <w:bottom w:val="single" w:sz="4" w:space="0" w:color="auto"/>
            </w:tcBorders>
            <w:vAlign w:val="bottom"/>
          </w:tcPr>
          <w:p w14:paraId="65D80D49" w14:textId="3354E914" w:rsidR="004A2352" w:rsidRDefault="004A2352" w:rsidP="004A2352">
            <w:pPr>
              <w:jc w:val="right"/>
            </w:pPr>
            <w:r>
              <w:t xml:space="preserve">             - </w:t>
            </w:r>
          </w:p>
        </w:tc>
        <w:tc>
          <w:tcPr>
            <w:tcW w:w="1791" w:type="dxa"/>
            <w:tcBorders>
              <w:bottom w:val="single" w:sz="4" w:space="0" w:color="auto"/>
            </w:tcBorders>
            <w:vAlign w:val="bottom"/>
          </w:tcPr>
          <w:p w14:paraId="2C82866F" w14:textId="5B7E7616" w:rsidR="004A2352" w:rsidRDefault="004A2352" w:rsidP="004A2352">
            <w:pPr>
              <w:jc w:val="right"/>
            </w:pPr>
            <w:r>
              <w:t xml:space="preserve">                                      - </w:t>
            </w:r>
          </w:p>
        </w:tc>
      </w:tr>
      <w:tr w:rsidR="004A2352" w14:paraId="40D1CEFF" w14:textId="77777777" w:rsidTr="00631D5A">
        <w:tc>
          <w:tcPr>
            <w:tcW w:w="5524" w:type="dxa"/>
            <w:vAlign w:val="bottom"/>
          </w:tcPr>
          <w:p w14:paraId="278FD858" w14:textId="4AFC1B42" w:rsidR="004A2352" w:rsidRPr="004A2352" w:rsidRDefault="004A2352" w:rsidP="004A2352">
            <w:pPr>
              <w:rPr>
                <w:b/>
              </w:rPr>
            </w:pPr>
            <w:r>
              <w:rPr>
                <w:b/>
              </w:rPr>
              <w:t>Total compensation of senior officers</w:t>
            </w:r>
          </w:p>
        </w:tc>
        <w:tc>
          <w:tcPr>
            <w:tcW w:w="1701" w:type="dxa"/>
            <w:tcBorders>
              <w:top w:val="single" w:sz="4" w:space="0" w:color="auto"/>
              <w:bottom w:val="double" w:sz="4" w:space="0" w:color="auto"/>
            </w:tcBorders>
            <w:vAlign w:val="bottom"/>
          </w:tcPr>
          <w:p w14:paraId="546B6290" w14:textId="44AE9103" w:rsidR="004A2352" w:rsidRPr="004A2352" w:rsidRDefault="004A2352" w:rsidP="004A2352">
            <w:pPr>
              <w:jc w:val="right"/>
              <w:rPr>
                <w:b/>
              </w:rPr>
            </w:pPr>
            <w:r>
              <w:rPr>
                <w:b/>
              </w:rPr>
              <w:t>1,156</w:t>
            </w:r>
          </w:p>
        </w:tc>
        <w:tc>
          <w:tcPr>
            <w:tcW w:w="1791" w:type="dxa"/>
            <w:tcBorders>
              <w:top w:val="single" w:sz="4" w:space="0" w:color="auto"/>
              <w:bottom w:val="double" w:sz="4" w:space="0" w:color="auto"/>
            </w:tcBorders>
            <w:vAlign w:val="bottom"/>
          </w:tcPr>
          <w:p w14:paraId="36B109CD" w14:textId="77FDF85A" w:rsidR="004A2352" w:rsidRPr="004A2352" w:rsidRDefault="004A2352" w:rsidP="004A2352">
            <w:pPr>
              <w:jc w:val="right"/>
              <w:rPr>
                <w:b/>
              </w:rPr>
            </w:pPr>
            <w:r>
              <w:rPr>
                <w:b/>
              </w:rPr>
              <w:t>1,510</w:t>
            </w:r>
          </w:p>
        </w:tc>
      </w:tr>
    </w:tbl>
    <w:p w14:paraId="53B29E9A" w14:textId="77777777" w:rsidR="00F31958" w:rsidRDefault="00F31958" w:rsidP="00583F7F">
      <w:pPr>
        <w:rPr>
          <w:lang w:val="en-US" w:eastAsia="en-AU"/>
        </w:rPr>
      </w:pPr>
    </w:p>
    <w:p w14:paraId="6AAE9CBB" w14:textId="41776B57" w:rsidR="00631D5A" w:rsidRDefault="00631D5A" w:rsidP="00631D5A">
      <w:pPr>
        <w:pStyle w:val="ListParagraph"/>
        <w:numPr>
          <w:ilvl w:val="0"/>
          <w:numId w:val="55"/>
        </w:numPr>
        <w:rPr>
          <w:lang w:val="en-US" w:eastAsia="en-AU"/>
        </w:rPr>
      </w:pPr>
      <w:r>
        <w:rPr>
          <w:lang w:val="en-US" w:eastAsia="en-AU"/>
        </w:rPr>
        <w:t xml:space="preserve">Three senior officers resided in these remuneration bands due to part-year occupancy and total remuneration being below $140,000. </w:t>
      </w:r>
    </w:p>
    <w:p w14:paraId="62D5DC75" w14:textId="77777777" w:rsidR="00631D5A" w:rsidRDefault="00631D5A" w:rsidP="00631D5A">
      <w:pPr>
        <w:rPr>
          <w:lang w:val="en-US" w:eastAsia="en-AU"/>
        </w:rPr>
      </w:pPr>
    </w:p>
    <w:p w14:paraId="4850F814" w14:textId="1AF039C4" w:rsidR="00631D5A" w:rsidRDefault="00631D5A" w:rsidP="00631D5A">
      <w:pPr>
        <w:pStyle w:val="Heading3nonumber"/>
        <w:numPr>
          <w:ilvl w:val="1"/>
          <w:numId w:val="50"/>
        </w:numPr>
        <w:rPr>
          <w:lang w:val="en-US" w:eastAsia="en-AU"/>
        </w:rPr>
      </w:pPr>
      <w:bookmarkStart w:id="804" w:name="_Toc525122200"/>
      <w:r>
        <w:rPr>
          <w:lang w:val="en-US" w:eastAsia="en-AU"/>
        </w:rPr>
        <w:t>Related parties</w:t>
      </w:r>
      <w:bookmarkEnd w:id="804"/>
    </w:p>
    <w:p w14:paraId="6549F6CC" w14:textId="60AB2D14" w:rsidR="00631D5A" w:rsidRDefault="00631D5A" w:rsidP="00631D5A">
      <w:pPr>
        <w:rPr>
          <w:lang w:val="en-US" w:eastAsia="en-AU"/>
        </w:rPr>
      </w:pPr>
      <w:r w:rsidRPr="00631D5A">
        <w:rPr>
          <w:lang w:val="en-US" w:eastAsia="en-AU"/>
        </w:rPr>
        <w:t>The Authority is a wholly owned and controlled entity of the State of Western Australia. In conducting its activities, the Authority is required to pay various taxes and levies based on the standard terms and conditions that apply to all tax and levy payers to the State and enti</w:t>
      </w:r>
      <w:r>
        <w:rPr>
          <w:lang w:val="en-US" w:eastAsia="en-AU"/>
        </w:rPr>
        <w:t xml:space="preserve">ties related to the State. </w:t>
      </w:r>
    </w:p>
    <w:p w14:paraId="3ABC30DC" w14:textId="77777777" w:rsidR="00631D5A" w:rsidRDefault="00631D5A" w:rsidP="00631D5A">
      <w:pPr>
        <w:rPr>
          <w:b/>
          <w:lang w:val="en-US" w:eastAsia="en-AU"/>
        </w:rPr>
      </w:pPr>
    </w:p>
    <w:p w14:paraId="21ED4B35" w14:textId="4E586472" w:rsidR="00631D5A" w:rsidRDefault="00631D5A" w:rsidP="00631D5A">
      <w:pPr>
        <w:rPr>
          <w:b/>
          <w:lang w:val="en-US" w:eastAsia="en-AU"/>
        </w:rPr>
      </w:pPr>
      <w:r>
        <w:rPr>
          <w:b/>
          <w:lang w:val="en-US" w:eastAsia="en-AU"/>
        </w:rPr>
        <w:t xml:space="preserve">Related parties of the Authority include: </w:t>
      </w:r>
    </w:p>
    <w:p w14:paraId="644ABF34" w14:textId="5F1A2EB2" w:rsidR="00631D5A" w:rsidRP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 xml:space="preserve">all Cabinet Ministers and their close family members, and their controlled </w:t>
      </w:r>
      <w:r>
        <w:rPr>
          <w:lang w:val="en-US" w:eastAsia="en-AU"/>
        </w:rPr>
        <w:t>or jointly controlled entities</w:t>
      </w:r>
      <w:r w:rsidRPr="00631D5A">
        <w:rPr>
          <w:lang w:val="en-US" w:eastAsia="en-AU"/>
        </w:rPr>
        <w:tab/>
      </w:r>
      <w:r w:rsidRPr="00631D5A">
        <w:rPr>
          <w:lang w:val="en-US" w:eastAsia="en-AU"/>
        </w:rPr>
        <w:tab/>
      </w:r>
      <w:r w:rsidRPr="00631D5A">
        <w:rPr>
          <w:lang w:val="en-US" w:eastAsia="en-AU"/>
        </w:rPr>
        <w:tab/>
      </w:r>
      <w:r w:rsidRPr="00631D5A">
        <w:rPr>
          <w:lang w:val="en-US" w:eastAsia="en-AU"/>
        </w:rPr>
        <w:tab/>
      </w:r>
    </w:p>
    <w:p w14:paraId="22961FC9" w14:textId="29AFDDD8" w:rsidR="00631D5A" w:rsidRP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 xml:space="preserve">all senior officers and their close family members, and their controlled </w:t>
      </w:r>
      <w:r>
        <w:rPr>
          <w:lang w:val="en-US" w:eastAsia="en-AU"/>
        </w:rPr>
        <w:t>or jointly controlled entities</w:t>
      </w:r>
      <w:r w:rsidRPr="00631D5A">
        <w:rPr>
          <w:lang w:val="en-US" w:eastAsia="en-AU"/>
        </w:rPr>
        <w:tab/>
      </w:r>
      <w:r w:rsidRPr="00631D5A">
        <w:rPr>
          <w:lang w:val="en-US" w:eastAsia="en-AU"/>
        </w:rPr>
        <w:tab/>
      </w:r>
      <w:r w:rsidRPr="00631D5A">
        <w:rPr>
          <w:lang w:val="en-US" w:eastAsia="en-AU"/>
        </w:rPr>
        <w:tab/>
      </w:r>
      <w:r w:rsidRPr="00631D5A">
        <w:rPr>
          <w:lang w:val="en-US" w:eastAsia="en-AU"/>
        </w:rPr>
        <w:tab/>
      </w:r>
    </w:p>
    <w:p w14:paraId="744E1917" w14:textId="6B4CD98E" w:rsidR="00631D5A" w:rsidRP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other departments and st</w:t>
      </w:r>
      <w:r>
        <w:rPr>
          <w:lang w:val="en-US" w:eastAsia="en-AU"/>
        </w:rPr>
        <w:t xml:space="preserve">atutory authorities, including </w:t>
      </w:r>
      <w:r w:rsidRPr="00631D5A">
        <w:rPr>
          <w:lang w:val="en-US" w:eastAsia="en-AU"/>
        </w:rPr>
        <w:t>related bodies tha</w:t>
      </w:r>
      <w:r>
        <w:rPr>
          <w:lang w:val="en-US" w:eastAsia="en-AU"/>
        </w:rPr>
        <w:t xml:space="preserve">t are included in the whole of </w:t>
      </w:r>
      <w:r w:rsidRPr="00631D5A">
        <w:rPr>
          <w:lang w:val="en-US" w:eastAsia="en-AU"/>
        </w:rPr>
        <w:t>government consolidated</w:t>
      </w:r>
    </w:p>
    <w:p w14:paraId="22DB7820" w14:textId="7E4306AE" w:rsid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financial statements (i.e. wholly-owne</w:t>
      </w:r>
      <w:r>
        <w:rPr>
          <w:lang w:val="en-US" w:eastAsia="en-AU"/>
        </w:rPr>
        <w:t>d public sector entities)</w:t>
      </w:r>
    </w:p>
    <w:p w14:paraId="2A5B859B" w14:textId="6C644934" w:rsid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 xml:space="preserve">associates and joint ventures of wholly-owned </w:t>
      </w:r>
      <w:r>
        <w:rPr>
          <w:lang w:val="en-US" w:eastAsia="en-AU"/>
        </w:rPr>
        <w:t>public sector entities</w:t>
      </w:r>
    </w:p>
    <w:p w14:paraId="2EB07C66" w14:textId="178BB7FE" w:rsidR="00631D5A" w:rsidRPr="00631D5A" w:rsidRDefault="00631D5A" w:rsidP="00631D5A">
      <w:pPr>
        <w:pStyle w:val="ListParagraph"/>
        <w:numPr>
          <w:ilvl w:val="0"/>
          <w:numId w:val="56"/>
        </w:numPr>
        <w:spacing w:line="360" w:lineRule="auto"/>
        <w:ind w:left="714" w:hanging="357"/>
        <w:rPr>
          <w:lang w:val="en-US" w:eastAsia="en-AU"/>
        </w:rPr>
      </w:pPr>
      <w:r w:rsidRPr="00631D5A">
        <w:rPr>
          <w:lang w:val="en-US" w:eastAsia="en-AU"/>
        </w:rPr>
        <w:t>the Government Employees Superannuation Board (GESB).</w:t>
      </w:r>
      <w:r w:rsidRPr="00631D5A">
        <w:rPr>
          <w:lang w:val="en-US" w:eastAsia="en-AU"/>
        </w:rPr>
        <w:tab/>
      </w:r>
      <w:r w:rsidRPr="00631D5A">
        <w:rPr>
          <w:lang w:val="en-US" w:eastAsia="en-AU"/>
        </w:rPr>
        <w:tab/>
      </w:r>
      <w:r>
        <w:rPr>
          <w:lang w:val="en-US" w:eastAsia="en-AU"/>
        </w:rPr>
        <w:br/>
      </w:r>
    </w:p>
    <w:p w14:paraId="322788A2" w14:textId="77777777" w:rsidR="00631D5A" w:rsidRDefault="00631D5A" w:rsidP="00631D5A">
      <w:pPr>
        <w:spacing w:line="360" w:lineRule="auto"/>
        <w:rPr>
          <w:b/>
          <w:lang w:val="en-US" w:eastAsia="en-AU"/>
        </w:rPr>
      </w:pPr>
      <w:r w:rsidRPr="00631D5A">
        <w:rPr>
          <w:b/>
          <w:lang w:val="en-US" w:eastAsia="en-AU"/>
        </w:rPr>
        <w:t>Significant transactions w</w:t>
      </w:r>
      <w:r>
        <w:rPr>
          <w:b/>
          <w:lang w:val="en-US" w:eastAsia="en-AU"/>
        </w:rPr>
        <w:t>ith Government-related entities</w:t>
      </w:r>
    </w:p>
    <w:p w14:paraId="0782C39A" w14:textId="305C096B" w:rsidR="00631D5A" w:rsidRDefault="00631D5A" w:rsidP="00631D5A">
      <w:pPr>
        <w:spacing w:line="360" w:lineRule="auto"/>
        <w:rPr>
          <w:lang w:val="en-US" w:eastAsia="en-AU"/>
        </w:rPr>
      </w:pPr>
      <w:r w:rsidRPr="00631D5A">
        <w:rPr>
          <w:lang w:val="en-US" w:eastAsia="en-AU"/>
        </w:rPr>
        <w:t>In conducting its activities, the Authority is required to transact with the State and entities related to the State. These transactions are generally based on the standard terms and conditions that apply to all agencies. Such transactions include:</w:t>
      </w:r>
      <w:r w:rsidRPr="00631D5A">
        <w:rPr>
          <w:lang w:val="en-US" w:eastAsia="en-AU"/>
        </w:rPr>
        <w:tab/>
      </w:r>
    </w:p>
    <w:p w14:paraId="4C538C17" w14:textId="77777777" w:rsidR="00631D5A" w:rsidRDefault="00631D5A" w:rsidP="00631D5A">
      <w:pPr>
        <w:pStyle w:val="ListParagraph"/>
        <w:numPr>
          <w:ilvl w:val="0"/>
          <w:numId w:val="57"/>
        </w:numPr>
        <w:spacing w:line="360" w:lineRule="auto"/>
        <w:rPr>
          <w:lang w:val="en-US" w:eastAsia="en-AU"/>
        </w:rPr>
      </w:pPr>
      <w:r w:rsidRPr="00631D5A">
        <w:rPr>
          <w:lang w:val="en-US" w:eastAsia="en-AU"/>
        </w:rPr>
        <w:t>Insurance contributions from Insurance Commission of WA $2.865 million (No</w:t>
      </w:r>
      <w:r>
        <w:rPr>
          <w:lang w:val="en-US" w:eastAsia="en-AU"/>
        </w:rPr>
        <w:t>te 3.1)</w:t>
      </w:r>
    </w:p>
    <w:p w14:paraId="51E2229F" w14:textId="77777777" w:rsidR="00631D5A" w:rsidRDefault="00631D5A" w:rsidP="00631D5A">
      <w:pPr>
        <w:pStyle w:val="ListParagraph"/>
        <w:numPr>
          <w:ilvl w:val="0"/>
          <w:numId w:val="57"/>
        </w:numPr>
        <w:spacing w:line="360" w:lineRule="auto"/>
        <w:rPr>
          <w:lang w:val="en-US" w:eastAsia="en-AU"/>
        </w:rPr>
      </w:pPr>
      <w:r w:rsidRPr="00631D5A">
        <w:rPr>
          <w:lang w:val="en-US" w:eastAsia="en-AU"/>
        </w:rPr>
        <w:t>Interest from Department of Tre</w:t>
      </w:r>
      <w:r>
        <w:rPr>
          <w:lang w:val="en-US" w:eastAsia="en-AU"/>
        </w:rPr>
        <w:t>asury $1.7 million (Note 3.2)</w:t>
      </w:r>
    </w:p>
    <w:p w14:paraId="1D154C6B" w14:textId="77777777" w:rsidR="00631D5A" w:rsidRDefault="00631D5A" w:rsidP="00631D5A">
      <w:pPr>
        <w:pStyle w:val="ListParagraph"/>
        <w:numPr>
          <w:ilvl w:val="0"/>
          <w:numId w:val="57"/>
        </w:numPr>
        <w:spacing w:line="360" w:lineRule="auto"/>
        <w:rPr>
          <w:lang w:val="en-US" w:eastAsia="en-AU"/>
        </w:rPr>
      </w:pPr>
      <w:r w:rsidRPr="00631D5A">
        <w:rPr>
          <w:lang w:val="en-US" w:eastAsia="en-AU"/>
        </w:rPr>
        <w:t xml:space="preserve">Insurance $0.144 million (Note 4.5) and claim payments $1.1 million </w:t>
      </w:r>
      <w:r>
        <w:rPr>
          <w:lang w:val="en-US" w:eastAsia="en-AU"/>
        </w:rPr>
        <w:br/>
      </w:r>
      <w:r w:rsidRPr="00631D5A">
        <w:rPr>
          <w:lang w:val="en-US" w:eastAsia="en-AU"/>
        </w:rPr>
        <w:t xml:space="preserve">(Note 4.3) </w:t>
      </w:r>
      <w:r>
        <w:rPr>
          <w:lang w:val="en-US" w:eastAsia="en-AU"/>
        </w:rPr>
        <w:t>to Insurance Commission of WA</w:t>
      </w:r>
    </w:p>
    <w:p w14:paraId="089B9B8C" w14:textId="77777777" w:rsidR="00631D5A" w:rsidRDefault="00631D5A" w:rsidP="00631D5A">
      <w:pPr>
        <w:pStyle w:val="ListParagraph"/>
        <w:numPr>
          <w:ilvl w:val="0"/>
          <w:numId w:val="57"/>
        </w:numPr>
        <w:spacing w:line="360" w:lineRule="auto"/>
        <w:rPr>
          <w:lang w:val="en-US" w:eastAsia="en-AU"/>
        </w:rPr>
      </w:pPr>
      <w:r w:rsidRPr="00631D5A">
        <w:rPr>
          <w:lang w:val="en-US" w:eastAsia="en-AU"/>
        </w:rPr>
        <w:t>District Court cost to Department of Treas</w:t>
      </w:r>
      <w:r>
        <w:rPr>
          <w:lang w:val="en-US" w:eastAsia="en-AU"/>
        </w:rPr>
        <w:t>ury $0.145 million (Note 4.5)</w:t>
      </w:r>
    </w:p>
    <w:p w14:paraId="0CFAE7CD" w14:textId="77777777" w:rsidR="00631D5A" w:rsidRDefault="00631D5A" w:rsidP="00631D5A">
      <w:pPr>
        <w:pStyle w:val="ListParagraph"/>
        <w:numPr>
          <w:ilvl w:val="0"/>
          <w:numId w:val="57"/>
        </w:numPr>
        <w:spacing w:line="360" w:lineRule="auto"/>
        <w:rPr>
          <w:lang w:val="en-US" w:eastAsia="en-AU"/>
        </w:rPr>
      </w:pPr>
      <w:r w:rsidRPr="00631D5A">
        <w:rPr>
          <w:lang w:val="en-US" w:eastAsia="en-AU"/>
        </w:rPr>
        <w:t>Payroll tax to Department of Fina</w:t>
      </w:r>
      <w:r>
        <w:rPr>
          <w:lang w:val="en-US" w:eastAsia="en-AU"/>
        </w:rPr>
        <w:t>nce $0.766 million (Note 4.5)</w:t>
      </w:r>
    </w:p>
    <w:p w14:paraId="4966523C" w14:textId="2EE2FC9C" w:rsidR="00631D5A" w:rsidRDefault="00631D5A" w:rsidP="00631D5A">
      <w:pPr>
        <w:pStyle w:val="ListParagraph"/>
        <w:numPr>
          <w:ilvl w:val="0"/>
          <w:numId w:val="57"/>
        </w:numPr>
        <w:spacing w:line="360" w:lineRule="auto"/>
        <w:rPr>
          <w:lang w:val="en-US" w:eastAsia="en-AU"/>
        </w:rPr>
      </w:pPr>
      <w:r w:rsidRPr="00631D5A">
        <w:rPr>
          <w:lang w:val="en-US" w:eastAsia="en-AU"/>
        </w:rPr>
        <w:t>Services received free of charge from the State Soli</w:t>
      </w:r>
      <w:r>
        <w:rPr>
          <w:lang w:val="en-US" w:eastAsia="en-AU"/>
        </w:rPr>
        <w:t>citor's Office $84K (Note 3.5)</w:t>
      </w:r>
    </w:p>
    <w:p w14:paraId="5501A637" w14:textId="77777777" w:rsidR="00631D5A" w:rsidRDefault="00631D5A" w:rsidP="00631D5A">
      <w:pPr>
        <w:pStyle w:val="ListParagraph"/>
        <w:numPr>
          <w:ilvl w:val="0"/>
          <w:numId w:val="57"/>
        </w:numPr>
        <w:spacing w:line="360" w:lineRule="auto"/>
        <w:rPr>
          <w:lang w:val="en-US" w:eastAsia="en-AU"/>
        </w:rPr>
      </w:pPr>
      <w:r w:rsidRPr="00631D5A">
        <w:rPr>
          <w:lang w:val="en-US" w:eastAsia="en-AU"/>
        </w:rPr>
        <w:t>Remuneration for services provided by the Auditor General $87K</w:t>
      </w:r>
      <w:r>
        <w:rPr>
          <w:lang w:val="en-US" w:eastAsia="en-AU"/>
        </w:rPr>
        <w:t xml:space="preserve"> </w:t>
      </w:r>
      <w:r w:rsidRPr="00631D5A">
        <w:rPr>
          <w:lang w:val="en-US" w:eastAsia="en-AU"/>
        </w:rPr>
        <w:t>(Note 9.9)</w:t>
      </w:r>
      <w:r>
        <w:rPr>
          <w:lang w:val="en-US" w:eastAsia="en-AU"/>
        </w:rPr>
        <w:t>.</w:t>
      </w:r>
    </w:p>
    <w:p w14:paraId="4A050CE2" w14:textId="2EFE0D58" w:rsidR="00AF4B3B" w:rsidRDefault="00AF4B3B" w:rsidP="00631D5A">
      <w:pPr>
        <w:spacing w:line="360" w:lineRule="auto"/>
        <w:rPr>
          <w:b/>
          <w:lang w:val="en-US" w:eastAsia="en-AU"/>
        </w:rPr>
      </w:pPr>
      <w:r>
        <w:rPr>
          <w:lang w:val="en-US" w:eastAsia="en-AU"/>
        </w:rPr>
        <w:br/>
      </w:r>
      <w:r>
        <w:rPr>
          <w:b/>
          <w:lang w:val="en-US" w:eastAsia="en-AU"/>
        </w:rPr>
        <w:t xml:space="preserve">Significant transactions with other related entities </w:t>
      </w:r>
    </w:p>
    <w:p w14:paraId="6352BB8A" w14:textId="06653503" w:rsidR="00AF4B3B" w:rsidRDefault="00AF4B3B" w:rsidP="00631D5A">
      <w:pPr>
        <w:spacing w:line="360" w:lineRule="auto"/>
        <w:rPr>
          <w:lang w:val="en-US" w:eastAsia="en-AU"/>
        </w:rPr>
      </w:pPr>
      <w:r>
        <w:rPr>
          <w:lang w:val="en-US" w:eastAsia="en-AU"/>
        </w:rPr>
        <w:t xml:space="preserve">Material transactions include: </w:t>
      </w:r>
    </w:p>
    <w:p w14:paraId="77F17D6A" w14:textId="261A774B" w:rsidR="00AF4B3B" w:rsidRDefault="00AF4B3B" w:rsidP="00AF4B3B">
      <w:pPr>
        <w:pStyle w:val="ListParagraph"/>
        <w:numPr>
          <w:ilvl w:val="0"/>
          <w:numId w:val="58"/>
        </w:numPr>
        <w:spacing w:line="360" w:lineRule="auto"/>
        <w:rPr>
          <w:lang w:val="en-US" w:eastAsia="en-AU"/>
        </w:rPr>
      </w:pPr>
      <w:r>
        <w:rPr>
          <w:lang w:val="en-US" w:eastAsia="en-AU"/>
        </w:rPr>
        <w:t xml:space="preserve">Superannuation payments to GESB $1.289 million (Note 4.1) </w:t>
      </w:r>
    </w:p>
    <w:p w14:paraId="40340116" w14:textId="77777777" w:rsidR="00AF4B3B" w:rsidRDefault="00AF4B3B" w:rsidP="00AF4B3B">
      <w:pPr>
        <w:spacing w:line="360" w:lineRule="auto"/>
        <w:rPr>
          <w:lang w:val="en-US" w:eastAsia="en-AU"/>
        </w:rPr>
      </w:pPr>
    </w:p>
    <w:p w14:paraId="18E44743" w14:textId="00069977" w:rsidR="00AF4B3B" w:rsidRDefault="00AF4B3B" w:rsidP="00AF4B3B">
      <w:pPr>
        <w:spacing w:line="360" w:lineRule="auto"/>
        <w:rPr>
          <w:b/>
          <w:lang w:val="en-US" w:eastAsia="en-AU"/>
        </w:rPr>
      </w:pPr>
      <w:r w:rsidRPr="00AF4B3B">
        <w:rPr>
          <w:b/>
          <w:lang w:val="en-US" w:eastAsia="en-AU"/>
        </w:rPr>
        <w:t>Material transactions with related parties</w:t>
      </w:r>
    </w:p>
    <w:p w14:paraId="183A135E" w14:textId="2813F54F" w:rsidR="00AF4B3B" w:rsidRDefault="00AF4B3B" w:rsidP="00AF4B3B">
      <w:pPr>
        <w:spacing w:line="360" w:lineRule="auto"/>
        <w:rPr>
          <w:lang w:val="en-US" w:eastAsia="en-AU"/>
        </w:rPr>
      </w:pPr>
      <w:r w:rsidRPr="00AF4B3B">
        <w:rPr>
          <w:lang w:val="en-US" w:eastAsia="en-AU"/>
        </w:rPr>
        <w:t>Outside of normal citizen type transactions with the Authority, there were no other related party transactions that involved key management personnel and/or their close family members and/or their controlled (or jointly controlled) entities.</w:t>
      </w:r>
    </w:p>
    <w:p w14:paraId="20B6AC98" w14:textId="2783D5EA" w:rsidR="00AF4B3B" w:rsidRDefault="00AF4B3B" w:rsidP="00AF4B3B">
      <w:pPr>
        <w:pStyle w:val="Heading3nonumber"/>
        <w:numPr>
          <w:ilvl w:val="1"/>
          <w:numId w:val="50"/>
        </w:numPr>
        <w:rPr>
          <w:lang w:val="en-US" w:eastAsia="en-AU"/>
        </w:rPr>
      </w:pPr>
      <w:bookmarkStart w:id="805" w:name="_Toc525122201"/>
      <w:r>
        <w:rPr>
          <w:lang w:val="en-US" w:eastAsia="en-AU"/>
        </w:rPr>
        <w:t>Related bodies</w:t>
      </w:r>
      <w:bookmarkEnd w:id="805"/>
      <w:r>
        <w:rPr>
          <w:lang w:val="en-US" w:eastAsia="en-AU"/>
        </w:rPr>
        <w:t xml:space="preserve"> </w:t>
      </w:r>
    </w:p>
    <w:p w14:paraId="1B081558" w14:textId="470A404A" w:rsidR="00AF4B3B" w:rsidRDefault="008F7A2D" w:rsidP="008F7A2D">
      <w:pPr>
        <w:rPr>
          <w:lang w:val="en-US" w:eastAsia="en-AU"/>
        </w:rPr>
      </w:pPr>
      <w:r>
        <w:rPr>
          <w:lang w:val="en-US" w:eastAsia="en-AU"/>
        </w:rPr>
        <w:t xml:space="preserve">The Authority does not have related bodies. </w:t>
      </w:r>
    </w:p>
    <w:p w14:paraId="38B3066C" w14:textId="12BAAFEA" w:rsidR="008F7A2D" w:rsidRDefault="008F7A2D" w:rsidP="008F7A2D">
      <w:pPr>
        <w:pStyle w:val="Heading3nonumber"/>
        <w:numPr>
          <w:ilvl w:val="1"/>
          <w:numId w:val="50"/>
        </w:numPr>
        <w:rPr>
          <w:lang w:val="en-US" w:eastAsia="en-AU"/>
        </w:rPr>
      </w:pPr>
      <w:bookmarkStart w:id="806" w:name="_Toc525122202"/>
      <w:r>
        <w:rPr>
          <w:lang w:val="en-US" w:eastAsia="en-AU"/>
        </w:rPr>
        <w:t>Affiliated bodies</w:t>
      </w:r>
      <w:bookmarkEnd w:id="806"/>
      <w:r>
        <w:rPr>
          <w:lang w:val="en-US" w:eastAsia="en-AU"/>
        </w:rPr>
        <w:t xml:space="preserve"> </w:t>
      </w:r>
    </w:p>
    <w:p w14:paraId="1EFB6499" w14:textId="50146E20" w:rsidR="008F7A2D" w:rsidRDefault="008F7A2D" w:rsidP="008F7A2D">
      <w:pPr>
        <w:rPr>
          <w:lang w:val="en-US" w:eastAsia="en-AU"/>
        </w:rPr>
      </w:pPr>
      <w:r>
        <w:rPr>
          <w:lang w:val="en-US" w:eastAsia="en-AU"/>
        </w:rPr>
        <w:t xml:space="preserve">The Authority does not have affiliated bodies. </w:t>
      </w:r>
    </w:p>
    <w:p w14:paraId="3AD1A7E7" w14:textId="08A5F4B5" w:rsidR="008F7A2D" w:rsidRDefault="008F7A2D" w:rsidP="008F7A2D">
      <w:pPr>
        <w:pStyle w:val="Heading3nonumber"/>
        <w:numPr>
          <w:ilvl w:val="1"/>
          <w:numId w:val="50"/>
        </w:numPr>
        <w:rPr>
          <w:lang w:val="en-US" w:eastAsia="en-AU"/>
        </w:rPr>
      </w:pPr>
      <w:bookmarkStart w:id="807" w:name="_Toc525122203"/>
      <w:r>
        <w:rPr>
          <w:lang w:val="en-US" w:eastAsia="en-AU"/>
        </w:rPr>
        <w:t>Indian Ocean Territories</w:t>
      </w:r>
      <w:bookmarkEnd w:id="807"/>
      <w:r>
        <w:rPr>
          <w:lang w:val="en-US" w:eastAsia="en-AU"/>
        </w:rPr>
        <w:t xml:space="preserve"> </w:t>
      </w:r>
    </w:p>
    <w:p w14:paraId="74FE135D" w14:textId="77777777" w:rsidR="008F7A2D" w:rsidRDefault="008F7A2D" w:rsidP="008F7A2D">
      <w:pPr>
        <w:rPr>
          <w:lang w:val="en-US" w:eastAsia="en-AU"/>
        </w:rPr>
      </w:pPr>
      <w:r w:rsidRPr="008F7A2D">
        <w:rPr>
          <w:lang w:val="en-US" w:eastAsia="en-AU"/>
        </w:rPr>
        <w:t>The Commonwealth Government has a Service Delivery Arrangement with the Authority for the provision of services to Indian Ocean Territories (Christmas Is</w:t>
      </w:r>
      <w:r>
        <w:rPr>
          <w:lang w:val="en-US" w:eastAsia="en-AU"/>
        </w:rPr>
        <w:t xml:space="preserve">land and Cocos-Keeling Island).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ndian Ocean Territories"/>
        <w:tblDescription w:val="This table outlines the opening balance, funding from the Commonwealth, revenue received from insurers, payment to the Commownealth and payments by program area for the reporting period in regards to the Indian Ocean Territories. "/>
      </w:tblPr>
      <w:tblGrid>
        <w:gridCol w:w="5382"/>
        <w:gridCol w:w="1843"/>
        <w:gridCol w:w="1791"/>
      </w:tblGrid>
      <w:tr w:rsidR="008F7A2D" w14:paraId="340601A0" w14:textId="77777777" w:rsidTr="00F11774">
        <w:trPr>
          <w:tblHeader/>
        </w:trPr>
        <w:tc>
          <w:tcPr>
            <w:tcW w:w="5382" w:type="dxa"/>
          </w:tcPr>
          <w:p w14:paraId="01C146BD" w14:textId="77777777" w:rsidR="008F7A2D" w:rsidRDefault="008F7A2D" w:rsidP="008F7A2D">
            <w:pPr>
              <w:rPr>
                <w:lang w:val="en-US" w:eastAsia="en-AU"/>
              </w:rPr>
            </w:pPr>
          </w:p>
        </w:tc>
        <w:tc>
          <w:tcPr>
            <w:tcW w:w="1843" w:type="dxa"/>
          </w:tcPr>
          <w:p w14:paraId="6EC37602" w14:textId="4F13EBC0" w:rsidR="008F7A2D" w:rsidRPr="008F7A2D" w:rsidRDefault="008F7A2D" w:rsidP="008F7A2D">
            <w:pPr>
              <w:jc w:val="right"/>
              <w:rPr>
                <w:b/>
                <w:lang w:val="en-US" w:eastAsia="en-AU"/>
              </w:rPr>
            </w:pPr>
            <w:r>
              <w:rPr>
                <w:b/>
                <w:lang w:val="en-US" w:eastAsia="en-AU"/>
              </w:rPr>
              <w:t>2018</w:t>
            </w:r>
            <w:r>
              <w:rPr>
                <w:b/>
                <w:lang w:val="en-US" w:eastAsia="en-AU"/>
              </w:rPr>
              <w:br/>
              <w:t>$000</w:t>
            </w:r>
          </w:p>
        </w:tc>
        <w:tc>
          <w:tcPr>
            <w:tcW w:w="1791" w:type="dxa"/>
          </w:tcPr>
          <w:p w14:paraId="5B931128" w14:textId="4A480BB3" w:rsidR="008F7A2D" w:rsidRPr="008F7A2D" w:rsidRDefault="008F7A2D" w:rsidP="008F7A2D">
            <w:pPr>
              <w:jc w:val="right"/>
              <w:rPr>
                <w:b/>
                <w:lang w:val="en-US" w:eastAsia="en-AU"/>
              </w:rPr>
            </w:pPr>
            <w:r>
              <w:rPr>
                <w:b/>
                <w:lang w:val="en-US" w:eastAsia="en-AU"/>
              </w:rPr>
              <w:t>2017</w:t>
            </w:r>
            <w:r>
              <w:rPr>
                <w:b/>
                <w:lang w:val="en-US" w:eastAsia="en-AU"/>
              </w:rPr>
              <w:br/>
              <w:t>$000</w:t>
            </w:r>
          </w:p>
        </w:tc>
      </w:tr>
      <w:tr w:rsidR="008F7A2D" w14:paraId="7D5DD9F4" w14:textId="77777777" w:rsidTr="008F7A2D">
        <w:tc>
          <w:tcPr>
            <w:tcW w:w="5382" w:type="dxa"/>
            <w:vAlign w:val="bottom"/>
          </w:tcPr>
          <w:p w14:paraId="657925A6" w14:textId="22583527" w:rsidR="008F7A2D" w:rsidRDefault="008F7A2D" w:rsidP="008F7A2D">
            <w:pPr>
              <w:rPr>
                <w:lang w:val="en-US" w:eastAsia="en-AU"/>
              </w:rPr>
            </w:pPr>
            <w:r>
              <w:t xml:space="preserve">Opening balance </w:t>
            </w:r>
          </w:p>
        </w:tc>
        <w:tc>
          <w:tcPr>
            <w:tcW w:w="1843" w:type="dxa"/>
            <w:vAlign w:val="bottom"/>
          </w:tcPr>
          <w:p w14:paraId="73A638ED" w14:textId="67759319" w:rsidR="008F7A2D" w:rsidRDefault="008F7A2D" w:rsidP="008F7A2D">
            <w:pPr>
              <w:jc w:val="right"/>
              <w:rPr>
                <w:lang w:val="en-US" w:eastAsia="en-AU"/>
              </w:rPr>
            </w:pPr>
            <w:r>
              <w:t>5</w:t>
            </w:r>
          </w:p>
        </w:tc>
        <w:tc>
          <w:tcPr>
            <w:tcW w:w="1791" w:type="dxa"/>
            <w:vAlign w:val="bottom"/>
          </w:tcPr>
          <w:p w14:paraId="4AE2E451" w14:textId="36C2E933" w:rsidR="008F7A2D" w:rsidRDefault="008F7A2D" w:rsidP="008F7A2D">
            <w:pPr>
              <w:jc w:val="right"/>
              <w:rPr>
                <w:lang w:val="en-US" w:eastAsia="en-AU"/>
              </w:rPr>
            </w:pPr>
            <w:r>
              <w:t>28</w:t>
            </w:r>
          </w:p>
        </w:tc>
      </w:tr>
      <w:tr w:rsidR="008F7A2D" w14:paraId="410CEDF3" w14:textId="77777777" w:rsidTr="008F7A2D">
        <w:tc>
          <w:tcPr>
            <w:tcW w:w="5382" w:type="dxa"/>
            <w:vAlign w:val="bottom"/>
          </w:tcPr>
          <w:p w14:paraId="147F6060" w14:textId="2CFBD064" w:rsidR="008F7A2D" w:rsidRDefault="008F7A2D" w:rsidP="008F7A2D">
            <w:pPr>
              <w:rPr>
                <w:lang w:val="en-US" w:eastAsia="en-AU"/>
              </w:rPr>
            </w:pPr>
            <w:r>
              <w:t>Funding received from the Commonwealth</w:t>
            </w:r>
          </w:p>
        </w:tc>
        <w:tc>
          <w:tcPr>
            <w:tcW w:w="1843" w:type="dxa"/>
            <w:vAlign w:val="bottom"/>
          </w:tcPr>
          <w:p w14:paraId="75A10ABA" w14:textId="24991E6B" w:rsidR="008F7A2D" w:rsidRDefault="008F7A2D" w:rsidP="008F7A2D">
            <w:pPr>
              <w:jc w:val="right"/>
              <w:rPr>
                <w:lang w:val="en-US" w:eastAsia="en-AU"/>
              </w:rPr>
            </w:pPr>
            <w:r>
              <w:t>15</w:t>
            </w:r>
          </w:p>
        </w:tc>
        <w:tc>
          <w:tcPr>
            <w:tcW w:w="1791" w:type="dxa"/>
            <w:vAlign w:val="bottom"/>
          </w:tcPr>
          <w:p w14:paraId="3E258931" w14:textId="6E7908B0" w:rsidR="008F7A2D" w:rsidRDefault="008F7A2D" w:rsidP="008F7A2D">
            <w:pPr>
              <w:jc w:val="right"/>
              <w:rPr>
                <w:lang w:val="en-US" w:eastAsia="en-AU"/>
              </w:rPr>
            </w:pPr>
            <w:r>
              <w:t>16</w:t>
            </w:r>
          </w:p>
        </w:tc>
      </w:tr>
      <w:tr w:rsidR="008F7A2D" w14:paraId="78C40FC8" w14:textId="77777777" w:rsidTr="008F7A2D">
        <w:tc>
          <w:tcPr>
            <w:tcW w:w="5382" w:type="dxa"/>
            <w:vAlign w:val="bottom"/>
          </w:tcPr>
          <w:p w14:paraId="28115241" w14:textId="53766125" w:rsidR="008F7A2D" w:rsidRDefault="008F7A2D" w:rsidP="008F7A2D">
            <w:pPr>
              <w:rPr>
                <w:lang w:val="en-US" w:eastAsia="en-AU"/>
              </w:rPr>
            </w:pPr>
            <w:r>
              <w:t>Revenue received from insurers</w:t>
            </w:r>
          </w:p>
        </w:tc>
        <w:tc>
          <w:tcPr>
            <w:tcW w:w="1843" w:type="dxa"/>
            <w:tcBorders>
              <w:bottom w:val="single" w:sz="4" w:space="0" w:color="auto"/>
            </w:tcBorders>
            <w:vAlign w:val="bottom"/>
          </w:tcPr>
          <w:p w14:paraId="3B8D4C53" w14:textId="2130BDC6" w:rsidR="008F7A2D" w:rsidRDefault="008F7A2D" w:rsidP="008F7A2D">
            <w:pPr>
              <w:jc w:val="right"/>
              <w:rPr>
                <w:lang w:val="en-US" w:eastAsia="en-AU"/>
              </w:rPr>
            </w:pPr>
            <w:r>
              <w:t>11</w:t>
            </w:r>
          </w:p>
        </w:tc>
        <w:tc>
          <w:tcPr>
            <w:tcW w:w="1791" w:type="dxa"/>
            <w:tcBorders>
              <w:bottom w:val="single" w:sz="4" w:space="0" w:color="auto"/>
            </w:tcBorders>
            <w:vAlign w:val="bottom"/>
          </w:tcPr>
          <w:p w14:paraId="36B5D549" w14:textId="344F4CDD" w:rsidR="008F7A2D" w:rsidRDefault="008F7A2D" w:rsidP="008F7A2D">
            <w:pPr>
              <w:jc w:val="right"/>
              <w:rPr>
                <w:lang w:val="en-US" w:eastAsia="en-AU"/>
              </w:rPr>
            </w:pPr>
            <w:r>
              <w:t>18</w:t>
            </w:r>
          </w:p>
        </w:tc>
      </w:tr>
      <w:tr w:rsidR="008F7A2D" w14:paraId="34C4F4CD" w14:textId="77777777" w:rsidTr="008F7A2D">
        <w:tc>
          <w:tcPr>
            <w:tcW w:w="5382" w:type="dxa"/>
          </w:tcPr>
          <w:p w14:paraId="149E69B0" w14:textId="77777777" w:rsidR="008F7A2D" w:rsidRDefault="008F7A2D" w:rsidP="008F7A2D">
            <w:pPr>
              <w:rPr>
                <w:lang w:val="en-US" w:eastAsia="en-AU"/>
              </w:rPr>
            </w:pPr>
          </w:p>
        </w:tc>
        <w:tc>
          <w:tcPr>
            <w:tcW w:w="1843" w:type="dxa"/>
            <w:tcBorders>
              <w:top w:val="single" w:sz="4" w:space="0" w:color="auto"/>
              <w:bottom w:val="double" w:sz="4" w:space="0" w:color="auto"/>
            </w:tcBorders>
            <w:vAlign w:val="bottom"/>
          </w:tcPr>
          <w:p w14:paraId="1C494C7F" w14:textId="6F087909" w:rsidR="008F7A2D" w:rsidRPr="008F7A2D" w:rsidRDefault="008F7A2D" w:rsidP="008F7A2D">
            <w:pPr>
              <w:jc w:val="right"/>
              <w:rPr>
                <w:b/>
                <w:lang w:val="en-US" w:eastAsia="en-AU"/>
              </w:rPr>
            </w:pPr>
            <w:r w:rsidRPr="008F7A2D">
              <w:rPr>
                <w:b/>
              </w:rPr>
              <w:t>31</w:t>
            </w:r>
          </w:p>
        </w:tc>
        <w:tc>
          <w:tcPr>
            <w:tcW w:w="1791" w:type="dxa"/>
            <w:tcBorders>
              <w:top w:val="single" w:sz="4" w:space="0" w:color="auto"/>
              <w:bottom w:val="double" w:sz="4" w:space="0" w:color="auto"/>
            </w:tcBorders>
            <w:vAlign w:val="bottom"/>
          </w:tcPr>
          <w:p w14:paraId="43086985" w14:textId="33184568" w:rsidR="008F7A2D" w:rsidRPr="008F7A2D" w:rsidRDefault="008F7A2D" w:rsidP="008F7A2D">
            <w:pPr>
              <w:jc w:val="right"/>
              <w:rPr>
                <w:b/>
                <w:lang w:val="en-US" w:eastAsia="en-AU"/>
              </w:rPr>
            </w:pPr>
            <w:r w:rsidRPr="008F7A2D">
              <w:rPr>
                <w:b/>
              </w:rPr>
              <w:t>62</w:t>
            </w:r>
          </w:p>
        </w:tc>
      </w:tr>
      <w:tr w:rsidR="008F7A2D" w14:paraId="0D9AEAFF" w14:textId="77777777" w:rsidTr="008F7A2D">
        <w:tc>
          <w:tcPr>
            <w:tcW w:w="5382" w:type="dxa"/>
          </w:tcPr>
          <w:p w14:paraId="02F01C04" w14:textId="207CB021" w:rsidR="008F7A2D" w:rsidRDefault="008F7A2D" w:rsidP="008F7A2D">
            <w:pPr>
              <w:rPr>
                <w:lang w:val="en-US" w:eastAsia="en-AU"/>
              </w:rPr>
            </w:pPr>
            <w:r>
              <w:rPr>
                <w:lang w:val="en-US" w:eastAsia="en-AU"/>
              </w:rPr>
              <w:t>Payment to the Commonwealth</w:t>
            </w:r>
          </w:p>
        </w:tc>
        <w:tc>
          <w:tcPr>
            <w:tcW w:w="1843" w:type="dxa"/>
            <w:tcBorders>
              <w:top w:val="double" w:sz="4" w:space="0" w:color="auto"/>
            </w:tcBorders>
          </w:tcPr>
          <w:p w14:paraId="506F7A21" w14:textId="6A7DA280" w:rsidR="008F7A2D" w:rsidRDefault="008F7A2D" w:rsidP="008F7A2D">
            <w:pPr>
              <w:jc w:val="right"/>
              <w:rPr>
                <w:lang w:val="en-US" w:eastAsia="en-AU"/>
              </w:rPr>
            </w:pPr>
            <w:r>
              <w:rPr>
                <w:lang w:val="en-US" w:eastAsia="en-AU"/>
              </w:rPr>
              <w:t>-</w:t>
            </w:r>
          </w:p>
        </w:tc>
        <w:tc>
          <w:tcPr>
            <w:tcW w:w="1791" w:type="dxa"/>
            <w:tcBorders>
              <w:top w:val="double" w:sz="4" w:space="0" w:color="auto"/>
            </w:tcBorders>
          </w:tcPr>
          <w:p w14:paraId="5FAD1210" w14:textId="70CFF166" w:rsidR="008F7A2D" w:rsidRDefault="008F7A2D" w:rsidP="008F7A2D">
            <w:pPr>
              <w:jc w:val="right"/>
              <w:rPr>
                <w:lang w:val="en-US" w:eastAsia="en-AU"/>
              </w:rPr>
            </w:pPr>
            <w:r>
              <w:rPr>
                <w:lang w:val="en-US" w:eastAsia="en-AU"/>
              </w:rPr>
              <w:t>28</w:t>
            </w:r>
          </w:p>
        </w:tc>
      </w:tr>
      <w:tr w:rsidR="008F7A2D" w14:paraId="38CB803E" w14:textId="77777777" w:rsidTr="008F7A2D">
        <w:tc>
          <w:tcPr>
            <w:tcW w:w="5382" w:type="dxa"/>
          </w:tcPr>
          <w:p w14:paraId="0B3603CB" w14:textId="746CBB48" w:rsidR="008F7A2D" w:rsidRPr="008F7A2D" w:rsidRDefault="008F7A2D" w:rsidP="008F7A2D">
            <w:pPr>
              <w:rPr>
                <w:u w:val="single"/>
                <w:lang w:val="en-US" w:eastAsia="en-AU"/>
              </w:rPr>
            </w:pPr>
            <w:r>
              <w:rPr>
                <w:u w:val="single"/>
                <w:lang w:val="en-US" w:eastAsia="en-AU"/>
              </w:rPr>
              <w:t>Payments by Program Area</w:t>
            </w:r>
          </w:p>
        </w:tc>
        <w:tc>
          <w:tcPr>
            <w:tcW w:w="1843" w:type="dxa"/>
          </w:tcPr>
          <w:p w14:paraId="323C3D57" w14:textId="77777777" w:rsidR="008F7A2D" w:rsidRDefault="008F7A2D" w:rsidP="008F7A2D">
            <w:pPr>
              <w:rPr>
                <w:lang w:val="en-US" w:eastAsia="en-AU"/>
              </w:rPr>
            </w:pPr>
          </w:p>
        </w:tc>
        <w:tc>
          <w:tcPr>
            <w:tcW w:w="1791" w:type="dxa"/>
          </w:tcPr>
          <w:p w14:paraId="4C0A0E18" w14:textId="77777777" w:rsidR="008F7A2D" w:rsidRDefault="008F7A2D" w:rsidP="008F7A2D">
            <w:pPr>
              <w:rPr>
                <w:lang w:val="en-US" w:eastAsia="en-AU"/>
              </w:rPr>
            </w:pPr>
          </w:p>
        </w:tc>
      </w:tr>
      <w:tr w:rsidR="008F7A2D" w14:paraId="4418B23A" w14:textId="77777777" w:rsidTr="008D090C">
        <w:tc>
          <w:tcPr>
            <w:tcW w:w="5382" w:type="dxa"/>
            <w:vAlign w:val="bottom"/>
          </w:tcPr>
          <w:p w14:paraId="720395F9" w14:textId="42AD3592" w:rsidR="008F7A2D" w:rsidRDefault="008F7A2D" w:rsidP="008F7A2D">
            <w:pPr>
              <w:rPr>
                <w:lang w:val="en-US" w:eastAsia="en-AU"/>
              </w:rPr>
            </w:pPr>
            <w:r>
              <w:t>Regulatory Services</w:t>
            </w:r>
          </w:p>
        </w:tc>
        <w:tc>
          <w:tcPr>
            <w:tcW w:w="1843" w:type="dxa"/>
            <w:vAlign w:val="bottom"/>
          </w:tcPr>
          <w:p w14:paraId="0E9D6E4A" w14:textId="1604A82E" w:rsidR="008F7A2D" w:rsidRDefault="008F7A2D" w:rsidP="008F7A2D">
            <w:pPr>
              <w:jc w:val="right"/>
              <w:rPr>
                <w:lang w:val="en-US" w:eastAsia="en-AU"/>
              </w:rPr>
            </w:pPr>
            <w:r>
              <w:t>15</w:t>
            </w:r>
          </w:p>
        </w:tc>
        <w:tc>
          <w:tcPr>
            <w:tcW w:w="1791" w:type="dxa"/>
            <w:vAlign w:val="bottom"/>
          </w:tcPr>
          <w:p w14:paraId="489CD809" w14:textId="4BB4B64A" w:rsidR="008F7A2D" w:rsidRDefault="008F7A2D" w:rsidP="008F7A2D">
            <w:pPr>
              <w:jc w:val="right"/>
              <w:rPr>
                <w:lang w:val="en-US" w:eastAsia="en-AU"/>
              </w:rPr>
            </w:pPr>
            <w:r>
              <w:t>12</w:t>
            </w:r>
          </w:p>
        </w:tc>
      </w:tr>
      <w:tr w:rsidR="008F7A2D" w14:paraId="2C80479E" w14:textId="77777777" w:rsidTr="008D090C">
        <w:tc>
          <w:tcPr>
            <w:tcW w:w="5382" w:type="dxa"/>
            <w:vAlign w:val="bottom"/>
          </w:tcPr>
          <w:p w14:paraId="027A3690" w14:textId="09ECF80F" w:rsidR="008F7A2D" w:rsidRDefault="008F7A2D" w:rsidP="008F7A2D">
            <w:pPr>
              <w:rPr>
                <w:lang w:val="en-US" w:eastAsia="en-AU"/>
              </w:rPr>
            </w:pPr>
            <w:r>
              <w:t>Conciliation and Arbitration Services</w:t>
            </w:r>
          </w:p>
        </w:tc>
        <w:tc>
          <w:tcPr>
            <w:tcW w:w="1843" w:type="dxa"/>
            <w:vAlign w:val="bottom"/>
          </w:tcPr>
          <w:p w14:paraId="258BDD79" w14:textId="6EC21CF5" w:rsidR="008F7A2D" w:rsidRDefault="008F7A2D" w:rsidP="008F7A2D">
            <w:pPr>
              <w:jc w:val="right"/>
              <w:rPr>
                <w:lang w:val="en-US" w:eastAsia="en-AU"/>
              </w:rPr>
            </w:pPr>
            <w:r>
              <w:t>10</w:t>
            </w:r>
          </w:p>
        </w:tc>
        <w:tc>
          <w:tcPr>
            <w:tcW w:w="1791" w:type="dxa"/>
            <w:vAlign w:val="bottom"/>
          </w:tcPr>
          <w:p w14:paraId="01BC366B" w14:textId="27DDC84F" w:rsidR="008F7A2D" w:rsidRDefault="008F7A2D" w:rsidP="008F7A2D">
            <w:pPr>
              <w:jc w:val="right"/>
              <w:rPr>
                <w:lang w:val="en-US" w:eastAsia="en-AU"/>
              </w:rPr>
            </w:pPr>
            <w:r>
              <w:t>12</w:t>
            </w:r>
          </w:p>
        </w:tc>
      </w:tr>
      <w:tr w:rsidR="008F7A2D" w14:paraId="2E768A9E" w14:textId="77777777" w:rsidTr="008D090C">
        <w:tc>
          <w:tcPr>
            <w:tcW w:w="5382" w:type="dxa"/>
            <w:vAlign w:val="bottom"/>
          </w:tcPr>
          <w:p w14:paraId="50483A56" w14:textId="62F51F01" w:rsidR="008F7A2D" w:rsidRDefault="008F7A2D" w:rsidP="008F7A2D">
            <w:pPr>
              <w:rPr>
                <w:lang w:val="en-US" w:eastAsia="en-AU"/>
              </w:rPr>
            </w:pPr>
            <w:r>
              <w:t>Legislation and Scheme Information</w:t>
            </w:r>
          </w:p>
        </w:tc>
        <w:tc>
          <w:tcPr>
            <w:tcW w:w="1843" w:type="dxa"/>
            <w:vAlign w:val="bottom"/>
          </w:tcPr>
          <w:p w14:paraId="7DF2E016" w14:textId="025A485C" w:rsidR="008F7A2D" w:rsidRDefault="008F7A2D" w:rsidP="008F7A2D">
            <w:pPr>
              <w:jc w:val="right"/>
              <w:rPr>
                <w:lang w:val="en-US" w:eastAsia="en-AU"/>
              </w:rPr>
            </w:pPr>
            <w:r>
              <w:t>5</w:t>
            </w:r>
          </w:p>
        </w:tc>
        <w:tc>
          <w:tcPr>
            <w:tcW w:w="1791" w:type="dxa"/>
            <w:vAlign w:val="bottom"/>
          </w:tcPr>
          <w:p w14:paraId="698BACF1" w14:textId="5C9693BD" w:rsidR="008F7A2D" w:rsidRDefault="008F7A2D" w:rsidP="008F7A2D">
            <w:pPr>
              <w:jc w:val="right"/>
              <w:rPr>
                <w:lang w:val="en-US" w:eastAsia="en-AU"/>
              </w:rPr>
            </w:pPr>
            <w:r>
              <w:t>5</w:t>
            </w:r>
          </w:p>
        </w:tc>
      </w:tr>
      <w:tr w:rsidR="008F7A2D" w14:paraId="3CBA8BBA" w14:textId="77777777" w:rsidTr="008F7A2D">
        <w:tc>
          <w:tcPr>
            <w:tcW w:w="5382" w:type="dxa"/>
            <w:vAlign w:val="bottom"/>
          </w:tcPr>
          <w:p w14:paraId="14B0ACE9" w14:textId="70B3551C" w:rsidR="008F7A2D" w:rsidRDefault="008F7A2D" w:rsidP="008F7A2D">
            <w:pPr>
              <w:rPr>
                <w:lang w:val="en-US" w:eastAsia="en-AU"/>
              </w:rPr>
            </w:pPr>
            <w:r>
              <w:t>Total Payments</w:t>
            </w:r>
          </w:p>
        </w:tc>
        <w:tc>
          <w:tcPr>
            <w:tcW w:w="1843" w:type="dxa"/>
            <w:tcBorders>
              <w:bottom w:val="single" w:sz="4" w:space="0" w:color="auto"/>
            </w:tcBorders>
            <w:vAlign w:val="bottom"/>
          </w:tcPr>
          <w:p w14:paraId="58E6347E" w14:textId="4E375C3A" w:rsidR="008F7A2D" w:rsidRPr="008F7A2D" w:rsidRDefault="008F7A2D" w:rsidP="008F7A2D">
            <w:pPr>
              <w:jc w:val="right"/>
              <w:rPr>
                <w:b/>
                <w:lang w:val="en-US" w:eastAsia="en-AU"/>
              </w:rPr>
            </w:pPr>
            <w:r w:rsidRPr="008F7A2D">
              <w:rPr>
                <w:b/>
              </w:rPr>
              <w:t>30</w:t>
            </w:r>
          </w:p>
        </w:tc>
        <w:tc>
          <w:tcPr>
            <w:tcW w:w="1791" w:type="dxa"/>
            <w:tcBorders>
              <w:bottom w:val="single" w:sz="4" w:space="0" w:color="auto"/>
            </w:tcBorders>
            <w:vAlign w:val="bottom"/>
          </w:tcPr>
          <w:p w14:paraId="1278BB6A" w14:textId="3CD9F569" w:rsidR="008F7A2D" w:rsidRPr="008F7A2D" w:rsidRDefault="008F7A2D" w:rsidP="008F7A2D">
            <w:pPr>
              <w:jc w:val="right"/>
              <w:rPr>
                <w:b/>
                <w:lang w:val="en-US" w:eastAsia="en-AU"/>
              </w:rPr>
            </w:pPr>
            <w:r w:rsidRPr="008F7A2D">
              <w:rPr>
                <w:b/>
              </w:rPr>
              <w:t>57</w:t>
            </w:r>
          </w:p>
        </w:tc>
      </w:tr>
      <w:tr w:rsidR="008F7A2D" w14:paraId="5227FBA4" w14:textId="77777777" w:rsidTr="008F7A2D">
        <w:tc>
          <w:tcPr>
            <w:tcW w:w="5382" w:type="dxa"/>
            <w:vAlign w:val="bottom"/>
          </w:tcPr>
          <w:p w14:paraId="5B8F3D94" w14:textId="2AD4F4A8" w:rsidR="008F7A2D" w:rsidRDefault="008F7A2D" w:rsidP="008F7A2D">
            <w:pPr>
              <w:rPr>
                <w:lang w:val="en-US" w:eastAsia="en-AU"/>
              </w:rPr>
            </w:pPr>
            <w:r>
              <w:t>Balance carried forward</w:t>
            </w:r>
          </w:p>
        </w:tc>
        <w:tc>
          <w:tcPr>
            <w:tcW w:w="1843" w:type="dxa"/>
            <w:tcBorders>
              <w:top w:val="single" w:sz="4" w:space="0" w:color="auto"/>
              <w:bottom w:val="double" w:sz="4" w:space="0" w:color="auto"/>
            </w:tcBorders>
            <w:vAlign w:val="bottom"/>
          </w:tcPr>
          <w:p w14:paraId="213A3CE5" w14:textId="4EB9E665" w:rsidR="008F7A2D" w:rsidRDefault="008F7A2D" w:rsidP="008F7A2D">
            <w:pPr>
              <w:jc w:val="right"/>
              <w:rPr>
                <w:lang w:val="en-US" w:eastAsia="en-AU"/>
              </w:rPr>
            </w:pPr>
            <w:r>
              <w:t>1</w:t>
            </w:r>
          </w:p>
        </w:tc>
        <w:tc>
          <w:tcPr>
            <w:tcW w:w="1791" w:type="dxa"/>
            <w:tcBorders>
              <w:top w:val="single" w:sz="4" w:space="0" w:color="auto"/>
              <w:bottom w:val="double" w:sz="4" w:space="0" w:color="auto"/>
            </w:tcBorders>
            <w:vAlign w:val="bottom"/>
          </w:tcPr>
          <w:p w14:paraId="523EE6C5" w14:textId="4CC89C70" w:rsidR="008F7A2D" w:rsidRDefault="008F7A2D" w:rsidP="008F7A2D">
            <w:pPr>
              <w:jc w:val="right"/>
              <w:rPr>
                <w:lang w:val="en-US" w:eastAsia="en-AU"/>
              </w:rPr>
            </w:pPr>
            <w:r>
              <w:t>5</w:t>
            </w:r>
          </w:p>
        </w:tc>
      </w:tr>
    </w:tbl>
    <w:p w14:paraId="61A97CB3" w14:textId="5239C4DB" w:rsidR="008F7A2D" w:rsidRPr="008F7A2D" w:rsidRDefault="008F7A2D" w:rsidP="008F7A2D">
      <w:pPr>
        <w:rPr>
          <w:lang w:val="en-US" w:eastAsia="en-AU"/>
        </w:rPr>
      </w:pPr>
      <w:r w:rsidRPr="008F7A2D">
        <w:rPr>
          <w:lang w:val="en-US" w:eastAsia="en-AU"/>
        </w:rPr>
        <w:tab/>
      </w:r>
      <w:r w:rsidRPr="008F7A2D">
        <w:rPr>
          <w:lang w:val="en-US" w:eastAsia="en-AU"/>
        </w:rPr>
        <w:tab/>
      </w:r>
      <w:r w:rsidRPr="008F7A2D">
        <w:rPr>
          <w:lang w:val="en-US" w:eastAsia="en-AU"/>
        </w:rPr>
        <w:tab/>
      </w:r>
    </w:p>
    <w:p w14:paraId="6201742B" w14:textId="6482E011" w:rsidR="008F7A2D" w:rsidRDefault="008F7A2D" w:rsidP="008F7A2D">
      <w:pPr>
        <w:pStyle w:val="Heading3nonumber"/>
        <w:numPr>
          <w:ilvl w:val="1"/>
          <w:numId w:val="50"/>
        </w:numPr>
        <w:rPr>
          <w:lang w:val="en-US" w:eastAsia="en-AU"/>
        </w:rPr>
      </w:pPr>
      <w:bookmarkStart w:id="808" w:name="_Toc525122204"/>
      <w:r>
        <w:rPr>
          <w:lang w:val="en-US" w:eastAsia="en-AU"/>
        </w:rPr>
        <w:t>Workers’ Compensation and Injury Management Trust Account</w:t>
      </w:r>
      <w:bookmarkEnd w:id="808"/>
    </w:p>
    <w:p w14:paraId="38E65319" w14:textId="77777777" w:rsidR="008F7A2D" w:rsidRDefault="008F7A2D" w:rsidP="008F7A2D">
      <w:pPr>
        <w:rPr>
          <w:lang w:val="en-US" w:eastAsia="en-AU"/>
        </w:rPr>
      </w:pPr>
      <w:r w:rsidRPr="008F7A2D">
        <w:rPr>
          <w:lang w:val="en-US" w:eastAsia="en-AU"/>
        </w:rPr>
        <w:t>The purpose of the Trust Fund is to hold funds paid into the custody of the Authority pursuant to S</w:t>
      </w:r>
      <w:r>
        <w:rPr>
          <w:lang w:val="en-US" w:eastAsia="en-AU"/>
        </w:rPr>
        <w:t xml:space="preserve">ection 110 of the </w:t>
      </w:r>
      <w:r w:rsidRPr="008F7A2D">
        <w:rPr>
          <w:i/>
          <w:lang w:val="en-US" w:eastAsia="en-AU"/>
        </w:rPr>
        <w:t>Workers'</w:t>
      </w:r>
      <w:r w:rsidRPr="008F7A2D">
        <w:rPr>
          <w:i/>
          <w:lang w:val="en-US" w:eastAsia="en-AU"/>
        </w:rPr>
        <w:tab/>
        <w:t>Compensation and Injury Management Act 1981</w:t>
      </w:r>
      <w:r w:rsidRPr="008F7A2D">
        <w:rPr>
          <w:lang w:val="en-US" w:eastAsia="en-AU"/>
        </w:rPr>
        <w:t>. These funds are not consolidated as they are funds</w:t>
      </w:r>
      <w:r>
        <w:rPr>
          <w:lang w:val="en-US" w:eastAsia="en-AU"/>
        </w:rPr>
        <w:t xml:space="preserve"> that are administered on </w:t>
      </w:r>
      <w:r w:rsidRPr="008F7A2D">
        <w:rPr>
          <w:lang w:val="en-US" w:eastAsia="en-AU"/>
        </w:rPr>
        <w:t>behalf of d</w:t>
      </w:r>
      <w:r>
        <w:rPr>
          <w:lang w:val="en-US" w:eastAsia="en-AU"/>
        </w:rPr>
        <w:t>ependants of deceased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orkers' Compensation and Injury Managment Trust Account"/>
        <w:tblDescription w:val="This table outlines the income, expenditure, surplus/(deficit) and balance of funds for the Workers' Compensation and Injury Management Trust Account for the reporting period. "/>
      </w:tblPr>
      <w:tblGrid>
        <w:gridCol w:w="5524"/>
        <w:gridCol w:w="1701"/>
        <w:gridCol w:w="1791"/>
      </w:tblGrid>
      <w:tr w:rsidR="008F7A2D" w14:paraId="79D0EE34" w14:textId="77777777" w:rsidTr="008D090C">
        <w:trPr>
          <w:tblHeader/>
        </w:trPr>
        <w:tc>
          <w:tcPr>
            <w:tcW w:w="5524" w:type="dxa"/>
          </w:tcPr>
          <w:p w14:paraId="2B5D9B33" w14:textId="77777777" w:rsidR="008F7A2D" w:rsidRDefault="008F7A2D" w:rsidP="008F7A2D">
            <w:pPr>
              <w:rPr>
                <w:lang w:val="en-US" w:eastAsia="en-AU"/>
              </w:rPr>
            </w:pPr>
          </w:p>
        </w:tc>
        <w:tc>
          <w:tcPr>
            <w:tcW w:w="1701" w:type="dxa"/>
          </w:tcPr>
          <w:p w14:paraId="4117C786" w14:textId="10B899C2" w:rsidR="008F7A2D" w:rsidRDefault="008F7A2D" w:rsidP="008F7A2D">
            <w:pPr>
              <w:jc w:val="right"/>
              <w:rPr>
                <w:lang w:val="en-US" w:eastAsia="en-AU"/>
              </w:rPr>
            </w:pPr>
            <w:r>
              <w:rPr>
                <w:b/>
                <w:lang w:val="en-US" w:eastAsia="en-AU"/>
              </w:rPr>
              <w:t>2018</w:t>
            </w:r>
            <w:r>
              <w:rPr>
                <w:b/>
                <w:lang w:val="en-US" w:eastAsia="en-AU"/>
              </w:rPr>
              <w:br/>
              <w:t>$000</w:t>
            </w:r>
          </w:p>
        </w:tc>
        <w:tc>
          <w:tcPr>
            <w:tcW w:w="1791" w:type="dxa"/>
          </w:tcPr>
          <w:p w14:paraId="484E2AE8" w14:textId="14EF4E84" w:rsidR="008F7A2D" w:rsidRDefault="008F7A2D" w:rsidP="008F7A2D">
            <w:pPr>
              <w:jc w:val="right"/>
              <w:rPr>
                <w:lang w:val="en-US" w:eastAsia="en-AU"/>
              </w:rPr>
            </w:pPr>
            <w:r>
              <w:rPr>
                <w:b/>
                <w:lang w:val="en-US" w:eastAsia="en-AU"/>
              </w:rPr>
              <w:t>2017</w:t>
            </w:r>
            <w:r>
              <w:rPr>
                <w:b/>
                <w:lang w:val="en-US" w:eastAsia="en-AU"/>
              </w:rPr>
              <w:br/>
              <w:t>$000</w:t>
            </w:r>
          </w:p>
        </w:tc>
      </w:tr>
      <w:tr w:rsidR="008F7A2D" w14:paraId="5412BE4F" w14:textId="77777777" w:rsidTr="008F7A2D">
        <w:tc>
          <w:tcPr>
            <w:tcW w:w="5524" w:type="dxa"/>
            <w:vAlign w:val="bottom"/>
          </w:tcPr>
          <w:p w14:paraId="5F4F3E9E" w14:textId="3E6322FB" w:rsidR="008F7A2D" w:rsidRPr="008F7A2D" w:rsidRDefault="008F7A2D" w:rsidP="008F7A2D">
            <w:pPr>
              <w:rPr>
                <w:u w:val="single"/>
                <w:lang w:val="en-US" w:eastAsia="en-AU"/>
              </w:rPr>
            </w:pPr>
            <w:r w:rsidRPr="008F7A2D">
              <w:rPr>
                <w:u w:val="single"/>
              </w:rPr>
              <w:t xml:space="preserve">Income </w:t>
            </w:r>
          </w:p>
        </w:tc>
        <w:tc>
          <w:tcPr>
            <w:tcW w:w="1701" w:type="dxa"/>
          </w:tcPr>
          <w:p w14:paraId="7E222BCE" w14:textId="77777777" w:rsidR="008F7A2D" w:rsidRDefault="008F7A2D" w:rsidP="008F7A2D">
            <w:pPr>
              <w:rPr>
                <w:lang w:val="en-US" w:eastAsia="en-AU"/>
              </w:rPr>
            </w:pPr>
          </w:p>
        </w:tc>
        <w:tc>
          <w:tcPr>
            <w:tcW w:w="1791" w:type="dxa"/>
          </w:tcPr>
          <w:p w14:paraId="7FF77A10" w14:textId="77777777" w:rsidR="008F7A2D" w:rsidRDefault="008F7A2D" w:rsidP="008F7A2D">
            <w:pPr>
              <w:rPr>
                <w:lang w:val="en-US" w:eastAsia="en-AU"/>
              </w:rPr>
            </w:pPr>
          </w:p>
        </w:tc>
      </w:tr>
      <w:tr w:rsidR="008F7A2D" w14:paraId="5E3EE0E7" w14:textId="77777777" w:rsidTr="008F7A2D">
        <w:tc>
          <w:tcPr>
            <w:tcW w:w="5524" w:type="dxa"/>
            <w:vAlign w:val="bottom"/>
          </w:tcPr>
          <w:p w14:paraId="6E1BB856" w14:textId="7C41C136" w:rsidR="008F7A2D" w:rsidRDefault="008F7A2D" w:rsidP="008F7A2D">
            <w:pPr>
              <w:rPr>
                <w:lang w:val="en-US" w:eastAsia="en-AU"/>
              </w:rPr>
            </w:pPr>
            <w:r>
              <w:t>Amounts paid to the custody of the Authority</w:t>
            </w:r>
          </w:p>
        </w:tc>
        <w:tc>
          <w:tcPr>
            <w:tcW w:w="1701" w:type="dxa"/>
            <w:vAlign w:val="bottom"/>
          </w:tcPr>
          <w:p w14:paraId="387B9AB4" w14:textId="58711C79" w:rsidR="008F7A2D" w:rsidRDefault="008F7A2D" w:rsidP="008F7A2D">
            <w:pPr>
              <w:jc w:val="right"/>
              <w:rPr>
                <w:lang w:val="en-US" w:eastAsia="en-AU"/>
              </w:rPr>
            </w:pPr>
            <w:r>
              <w:t xml:space="preserve">         232 </w:t>
            </w:r>
          </w:p>
        </w:tc>
        <w:tc>
          <w:tcPr>
            <w:tcW w:w="1791" w:type="dxa"/>
            <w:vAlign w:val="bottom"/>
          </w:tcPr>
          <w:p w14:paraId="78EAAEBF" w14:textId="065E3D9B" w:rsidR="008F7A2D" w:rsidRDefault="008F7A2D" w:rsidP="008F7A2D">
            <w:pPr>
              <w:jc w:val="right"/>
              <w:rPr>
                <w:lang w:val="en-US" w:eastAsia="en-AU"/>
              </w:rPr>
            </w:pPr>
            <w:r>
              <w:t xml:space="preserve">                                  274 </w:t>
            </w:r>
          </w:p>
        </w:tc>
      </w:tr>
      <w:tr w:rsidR="008F7A2D" w14:paraId="6F681919" w14:textId="77777777" w:rsidTr="008F7A2D">
        <w:tc>
          <w:tcPr>
            <w:tcW w:w="5524" w:type="dxa"/>
            <w:vAlign w:val="bottom"/>
          </w:tcPr>
          <w:p w14:paraId="2D46E027" w14:textId="019E2025" w:rsidR="008F7A2D" w:rsidRDefault="008F7A2D" w:rsidP="008F7A2D">
            <w:pPr>
              <w:rPr>
                <w:lang w:val="en-US" w:eastAsia="en-AU"/>
              </w:rPr>
            </w:pPr>
            <w:r>
              <w:t>Interest on investments</w:t>
            </w:r>
          </w:p>
        </w:tc>
        <w:tc>
          <w:tcPr>
            <w:tcW w:w="1701" w:type="dxa"/>
            <w:tcBorders>
              <w:bottom w:val="single" w:sz="4" w:space="0" w:color="auto"/>
            </w:tcBorders>
            <w:vAlign w:val="bottom"/>
          </w:tcPr>
          <w:p w14:paraId="1311F0AB" w14:textId="686E0925" w:rsidR="008F7A2D" w:rsidRDefault="008F7A2D" w:rsidP="008F7A2D">
            <w:pPr>
              <w:jc w:val="right"/>
              <w:rPr>
                <w:lang w:val="en-US" w:eastAsia="en-AU"/>
              </w:rPr>
            </w:pPr>
            <w:r>
              <w:t xml:space="preserve">           18 </w:t>
            </w:r>
          </w:p>
        </w:tc>
        <w:tc>
          <w:tcPr>
            <w:tcW w:w="1791" w:type="dxa"/>
            <w:tcBorders>
              <w:bottom w:val="single" w:sz="4" w:space="0" w:color="auto"/>
            </w:tcBorders>
            <w:vAlign w:val="bottom"/>
          </w:tcPr>
          <w:p w14:paraId="324A81F3" w14:textId="6061C63A" w:rsidR="008F7A2D" w:rsidRDefault="008F7A2D" w:rsidP="008F7A2D">
            <w:pPr>
              <w:jc w:val="right"/>
              <w:rPr>
                <w:lang w:val="en-US" w:eastAsia="en-AU"/>
              </w:rPr>
            </w:pPr>
            <w:r>
              <w:t xml:space="preserve">                                    21 </w:t>
            </w:r>
          </w:p>
        </w:tc>
      </w:tr>
      <w:tr w:rsidR="008F7A2D" w14:paraId="2576CF9A" w14:textId="77777777" w:rsidTr="008F7A2D">
        <w:tc>
          <w:tcPr>
            <w:tcW w:w="5524" w:type="dxa"/>
          </w:tcPr>
          <w:p w14:paraId="0797BB69" w14:textId="77777777" w:rsidR="008F7A2D" w:rsidRDefault="008F7A2D" w:rsidP="008F7A2D">
            <w:pPr>
              <w:rPr>
                <w:lang w:val="en-US" w:eastAsia="en-AU"/>
              </w:rPr>
            </w:pPr>
          </w:p>
        </w:tc>
        <w:tc>
          <w:tcPr>
            <w:tcW w:w="1701" w:type="dxa"/>
            <w:tcBorders>
              <w:top w:val="single" w:sz="4" w:space="0" w:color="auto"/>
              <w:bottom w:val="double" w:sz="4" w:space="0" w:color="auto"/>
            </w:tcBorders>
          </w:tcPr>
          <w:p w14:paraId="62FD7133" w14:textId="21FE8D97" w:rsidR="008F7A2D" w:rsidRPr="008F7A2D" w:rsidRDefault="008F7A2D" w:rsidP="008F7A2D">
            <w:pPr>
              <w:jc w:val="right"/>
              <w:rPr>
                <w:b/>
                <w:lang w:val="en-US" w:eastAsia="en-AU"/>
              </w:rPr>
            </w:pPr>
            <w:r>
              <w:rPr>
                <w:b/>
                <w:lang w:val="en-US" w:eastAsia="en-AU"/>
              </w:rPr>
              <w:t>250</w:t>
            </w:r>
          </w:p>
        </w:tc>
        <w:tc>
          <w:tcPr>
            <w:tcW w:w="1791" w:type="dxa"/>
            <w:tcBorders>
              <w:top w:val="single" w:sz="4" w:space="0" w:color="auto"/>
              <w:bottom w:val="double" w:sz="4" w:space="0" w:color="auto"/>
            </w:tcBorders>
          </w:tcPr>
          <w:p w14:paraId="2FECAB5D" w14:textId="3D8AB09F" w:rsidR="008F7A2D" w:rsidRPr="008F7A2D" w:rsidRDefault="008F7A2D" w:rsidP="008F7A2D">
            <w:pPr>
              <w:jc w:val="right"/>
              <w:rPr>
                <w:b/>
                <w:lang w:val="en-US" w:eastAsia="en-AU"/>
              </w:rPr>
            </w:pPr>
            <w:r>
              <w:rPr>
                <w:b/>
                <w:lang w:val="en-US" w:eastAsia="en-AU"/>
              </w:rPr>
              <w:t>295</w:t>
            </w:r>
          </w:p>
        </w:tc>
      </w:tr>
      <w:tr w:rsidR="008F7A2D" w14:paraId="4C279C14" w14:textId="77777777" w:rsidTr="008F7A2D">
        <w:tc>
          <w:tcPr>
            <w:tcW w:w="5524" w:type="dxa"/>
          </w:tcPr>
          <w:p w14:paraId="5A06FEFE" w14:textId="549A205C" w:rsidR="008F7A2D" w:rsidRPr="008F7A2D" w:rsidRDefault="008F7A2D" w:rsidP="008F7A2D">
            <w:pPr>
              <w:rPr>
                <w:u w:val="single"/>
                <w:lang w:val="en-US" w:eastAsia="en-AU"/>
              </w:rPr>
            </w:pPr>
            <w:r>
              <w:rPr>
                <w:u w:val="single"/>
                <w:lang w:val="en-US" w:eastAsia="en-AU"/>
              </w:rPr>
              <w:t>Expenditure</w:t>
            </w:r>
          </w:p>
        </w:tc>
        <w:tc>
          <w:tcPr>
            <w:tcW w:w="1701" w:type="dxa"/>
            <w:tcBorders>
              <w:top w:val="double" w:sz="4" w:space="0" w:color="auto"/>
            </w:tcBorders>
          </w:tcPr>
          <w:p w14:paraId="59712B04" w14:textId="77777777" w:rsidR="008F7A2D" w:rsidRDefault="008F7A2D" w:rsidP="008F7A2D">
            <w:pPr>
              <w:rPr>
                <w:lang w:val="en-US" w:eastAsia="en-AU"/>
              </w:rPr>
            </w:pPr>
          </w:p>
        </w:tc>
        <w:tc>
          <w:tcPr>
            <w:tcW w:w="1791" w:type="dxa"/>
            <w:tcBorders>
              <w:top w:val="double" w:sz="4" w:space="0" w:color="auto"/>
            </w:tcBorders>
          </w:tcPr>
          <w:p w14:paraId="658C2300" w14:textId="77777777" w:rsidR="008F7A2D" w:rsidRDefault="008F7A2D" w:rsidP="008F7A2D">
            <w:pPr>
              <w:rPr>
                <w:lang w:val="en-US" w:eastAsia="en-AU"/>
              </w:rPr>
            </w:pPr>
          </w:p>
        </w:tc>
      </w:tr>
      <w:tr w:rsidR="008F7A2D" w14:paraId="48864093" w14:textId="77777777" w:rsidTr="008F7A2D">
        <w:tc>
          <w:tcPr>
            <w:tcW w:w="5524" w:type="dxa"/>
            <w:vAlign w:val="center"/>
          </w:tcPr>
          <w:p w14:paraId="269B8661" w14:textId="37D85685" w:rsidR="008F7A2D" w:rsidRDefault="008F7A2D" w:rsidP="008F7A2D">
            <w:pPr>
              <w:rPr>
                <w:lang w:val="en-US" w:eastAsia="en-AU"/>
              </w:rPr>
            </w:pPr>
            <w:r>
              <w:rPr>
                <w:lang w:val="en-US" w:eastAsia="en-AU"/>
              </w:rPr>
              <w:t>Payments by the Authority</w:t>
            </w:r>
          </w:p>
        </w:tc>
        <w:tc>
          <w:tcPr>
            <w:tcW w:w="1701" w:type="dxa"/>
            <w:vAlign w:val="bottom"/>
          </w:tcPr>
          <w:p w14:paraId="377F0C48" w14:textId="3972B2EC" w:rsidR="008F7A2D" w:rsidRDefault="008F7A2D" w:rsidP="008F7A2D">
            <w:pPr>
              <w:jc w:val="right"/>
              <w:rPr>
                <w:lang w:val="en-US" w:eastAsia="en-AU"/>
              </w:rPr>
            </w:pPr>
            <w:r>
              <w:t xml:space="preserve">         349 </w:t>
            </w:r>
          </w:p>
        </w:tc>
        <w:tc>
          <w:tcPr>
            <w:tcW w:w="1791" w:type="dxa"/>
            <w:vAlign w:val="bottom"/>
          </w:tcPr>
          <w:p w14:paraId="20070637" w14:textId="0046E28D" w:rsidR="008F7A2D" w:rsidRDefault="008F7A2D" w:rsidP="008F7A2D">
            <w:pPr>
              <w:jc w:val="right"/>
              <w:rPr>
                <w:lang w:val="en-US" w:eastAsia="en-AU"/>
              </w:rPr>
            </w:pPr>
            <w:r>
              <w:t xml:space="preserve">                                  367 </w:t>
            </w:r>
          </w:p>
        </w:tc>
      </w:tr>
      <w:tr w:rsidR="008F7A2D" w14:paraId="5F4FE976" w14:textId="77777777" w:rsidTr="008F7A2D">
        <w:tc>
          <w:tcPr>
            <w:tcW w:w="5524" w:type="dxa"/>
            <w:vAlign w:val="center"/>
          </w:tcPr>
          <w:p w14:paraId="61682403" w14:textId="017BF1C7" w:rsidR="008F7A2D" w:rsidRDefault="008F7A2D" w:rsidP="008F7A2D">
            <w:pPr>
              <w:rPr>
                <w:lang w:val="en-US" w:eastAsia="en-AU"/>
              </w:rPr>
            </w:pPr>
            <w:r>
              <w:rPr>
                <w:lang w:val="en-US" w:eastAsia="en-AU"/>
              </w:rPr>
              <w:t xml:space="preserve">Administration fee </w:t>
            </w:r>
          </w:p>
        </w:tc>
        <w:tc>
          <w:tcPr>
            <w:tcW w:w="1701" w:type="dxa"/>
            <w:tcBorders>
              <w:bottom w:val="single" w:sz="4" w:space="0" w:color="auto"/>
            </w:tcBorders>
            <w:vAlign w:val="bottom"/>
          </w:tcPr>
          <w:p w14:paraId="733A7468" w14:textId="3A6DF465" w:rsidR="008F7A2D" w:rsidRDefault="008F7A2D" w:rsidP="008F7A2D">
            <w:pPr>
              <w:jc w:val="right"/>
              <w:rPr>
                <w:lang w:val="en-US" w:eastAsia="en-AU"/>
              </w:rPr>
            </w:pPr>
            <w:r>
              <w:t xml:space="preserve">            8 </w:t>
            </w:r>
          </w:p>
        </w:tc>
        <w:tc>
          <w:tcPr>
            <w:tcW w:w="1791" w:type="dxa"/>
            <w:tcBorders>
              <w:bottom w:val="single" w:sz="4" w:space="0" w:color="auto"/>
            </w:tcBorders>
            <w:vAlign w:val="bottom"/>
          </w:tcPr>
          <w:p w14:paraId="2490BA83" w14:textId="274590E0" w:rsidR="008F7A2D" w:rsidRDefault="008F7A2D" w:rsidP="008F7A2D">
            <w:pPr>
              <w:jc w:val="right"/>
              <w:rPr>
                <w:lang w:val="en-US" w:eastAsia="en-AU"/>
              </w:rPr>
            </w:pPr>
            <w:r>
              <w:t xml:space="preserve">                                    10 </w:t>
            </w:r>
          </w:p>
        </w:tc>
      </w:tr>
      <w:tr w:rsidR="008F7A2D" w14:paraId="6D42B662" w14:textId="77777777" w:rsidTr="008F7A2D">
        <w:tc>
          <w:tcPr>
            <w:tcW w:w="5524" w:type="dxa"/>
          </w:tcPr>
          <w:p w14:paraId="17BC44B6" w14:textId="77777777" w:rsidR="008F7A2D" w:rsidRDefault="008F7A2D" w:rsidP="008F7A2D">
            <w:pPr>
              <w:rPr>
                <w:lang w:val="en-US" w:eastAsia="en-AU"/>
              </w:rPr>
            </w:pPr>
          </w:p>
        </w:tc>
        <w:tc>
          <w:tcPr>
            <w:tcW w:w="1701" w:type="dxa"/>
            <w:tcBorders>
              <w:top w:val="single" w:sz="4" w:space="0" w:color="auto"/>
              <w:bottom w:val="double" w:sz="4" w:space="0" w:color="auto"/>
            </w:tcBorders>
          </w:tcPr>
          <w:p w14:paraId="2CA4C2B9" w14:textId="4577030C" w:rsidR="008F7A2D" w:rsidRPr="008F7A2D" w:rsidRDefault="008F7A2D" w:rsidP="008F7A2D">
            <w:pPr>
              <w:jc w:val="right"/>
              <w:rPr>
                <w:b/>
                <w:lang w:val="en-US" w:eastAsia="en-AU"/>
              </w:rPr>
            </w:pPr>
            <w:r>
              <w:rPr>
                <w:b/>
                <w:lang w:val="en-US" w:eastAsia="en-AU"/>
              </w:rPr>
              <w:t>357</w:t>
            </w:r>
          </w:p>
        </w:tc>
        <w:tc>
          <w:tcPr>
            <w:tcW w:w="1791" w:type="dxa"/>
            <w:tcBorders>
              <w:top w:val="single" w:sz="4" w:space="0" w:color="auto"/>
              <w:bottom w:val="double" w:sz="4" w:space="0" w:color="auto"/>
            </w:tcBorders>
          </w:tcPr>
          <w:p w14:paraId="47CF0D6C" w14:textId="19BDED2D" w:rsidR="008F7A2D" w:rsidRPr="008F7A2D" w:rsidRDefault="008F7A2D" w:rsidP="008F7A2D">
            <w:pPr>
              <w:jc w:val="right"/>
              <w:rPr>
                <w:b/>
                <w:lang w:val="en-US" w:eastAsia="en-AU"/>
              </w:rPr>
            </w:pPr>
            <w:r>
              <w:rPr>
                <w:b/>
                <w:lang w:val="en-US" w:eastAsia="en-AU"/>
              </w:rPr>
              <w:t>377</w:t>
            </w:r>
          </w:p>
        </w:tc>
      </w:tr>
      <w:tr w:rsidR="008F7A2D" w14:paraId="1653FB6E" w14:textId="77777777" w:rsidTr="008D090C">
        <w:tc>
          <w:tcPr>
            <w:tcW w:w="5524" w:type="dxa"/>
          </w:tcPr>
          <w:p w14:paraId="335BB8C0" w14:textId="422E8E21" w:rsidR="008F7A2D" w:rsidRPr="008D090C" w:rsidRDefault="008D090C" w:rsidP="008F7A2D">
            <w:pPr>
              <w:rPr>
                <w:u w:val="single"/>
                <w:lang w:val="en-US" w:eastAsia="en-AU"/>
              </w:rPr>
            </w:pPr>
            <w:r>
              <w:rPr>
                <w:u w:val="single"/>
                <w:lang w:val="en-US" w:eastAsia="en-AU"/>
              </w:rPr>
              <w:t>Surplus/(Deficit)</w:t>
            </w:r>
          </w:p>
        </w:tc>
        <w:tc>
          <w:tcPr>
            <w:tcW w:w="1701" w:type="dxa"/>
            <w:tcBorders>
              <w:top w:val="double" w:sz="4" w:space="0" w:color="auto"/>
            </w:tcBorders>
            <w:vAlign w:val="center"/>
          </w:tcPr>
          <w:p w14:paraId="60CB6DFF" w14:textId="5F2DFF31" w:rsidR="008F7A2D" w:rsidRDefault="008D090C" w:rsidP="008D090C">
            <w:pPr>
              <w:jc w:val="right"/>
              <w:rPr>
                <w:lang w:val="en-US" w:eastAsia="en-AU"/>
              </w:rPr>
            </w:pPr>
            <w:r>
              <w:rPr>
                <w:lang w:val="en-US" w:eastAsia="en-AU"/>
              </w:rPr>
              <w:t>(107)</w:t>
            </w:r>
          </w:p>
        </w:tc>
        <w:tc>
          <w:tcPr>
            <w:tcW w:w="1791" w:type="dxa"/>
            <w:tcBorders>
              <w:top w:val="double" w:sz="4" w:space="0" w:color="auto"/>
            </w:tcBorders>
            <w:vAlign w:val="center"/>
          </w:tcPr>
          <w:p w14:paraId="7747BE14" w14:textId="02A3F550" w:rsidR="008F7A2D" w:rsidRDefault="008D090C" w:rsidP="008D090C">
            <w:pPr>
              <w:jc w:val="right"/>
              <w:rPr>
                <w:lang w:val="en-US" w:eastAsia="en-AU"/>
              </w:rPr>
            </w:pPr>
            <w:r>
              <w:rPr>
                <w:lang w:val="en-US" w:eastAsia="en-AU"/>
              </w:rPr>
              <w:t>(82)</w:t>
            </w:r>
          </w:p>
        </w:tc>
      </w:tr>
      <w:tr w:rsidR="008D090C" w14:paraId="5F3BA26C" w14:textId="77777777" w:rsidTr="008D090C">
        <w:tc>
          <w:tcPr>
            <w:tcW w:w="5524" w:type="dxa"/>
            <w:vAlign w:val="bottom"/>
          </w:tcPr>
          <w:p w14:paraId="2EE16FAC" w14:textId="048DF802" w:rsidR="008D090C" w:rsidRDefault="008D090C" w:rsidP="008D090C">
            <w:pPr>
              <w:rPr>
                <w:lang w:val="en-US" w:eastAsia="en-AU"/>
              </w:rPr>
            </w:pPr>
            <w:r>
              <w:t>Balance July 1</w:t>
            </w:r>
          </w:p>
        </w:tc>
        <w:tc>
          <w:tcPr>
            <w:tcW w:w="1701" w:type="dxa"/>
            <w:tcBorders>
              <w:bottom w:val="single" w:sz="4" w:space="0" w:color="auto"/>
            </w:tcBorders>
            <w:vAlign w:val="bottom"/>
          </w:tcPr>
          <w:p w14:paraId="1985E29E" w14:textId="2A9C0E4A" w:rsidR="008D090C" w:rsidRDefault="008D090C" w:rsidP="008D090C">
            <w:pPr>
              <w:jc w:val="right"/>
              <w:rPr>
                <w:lang w:val="en-US" w:eastAsia="en-AU"/>
              </w:rPr>
            </w:pPr>
            <w:r>
              <w:t xml:space="preserve">      1,051 </w:t>
            </w:r>
          </w:p>
        </w:tc>
        <w:tc>
          <w:tcPr>
            <w:tcW w:w="1791" w:type="dxa"/>
            <w:tcBorders>
              <w:bottom w:val="single" w:sz="4" w:space="0" w:color="auto"/>
            </w:tcBorders>
            <w:vAlign w:val="bottom"/>
          </w:tcPr>
          <w:p w14:paraId="405385AA" w14:textId="3FDCEE25" w:rsidR="008D090C" w:rsidRDefault="008D090C" w:rsidP="008D090C">
            <w:pPr>
              <w:jc w:val="right"/>
              <w:rPr>
                <w:lang w:val="en-US" w:eastAsia="en-AU"/>
              </w:rPr>
            </w:pPr>
            <w:r>
              <w:t xml:space="preserve">                               1,133 </w:t>
            </w:r>
          </w:p>
        </w:tc>
      </w:tr>
      <w:tr w:rsidR="008D090C" w14:paraId="56A6D8FB" w14:textId="77777777" w:rsidTr="008D090C">
        <w:tc>
          <w:tcPr>
            <w:tcW w:w="5524" w:type="dxa"/>
            <w:vAlign w:val="bottom"/>
          </w:tcPr>
          <w:p w14:paraId="0DD2F702" w14:textId="557024CA" w:rsidR="008D090C" w:rsidRDefault="008D090C" w:rsidP="008D090C">
            <w:pPr>
              <w:rPr>
                <w:lang w:val="en-US" w:eastAsia="en-AU"/>
              </w:rPr>
            </w:pPr>
            <w:r>
              <w:t>Balance June 30</w:t>
            </w:r>
          </w:p>
        </w:tc>
        <w:tc>
          <w:tcPr>
            <w:tcW w:w="1701" w:type="dxa"/>
            <w:tcBorders>
              <w:top w:val="single" w:sz="4" w:space="0" w:color="auto"/>
              <w:bottom w:val="double" w:sz="4" w:space="0" w:color="auto"/>
            </w:tcBorders>
            <w:vAlign w:val="bottom"/>
          </w:tcPr>
          <w:p w14:paraId="715ABF2C" w14:textId="5B0F375D" w:rsidR="008D090C" w:rsidRDefault="008D090C" w:rsidP="008D090C">
            <w:pPr>
              <w:jc w:val="right"/>
              <w:rPr>
                <w:lang w:val="en-US" w:eastAsia="en-AU"/>
              </w:rPr>
            </w:pPr>
            <w:r>
              <w:rPr>
                <w:b/>
                <w:bCs/>
              </w:rPr>
              <w:t xml:space="preserve">       944 </w:t>
            </w:r>
          </w:p>
        </w:tc>
        <w:tc>
          <w:tcPr>
            <w:tcW w:w="1791" w:type="dxa"/>
            <w:tcBorders>
              <w:top w:val="single" w:sz="4" w:space="0" w:color="auto"/>
              <w:bottom w:val="double" w:sz="4" w:space="0" w:color="auto"/>
            </w:tcBorders>
            <w:vAlign w:val="bottom"/>
          </w:tcPr>
          <w:p w14:paraId="4164E4B5" w14:textId="7F24BCFD" w:rsidR="008D090C" w:rsidRDefault="008D090C" w:rsidP="008D090C">
            <w:pPr>
              <w:jc w:val="right"/>
              <w:rPr>
                <w:lang w:val="en-US" w:eastAsia="en-AU"/>
              </w:rPr>
            </w:pPr>
            <w:r>
              <w:rPr>
                <w:b/>
                <w:bCs/>
              </w:rPr>
              <w:t xml:space="preserve">                               1,051 </w:t>
            </w:r>
          </w:p>
        </w:tc>
      </w:tr>
      <w:tr w:rsidR="008D090C" w14:paraId="29BA2FE1" w14:textId="77777777" w:rsidTr="008D090C">
        <w:tc>
          <w:tcPr>
            <w:tcW w:w="5524" w:type="dxa"/>
            <w:vAlign w:val="bottom"/>
          </w:tcPr>
          <w:p w14:paraId="59DEFE3B" w14:textId="426000B7" w:rsidR="008D090C" w:rsidRDefault="006B01F1" w:rsidP="008D090C">
            <w:pPr>
              <w:rPr>
                <w:lang w:val="en-US" w:eastAsia="en-AU"/>
              </w:rPr>
            </w:pPr>
            <w:r>
              <w:br/>
            </w:r>
            <w:r>
              <w:br/>
            </w:r>
            <w:r w:rsidR="008D090C">
              <w:t>Balance of funds held represents:</w:t>
            </w:r>
            <w:r>
              <w:br/>
            </w:r>
          </w:p>
        </w:tc>
        <w:tc>
          <w:tcPr>
            <w:tcW w:w="1701" w:type="dxa"/>
            <w:tcBorders>
              <w:top w:val="double" w:sz="4" w:space="0" w:color="auto"/>
            </w:tcBorders>
          </w:tcPr>
          <w:p w14:paraId="5ACC1099" w14:textId="77777777" w:rsidR="008D090C" w:rsidRDefault="008D090C" w:rsidP="008D090C">
            <w:pPr>
              <w:rPr>
                <w:lang w:val="en-US" w:eastAsia="en-AU"/>
              </w:rPr>
            </w:pPr>
          </w:p>
        </w:tc>
        <w:tc>
          <w:tcPr>
            <w:tcW w:w="1791" w:type="dxa"/>
            <w:tcBorders>
              <w:top w:val="double" w:sz="4" w:space="0" w:color="auto"/>
            </w:tcBorders>
          </w:tcPr>
          <w:p w14:paraId="61A59E63" w14:textId="318DA328" w:rsidR="008D090C" w:rsidRDefault="008D090C" w:rsidP="008D090C">
            <w:pPr>
              <w:rPr>
                <w:lang w:val="en-US" w:eastAsia="en-AU"/>
              </w:rPr>
            </w:pPr>
            <w:r>
              <w:rPr>
                <w:lang w:val="en-US" w:eastAsia="en-AU"/>
              </w:rPr>
              <w:br/>
            </w:r>
          </w:p>
        </w:tc>
      </w:tr>
      <w:tr w:rsidR="008D090C" w14:paraId="036AC24B" w14:textId="77777777" w:rsidTr="008D090C">
        <w:tc>
          <w:tcPr>
            <w:tcW w:w="5524" w:type="dxa"/>
            <w:vAlign w:val="bottom"/>
          </w:tcPr>
          <w:p w14:paraId="66CBA480" w14:textId="7435B72A" w:rsidR="008D090C" w:rsidRPr="008D090C" w:rsidRDefault="008D090C" w:rsidP="008D090C">
            <w:r>
              <w:t>Cash and cash equivalents</w:t>
            </w:r>
          </w:p>
        </w:tc>
        <w:tc>
          <w:tcPr>
            <w:tcW w:w="1701" w:type="dxa"/>
            <w:tcBorders>
              <w:bottom w:val="single" w:sz="4" w:space="0" w:color="auto"/>
            </w:tcBorders>
            <w:vAlign w:val="bottom"/>
          </w:tcPr>
          <w:p w14:paraId="2D72B391" w14:textId="731F1F2B" w:rsidR="008D090C" w:rsidRDefault="008D090C" w:rsidP="008D090C">
            <w:pPr>
              <w:jc w:val="right"/>
              <w:rPr>
                <w:lang w:val="en-US" w:eastAsia="en-AU"/>
              </w:rPr>
            </w:pPr>
            <w:r>
              <w:t xml:space="preserve">         944 </w:t>
            </w:r>
          </w:p>
        </w:tc>
        <w:tc>
          <w:tcPr>
            <w:tcW w:w="1791" w:type="dxa"/>
            <w:tcBorders>
              <w:bottom w:val="single" w:sz="4" w:space="0" w:color="auto"/>
            </w:tcBorders>
            <w:vAlign w:val="bottom"/>
          </w:tcPr>
          <w:p w14:paraId="245F9F30" w14:textId="3090D15B" w:rsidR="008D090C" w:rsidRPr="008D090C" w:rsidRDefault="008D090C" w:rsidP="008D090C">
            <w:pPr>
              <w:jc w:val="right"/>
            </w:pPr>
            <w:r>
              <w:t xml:space="preserve">                               1,051 </w:t>
            </w:r>
          </w:p>
        </w:tc>
      </w:tr>
      <w:tr w:rsidR="008D090C" w14:paraId="535EAC9F" w14:textId="77777777" w:rsidTr="008D090C">
        <w:tc>
          <w:tcPr>
            <w:tcW w:w="5524" w:type="dxa"/>
          </w:tcPr>
          <w:p w14:paraId="31AC6028" w14:textId="77777777" w:rsidR="008D090C" w:rsidRDefault="008D090C" w:rsidP="008D090C">
            <w:pPr>
              <w:rPr>
                <w:lang w:val="en-US" w:eastAsia="en-AU"/>
              </w:rPr>
            </w:pPr>
          </w:p>
        </w:tc>
        <w:tc>
          <w:tcPr>
            <w:tcW w:w="1701" w:type="dxa"/>
            <w:tcBorders>
              <w:top w:val="single" w:sz="4" w:space="0" w:color="auto"/>
              <w:bottom w:val="double" w:sz="4" w:space="0" w:color="auto"/>
            </w:tcBorders>
            <w:vAlign w:val="bottom"/>
          </w:tcPr>
          <w:p w14:paraId="3CF1BF1D" w14:textId="5299D14B" w:rsidR="008D090C" w:rsidRDefault="008D090C" w:rsidP="008D090C">
            <w:pPr>
              <w:jc w:val="right"/>
              <w:rPr>
                <w:lang w:val="en-US" w:eastAsia="en-AU"/>
              </w:rPr>
            </w:pPr>
            <w:r>
              <w:rPr>
                <w:b/>
                <w:bCs/>
              </w:rPr>
              <w:t xml:space="preserve">         944 </w:t>
            </w:r>
          </w:p>
        </w:tc>
        <w:tc>
          <w:tcPr>
            <w:tcW w:w="1791" w:type="dxa"/>
            <w:tcBorders>
              <w:top w:val="single" w:sz="4" w:space="0" w:color="auto"/>
              <w:bottom w:val="double" w:sz="4" w:space="0" w:color="auto"/>
            </w:tcBorders>
            <w:vAlign w:val="bottom"/>
          </w:tcPr>
          <w:p w14:paraId="213D9A8C" w14:textId="71FF1AC9" w:rsidR="008D090C" w:rsidRDefault="008D090C" w:rsidP="008D090C">
            <w:pPr>
              <w:jc w:val="right"/>
              <w:rPr>
                <w:lang w:val="en-US" w:eastAsia="en-AU"/>
              </w:rPr>
            </w:pPr>
            <w:r>
              <w:rPr>
                <w:b/>
                <w:bCs/>
              </w:rPr>
              <w:t xml:space="preserve">                               1,051 </w:t>
            </w:r>
          </w:p>
        </w:tc>
      </w:tr>
    </w:tbl>
    <w:p w14:paraId="276AFC28" w14:textId="71CBCF56" w:rsidR="00631D5A" w:rsidRDefault="00631D5A" w:rsidP="00631D5A">
      <w:pPr>
        <w:spacing w:line="360" w:lineRule="auto"/>
        <w:rPr>
          <w:lang w:val="en-US" w:eastAsia="en-AU"/>
        </w:rPr>
      </w:pPr>
    </w:p>
    <w:p w14:paraId="0BB134F1" w14:textId="501C1752" w:rsidR="008D090C" w:rsidRDefault="008D090C" w:rsidP="008D090C">
      <w:pPr>
        <w:pStyle w:val="Heading3nonumber"/>
        <w:numPr>
          <w:ilvl w:val="1"/>
          <w:numId w:val="50"/>
        </w:numPr>
        <w:rPr>
          <w:lang w:val="en-US" w:eastAsia="en-AU"/>
        </w:rPr>
      </w:pPr>
      <w:bookmarkStart w:id="809" w:name="_Toc525122205"/>
      <w:r>
        <w:rPr>
          <w:lang w:val="en-US" w:eastAsia="en-AU"/>
        </w:rPr>
        <w:t>Remuneration of auditor</w:t>
      </w:r>
      <w:bookmarkEnd w:id="809"/>
    </w:p>
    <w:p w14:paraId="60B78020" w14:textId="2E38BDDC" w:rsidR="008D090C" w:rsidRDefault="008D090C" w:rsidP="008D090C">
      <w:pPr>
        <w:rPr>
          <w:lang w:val="en-US" w:eastAsia="en-AU"/>
        </w:rPr>
      </w:pPr>
      <w:r w:rsidRPr="008D090C">
        <w:rPr>
          <w:lang w:val="en-US" w:eastAsia="en-AU"/>
        </w:rPr>
        <w:t>Remuneration payable to the Auditor General for the reporting period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Remuneration of auditor"/>
        <w:tblDescription w:val="This table outlines the remuneration payable to the Auditor General for the reporting period is as follows. "/>
      </w:tblPr>
      <w:tblGrid>
        <w:gridCol w:w="5524"/>
        <w:gridCol w:w="1701"/>
        <w:gridCol w:w="1791"/>
      </w:tblGrid>
      <w:tr w:rsidR="008D090C" w14:paraId="1BC8C5CE" w14:textId="77777777" w:rsidTr="008D090C">
        <w:trPr>
          <w:tblHeader/>
        </w:trPr>
        <w:tc>
          <w:tcPr>
            <w:tcW w:w="5524" w:type="dxa"/>
          </w:tcPr>
          <w:p w14:paraId="129E0859" w14:textId="77777777" w:rsidR="008D090C" w:rsidRDefault="008D090C" w:rsidP="008D090C">
            <w:pPr>
              <w:rPr>
                <w:lang w:val="en-US" w:eastAsia="en-AU"/>
              </w:rPr>
            </w:pPr>
          </w:p>
        </w:tc>
        <w:tc>
          <w:tcPr>
            <w:tcW w:w="1701" w:type="dxa"/>
          </w:tcPr>
          <w:p w14:paraId="53B30776" w14:textId="77777777" w:rsidR="008D090C" w:rsidRDefault="008D090C" w:rsidP="008D090C">
            <w:pPr>
              <w:jc w:val="right"/>
              <w:rPr>
                <w:lang w:val="en-US" w:eastAsia="en-AU"/>
              </w:rPr>
            </w:pPr>
            <w:r>
              <w:rPr>
                <w:b/>
                <w:lang w:val="en-US" w:eastAsia="en-AU"/>
              </w:rPr>
              <w:t>2018</w:t>
            </w:r>
            <w:r>
              <w:rPr>
                <w:b/>
                <w:lang w:val="en-US" w:eastAsia="en-AU"/>
              </w:rPr>
              <w:br/>
              <w:t>$000</w:t>
            </w:r>
          </w:p>
        </w:tc>
        <w:tc>
          <w:tcPr>
            <w:tcW w:w="1791" w:type="dxa"/>
          </w:tcPr>
          <w:p w14:paraId="16321E80" w14:textId="77777777" w:rsidR="008D090C" w:rsidRDefault="008D090C" w:rsidP="008D090C">
            <w:pPr>
              <w:jc w:val="right"/>
              <w:rPr>
                <w:lang w:val="en-US" w:eastAsia="en-AU"/>
              </w:rPr>
            </w:pPr>
            <w:r>
              <w:rPr>
                <w:b/>
                <w:lang w:val="en-US" w:eastAsia="en-AU"/>
              </w:rPr>
              <w:t>2017</w:t>
            </w:r>
            <w:r>
              <w:rPr>
                <w:b/>
                <w:lang w:val="en-US" w:eastAsia="en-AU"/>
              </w:rPr>
              <w:br/>
              <w:t>$000</w:t>
            </w:r>
          </w:p>
        </w:tc>
      </w:tr>
      <w:tr w:rsidR="008D090C" w14:paraId="58B1CEBB" w14:textId="77777777" w:rsidTr="00D86C68">
        <w:tc>
          <w:tcPr>
            <w:tcW w:w="5524" w:type="dxa"/>
            <w:vAlign w:val="bottom"/>
          </w:tcPr>
          <w:p w14:paraId="3D99E234" w14:textId="485FD773" w:rsidR="008D090C" w:rsidRDefault="008D090C" w:rsidP="008D090C">
            <w:pPr>
              <w:rPr>
                <w:lang w:val="en-US" w:eastAsia="en-AU"/>
              </w:rPr>
            </w:pPr>
            <w:r w:rsidRPr="008D090C">
              <w:rPr>
                <w:lang w:val="en-US" w:eastAsia="en-AU"/>
              </w:rPr>
              <w:t>Auditing the accounts, controls, financial statements and key performance indicators</w:t>
            </w:r>
          </w:p>
        </w:tc>
        <w:tc>
          <w:tcPr>
            <w:tcW w:w="1701" w:type="dxa"/>
            <w:tcBorders>
              <w:bottom w:val="single" w:sz="4" w:space="0" w:color="auto"/>
            </w:tcBorders>
            <w:vAlign w:val="bottom"/>
          </w:tcPr>
          <w:p w14:paraId="5387C014" w14:textId="33251910" w:rsidR="008D090C" w:rsidRDefault="00D86C68" w:rsidP="008D090C">
            <w:pPr>
              <w:jc w:val="right"/>
              <w:rPr>
                <w:lang w:val="en-US" w:eastAsia="en-AU"/>
              </w:rPr>
            </w:pPr>
            <w:r>
              <w:rPr>
                <w:lang w:val="en-US" w:eastAsia="en-AU"/>
              </w:rPr>
              <w:t>87</w:t>
            </w:r>
          </w:p>
        </w:tc>
        <w:tc>
          <w:tcPr>
            <w:tcW w:w="1791" w:type="dxa"/>
            <w:tcBorders>
              <w:bottom w:val="single" w:sz="4" w:space="0" w:color="auto"/>
            </w:tcBorders>
            <w:vAlign w:val="bottom"/>
          </w:tcPr>
          <w:p w14:paraId="19E09B48" w14:textId="313F4751" w:rsidR="008D090C" w:rsidRDefault="00D86C68" w:rsidP="008D090C">
            <w:pPr>
              <w:jc w:val="right"/>
              <w:rPr>
                <w:lang w:val="en-US" w:eastAsia="en-AU"/>
              </w:rPr>
            </w:pPr>
            <w:r>
              <w:rPr>
                <w:lang w:val="en-US" w:eastAsia="en-AU"/>
              </w:rPr>
              <w:t>86</w:t>
            </w:r>
          </w:p>
        </w:tc>
      </w:tr>
      <w:tr w:rsidR="008D090C" w14:paraId="61A91B49" w14:textId="77777777" w:rsidTr="00D86C68">
        <w:tc>
          <w:tcPr>
            <w:tcW w:w="5524" w:type="dxa"/>
            <w:vAlign w:val="bottom"/>
          </w:tcPr>
          <w:p w14:paraId="3854B0E7" w14:textId="5FD04F74" w:rsidR="008D090C" w:rsidRDefault="008D090C" w:rsidP="008D090C">
            <w:pPr>
              <w:rPr>
                <w:lang w:val="en-US" w:eastAsia="en-AU"/>
              </w:rPr>
            </w:pPr>
          </w:p>
        </w:tc>
        <w:tc>
          <w:tcPr>
            <w:tcW w:w="1701" w:type="dxa"/>
            <w:tcBorders>
              <w:top w:val="single" w:sz="4" w:space="0" w:color="auto"/>
              <w:bottom w:val="double" w:sz="4" w:space="0" w:color="auto"/>
            </w:tcBorders>
            <w:vAlign w:val="bottom"/>
          </w:tcPr>
          <w:p w14:paraId="24136702" w14:textId="639FB35C" w:rsidR="008D090C" w:rsidRPr="00D86C68" w:rsidRDefault="00D86C68" w:rsidP="008D090C">
            <w:pPr>
              <w:jc w:val="right"/>
              <w:rPr>
                <w:b/>
                <w:lang w:val="en-US" w:eastAsia="en-AU"/>
              </w:rPr>
            </w:pPr>
            <w:r>
              <w:rPr>
                <w:b/>
                <w:lang w:val="en-US" w:eastAsia="en-AU"/>
              </w:rPr>
              <w:t>87</w:t>
            </w:r>
          </w:p>
        </w:tc>
        <w:tc>
          <w:tcPr>
            <w:tcW w:w="1791" w:type="dxa"/>
            <w:tcBorders>
              <w:top w:val="single" w:sz="4" w:space="0" w:color="auto"/>
              <w:bottom w:val="double" w:sz="4" w:space="0" w:color="auto"/>
            </w:tcBorders>
            <w:vAlign w:val="bottom"/>
          </w:tcPr>
          <w:p w14:paraId="17639072" w14:textId="00B0AE76" w:rsidR="008D090C" w:rsidRPr="00D86C68" w:rsidRDefault="00D86C68" w:rsidP="008D090C">
            <w:pPr>
              <w:jc w:val="right"/>
              <w:rPr>
                <w:b/>
                <w:lang w:val="en-US" w:eastAsia="en-AU"/>
              </w:rPr>
            </w:pPr>
            <w:r>
              <w:rPr>
                <w:b/>
                <w:lang w:val="en-US" w:eastAsia="en-AU"/>
              </w:rPr>
              <w:t>86</w:t>
            </w:r>
          </w:p>
        </w:tc>
      </w:tr>
    </w:tbl>
    <w:p w14:paraId="51D86F12" w14:textId="77777777" w:rsidR="008D090C" w:rsidRDefault="008D090C" w:rsidP="008D090C">
      <w:pPr>
        <w:rPr>
          <w:lang w:val="en-US" w:eastAsia="en-AU"/>
        </w:rPr>
      </w:pPr>
    </w:p>
    <w:p w14:paraId="152196C6" w14:textId="0FE203B2" w:rsidR="00D86C68" w:rsidRDefault="00D86C68" w:rsidP="00D86C68">
      <w:pPr>
        <w:pStyle w:val="Heading3nonumber"/>
        <w:numPr>
          <w:ilvl w:val="1"/>
          <w:numId w:val="50"/>
        </w:numPr>
        <w:rPr>
          <w:lang w:val="en-US" w:eastAsia="en-AU"/>
        </w:rPr>
      </w:pPr>
      <w:bookmarkStart w:id="810" w:name="_Toc525122206"/>
      <w:r>
        <w:rPr>
          <w:lang w:val="en-US" w:eastAsia="en-AU"/>
        </w:rPr>
        <w:t>Equity</w:t>
      </w:r>
      <w:bookmarkEnd w:id="810"/>
      <w:r>
        <w:rPr>
          <w:lang w:val="en-US" w:eastAsia="en-AU"/>
        </w:rPr>
        <w:t xml:space="preserve"> </w:t>
      </w:r>
    </w:p>
    <w:p w14:paraId="6BD89D2B" w14:textId="4CCB6648" w:rsidR="00D86C68" w:rsidRDefault="00D86C68" w:rsidP="00D86C68">
      <w:pPr>
        <w:rPr>
          <w:lang w:val="en-US" w:eastAsia="en-AU"/>
        </w:rPr>
      </w:pPr>
      <w:r w:rsidRPr="00D86C68">
        <w:rPr>
          <w:lang w:val="en-US" w:eastAsia="en-AU"/>
        </w:rPr>
        <w:t>The Western Australian Government holds the equity interest in the Authority on behalf of the community.</w:t>
      </w:r>
    </w:p>
    <w:p w14:paraId="321FBDAF" w14:textId="4A9D3EB5" w:rsidR="00D86C68" w:rsidRDefault="00D86C68" w:rsidP="00D86C68">
      <w:pPr>
        <w:rPr>
          <w:lang w:val="en-US" w:eastAsia="en-AU"/>
        </w:rPr>
      </w:pPr>
      <w:r w:rsidRPr="00D86C68">
        <w:rPr>
          <w:lang w:val="en-US" w:eastAsia="en-AU"/>
        </w:rPr>
        <w:t>Equity represents the residual interest in the net assets of the Authority. The asset revaluation surplus represents that portion of equity resulting from the revalua</w:t>
      </w:r>
      <w:r>
        <w:rPr>
          <w:lang w:val="en-US" w:eastAsia="en-AU"/>
        </w:rPr>
        <w:t>tion of non-current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Equity"/>
        <w:tblDescription w:val="This table outlines the Authority's equity. "/>
      </w:tblPr>
      <w:tblGrid>
        <w:gridCol w:w="4719"/>
        <w:gridCol w:w="1467"/>
        <w:gridCol w:w="1538"/>
        <w:gridCol w:w="1302"/>
      </w:tblGrid>
      <w:tr w:rsidR="00D86C68" w14:paraId="14DF3E26" w14:textId="437C5A5F" w:rsidTr="00D86C68">
        <w:trPr>
          <w:tblHeader/>
        </w:trPr>
        <w:tc>
          <w:tcPr>
            <w:tcW w:w="4719" w:type="dxa"/>
          </w:tcPr>
          <w:p w14:paraId="66DE44F9" w14:textId="77777777" w:rsidR="00D86C68" w:rsidRDefault="00D86C68" w:rsidP="00DA1F1E">
            <w:pPr>
              <w:rPr>
                <w:lang w:val="en-US" w:eastAsia="en-AU"/>
              </w:rPr>
            </w:pPr>
          </w:p>
        </w:tc>
        <w:tc>
          <w:tcPr>
            <w:tcW w:w="1467" w:type="dxa"/>
          </w:tcPr>
          <w:p w14:paraId="7808E988" w14:textId="77777777" w:rsidR="00D86C68" w:rsidRDefault="00D86C68" w:rsidP="00DA1F1E">
            <w:pPr>
              <w:jc w:val="right"/>
              <w:rPr>
                <w:lang w:val="en-US" w:eastAsia="en-AU"/>
              </w:rPr>
            </w:pPr>
            <w:r>
              <w:rPr>
                <w:b/>
                <w:lang w:val="en-US" w:eastAsia="en-AU"/>
              </w:rPr>
              <w:t>2018</w:t>
            </w:r>
            <w:r>
              <w:rPr>
                <w:b/>
                <w:lang w:val="en-US" w:eastAsia="en-AU"/>
              </w:rPr>
              <w:br/>
              <w:t>$000</w:t>
            </w:r>
          </w:p>
        </w:tc>
        <w:tc>
          <w:tcPr>
            <w:tcW w:w="1538" w:type="dxa"/>
          </w:tcPr>
          <w:p w14:paraId="08F407E3" w14:textId="77777777" w:rsidR="00D86C68" w:rsidRDefault="00D86C68" w:rsidP="00DA1F1E">
            <w:pPr>
              <w:jc w:val="right"/>
              <w:rPr>
                <w:lang w:val="en-US" w:eastAsia="en-AU"/>
              </w:rPr>
            </w:pPr>
            <w:r>
              <w:rPr>
                <w:b/>
                <w:lang w:val="en-US" w:eastAsia="en-AU"/>
              </w:rPr>
              <w:t>2017</w:t>
            </w:r>
            <w:r>
              <w:rPr>
                <w:b/>
                <w:lang w:val="en-US" w:eastAsia="en-AU"/>
              </w:rPr>
              <w:br/>
              <w:t>$000</w:t>
            </w:r>
          </w:p>
        </w:tc>
        <w:tc>
          <w:tcPr>
            <w:tcW w:w="1302" w:type="dxa"/>
          </w:tcPr>
          <w:p w14:paraId="14A3CCED" w14:textId="77777777" w:rsidR="00D86C68" w:rsidRDefault="00D86C68" w:rsidP="00DA1F1E">
            <w:pPr>
              <w:jc w:val="right"/>
              <w:rPr>
                <w:b/>
                <w:lang w:val="en-US" w:eastAsia="en-AU"/>
              </w:rPr>
            </w:pPr>
          </w:p>
        </w:tc>
      </w:tr>
      <w:tr w:rsidR="00D86C68" w14:paraId="44F314D6" w14:textId="6AF94E7A" w:rsidTr="00D86C68">
        <w:tc>
          <w:tcPr>
            <w:tcW w:w="4719" w:type="dxa"/>
            <w:vAlign w:val="bottom"/>
          </w:tcPr>
          <w:p w14:paraId="535FF180" w14:textId="7B89E469" w:rsidR="00D86C68" w:rsidRPr="00D86C68" w:rsidRDefault="00D86C68" w:rsidP="00DA1F1E">
            <w:pPr>
              <w:rPr>
                <w:b/>
                <w:lang w:val="en-US" w:eastAsia="en-AU"/>
              </w:rPr>
            </w:pPr>
            <w:r>
              <w:rPr>
                <w:b/>
                <w:lang w:val="en-US" w:eastAsia="en-AU"/>
              </w:rPr>
              <w:t>Reserves</w:t>
            </w:r>
          </w:p>
        </w:tc>
        <w:tc>
          <w:tcPr>
            <w:tcW w:w="1467" w:type="dxa"/>
          </w:tcPr>
          <w:p w14:paraId="22C09019" w14:textId="77777777" w:rsidR="00D86C68" w:rsidRDefault="00D86C68" w:rsidP="00DA1F1E">
            <w:pPr>
              <w:rPr>
                <w:lang w:val="en-US" w:eastAsia="en-AU"/>
              </w:rPr>
            </w:pPr>
          </w:p>
        </w:tc>
        <w:tc>
          <w:tcPr>
            <w:tcW w:w="1538" w:type="dxa"/>
          </w:tcPr>
          <w:p w14:paraId="5064C554" w14:textId="77777777" w:rsidR="00D86C68" w:rsidRDefault="00D86C68" w:rsidP="00DA1F1E">
            <w:pPr>
              <w:rPr>
                <w:lang w:val="en-US" w:eastAsia="en-AU"/>
              </w:rPr>
            </w:pPr>
          </w:p>
        </w:tc>
        <w:tc>
          <w:tcPr>
            <w:tcW w:w="1302" w:type="dxa"/>
          </w:tcPr>
          <w:p w14:paraId="794488DD" w14:textId="77777777" w:rsidR="00D86C68" w:rsidRDefault="00D86C68" w:rsidP="00DA1F1E">
            <w:pPr>
              <w:rPr>
                <w:lang w:val="en-US" w:eastAsia="en-AU"/>
              </w:rPr>
            </w:pPr>
          </w:p>
        </w:tc>
      </w:tr>
      <w:tr w:rsidR="00D86C68" w14:paraId="4C7EC2EE" w14:textId="554391E0" w:rsidTr="00D86C68">
        <w:tc>
          <w:tcPr>
            <w:tcW w:w="4719" w:type="dxa"/>
            <w:vAlign w:val="bottom"/>
          </w:tcPr>
          <w:p w14:paraId="3C73301B" w14:textId="1FE16BE9" w:rsidR="00D86C68" w:rsidRPr="00D86C68" w:rsidRDefault="00D86C68" w:rsidP="00DA1F1E">
            <w:pPr>
              <w:rPr>
                <w:u w:val="single"/>
                <w:lang w:val="en-US" w:eastAsia="en-AU"/>
              </w:rPr>
            </w:pPr>
            <w:r w:rsidRPr="00D86C68">
              <w:rPr>
                <w:u w:val="single"/>
                <w:lang w:val="en-US" w:eastAsia="en-AU"/>
              </w:rPr>
              <w:t>Asset revaluation surplus</w:t>
            </w:r>
          </w:p>
        </w:tc>
        <w:tc>
          <w:tcPr>
            <w:tcW w:w="1467" w:type="dxa"/>
            <w:vAlign w:val="bottom"/>
          </w:tcPr>
          <w:p w14:paraId="2A0957E6" w14:textId="423216E2" w:rsidR="00D86C68" w:rsidRDefault="00D86C68" w:rsidP="00DA1F1E">
            <w:pPr>
              <w:jc w:val="right"/>
              <w:rPr>
                <w:lang w:val="en-US" w:eastAsia="en-AU"/>
              </w:rPr>
            </w:pPr>
          </w:p>
        </w:tc>
        <w:tc>
          <w:tcPr>
            <w:tcW w:w="1538" w:type="dxa"/>
            <w:vAlign w:val="bottom"/>
          </w:tcPr>
          <w:p w14:paraId="437DCF19" w14:textId="79C97FA0" w:rsidR="00D86C68" w:rsidRDefault="00D86C68" w:rsidP="00DA1F1E">
            <w:pPr>
              <w:jc w:val="right"/>
              <w:rPr>
                <w:lang w:val="en-US" w:eastAsia="en-AU"/>
              </w:rPr>
            </w:pPr>
          </w:p>
        </w:tc>
        <w:tc>
          <w:tcPr>
            <w:tcW w:w="1302" w:type="dxa"/>
          </w:tcPr>
          <w:p w14:paraId="1C402780" w14:textId="77777777" w:rsidR="00D86C68" w:rsidRDefault="00D86C68" w:rsidP="00DA1F1E">
            <w:pPr>
              <w:jc w:val="right"/>
              <w:rPr>
                <w:lang w:val="en-US" w:eastAsia="en-AU"/>
              </w:rPr>
            </w:pPr>
          </w:p>
        </w:tc>
      </w:tr>
      <w:tr w:rsidR="00D86C68" w14:paraId="0FFFCA18" w14:textId="64382D45" w:rsidTr="00D86C68">
        <w:tc>
          <w:tcPr>
            <w:tcW w:w="4719" w:type="dxa"/>
            <w:vAlign w:val="bottom"/>
          </w:tcPr>
          <w:p w14:paraId="3608FDED" w14:textId="6D9DBA35" w:rsidR="00D86C68" w:rsidRDefault="00D86C68" w:rsidP="00D86C68">
            <w:pPr>
              <w:rPr>
                <w:lang w:val="en-US" w:eastAsia="en-AU"/>
              </w:rPr>
            </w:pPr>
            <w:r>
              <w:t>Balance at start of period</w:t>
            </w:r>
          </w:p>
        </w:tc>
        <w:tc>
          <w:tcPr>
            <w:tcW w:w="1467" w:type="dxa"/>
            <w:vAlign w:val="bottom"/>
          </w:tcPr>
          <w:p w14:paraId="1202424B" w14:textId="42A373F3" w:rsidR="00D86C68" w:rsidRDefault="00D86C68" w:rsidP="00D86C68">
            <w:pPr>
              <w:jc w:val="right"/>
              <w:rPr>
                <w:lang w:val="en-US" w:eastAsia="en-AU"/>
              </w:rPr>
            </w:pPr>
            <w:r>
              <w:t xml:space="preserve">    14,363 </w:t>
            </w:r>
          </w:p>
        </w:tc>
        <w:tc>
          <w:tcPr>
            <w:tcW w:w="1538" w:type="dxa"/>
            <w:vAlign w:val="bottom"/>
          </w:tcPr>
          <w:p w14:paraId="7BB5FEE0" w14:textId="13A40D38" w:rsidR="00D86C68" w:rsidRDefault="00D86C68" w:rsidP="00D86C68">
            <w:pPr>
              <w:jc w:val="right"/>
              <w:rPr>
                <w:lang w:val="en-US" w:eastAsia="en-AU"/>
              </w:rPr>
            </w:pPr>
            <w:r>
              <w:t xml:space="preserve">                             16,190 </w:t>
            </w:r>
          </w:p>
        </w:tc>
        <w:tc>
          <w:tcPr>
            <w:tcW w:w="1302" w:type="dxa"/>
          </w:tcPr>
          <w:p w14:paraId="5A2D8CC0" w14:textId="77777777" w:rsidR="00D86C68" w:rsidRDefault="00D86C68" w:rsidP="00D86C68">
            <w:pPr>
              <w:jc w:val="right"/>
            </w:pPr>
          </w:p>
        </w:tc>
      </w:tr>
      <w:tr w:rsidR="00D86C68" w14:paraId="6079DDD6" w14:textId="207D960A" w:rsidTr="00D86C68">
        <w:tc>
          <w:tcPr>
            <w:tcW w:w="4719" w:type="dxa"/>
            <w:vAlign w:val="bottom"/>
          </w:tcPr>
          <w:p w14:paraId="3F365106" w14:textId="56FD6628" w:rsidR="00D86C68" w:rsidRDefault="00D86C68" w:rsidP="00D86C68">
            <w:pPr>
              <w:rPr>
                <w:lang w:val="en-US" w:eastAsia="en-AU"/>
              </w:rPr>
            </w:pPr>
            <w:r>
              <w:t>Net revaluation increments/(decrements):</w:t>
            </w:r>
          </w:p>
        </w:tc>
        <w:tc>
          <w:tcPr>
            <w:tcW w:w="1467" w:type="dxa"/>
            <w:vAlign w:val="bottom"/>
          </w:tcPr>
          <w:p w14:paraId="21CF1BDD" w14:textId="77777777" w:rsidR="00D86C68" w:rsidRDefault="00D86C68" w:rsidP="00D86C68">
            <w:pPr>
              <w:jc w:val="right"/>
              <w:rPr>
                <w:lang w:val="en-US" w:eastAsia="en-AU"/>
              </w:rPr>
            </w:pPr>
          </w:p>
        </w:tc>
        <w:tc>
          <w:tcPr>
            <w:tcW w:w="1538" w:type="dxa"/>
            <w:vAlign w:val="bottom"/>
          </w:tcPr>
          <w:p w14:paraId="216CA81B" w14:textId="77777777" w:rsidR="00D86C68" w:rsidRDefault="00D86C68" w:rsidP="00D86C68">
            <w:pPr>
              <w:jc w:val="right"/>
              <w:rPr>
                <w:lang w:val="en-US" w:eastAsia="en-AU"/>
              </w:rPr>
            </w:pPr>
          </w:p>
        </w:tc>
        <w:tc>
          <w:tcPr>
            <w:tcW w:w="1302" w:type="dxa"/>
          </w:tcPr>
          <w:p w14:paraId="0CF1D3E1" w14:textId="77777777" w:rsidR="00D86C68" w:rsidRDefault="00D86C68" w:rsidP="00D86C68">
            <w:pPr>
              <w:jc w:val="right"/>
              <w:rPr>
                <w:lang w:val="en-US" w:eastAsia="en-AU"/>
              </w:rPr>
            </w:pPr>
          </w:p>
        </w:tc>
      </w:tr>
      <w:tr w:rsidR="00D86C68" w14:paraId="6F5B5F3F" w14:textId="345A14D6" w:rsidTr="00D86C68">
        <w:tc>
          <w:tcPr>
            <w:tcW w:w="4719" w:type="dxa"/>
            <w:vAlign w:val="bottom"/>
          </w:tcPr>
          <w:p w14:paraId="13AB9A5E" w14:textId="524503BE" w:rsidR="00D86C68" w:rsidRDefault="00D86C68" w:rsidP="00D86C68">
            <w:pPr>
              <w:rPr>
                <w:lang w:val="en-US" w:eastAsia="en-AU"/>
              </w:rPr>
            </w:pPr>
            <w:r>
              <w:t>Land</w:t>
            </w:r>
          </w:p>
        </w:tc>
        <w:tc>
          <w:tcPr>
            <w:tcW w:w="1467" w:type="dxa"/>
            <w:vAlign w:val="bottom"/>
          </w:tcPr>
          <w:p w14:paraId="394DBA6D" w14:textId="29D4F384" w:rsidR="00D86C68" w:rsidRDefault="00D86C68" w:rsidP="00D86C68">
            <w:pPr>
              <w:jc w:val="right"/>
              <w:rPr>
                <w:lang w:val="en-US" w:eastAsia="en-AU"/>
              </w:rPr>
            </w:pPr>
            <w:r>
              <w:t xml:space="preserve">         200 </w:t>
            </w:r>
          </w:p>
        </w:tc>
        <w:tc>
          <w:tcPr>
            <w:tcW w:w="1538" w:type="dxa"/>
            <w:vAlign w:val="bottom"/>
          </w:tcPr>
          <w:p w14:paraId="75F5BCDD" w14:textId="698ED828" w:rsidR="00D86C68" w:rsidRDefault="00D86C68" w:rsidP="00D86C68">
            <w:pPr>
              <w:jc w:val="right"/>
              <w:rPr>
                <w:lang w:val="en-US" w:eastAsia="en-AU"/>
              </w:rPr>
            </w:pPr>
            <w:r>
              <w:t xml:space="preserve">                              (1,200)</w:t>
            </w:r>
          </w:p>
        </w:tc>
        <w:tc>
          <w:tcPr>
            <w:tcW w:w="1302" w:type="dxa"/>
          </w:tcPr>
          <w:p w14:paraId="7EDE351F" w14:textId="77777777" w:rsidR="00D86C68" w:rsidRDefault="00D86C68" w:rsidP="00D86C68">
            <w:pPr>
              <w:jc w:val="right"/>
            </w:pPr>
          </w:p>
        </w:tc>
      </w:tr>
      <w:tr w:rsidR="00D86C68" w14:paraId="3E182D41" w14:textId="2DA8EF3B" w:rsidTr="00D86C68">
        <w:tc>
          <w:tcPr>
            <w:tcW w:w="4719" w:type="dxa"/>
            <w:vAlign w:val="bottom"/>
          </w:tcPr>
          <w:p w14:paraId="2743127F" w14:textId="3CAD697D" w:rsidR="00D86C68" w:rsidRDefault="00D86C68" w:rsidP="00D86C68">
            <w:pPr>
              <w:rPr>
                <w:lang w:val="en-US" w:eastAsia="en-AU"/>
              </w:rPr>
            </w:pPr>
            <w:r>
              <w:t>Buildings</w:t>
            </w:r>
          </w:p>
        </w:tc>
        <w:tc>
          <w:tcPr>
            <w:tcW w:w="1467" w:type="dxa"/>
            <w:tcBorders>
              <w:bottom w:val="single" w:sz="4" w:space="0" w:color="auto"/>
            </w:tcBorders>
            <w:vAlign w:val="bottom"/>
          </w:tcPr>
          <w:p w14:paraId="53294A55" w14:textId="648312F4" w:rsidR="00D86C68" w:rsidRDefault="00D86C68" w:rsidP="00D86C68">
            <w:pPr>
              <w:jc w:val="right"/>
              <w:rPr>
                <w:lang w:val="en-US" w:eastAsia="en-AU"/>
              </w:rPr>
            </w:pPr>
            <w:r>
              <w:t xml:space="preserve">          (96)</w:t>
            </w:r>
          </w:p>
        </w:tc>
        <w:tc>
          <w:tcPr>
            <w:tcW w:w="1538" w:type="dxa"/>
            <w:tcBorders>
              <w:bottom w:val="single" w:sz="4" w:space="0" w:color="auto"/>
            </w:tcBorders>
            <w:vAlign w:val="bottom"/>
          </w:tcPr>
          <w:p w14:paraId="7215818F" w14:textId="137B1587" w:rsidR="00D86C68" w:rsidRDefault="00D86C68" w:rsidP="00D86C68">
            <w:pPr>
              <w:jc w:val="right"/>
              <w:rPr>
                <w:lang w:val="en-US" w:eastAsia="en-AU"/>
              </w:rPr>
            </w:pPr>
            <w:r>
              <w:t xml:space="preserve">                                 (627)</w:t>
            </w:r>
          </w:p>
        </w:tc>
        <w:tc>
          <w:tcPr>
            <w:tcW w:w="1302" w:type="dxa"/>
            <w:tcBorders>
              <w:bottom w:val="single" w:sz="4" w:space="0" w:color="auto"/>
            </w:tcBorders>
          </w:tcPr>
          <w:p w14:paraId="44EE85C5" w14:textId="77777777" w:rsidR="00D86C68" w:rsidRDefault="00D86C68" w:rsidP="00D86C68">
            <w:pPr>
              <w:jc w:val="right"/>
            </w:pPr>
          </w:p>
        </w:tc>
      </w:tr>
      <w:tr w:rsidR="00D86C68" w14:paraId="497D2C7D" w14:textId="0D8EC085" w:rsidTr="00D86C68">
        <w:tc>
          <w:tcPr>
            <w:tcW w:w="4719" w:type="dxa"/>
            <w:vAlign w:val="bottom"/>
          </w:tcPr>
          <w:p w14:paraId="6416AE62" w14:textId="2E38B292" w:rsidR="00D86C68" w:rsidRPr="00D86C68" w:rsidRDefault="00D86C68" w:rsidP="00D86C68">
            <w:pPr>
              <w:rPr>
                <w:b/>
                <w:lang w:eastAsia="en-AU"/>
              </w:rPr>
            </w:pPr>
            <w:r w:rsidRPr="00D86C68">
              <w:rPr>
                <w:b/>
              </w:rPr>
              <w:t>Balance at end of period</w:t>
            </w:r>
          </w:p>
        </w:tc>
        <w:tc>
          <w:tcPr>
            <w:tcW w:w="1467" w:type="dxa"/>
            <w:tcBorders>
              <w:top w:val="single" w:sz="4" w:space="0" w:color="auto"/>
              <w:bottom w:val="single" w:sz="4" w:space="0" w:color="auto"/>
            </w:tcBorders>
            <w:vAlign w:val="bottom"/>
          </w:tcPr>
          <w:p w14:paraId="552CC44F" w14:textId="73F5A253" w:rsidR="00D86C68" w:rsidRDefault="00D86C68" w:rsidP="00D86C68">
            <w:pPr>
              <w:jc w:val="right"/>
              <w:rPr>
                <w:lang w:val="en-US" w:eastAsia="en-AU"/>
              </w:rPr>
            </w:pPr>
            <w:r>
              <w:t xml:space="preserve">    14,467 </w:t>
            </w:r>
          </w:p>
        </w:tc>
        <w:tc>
          <w:tcPr>
            <w:tcW w:w="1538" w:type="dxa"/>
            <w:tcBorders>
              <w:top w:val="single" w:sz="4" w:space="0" w:color="auto"/>
              <w:bottom w:val="single" w:sz="4" w:space="0" w:color="auto"/>
            </w:tcBorders>
            <w:vAlign w:val="bottom"/>
          </w:tcPr>
          <w:p w14:paraId="3173FB51" w14:textId="31613287" w:rsidR="00D86C68" w:rsidRDefault="00D86C68" w:rsidP="00D86C68">
            <w:pPr>
              <w:jc w:val="right"/>
              <w:rPr>
                <w:lang w:val="en-US" w:eastAsia="en-AU"/>
              </w:rPr>
            </w:pPr>
            <w:r>
              <w:t xml:space="preserve">                             14,363 </w:t>
            </w:r>
          </w:p>
        </w:tc>
        <w:tc>
          <w:tcPr>
            <w:tcW w:w="1302" w:type="dxa"/>
            <w:tcBorders>
              <w:top w:val="single" w:sz="4" w:space="0" w:color="auto"/>
              <w:bottom w:val="single" w:sz="4" w:space="0" w:color="auto"/>
            </w:tcBorders>
            <w:vAlign w:val="center"/>
          </w:tcPr>
          <w:p w14:paraId="387C5BA6" w14:textId="3F82D8D3" w:rsidR="00D86C68" w:rsidRPr="00D86C68" w:rsidRDefault="00D86C68" w:rsidP="00D86C68">
            <w:pPr>
              <w:jc w:val="right"/>
              <w:rPr>
                <w:b/>
              </w:rPr>
            </w:pPr>
            <w:r>
              <w:rPr>
                <w:b/>
              </w:rPr>
              <w:br/>
            </w:r>
            <w:r w:rsidRPr="00D86C68">
              <w:rPr>
                <w:b/>
              </w:rPr>
              <w:t>104</w:t>
            </w:r>
          </w:p>
        </w:tc>
      </w:tr>
      <w:tr w:rsidR="00D86C68" w14:paraId="0602FC47" w14:textId="77777777" w:rsidTr="00D86C68">
        <w:tc>
          <w:tcPr>
            <w:tcW w:w="4719" w:type="dxa"/>
            <w:vAlign w:val="bottom"/>
          </w:tcPr>
          <w:p w14:paraId="45B3C83F" w14:textId="5FB3BAC7" w:rsidR="00D86C68" w:rsidRPr="00D86C68" w:rsidRDefault="00D86C68" w:rsidP="00D86C68">
            <w:pPr>
              <w:rPr>
                <w:b/>
                <w:lang w:val="en-US" w:eastAsia="en-AU"/>
              </w:rPr>
            </w:pPr>
            <w:r w:rsidRPr="00D86C68">
              <w:rPr>
                <w:b/>
              </w:rPr>
              <w:t>Retained earnings</w:t>
            </w:r>
          </w:p>
        </w:tc>
        <w:tc>
          <w:tcPr>
            <w:tcW w:w="1467" w:type="dxa"/>
            <w:tcBorders>
              <w:top w:val="single" w:sz="4" w:space="0" w:color="auto"/>
            </w:tcBorders>
            <w:vAlign w:val="bottom"/>
          </w:tcPr>
          <w:p w14:paraId="1D15F3DA" w14:textId="111A291A" w:rsidR="00D86C68" w:rsidRDefault="00D86C68" w:rsidP="00D86C68">
            <w:pPr>
              <w:jc w:val="right"/>
            </w:pPr>
            <w:r>
              <w:t xml:space="preserve">    88,297 </w:t>
            </w:r>
          </w:p>
        </w:tc>
        <w:tc>
          <w:tcPr>
            <w:tcW w:w="1538" w:type="dxa"/>
            <w:tcBorders>
              <w:top w:val="single" w:sz="4" w:space="0" w:color="auto"/>
            </w:tcBorders>
            <w:vAlign w:val="bottom"/>
          </w:tcPr>
          <w:p w14:paraId="6E38B94D" w14:textId="33A783BB" w:rsidR="00D86C68" w:rsidRDefault="00D86C68" w:rsidP="00D86C68">
            <w:pPr>
              <w:jc w:val="right"/>
            </w:pPr>
            <w:r>
              <w:t xml:space="preserve">                             82,947 </w:t>
            </w:r>
          </w:p>
        </w:tc>
        <w:tc>
          <w:tcPr>
            <w:tcW w:w="1302" w:type="dxa"/>
            <w:tcBorders>
              <w:top w:val="single" w:sz="4" w:space="0" w:color="auto"/>
            </w:tcBorders>
            <w:vAlign w:val="center"/>
          </w:tcPr>
          <w:p w14:paraId="1129A747" w14:textId="77777777" w:rsidR="00D86C68" w:rsidRDefault="00D86C68" w:rsidP="00D86C68">
            <w:pPr>
              <w:jc w:val="right"/>
              <w:rPr>
                <w:b/>
              </w:rPr>
            </w:pPr>
          </w:p>
        </w:tc>
      </w:tr>
      <w:tr w:rsidR="00D86C68" w14:paraId="1B4F101F" w14:textId="77777777" w:rsidTr="00D86C68">
        <w:tc>
          <w:tcPr>
            <w:tcW w:w="4719" w:type="dxa"/>
            <w:vAlign w:val="bottom"/>
          </w:tcPr>
          <w:p w14:paraId="113500C9" w14:textId="0D115969" w:rsidR="00D86C68" w:rsidRDefault="00D86C68" w:rsidP="00D86C68">
            <w:pPr>
              <w:rPr>
                <w:lang w:val="en-US" w:eastAsia="en-AU"/>
              </w:rPr>
            </w:pPr>
            <w:r>
              <w:t>Balance at start of period</w:t>
            </w:r>
          </w:p>
        </w:tc>
        <w:tc>
          <w:tcPr>
            <w:tcW w:w="1467" w:type="dxa"/>
            <w:tcBorders>
              <w:bottom w:val="single" w:sz="4" w:space="0" w:color="auto"/>
            </w:tcBorders>
            <w:vAlign w:val="bottom"/>
          </w:tcPr>
          <w:p w14:paraId="396BC6A8" w14:textId="3C755E62" w:rsidR="00D86C68" w:rsidRDefault="00D86C68" w:rsidP="00D86C68">
            <w:pPr>
              <w:jc w:val="right"/>
            </w:pPr>
            <w:r>
              <w:t xml:space="preserve">        (568)</w:t>
            </w:r>
          </w:p>
        </w:tc>
        <w:tc>
          <w:tcPr>
            <w:tcW w:w="1538" w:type="dxa"/>
            <w:tcBorders>
              <w:bottom w:val="single" w:sz="4" w:space="0" w:color="auto"/>
            </w:tcBorders>
            <w:vAlign w:val="bottom"/>
          </w:tcPr>
          <w:p w14:paraId="76B0F83D" w14:textId="7DB2B5B2" w:rsidR="00D86C68" w:rsidRDefault="00D86C68" w:rsidP="00D86C68">
            <w:pPr>
              <w:jc w:val="right"/>
            </w:pPr>
            <w:r>
              <w:t xml:space="preserve">                               5,350 </w:t>
            </w:r>
          </w:p>
        </w:tc>
        <w:tc>
          <w:tcPr>
            <w:tcW w:w="1302" w:type="dxa"/>
            <w:vAlign w:val="center"/>
          </w:tcPr>
          <w:p w14:paraId="7E303ADC" w14:textId="77777777" w:rsidR="00D86C68" w:rsidRDefault="00D86C68" w:rsidP="00D86C68">
            <w:pPr>
              <w:jc w:val="right"/>
              <w:rPr>
                <w:b/>
              </w:rPr>
            </w:pPr>
          </w:p>
        </w:tc>
      </w:tr>
      <w:tr w:rsidR="00D86C68" w14:paraId="66261221" w14:textId="77777777" w:rsidTr="00D86C68">
        <w:tc>
          <w:tcPr>
            <w:tcW w:w="4719" w:type="dxa"/>
            <w:vAlign w:val="bottom"/>
          </w:tcPr>
          <w:p w14:paraId="594D9483" w14:textId="6D9FC0F2" w:rsidR="00D86C68" w:rsidRDefault="00D86C68" w:rsidP="00D86C68">
            <w:pPr>
              <w:rPr>
                <w:lang w:val="en-US" w:eastAsia="en-AU"/>
              </w:rPr>
            </w:pPr>
            <w:r>
              <w:t>Result for the period</w:t>
            </w:r>
          </w:p>
        </w:tc>
        <w:tc>
          <w:tcPr>
            <w:tcW w:w="1467" w:type="dxa"/>
            <w:tcBorders>
              <w:top w:val="single" w:sz="4" w:space="0" w:color="auto"/>
            </w:tcBorders>
            <w:vAlign w:val="bottom"/>
          </w:tcPr>
          <w:p w14:paraId="104754A3" w14:textId="4BF158F6" w:rsidR="00D86C68" w:rsidRDefault="00D86C68" w:rsidP="00D86C68">
            <w:pPr>
              <w:jc w:val="right"/>
            </w:pPr>
            <w:r>
              <w:t xml:space="preserve">    87,729 </w:t>
            </w:r>
          </w:p>
        </w:tc>
        <w:tc>
          <w:tcPr>
            <w:tcW w:w="1538" w:type="dxa"/>
            <w:tcBorders>
              <w:top w:val="single" w:sz="4" w:space="0" w:color="auto"/>
            </w:tcBorders>
            <w:vAlign w:val="bottom"/>
          </w:tcPr>
          <w:p w14:paraId="1B86AC09" w14:textId="04EEB368" w:rsidR="00D86C68" w:rsidRDefault="00D86C68" w:rsidP="00D86C68">
            <w:pPr>
              <w:jc w:val="right"/>
            </w:pPr>
            <w:r>
              <w:t xml:space="preserve">                             88,297 </w:t>
            </w:r>
          </w:p>
        </w:tc>
        <w:tc>
          <w:tcPr>
            <w:tcW w:w="1302" w:type="dxa"/>
            <w:vAlign w:val="center"/>
          </w:tcPr>
          <w:p w14:paraId="18829F4D" w14:textId="77777777" w:rsidR="00D86C68" w:rsidRDefault="00D86C68" w:rsidP="00D86C68">
            <w:pPr>
              <w:jc w:val="right"/>
              <w:rPr>
                <w:b/>
              </w:rPr>
            </w:pPr>
          </w:p>
        </w:tc>
      </w:tr>
      <w:tr w:rsidR="00D86C68" w14:paraId="2A5AF56F" w14:textId="77777777" w:rsidTr="00D86C68">
        <w:tc>
          <w:tcPr>
            <w:tcW w:w="4719" w:type="dxa"/>
            <w:vAlign w:val="bottom"/>
          </w:tcPr>
          <w:p w14:paraId="164E8164" w14:textId="24B9FFC6" w:rsidR="00D86C68" w:rsidRPr="00D86C68" w:rsidRDefault="00D86C68" w:rsidP="00D86C68">
            <w:pPr>
              <w:rPr>
                <w:b/>
                <w:lang w:val="en-US" w:eastAsia="en-AU"/>
              </w:rPr>
            </w:pPr>
            <w:r w:rsidRPr="00D86C68">
              <w:rPr>
                <w:b/>
              </w:rPr>
              <w:t>Balance at end of period</w:t>
            </w:r>
          </w:p>
        </w:tc>
        <w:tc>
          <w:tcPr>
            <w:tcW w:w="1467" w:type="dxa"/>
            <w:tcBorders>
              <w:bottom w:val="single" w:sz="4" w:space="0" w:color="auto"/>
            </w:tcBorders>
            <w:vAlign w:val="bottom"/>
          </w:tcPr>
          <w:p w14:paraId="5CC6A814" w14:textId="54654EAF" w:rsidR="00D86C68" w:rsidRDefault="00D86C68" w:rsidP="00D86C68">
            <w:pPr>
              <w:jc w:val="right"/>
            </w:pPr>
            <w:r>
              <w:t xml:space="preserve">    88,297 </w:t>
            </w:r>
          </w:p>
        </w:tc>
        <w:tc>
          <w:tcPr>
            <w:tcW w:w="1538" w:type="dxa"/>
            <w:tcBorders>
              <w:bottom w:val="single" w:sz="4" w:space="0" w:color="auto"/>
            </w:tcBorders>
            <w:vAlign w:val="bottom"/>
          </w:tcPr>
          <w:p w14:paraId="4C2ADD6F" w14:textId="4D88685D" w:rsidR="00D86C68" w:rsidRDefault="00D86C68" w:rsidP="00D86C68">
            <w:pPr>
              <w:jc w:val="right"/>
            </w:pPr>
            <w:r>
              <w:t xml:space="preserve">                             82,947 </w:t>
            </w:r>
          </w:p>
        </w:tc>
        <w:tc>
          <w:tcPr>
            <w:tcW w:w="1302" w:type="dxa"/>
            <w:vAlign w:val="center"/>
          </w:tcPr>
          <w:p w14:paraId="237DC0D2" w14:textId="77777777" w:rsidR="00D86C68" w:rsidRDefault="00D86C68" w:rsidP="00D86C68">
            <w:pPr>
              <w:jc w:val="right"/>
              <w:rPr>
                <w:b/>
              </w:rPr>
            </w:pPr>
          </w:p>
        </w:tc>
      </w:tr>
      <w:tr w:rsidR="007161BB" w14:paraId="78D75D03" w14:textId="77777777" w:rsidTr="007161BB">
        <w:tc>
          <w:tcPr>
            <w:tcW w:w="4719" w:type="dxa"/>
            <w:vAlign w:val="center"/>
          </w:tcPr>
          <w:p w14:paraId="33F8B42C" w14:textId="6DFF9AEC" w:rsidR="007161BB" w:rsidRPr="007161BB" w:rsidRDefault="007161BB" w:rsidP="007161BB">
            <w:pPr>
              <w:rPr>
                <w:b/>
                <w:lang w:val="en-US" w:eastAsia="en-AU"/>
              </w:rPr>
            </w:pPr>
            <w:r w:rsidRPr="007161BB">
              <w:rPr>
                <w:b/>
                <w:lang w:val="en-US" w:eastAsia="en-AU"/>
              </w:rPr>
              <w:t>Total equity at end of period</w:t>
            </w:r>
          </w:p>
        </w:tc>
        <w:tc>
          <w:tcPr>
            <w:tcW w:w="1467" w:type="dxa"/>
            <w:tcBorders>
              <w:top w:val="single" w:sz="4" w:space="0" w:color="auto"/>
              <w:bottom w:val="double" w:sz="4" w:space="0" w:color="auto"/>
            </w:tcBorders>
            <w:vAlign w:val="bottom"/>
          </w:tcPr>
          <w:p w14:paraId="6724C2B7" w14:textId="15F0C340" w:rsidR="007161BB" w:rsidRPr="007161BB" w:rsidRDefault="007161BB" w:rsidP="007161BB">
            <w:pPr>
              <w:jc w:val="right"/>
              <w:rPr>
                <w:b/>
              </w:rPr>
            </w:pPr>
            <w:r w:rsidRPr="007161BB">
              <w:rPr>
                <w:b/>
              </w:rPr>
              <w:t xml:space="preserve">   102,196 </w:t>
            </w:r>
          </w:p>
        </w:tc>
        <w:tc>
          <w:tcPr>
            <w:tcW w:w="1538" w:type="dxa"/>
            <w:tcBorders>
              <w:top w:val="single" w:sz="4" w:space="0" w:color="auto"/>
              <w:bottom w:val="double" w:sz="4" w:space="0" w:color="auto"/>
            </w:tcBorders>
            <w:vAlign w:val="bottom"/>
          </w:tcPr>
          <w:p w14:paraId="084ED24E" w14:textId="507F31C2" w:rsidR="007161BB" w:rsidRPr="007161BB" w:rsidRDefault="007161BB" w:rsidP="007161BB">
            <w:pPr>
              <w:jc w:val="right"/>
              <w:rPr>
                <w:b/>
              </w:rPr>
            </w:pPr>
            <w:r w:rsidRPr="007161BB">
              <w:rPr>
                <w:b/>
              </w:rPr>
              <w:t xml:space="preserve">                            102,660 </w:t>
            </w:r>
          </w:p>
        </w:tc>
        <w:tc>
          <w:tcPr>
            <w:tcW w:w="1302" w:type="dxa"/>
            <w:vAlign w:val="center"/>
          </w:tcPr>
          <w:p w14:paraId="52E6BC6C" w14:textId="77777777" w:rsidR="007161BB" w:rsidRDefault="007161BB" w:rsidP="007161BB">
            <w:pPr>
              <w:jc w:val="right"/>
              <w:rPr>
                <w:b/>
              </w:rPr>
            </w:pPr>
          </w:p>
        </w:tc>
      </w:tr>
    </w:tbl>
    <w:p w14:paraId="28DD3DEC" w14:textId="77777777" w:rsidR="00D86C68" w:rsidRDefault="00D86C68" w:rsidP="00D86C68">
      <w:pPr>
        <w:rPr>
          <w:lang w:val="en-US" w:eastAsia="en-AU"/>
        </w:rPr>
      </w:pPr>
    </w:p>
    <w:p w14:paraId="3AA4D291" w14:textId="0D64B685" w:rsidR="007161BB" w:rsidRDefault="007161BB" w:rsidP="007161BB">
      <w:pPr>
        <w:pStyle w:val="Heading3nonumber"/>
        <w:numPr>
          <w:ilvl w:val="1"/>
          <w:numId w:val="50"/>
        </w:numPr>
        <w:rPr>
          <w:lang w:val="en-US" w:eastAsia="en-AU"/>
        </w:rPr>
      </w:pPr>
      <w:bookmarkStart w:id="811" w:name="_Toc525122207"/>
      <w:r>
        <w:rPr>
          <w:lang w:val="en-US" w:eastAsia="en-AU"/>
        </w:rPr>
        <w:t>Supplementary financial information</w:t>
      </w:r>
      <w:bookmarkEnd w:id="811"/>
    </w:p>
    <w:p w14:paraId="602EDE83" w14:textId="387D8217" w:rsidR="007161BB" w:rsidRDefault="007161BB" w:rsidP="007161BB">
      <w:pPr>
        <w:pStyle w:val="Heading4"/>
        <w:numPr>
          <w:ilvl w:val="0"/>
          <w:numId w:val="59"/>
        </w:numPr>
      </w:pPr>
      <w:r>
        <w:t xml:space="preserve">Potential Claims Recoveries Written Off </w:t>
      </w:r>
    </w:p>
    <w:p w14:paraId="6F7C176E" w14:textId="77777777" w:rsidR="007161BB" w:rsidRDefault="007161BB" w:rsidP="007161BB">
      <w:pPr>
        <w:rPr>
          <w:lang w:val="en-US" w:eastAsia="en-AU"/>
        </w:rPr>
      </w:pPr>
      <w:r w:rsidRPr="007161BB">
        <w:rPr>
          <w:lang w:val="en-US" w:eastAsia="en-AU"/>
        </w:rPr>
        <w:t>In relation to the General Account, WorkCover WA may have a statutory obligation to pay a workers</w:t>
      </w:r>
      <w:r>
        <w:rPr>
          <w:lang w:val="en-US" w:eastAsia="en-AU"/>
        </w:rPr>
        <w:t xml:space="preserve">' compensation claim.  For </w:t>
      </w:r>
      <w:r w:rsidRPr="007161BB">
        <w:rPr>
          <w:lang w:val="en-US" w:eastAsia="en-AU"/>
        </w:rPr>
        <w:t>uninsured claims where the employer has not maintained a workers' compensation insurance policy, or t</w:t>
      </w:r>
      <w:r>
        <w:rPr>
          <w:lang w:val="en-US" w:eastAsia="en-AU"/>
        </w:rPr>
        <w:t xml:space="preserve">he employer is not able to </w:t>
      </w:r>
      <w:r w:rsidRPr="007161BB">
        <w:rPr>
          <w:lang w:val="en-US" w:eastAsia="en-AU"/>
        </w:rPr>
        <w:t>be identified or located or an employer is in breach of the insurance contract, WorkCover WA seeks to recove</w:t>
      </w:r>
      <w:r>
        <w:rPr>
          <w:lang w:val="en-US" w:eastAsia="en-AU"/>
        </w:rPr>
        <w:t>r the costs of the claims from the employer.</w:t>
      </w:r>
    </w:p>
    <w:p w14:paraId="0E4D9EA0" w14:textId="77777777" w:rsidR="007161BB" w:rsidRDefault="007161BB" w:rsidP="007161BB">
      <w:pPr>
        <w:rPr>
          <w:lang w:val="en-US" w:eastAsia="en-AU"/>
        </w:rPr>
      </w:pPr>
      <w:r w:rsidRPr="007161BB">
        <w:rPr>
          <w:lang w:val="en-US" w:eastAsia="en-AU"/>
        </w:rPr>
        <w:t>Potential recoveries receivable are assessed with regard to the ability of the debtors to meet their obli</w:t>
      </w:r>
      <w:r>
        <w:rPr>
          <w:lang w:val="en-US" w:eastAsia="en-AU"/>
        </w:rPr>
        <w:t xml:space="preserve">gation.  These recoveries </w:t>
      </w:r>
      <w:r w:rsidRPr="007161BB">
        <w:rPr>
          <w:lang w:val="en-US" w:eastAsia="en-AU"/>
        </w:rPr>
        <w:t xml:space="preserve">have not been recognised as income because the amount to be recovered could not be reliably </w:t>
      </w:r>
      <w:r>
        <w:rPr>
          <w:lang w:val="en-US" w:eastAsia="en-AU"/>
        </w:rPr>
        <w:t xml:space="preserve">measured and consequently </w:t>
      </w:r>
      <w:r w:rsidRPr="007161BB">
        <w:rPr>
          <w:lang w:val="en-US" w:eastAsia="en-AU"/>
        </w:rPr>
        <w:t>the write-off of these debts have not been charged as an expense in the Statement o</w:t>
      </w:r>
      <w:r>
        <w:rPr>
          <w:lang w:val="en-US" w:eastAsia="en-AU"/>
        </w:rPr>
        <w:t>f Comprehensive Income.</w:t>
      </w:r>
    </w:p>
    <w:p w14:paraId="26F92C95" w14:textId="40301CC8" w:rsidR="007161BB" w:rsidRPr="007161BB" w:rsidRDefault="007161BB" w:rsidP="007161BB">
      <w:pPr>
        <w:rPr>
          <w:lang w:val="en-US" w:eastAsia="en-AU"/>
        </w:rPr>
      </w:pPr>
      <w:r w:rsidRPr="007161BB">
        <w:rPr>
          <w:lang w:val="en-US" w:eastAsia="en-AU"/>
        </w:rPr>
        <w:t>The General Account Uninsured debt write-offs outlined below are net of recov</w:t>
      </w:r>
      <w:r>
        <w:rPr>
          <w:lang w:val="en-US" w:eastAsia="en-AU"/>
        </w:rPr>
        <w:t>eries received from employers.</w:t>
      </w:r>
    </w:p>
    <w:p w14:paraId="77197F18" w14:textId="77777777" w:rsidR="007161BB" w:rsidRDefault="007161BB" w:rsidP="007161BB">
      <w:pPr>
        <w:rPr>
          <w:lang w:val="en-US" w:eastAsia="en-AU"/>
        </w:rPr>
      </w:pPr>
      <w:r w:rsidRPr="007161BB">
        <w:rPr>
          <w:lang w:val="en-US" w:eastAsia="en-AU"/>
        </w:rPr>
        <w:t>In accordance with Section 48(2) of the Financial Management Act 2006, potential recoveries were writte</w:t>
      </w:r>
      <w:r>
        <w:rPr>
          <w:lang w:val="en-US" w:eastAsia="en-AU"/>
        </w:rPr>
        <w:t xml:space="preserve">n off from the following fund: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Potential claims recoveries written off"/>
        <w:tblDescription w:val="This table outlines potential recoveries that were written off during the reporting period from various funds. "/>
      </w:tblPr>
      <w:tblGrid>
        <w:gridCol w:w="5382"/>
        <w:gridCol w:w="1701"/>
        <w:gridCol w:w="1933"/>
      </w:tblGrid>
      <w:tr w:rsidR="007161BB" w14:paraId="04F3D4B5" w14:textId="77777777" w:rsidTr="00F11774">
        <w:trPr>
          <w:tblHeader/>
        </w:trPr>
        <w:tc>
          <w:tcPr>
            <w:tcW w:w="5382" w:type="dxa"/>
          </w:tcPr>
          <w:p w14:paraId="2B095ED8" w14:textId="77777777" w:rsidR="007161BB" w:rsidRDefault="007161BB" w:rsidP="007161BB">
            <w:pPr>
              <w:rPr>
                <w:lang w:val="en-US" w:eastAsia="en-AU"/>
              </w:rPr>
            </w:pPr>
          </w:p>
        </w:tc>
        <w:tc>
          <w:tcPr>
            <w:tcW w:w="1701" w:type="dxa"/>
          </w:tcPr>
          <w:p w14:paraId="218847D5" w14:textId="246517DE" w:rsidR="007161BB" w:rsidRPr="007161BB" w:rsidRDefault="007161BB" w:rsidP="007161BB">
            <w:pPr>
              <w:jc w:val="right"/>
              <w:rPr>
                <w:b/>
                <w:lang w:val="en-US" w:eastAsia="en-AU"/>
              </w:rPr>
            </w:pPr>
            <w:r>
              <w:rPr>
                <w:b/>
                <w:lang w:val="en-US" w:eastAsia="en-AU"/>
              </w:rPr>
              <w:t>2018</w:t>
            </w:r>
            <w:r>
              <w:rPr>
                <w:b/>
                <w:lang w:val="en-US" w:eastAsia="en-AU"/>
              </w:rPr>
              <w:br/>
              <w:t>$000</w:t>
            </w:r>
          </w:p>
        </w:tc>
        <w:tc>
          <w:tcPr>
            <w:tcW w:w="1933" w:type="dxa"/>
          </w:tcPr>
          <w:p w14:paraId="0438752C" w14:textId="2AD1FB62" w:rsidR="007161BB" w:rsidRPr="007161BB" w:rsidRDefault="007161BB" w:rsidP="007161BB">
            <w:pPr>
              <w:jc w:val="right"/>
              <w:rPr>
                <w:b/>
                <w:lang w:val="en-US" w:eastAsia="en-AU"/>
              </w:rPr>
            </w:pPr>
            <w:r>
              <w:rPr>
                <w:b/>
                <w:lang w:val="en-US" w:eastAsia="en-AU"/>
              </w:rPr>
              <w:t>2017</w:t>
            </w:r>
            <w:r>
              <w:rPr>
                <w:b/>
                <w:lang w:val="en-US" w:eastAsia="en-AU"/>
              </w:rPr>
              <w:br/>
              <w:t>$000</w:t>
            </w:r>
          </w:p>
        </w:tc>
      </w:tr>
      <w:tr w:rsidR="007161BB" w14:paraId="757E3FC5" w14:textId="77777777" w:rsidTr="007161BB">
        <w:tc>
          <w:tcPr>
            <w:tcW w:w="5382" w:type="dxa"/>
          </w:tcPr>
          <w:p w14:paraId="1933CE51" w14:textId="4B34DEF8" w:rsidR="007161BB" w:rsidRPr="007161BB" w:rsidRDefault="007161BB" w:rsidP="007161BB">
            <w:pPr>
              <w:rPr>
                <w:u w:val="single"/>
                <w:lang w:val="en-US" w:eastAsia="en-AU"/>
              </w:rPr>
            </w:pPr>
            <w:r>
              <w:rPr>
                <w:u w:val="single"/>
                <w:lang w:val="en-US" w:eastAsia="en-AU"/>
              </w:rPr>
              <w:t>Write-Offs</w:t>
            </w:r>
          </w:p>
        </w:tc>
        <w:tc>
          <w:tcPr>
            <w:tcW w:w="1701" w:type="dxa"/>
          </w:tcPr>
          <w:p w14:paraId="737EB37E" w14:textId="77777777" w:rsidR="007161BB" w:rsidRDefault="007161BB" w:rsidP="007161BB">
            <w:pPr>
              <w:rPr>
                <w:lang w:val="en-US" w:eastAsia="en-AU"/>
              </w:rPr>
            </w:pPr>
          </w:p>
        </w:tc>
        <w:tc>
          <w:tcPr>
            <w:tcW w:w="1933" w:type="dxa"/>
          </w:tcPr>
          <w:p w14:paraId="5EB8E035" w14:textId="77777777" w:rsidR="007161BB" w:rsidRDefault="007161BB" w:rsidP="007161BB">
            <w:pPr>
              <w:rPr>
                <w:lang w:val="en-US" w:eastAsia="en-AU"/>
              </w:rPr>
            </w:pPr>
          </w:p>
        </w:tc>
      </w:tr>
      <w:tr w:rsidR="007161BB" w14:paraId="00A12AEB" w14:textId="77777777" w:rsidTr="00DA1F1E">
        <w:tc>
          <w:tcPr>
            <w:tcW w:w="5382" w:type="dxa"/>
          </w:tcPr>
          <w:p w14:paraId="076165B3" w14:textId="58412167" w:rsidR="007161BB" w:rsidRDefault="007161BB" w:rsidP="007161BB">
            <w:pPr>
              <w:rPr>
                <w:lang w:val="en-US" w:eastAsia="en-AU"/>
              </w:rPr>
            </w:pPr>
            <w:r>
              <w:rPr>
                <w:lang w:val="en-US" w:eastAsia="en-AU"/>
              </w:rPr>
              <w:t>General account uninsured claims</w:t>
            </w:r>
          </w:p>
        </w:tc>
        <w:tc>
          <w:tcPr>
            <w:tcW w:w="1701" w:type="dxa"/>
            <w:vAlign w:val="center"/>
          </w:tcPr>
          <w:p w14:paraId="3E8744B1" w14:textId="77F06BA9" w:rsidR="007161BB" w:rsidRPr="007161BB" w:rsidRDefault="007161BB" w:rsidP="007161BB">
            <w:pPr>
              <w:jc w:val="right"/>
              <w:rPr>
                <w:lang w:val="en-US" w:eastAsia="en-AU"/>
              </w:rPr>
            </w:pPr>
            <w:r w:rsidRPr="007161BB">
              <w:t xml:space="preserve">                -   </w:t>
            </w:r>
          </w:p>
        </w:tc>
        <w:tc>
          <w:tcPr>
            <w:tcW w:w="1933" w:type="dxa"/>
            <w:vAlign w:val="bottom"/>
          </w:tcPr>
          <w:p w14:paraId="66630AC6" w14:textId="5D5F2B07" w:rsidR="007161BB" w:rsidRPr="007161BB" w:rsidRDefault="007161BB" w:rsidP="007161BB">
            <w:pPr>
              <w:jc w:val="right"/>
              <w:rPr>
                <w:lang w:val="en-US" w:eastAsia="en-AU"/>
              </w:rPr>
            </w:pPr>
            <w:r w:rsidRPr="007161BB">
              <w:t>235</w:t>
            </w:r>
          </w:p>
        </w:tc>
      </w:tr>
      <w:tr w:rsidR="007161BB" w14:paraId="66212B50" w14:textId="77777777" w:rsidTr="00DA1F1E">
        <w:tc>
          <w:tcPr>
            <w:tcW w:w="5382" w:type="dxa"/>
          </w:tcPr>
          <w:p w14:paraId="41F83CCF" w14:textId="771A5452" w:rsidR="007161BB" w:rsidRDefault="007161BB" w:rsidP="007161BB">
            <w:pPr>
              <w:rPr>
                <w:lang w:val="en-US" w:eastAsia="en-AU"/>
              </w:rPr>
            </w:pPr>
            <w:r>
              <w:rPr>
                <w:lang w:val="en-US" w:eastAsia="en-AU"/>
              </w:rPr>
              <w:t>Fines and penalties</w:t>
            </w:r>
          </w:p>
        </w:tc>
        <w:tc>
          <w:tcPr>
            <w:tcW w:w="1701" w:type="dxa"/>
            <w:vAlign w:val="center"/>
          </w:tcPr>
          <w:p w14:paraId="6B4196F5" w14:textId="27029678" w:rsidR="007161BB" w:rsidRPr="007161BB" w:rsidRDefault="007161BB" w:rsidP="007161BB">
            <w:pPr>
              <w:jc w:val="right"/>
              <w:rPr>
                <w:lang w:val="en-US" w:eastAsia="en-AU"/>
              </w:rPr>
            </w:pPr>
            <w:r w:rsidRPr="007161BB">
              <w:t xml:space="preserve">                -   </w:t>
            </w:r>
          </w:p>
        </w:tc>
        <w:tc>
          <w:tcPr>
            <w:tcW w:w="1933" w:type="dxa"/>
            <w:vAlign w:val="bottom"/>
          </w:tcPr>
          <w:p w14:paraId="4E491E6D" w14:textId="295334CA" w:rsidR="007161BB" w:rsidRPr="007161BB" w:rsidRDefault="007161BB" w:rsidP="007161BB">
            <w:pPr>
              <w:jc w:val="right"/>
              <w:rPr>
                <w:lang w:val="en-US" w:eastAsia="en-AU"/>
              </w:rPr>
            </w:pPr>
            <w:r w:rsidRPr="007161BB">
              <w:t>20</w:t>
            </w:r>
          </w:p>
        </w:tc>
      </w:tr>
      <w:tr w:rsidR="007161BB" w14:paraId="466C86E2" w14:textId="77777777" w:rsidTr="007161BB">
        <w:tc>
          <w:tcPr>
            <w:tcW w:w="5382" w:type="dxa"/>
          </w:tcPr>
          <w:p w14:paraId="21879599" w14:textId="55E6CF62" w:rsidR="007161BB" w:rsidRDefault="007161BB" w:rsidP="007161BB">
            <w:pPr>
              <w:rPr>
                <w:lang w:val="en-US" w:eastAsia="en-AU"/>
              </w:rPr>
            </w:pPr>
            <w:r>
              <w:rPr>
                <w:lang w:val="en-US" w:eastAsia="en-AU"/>
              </w:rPr>
              <w:t>Salaries</w:t>
            </w:r>
          </w:p>
        </w:tc>
        <w:tc>
          <w:tcPr>
            <w:tcW w:w="1701" w:type="dxa"/>
            <w:tcBorders>
              <w:bottom w:val="single" w:sz="4" w:space="0" w:color="auto"/>
            </w:tcBorders>
            <w:vAlign w:val="center"/>
          </w:tcPr>
          <w:p w14:paraId="6982D9E2" w14:textId="781CEFE3" w:rsidR="007161BB" w:rsidRPr="007161BB" w:rsidRDefault="007161BB" w:rsidP="007161BB">
            <w:pPr>
              <w:jc w:val="right"/>
              <w:rPr>
                <w:lang w:val="en-US" w:eastAsia="en-AU"/>
              </w:rPr>
            </w:pPr>
            <w:r w:rsidRPr="007161BB">
              <w:t xml:space="preserve">                -   </w:t>
            </w:r>
          </w:p>
        </w:tc>
        <w:tc>
          <w:tcPr>
            <w:tcW w:w="1933" w:type="dxa"/>
            <w:tcBorders>
              <w:bottom w:val="single" w:sz="4" w:space="0" w:color="auto"/>
            </w:tcBorders>
            <w:vAlign w:val="bottom"/>
          </w:tcPr>
          <w:p w14:paraId="5BEDA1FE" w14:textId="092BD4C0" w:rsidR="007161BB" w:rsidRPr="007161BB" w:rsidRDefault="007161BB" w:rsidP="007161BB">
            <w:pPr>
              <w:jc w:val="right"/>
              <w:rPr>
                <w:lang w:val="en-US" w:eastAsia="en-AU"/>
              </w:rPr>
            </w:pPr>
            <w:r w:rsidRPr="007161BB">
              <w:t>6</w:t>
            </w:r>
          </w:p>
        </w:tc>
      </w:tr>
      <w:tr w:rsidR="007161BB" w14:paraId="60D5DCD3" w14:textId="77777777" w:rsidTr="007161BB">
        <w:tc>
          <w:tcPr>
            <w:tcW w:w="5382" w:type="dxa"/>
          </w:tcPr>
          <w:p w14:paraId="4C7F5E5F" w14:textId="77777777" w:rsidR="007161BB" w:rsidRDefault="007161BB" w:rsidP="007161BB">
            <w:pPr>
              <w:rPr>
                <w:lang w:val="en-US" w:eastAsia="en-AU"/>
              </w:rPr>
            </w:pPr>
          </w:p>
        </w:tc>
        <w:tc>
          <w:tcPr>
            <w:tcW w:w="1701" w:type="dxa"/>
            <w:tcBorders>
              <w:top w:val="single" w:sz="4" w:space="0" w:color="auto"/>
              <w:bottom w:val="double" w:sz="4" w:space="0" w:color="auto"/>
            </w:tcBorders>
          </w:tcPr>
          <w:p w14:paraId="4D544D49" w14:textId="4C783BEC" w:rsidR="007161BB" w:rsidRPr="007161BB" w:rsidRDefault="007161BB" w:rsidP="007161BB">
            <w:pPr>
              <w:jc w:val="right"/>
              <w:rPr>
                <w:b/>
                <w:lang w:val="en-US" w:eastAsia="en-AU"/>
              </w:rPr>
            </w:pPr>
            <w:r w:rsidRPr="007161BB">
              <w:rPr>
                <w:b/>
                <w:lang w:val="en-US" w:eastAsia="en-AU"/>
              </w:rPr>
              <w:t>-</w:t>
            </w:r>
          </w:p>
        </w:tc>
        <w:tc>
          <w:tcPr>
            <w:tcW w:w="1933" w:type="dxa"/>
            <w:tcBorders>
              <w:top w:val="single" w:sz="4" w:space="0" w:color="auto"/>
              <w:bottom w:val="double" w:sz="4" w:space="0" w:color="auto"/>
            </w:tcBorders>
          </w:tcPr>
          <w:p w14:paraId="3625BD24" w14:textId="66A8F814" w:rsidR="007161BB" w:rsidRPr="007161BB" w:rsidRDefault="007161BB" w:rsidP="007161BB">
            <w:pPr>
              <w:jc w:val="right"/>
              <w:rPr>
                <w:b/>
                <w:lang w:val="en-US" w:eastAsia="en-AU"/>
              </w:rPr>
            </w:pPr>
            <w:r w:rsidRPr="007161BB">
              <w:rPr>
                <w:b/>
                <w:lang w:val="en-US" w:eastAsia="en-AU"/>
              </w:rPr>
              <w:t>261</w:t>
            </w:r>
          </w:p>
        </w:tc>
      </w:tr>
      <w:tr w:rsidR="007161BB" w14:paraId="6529AFF1" w14:textId="77777777" w:rsidTr="007161BB">
        <w:tc>
          <w:tcPr>
            <w:tcW w:w="5382" w:type="dxa"/>
          </w:tcPr>
          <w:p w14:paraId="07858730" w14:textId="77777777" w:rsidR="007161BB" w:rsidRDefault="007161BB" w:rsidP="007161BB">
            <w:pPr>
              <w:rPr>
                <w:lang w:val="en-US" w:eastAsia="en-AU"/>
              </w:rPr>
            </w:pPr>
          </w:p>
        </w:tc>
        <w:tc>
          <w:tcPr>
            <w:tcW w:w="1701" w:type="dxa"/>
            <w:tcBorders>
              <w:top w:val="double" w:sz="4" w:space="0" w:color="auto"/>
            </w:tcBorders>
          </w:tcPr>
          <w:p w14:paraId="289FEB92" w14:textId="79F137A8" w:rsidR="007161BB" w:rsidRPr="007161BB" w:rsidRDefault="007161BB" w:rsidP="007161BB">
            <w:pPr>
              <w:jc w:val="right"/>
              <w:rPr>
                <w:b/>
                <w:lang w:val="en-US" w:eastAsia="en-AU"/>
              </w:rPr>
            </w:pPr>
            <w:r>
              <w:rPr>
                <w:lang w:val="en-US" w:eastAsia="en-AU"/>
              </w:rPr>
              <w:br/>
            </w:r>
            <w:r>
              <w:rPr>
                <w:b/>
                <w:lang w:val="en-US" w:eastAsia="en-AU"/>
              </w:rPr>
              <w:t>2018</w:t>
            </w:r>
          </w:p>
        </w:tc>
        <w:tc>
          <w:tcPr>
            <w:tcW w:w="1933" w:type="dxa"/>
            <w:tcBorders>
              <w:top w:val="double" w:sz="4" w:space="0" w:color="auto"/>
            </w:tcBorders>
          </w:tcPr>
          <w:p w14:paraId="1A1CFD2F" w14:textId="2FEDB6B6" w:rsidR="007161BB" w:rsidRPr="007161BB" w:rsidRDefault="007161BB" w:rsidP="007161BB">
            <w:pPr>
              <w:jc w:val="right"/>
              <w:rPr>
                <w:b/>
                <w:lang w:val="en-US" w:eastAsia="en-AU"/>
              </w:rPr>
            </w:pPr>
            <w:r>
              <w:rPr>
                <w:lang w:val="en-US" w:eastAsia="en-AU"/>
              </w:rPr>
              <w:br/>
            </w:r>
            <w:r>
              <w:rPr>
                <w:b/>
                <w:lang w:val="en-US" w:eastAsia="en-AU"/>
              </w:rPr>
              <w:t>2017</w:t>
            </w:r>
          </w:p>
        </w:tc>
      </w:tr>
      <w:tr w:rsidR="007161BB" w14:paraId="503E0D23" w14:textId="77777777" w:rsidTr="007161BB">
        <w:tc>
          <w:tcPr>
            <w:tcW w:w="5382" w:type="dxa"/>
          </w:tcPr>
          <w:p w14:paraId="0B4F8F6A" w14:textId="261C8290" w:rsidR="007161BB" w:rsidRDefault="007161BB" w:rsidP="007161BB">
            <w:pPr>
              <w:rPr>
                <w:lang w:val="en-US" w:eastAsia="en-AU"/>
              </w:rPr>
            </w:pPr>
            <w:r w:rsidRPr="007161BB">
              <w:rPr>
                <w:lang w:val="en-US" w:eastAsia="en-AU"/>
              </w:rPr>
              <w:t>Number of Individual Recovery Write-offs with Values Between:</w:t>
            </w:r>
          </w:p>
        </w:tc>
        <w:tc>
          <w:tcPr>
            <w:tcW w:w="1701" w:type="dxa"/>
          </w:tcPr>
          <w:p w14:paraId="063D8757" w14:textId="77777777" w:rsidR="007161BB" w:rsidRDefault="007161BB" w:rsidP="007161BB">
            <w:pPr>
              <w:rPr>
                <w:lang w:val="en-US" w:eastAsia="en-AU"/>
              </w:rPr>
            </w:pPr>
          </w:p>
        </w:tc>
        <w:tc>
          <w:tcPr>
            <w:tcW w:w="1933" w:type="dxa"/>
          </w:tcPr>
          <w:p w14:paraId="017DC011" w14:textId="77777777" w:rsidR="007161BB" w:rsidRDefault="007161BB" w:rsidP="007161BB">
            <w:pPr>
              <w:rPr>
                <w:lang w:val="en-US" w:eastAsia="en-AU"/>
              </w:rPr>
            </w:pPr>
          </w:p>
        </w:tc>
      </w:tr>
      <w:tr w:rsidR="007161BB" w14:paraId="1660AE79" w14:textId="77777777" w:rsidTr="007161BB">
        <w:tc>
          <w:tcPr>
            <w:tcW w:w="5382" w:type="dxa"/>
          </w:tcPr>
          <w:p w14:paraId="778AE40F" w14:textId="19023CBF" w:rsidR="007161BB" w:rsidRDefault="007161BB" w:rsidP="007161BB">
            <w:pPr>
              <w:rPr>
                <w:lang w:val="en-US" w:eastAsia="en-AU"/>
              </w:rPr>
            </w:pPr>
            <w:r>
              <w:rPr>
                <w:lang w:val="en-US" w:eastAsia="en-AU"/>
              </w:rPr>
              <w:t>$ 0 – 100,000</w:t>
            </w:r>
          </w:p>
        </w:tc>
        <w:tc>
          <w:tcPr>
            <w:tcW w:w="1701" w:type="dxa"/>
          </w:tcPr>
          <w:p w14:paraId="265C11C8" w14:textId="1CCA2343" w:rsidR="007161BB" w:rsidRDefault="007161BB" w:rsidP="007161BB">
            <w:pPr>
              <w:jc w:val="right"/>
              <w:rPr>
                <w:lang w:val="en-US" w:eastAsia="en-AU"/>
              </w:rPr>
            </w:pPr>
            <w:r>
              <w:rPr>
                <w:lang w:val="en-US" w:eastAsia="en-AU"/>
              </w:rPr>
              <w:t>-</w:t>
            </w:r>
          </w:p>
        </w:tc>
        <w:tc>
          <w:tcPr>
            <w:tcW w:w="1933" w:type="dxa"/>
          </w:tcPr>
          <w:p w14:paraId="3522E2B9" w14:textId="35CDF5FF" w:rsidR="007161BB" w:rsidRDefault="007161BB" w:rsidP="007161BB">
            <w:pPr>
              <w:jc w:val="right"/>
              <w:rPr>
                <w:lang w:val="en-US" w:eastAsia="en-AU"/>
              </w:rPr>
            </w:pPr>
            <w:r>
              <w:rPr>
                <w:lang w:val="en-US" w:eastAsia="en-AU"/>
              </w:rPr>
              <w:t>6</w:t>
            </w:r>
          </w:p>
        </w:tc>
      </w:tr>
      <w:tr w:rsidR="007161BB" w14:paraId="10516582" w14:textId="77777777" w:rsidTr="007161BB">
        <w:tc>
          <w:tcPr>
            <w:tcW w:w="5382" w:type="dxa"/>
          </w:tcPr>
          <w:p w14:paraId="16121494" w14:textId="42C886B0" w:rsidR="007161BB" w:rsidRDefault="007161BB" w:rsidP="007161BB">
            <w:pPr>
              <w:rPr>
                <w:lang w:val="en-US" w:eastAsia="en-AU"/>
              </w:rPr>
            </w:pPr>
            <w:r>
              <w:rPr>
                <w:lang w:val="en-US" w:eastAsia="en-AU"/>
              </w:rPr>
              <w:t>$ 101,001 – 200,000</w:t>
            </w:r>
          </w:p>
        </w:tc>
        <w:tc>
          <w:tcPr>
            <w:tcW w:w="1701" w:type="dxa"/>
          </w:tcPr>
          <w:p w14:paraId="4EAC2338" w14:textId="271E69D2" w:rsidR="007161BB" w:rsidRDefault="007161BB" w:rsidP="007161BB">
            <w:pPr>
              <w:jc w:val="right"/>
              <w:rPr>
                <w:lang w:val="en-US" w:eastAsia="en-AU"/>
              </w:rPr>
            </w:pPr>
            <w:r>
              <w:rPr>
                <w:lang w:val="en-US" w:eastAsia="en-AU"/>
              </w:rPr>
              <w:t>-</w:t>
            </w:r>
          </w:p>
        </w:tc>
        <w:tc>
          <w:tcPr>
            <w:tcW w:w="1933" w:type="dxa"/>
          </w:tcPr>
          <w:p w14:paraId="3CCFF0B0" w14:textId="3C62EEE6" w:rsidR="007161BB" w:rsidRDefault="007161BB" w:rsidP="007161BB">
            <w:pPr>
              <w:jc w:val="right"/>
              <w:rPr>
                <w:lang w:val="en-US" w:eastAsia="en-AU"/>
              </w:rPr>
            </w:pPr>
            <w:r>
              <w:rPr>
                <w:lang w:val="en-US" w:eastAsia="en-AU"/>
              </w:rPr>
              <w:t>1</w:t>
            </w:r>
          </w:p>
        </w:tc>
      </w:tr>
    </w:tbl>
    <w:p w14:paraId="233161B1" w14:textId="6F08AC6A" w:rsidR="007161BB" w:rsidRDefault="007161BB" w:rsidP="007161BB">
      <w:pPr>
        <w:rPr>
          <w:lang w:val="en-US" w:eastAsia="en-AU"/>
        </w:rPr>
      </w:pPr>
    </w:p>
    <w:p w14:paraId="1619E0B5" w14:textId="601F4D03" w:rsidR="007161BB" w:rsidRDefault="007161BB" w:rsidP="007161BB">
      <w:pPr>
        <w:pStyle w:val="ListParagraph"/>
        <w:numPr>
          <w:ilvl w:val="0"/>
          <w:numId w:val="59"/>
        </w:numPr>
        <w:rPr>
          <w:b/>
          <w:lang w:val="en-US" w:eastAsia="en-AU"/>
        </w:rPr>
      </w:pPr>
      <w:r w:rsidRPr="007161BB">
        <w:rPr>
          <w:b/>
          <w:lang w:val="en-US" w:eastAsia="en-AU"/>
        </w:rPr>
        <w:t>Losses Through Theft, Defaults And Other Causes</w:t>
      </w:r>
      <w:r>
        <w:rPr>
          <w:b/>
          <w:lang w:val="en-US" w:eastAsia="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Losses through theft, defaults and other causes"/>
        <w:tblDescription w:val="This table outlines losses of public money and public and other property through theft, default and other causes for the reporting period. "/>
      </w:tblPr>
      <w:tblGrid>
        <w:gridCol w:w="6091"/>
        <w:gridCol w:w="1417"/>
        <w:gridCol w:w="1508"/>
      </w:tblGrid>
      <w:tr w:rsidR="007161BB" w14:paraId="5356007A" w14:textId="77777777" w:rsidTr="00F11774">
        <w:trPr>
          <w:tblHeader/>
        </w:trPr>
        <w:tc>
          <w:tcPr>
            <w:tcW w:w="6091" w:type="dxa"/>
          </w:tcPr>
          <w:p w14:paraId="544F2FAE" w14:textId="77777777" w:rsidR="007161BB" w:rsidRDefault="007161BB" w:rsidP="007161BB">
            <w:pPr>
              <w:rPr>
                <w:b/>
                <w:lang w:val="en-US" w:eastAsia="en-AU"/>
              </w:rPr>
            </w:pPr>
          </w:p>
        </w:tc>
        <w:tc>
          <w:tcPr>
            <w:tcW w:w="1417" w:type="dxa"/>
          </w:tcPr>
          <w:p w14:paraId="7CE4F63B" w14:textId="633B39C7" w:rsidR="007161BB" w:rsidRDefault="007161BB" w:rsidP="007161BB">
            <w:pPr>
              <w:jc w:val="right"/>
              <w:rPr>
                <w:b/>
                <w:lang w:val="en-US" w:eastAsia="en-AU"/>
              </w:rPr>
            </w:pPr>
            <w:r>
              <w:rPr>
                <w:b/>
                <w:lang w:val="en-US" w:eastAsia="en-AU"/>
              </w:rPr>
              <w:t>2018</w:t>
            </w:r>
            <w:r>
              <w:rPr>
                <w:b/>
                <w:lang w:val="en-US" w:eastAsia="en-AU"/>
              </w:rPr>
              <w:br/>
              <w:t>$000</w:t>
            </w:r>
          </w:p>
        </w:tc>
        <w:tc>
          <w:tcPr>
            <w:tcW w:w="1508" w:type="dxa"/>
          </w:tcPr>
          <w:p w14:paraId="76C73555" w14:textId="72247164" w:rsidR="007161BB" w:rsidRDefault="007161BB" w:rsidP="007161BB">
            <w:pPr>
              <w:jc w:val="right"/>
              <w:rPr>
                <w:b/>
                <w:lang w:val="en-US" w:eastAsia="en-AU"/>
              </w:rPr>
            </w:pPr>
            <w:r>
              <w:rPr>
                <w:b/>
                <w:lang w:val="en-US" w:eastAsia="en-AU"/>
              </w:rPr>
              <w:t>2017</w:t>
            </w:r>
            <w:r>
              <w:rPr>
                <w:b/>
                <w:lang w:val="en-US" w:eastAsia="en-AU"/>
              </w:rPr>
              <w:br/>
              <w:t>$000</w:t>
            </w:r>
          </w:p>
        </w:tc>
      </w:tr>
      <w:tr w:rsidR="007161BB" w14:paraId="5F4A6CDA" w14:textId="77777777" w:rsidTr="00DA1F1E">
        <w:tc>
          <w:tcPr>
            <w:tcW w:w="6091" w:type="dxa"/>
            <w:vAlign w:val="bottom"/>
          </w:tcPr>
          <w:p w14:paraId="255D393D" w14:textId="2701CC11" w:rsidR="007161BB" w:rsidRDefault="007161BB" w:rsidP="007161BB">
            <w:pPr>
              <w:rPr>
                <w:b/>
                <w:lang w:val="en-US" w:eastAsia="en-AU"/>
              </w:rPr>
            </w:pPr>
            <w:r>
              <w:t>Losses of public money and public and other property through theft, default and other causes</w:t>
            </w:r>
          </w:p>
        </w:tc>
        <w:tc>
          <w:tcPr>
            <w:tcW w:w="1417" w:type="dxa"/>
          </w:tcPr>
          <w:p w14:paraId="0469A8BD" w14:textId="2BDA5AB0" w:rsidR="007161BB" w:rsidRPr="007161BB" w:rsidRDefault="007161BB" w:rsidP="007161BB">
            <w:pPr>
              <w:jc w:val="right"/>
              <w:rPr>
                <w:lang w:val="en-US" w:eastAsia="en-AU"/>
              </w:rPr>
            </w:pPr>
            <w:r>
              <w:rPr>
                <w:lang w:val="en-US" w:eastAsia="en-AU"/>
              </w:rPr>
              <w:t>-</w:t>
            </w:r>
          </w:p>
        </w:tc>
        <w:tc>
          <w:tcPr>
            <w:tcW w:w="1508" w:type="dxa"/>
          </w:tcPr>
          <w:p w14:paraId="647B0A63" w14:textId="72D5C94F" w:rsidR="007161BB" w:rsidRPr="007161BB" w:rsidRDefault="007161BB" w:rsidP="007161BB">
            <w:pPr>
              <w:jc w:val="right"/>
              <w:rPr>
                <w:lang w:val="en-US" w:eastAsia="en-AU"/>
              </w:rPr>
            </w:pPr>
            <w:r>
              <w:rPr>
                <w:lang w:val="en-US" w:eastAsia="en-AU"/>
              </w:rPr>
              <w:t>-</w:t>
            </w:r>
          </w:p>
        </w:tc>
      </w:tr>
      <w:tr w:rsidR="007161BB" w14:paraId="1C7AAE16" w14:textId="77777777" w:rsidTr="007161BB">
        <w:tc>
          <w:tcPr>
            <w:tcW w:w="6091" w:type="dxa"/>
            <w:vAlign w:val="bottom"/>
          </w:tcPr>
          <w:p w14:paraId="453ECED2" w14:textId="0AFE7D73" w:rsidR="007161BB" w:rsidRDefault="007161BB" w:rsidP="007161BB">
            <w:pPr>
              <w:rPr>
                <w:b/>
                <w:lang w:val="en-US" w:eastAsia="en-AU"/>
              </w:rPr>
            </w:pPr>
            <w:r>
              <w:t>Amount recovered</w:t>
            </w:r>
          </w:p>
        </w:tc>
        <w:tc>
          <w:tcPr>
            <w:tcW w:w="1417" w:type="dxa"/>
            <w:tcBorders>
              <w:bottom w:val="single" w:sz="4" w:space="0" w:color="auto"/>
            </w:tcBorders>
          </w:tcPr>
          <w:p w14:paraId="15913026" w14:textId="0E98BE75" w:rsidR="007161BB" w:rsidRPr="007161BB" w:rsidRDefault="007161BB" w:rsidP="007161BB">
            <w:pPr>
              <w:jc w:val="right"/>
              <w:rPr>
                <w:lang w:val="en-US" w:eastAsia="en-AU"/>
              </w:rPr>
            </w:pPr>
            <w:r>
              <w:rPr>
                <w:lang w:val="en-US" w:eastAsia="en-AU"/>
              </w:rPr>
              <w:t>-</w:t>
            </w:r>
          </w:p>
        </w:tc>
        <w:tc>
          <w:tcPr>
            <w:tcW w:w="1508" w:type="dxa"/>
            <w:tcBorders>
              <w:bottom w:val="single" w:sz="4" w:space="0" w:color="auto"/>
            </w:tcBorders>
          </w:tcPr>
          <w:p w14:paraId="7DF0DDD2" w14:textId="14CF5191" w:rsidR="007161BB" w:rsidRPr="007161BB" w:rsidRDefault="007161BB" w:rsidP="007161BB">
            <w:pPr>
              <w:jc w:val="right"/>
              <w:rPr>
                <w:lang w:val="en-US" w:eastAsia="en-AU"/>
              </w:rPr>
            </w:pPr>
            <w:r>
              <w:rPr>
                <w:lang w:val="en-US" w:eastAsia="en-AU"/>
              </w:rPr>
              <w:t>-</w:t>
            </w:r>
          </w:p>
        </w:tc>
      </w:tr>
      <w:tr w:rsidR="007161BB" w14:paraId="4E6C13FF" w14:textId="77777777" w:rsidTr="007161BB">
        <w:tc>
          <w:tcPr>
            <w:tcW w:w="6091" w:type="dxa"/>
          </w:tcPr>
          <w:p w14:paraId="297551F1" w14:textId="77777777" w:rsidR="007161BB" w:rsidRDefault="007161BB" w:rsidP="007161BB">
            <w:pPr>
              <w:rPr>
                <w:b/>
                <w:lang w:val="en-US" w:eastAsia="en-AU"/>
              </w:rPr>
            </w:pPr>
          </w:p>
        </w:tc>
        <w:tc>
          <w:tcPr>
            <w:tcW w:w="1417" w:type="dxa"/>
            <w:tcBorders>
              <w:top w:val="single" w:sz="4" w:space="0" w:color="auto"/>
              <w:bottom w:val="double" w:sz="4" w:space="0" w:color="auto"/>
            </w:tcBorders>
          </w:tcPr>
          <w:p w14:paraId="14D55D20" w14:textId="7078F0F4" w:rsidR="007161BB" w:rsidRPr="007161BB" w:rsidRDefault="007161BB" w:rsidP="007161BB">
            <w:pPr>
              <w:jc w:val="right"/>
              <w:rPr>
                <w:lang w:val="en-US" w:eastAsia="en-AU"/>
              </w:rPr>
            </w:pPr>
            <w:r>
              <w:rPr>
                <w:lang w:val="en-US" w:eastAsia="en-AU"/>
              </w:rPr>
              <w:t>-</w:t>
            </w:r>
          </w:p>
        </w:tc>
        <w:tc>
          <w:tcPr>
            <w:tcW w:w="1508" w:type="dxa"/>
            <w:tcBorders>
              <w:top w:val="single" w:sz="4" w:space="0" w:color="auto"/>
              <w:bottom w:val="double" w:sz="4" w:space="0" w:color="auto"/>
            </w:tcBorders>
          </w:tcPr>
          <w:p w14:paraId="58624E8B" w14:textId="6AC0B334" w:rsidR="007161BB" w:rsidRPr="007161BB" w:rsidRDefault="007161BB" w:rsidP="007161BB">
            <w:pPr>
              <w:jc w:val="right"/>
              <w:rPr>
                <w:lang w:val="en-US" w:eastAsia="en-AU"/>
              </w:rPr>
            </w:pPr>
            <w:r>
              <w:rPr>
                <w:lang w:val="en-US" w:eastAsia="en-AU"/>
              </w:rPr>
              <w:t>-</w:t>
            </w:r>
          </w:p>
        </w:tc>
      </w:tr>
    </w:tbl>
    <w:p w14:paraId="24481412" w14:textId="77777777" w:rsidR="00DA1F1E" w:rsidRDefault="00DA1F1E">
      <w:pPr>
        <w:keepLines w:val="0"/>
        <w:spacing w:after="0" w:line="240" w:lineRule="auto"/>
        <w:rPr>
          <w:b/>
          <w:lang w:val="en-US" w:eastAsia="en-AU"/>
        </w:rPr>
        <w:sectPr w:rsidR="00DA1F1E" w:rsidSect="00DA304E">
          <w:pgSz w:w="11906" w:h="16838" w:code="9"/>
          <w:pgMar w:top="1440" w:right="1440" w:bottom="1440" w:left="1440" w:header="709" w:footer="0" w:gutter="0"/>
          <w:cols w:space="708"/>
          <w:titlePg/>
          <w:docGrid w:linePitch="360"/>
        </w:sectPr>
      </w:pPr>
      <w:r>
        <w:rPr>
          <w:b/>
          <w:lang w:val="en-US" w:eastAsia="en-AU"/>
        </w:rPr>
        <w:br/>
      </w:r>
      <w:r>
        <w:rPr>
          <w:b/>
          <w:lang w:val="en-US" w:eastAsia="en-AU"/>
        </w:rPr>
        <w:br/>
      </w:r>
      <w:r>
        <w:rPr>
          <w:b/>
          <w:lang w:val="en-US" w:eastAsia="en-AU"/>
        </w:rPr>
        <w:br/>
      </w:r>
    </w:p>
    <w:p w14:paraId="693BDA16" w14:textId="742E0378" w:rsidR="007161BB" w:rsidRDefault="007161BB">
      <w:pPr>
        <w:keepLines w:val="0"/>
        <w:spacing w:after="0" w:line="240" w:lineRule="auto"/>
        <w:rPr>
          <w:b/>
          <w:lang w:val="en-US" w:eastAsia="en-AU"/>
        </w:rPr>
      </w:pPr>
    </w:p>
    <w:p w14:paraId="0FF34CA8" w14:textId="2486C8B3" w:rsidR="007161BB" w:rsidRPr="007161BB" w:rsidRDefault="007161BB" w:rsidP="007161BB">
      <w:pPr>
        <w:pStyle w:val="ListParagraph"/>
        <w:numPr>
          <w:ilvl w:val="0"/>
          <w:numId w:val="59"/>
        </w:numPr>
        <w:rPr>
          <w:b/>
          <w:lang w:val="en-US" w:eastAsia="en-AU"/>
        </w:rPr>
      </w:pPr>
      <w:r>
        <w:rPr>
          <w:b/>
          <w:lang w:val="en-US" w:eastAsia="en-AU"/>
        </w:rPr>
        <w:t>Gifts of public property</w:t>
      </w:r>
      <w:r>
        <w:rPr>
          <w:b/>
          <w:lang w:val="en-US" w:eastAsia="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Gifts of public property"/>
        <w:tblDescription w:val="This table outlines gifts of public property for the reporting period. "/>
      </w:tblPr>
      <w:tblGrid>
        <w:gridCol w:w="9288"/>
        <w:gridCol w:w="2160"/>
        <w:gridCol w:w="2299"/>
      </w:tblGrid>
      <w:tr w:rsidR="007161BB" w14:paraId="4F67169A" w14:textId="77777777" w:rsidTr="00F11774">
        <w:trPr>
          <w:trHeight w:val="783"/>
          <w:tblHeader/>
        </w:trPr>
        <w:tc>
          <w:tcPr>
            <w:tcW w:w="9288" w:type="dxa"/>
          </w:tcPr>
          <w:p w14:paraId="03D08700" w14:textId="77777777" w:rsidR="007161BB" w:rsidRDefault="007161BB" w:rsidP="00DA1F1E">
            <w:pPr>
              <w:rPr>
                <w:b/>
                <w:lang w:val="en-US" w:eastAsia="en-AU"/>
              </w:rPr>
            </w:pPr>
          </w:p>
        </w:tc>
        <w:tc>
          <w:tcPr>
            <w:tcW w:w="2160" w:type="dxa"/>
          </w:tcPr>
          <w:p w14:paraId="71D7C6CA" w14:textId="77777777" w:rsidR="007161BB" w:rsidRDefault="007161BB" w:rsidP="00DA1F1E">
            <w:pPr>
              <w:jc w:val="right"/>
              <w:rPr>
                <w:b/>
                <w:lang w:val="en-US" w:eastAsia="en-AU"/>
              </w:rPr>
            </w:pPr>
            <w:r>
              <w:rPr>
                <w:b/>
                <w:lang w:val="en-US" w:eastAsia="en-AU"/>
              </w:rPr>
              <w:t>2018</w:t>
            </w:r>
            <w:r>
              <w:rPr>
                <w:b/>
                <w:lang w:val="en-US" w:eastAsia="en-AU"/>
              </w:rPr>
              <w:br/>
              <w:t>$000</w:t>
            </w:r>
          </w:p>
        </w:tc>
        <w:tc>
          <w:tcPr>
            <w:tcW w:w="2299" w:type="dxa"/>
          </w:tcPr>
          <w:p w14:paraId="7DF231A2" w14:textId="77777777" w:rsidR="007161BB" w:rsidRDefault="007161BB" w:rsidP="00DA1F1E">
            <w:pPr>
              <w:jc w:val="right"/>
              <w:rPr>
                <w:b/>
                <w:lang w:val="en-US" w:eastAsia="en-AU"/>
              </w:rPr>
            </w:pPr>
            <w:r>
              <w:rPr>
                <w:b/>
                <w:lang w:val="en-US" w:eastAsia="en-AU"/>
              </w:rPr>
              <w:t>2017</w:t>
            </w:r>
            <w:r>
              <w:rPr>
                <w:b/>
                <w:lang w:val="en-US" w:eastAsia="en-AU"/>
              </w:rPr>
              <w:br/>
              <w:t>$000</w:t>
            </w:r>
          </w:p>
        </w:tc>
      </w:tr>
      <w:tr w:rsidR="007161BB" w14:paraId="29F63AE1" w14:textId="77777777" w:rsidTr="00DA1F1E">
        <w:trPr>
          <w:trHeight w:val="499"/>
        </w:trPr>
        <w:tc>
          <w:tcPr>
            <w:tcW w:w="9288" w:type="dxa"/>
            <w:vAlign w:val="bottom"/>
          </w:tcPr>
          <w:p w14:paraId="40DAEA70" w14:textId="2DFA726E" w:rsidR="007161BB" w:rsidRDefault="008E0DC6" w:rsidP="00DA1F1E">
            <w:pPr>
              <w:rPr>
                <w:b/>
                <w:lang w:val="en-US" w:eastAsia="en-AU"/>
              </w:rPr>
            </w:pPr>
            <w:r>
              <w:t>Gifts of public property provided by the agency</w:t>
            </w:r>
          </w:p>
        </w:tc>
        <w:tc>
          <w:tcPr>
            <w:tcW w:w="2160" w:type="dxa"/>
          </w:tcPr>
          <w:p w14:paraId="29609205" w14:textId="77777777" w:rsidR="007161BB" w:rsidRPr="007161BB" w:rsidRDefault="007161BB" w:rsidP="00DA1F1E">
            <w:pPr>
              <w:jc w:val="right"/>
              <w:rPr>
                <w:lang w:val="en-US" w:eastAsia="en-AU"/>
              </w:rPr>
            </w:pPr>
            <w:r>
              <w:rPr>
                <w:lang w:val="en-US" w:eastAsia="en-AU"/>
              </w:rPr>
              <w:t>-</w:t>
            </w:r>
          </w:p>
        </w:tc>
        <w:tc>
          <w:tcPr>
            <w:tcW w:w="2299" w:type="dxa"/>
          </w:tcPr>
          <w:p w14:paraId="78CEA0A8" w14:textId="77777777" w:rsidR="007161BB" w:rsidRPr="007161BB" w:rsidRDefault="007161BB" w:rsidP="00DA1F1E">
            <w:pPr>
              <w:jc w:val="right"/>
              <w:rPr>
                <w:lang w:val="en-US" w:eastAsia="en-AU"/>
              </w:rPr>
            </w:pPr>
            <w:r>
              <w:rPr>
                <w:lang w:val="en-US" w:eastAsia="en-AU"/>
              </w:rPr>
              <w:t>-</w:t>
            </w:r>
          </w:p>
        </w:tc>
      </w:tr>
      <w:tr w:rsidR="007161BB" w14:paraId="0FA703B0" w14:textId="77777777" w:rsidTr="00DA1F1E">
        <w:trPr>
          <w:trHeight w:val="513"/>
        </w:trPr>
        <w:tc>
          <w:tcPr>
            <w:tcW w:w="9288" w:type="dxa"/>
            <w:vAlign w:val="bottom"/>
          </w:tcPr>
          <w:p w14:paraId="663D884D" w14:textId="7C049EAE" w:rsidR="007161BB" w:rsidRDefault="007161BB" w:rsidP="00DA1F1E">
            <w:pPr>
              <w:rPr>
                <w:b/>
                <w:lang w:val="en-US" w:eastAsia="en-AU"/>
              </w:rPr>
            </w:pPr>
          </w:p>
        </w:tc>
        <w:tc>
          <w:tcPr>
            <w:tcW w:w="2160" w:type="dxa"/>
            <w:tcBorders>
              <w:bottom w:val="single" w:sz="4" w:space="0" w:color="auto"/>
            </w:tcBorders>
          </w:tcPr>
          <w:p w14:paraId="61A2E583" w14:textId="77777777" w:rsidR="007161BB" w:rsidRPr="007161BB" w:rsidRDefault="007161BB" w:rsidP="00DA1F1E">
            <w:pPr>
              <w:jc w:val="right"/>
              <w:rPr>
                <w:lang w:val="en-US" w:eastAsia="en-AU"/>
              </w:rPr>
            </w:pPr>
            <w:r>
              <w:rPr>
                <w:lang w:val="en-US" w:eastAsia="en-AU"/>
              </w:rPr>
              <w:t>-</w:t>
            </w:r>
          </w:p>
        </w:tc>
        <w:tc>
          <w:tcPr>
            <w:tcW w:w="2299" w:type="dxa"/>
            <w:tcBorders>
              <w:bottom w:val="single" w:sz="4" w:space="0" w:color="auto"/>
            </w:tcBorders>
          </w:tcPr>
          <w:p w14:paraId="414BAFE0" w14:textId="77777777" w:rsidR="007161BB" w:rsidRPr="007161BB" w:rsidRDefault="007161BB" w:rsidP="00DA1F1E">
            <w:pPr>
              <w:jc w:val="right"/>
              <w:rPr>
                <w:lang w:val="en-US" w:eastAsia="en-AU"/>
              </w:rPr>
            </w:pPr>
            <w:r>
              <w:rPr>
                <w:lang w:val="en-US" w:eastAsia="en-AU"/>
              </w:rPr>
              <w:t>-</w:t>
            </w:r>
          </w:p>
        </w:tc>
      </w:tr>
      <w:tr w:rsidR="008E0DC6" w14:paraId="14D58661" w14:textId="77777777" w:rsidTr="00DA1F1E">
        <w:trPr>
          <w:trHeight w:val="472"/>
        </w:trPr>
        <w:tc>
          <w:tcPr>
            <w:tcW w:w="9288" w:type="dxa"/>
            <w:vAlign w:val="bottom"/>
          </w:tcPr>
          <w:p w14:paraId="6FCC871D" w14:textId="77777777" w:rsidR="008E0DC6" w:rsidRDefault="008E0DC6" w:rsidP="00DA1F1E">
            <w:pPr>
              <w:rPr>
                <w:b/>
                <w:lang w:val="en-US" w:eastAsia="en-AU"/>
              </w:rPr>
            </w:pPr>
          </w:p>
        </w:tc>
        <w:tc>
          <w:tcPr>
            <w:tcW w:w="2160" w:type="dxa"/>
            <w:tcBorders>
              <w:top w:val="single" w:sz="4" w:space="0" w:color="auto"/>
              <w:bottom w:val="double" w:sz="4" w:space="0" w:color="auto"/>
            </w:tcBorders>
          </w:tcPr>
          <w:p w14:paraId="14684CF6" w14:textId="5E91028B" w:rsidR="008E0DC6" w:rsidRDefault="008E0DC6" w:rsidP="00DA1F1E">
            <w:pPr>
              <w:jc w:val="right"/>
              <w:rPr>
                <w:lang w:val="en-US" w:eastAsia="en-AU"/>
              </w:rPr>
            </w:pPr>
            <w:r>
              <w:rPr>
                <w:lang w:val="en-US" w:eastAsia="en-AU"/>
              </w:rPr>
              <w:t>-</w:t>
            </w:r>
          </w:p>
        </w:tc>
        <w:tc>
          <w:tcPr>
            <w:tcW w:w="2299" w:type="dxa"/>
            <w:tcBorders>
              <w:top w:val="single" w:sz="4" w:space="0" w:color="auto"/>
              <w:bottom w:val="double" w:sz="4" w:space="0" w:color="auto"/>
            </w:tcBorders>
          </w:tcPr>
          <w:p w14:paraId="005D42BA" w14:textId="7C1B6564" w:rsidR="008E0DC6" w:rsidRDefault="008E0DC6" w:rsidP="00DA1F1E">
            <w:pPr>
              <w:jc w:val="right"/>
              <w:rPr>
                <w:lang w:val="en-US" w:eastAsia="en-AU"/>
              </w:rPr>
            </w:pPr>
            <w:r>
              <w:rPr>
                <w:lang w:val="en-US" w:eastAsia="en-AU"/>
              </w:rPr>
              <w:t>-</w:t>
            </w:r>
          </w:p>
        </w:tc>
      </w:tr>
    </w:tbl>
    <w:p w14:paraId="56925620" w14:textId="5E44C981" w:rsidR="007161BB" w:rsidRDefault="007161BB" w:rsidP="007161BB">
      <w:pPr>
        <w:rPr>
          <w:b/>
          <w:lang w:val="en-US" w:eastAsia="en-AU"/>
        </w:rPr>
      </w:pPr>
    </w:p>
    <w:p w14:paraId="3D6BCCB7" w14:textId="7FD6C7AD" w:rsidR="007161BB" w:rsidRDefault="00DA1F1E" w:rsidP="00DA1F1E">
      <w:pPr>
        <w:pStyle w:val="Heading3nonumber"/>
        <w:numPr>
          <w:ilvl w:val="1"/>
          <w:numId w:val="50"/>
        </w:numPr>
        <w:rPr>
          <w:lang w:val="en-US" w:eastAsia="en-AU"/>
        </w:rPr>
      </w:pPr>
      <w:bookmarkStart w:id="812" w:name="_Toc525122208"/>
      <w:r>
        <w:rPr>
          <w:lang w:val="en-US" w:eastAsia="en-AU"/>
        </w:rPr>
        <w:t>Explanatory statement</w:t>
      </w:r>
      <w:bookmarkEnd w:id="812"/>
    </w:p>
    <w:p w14:paraId="7D6001B5" w14:textId="6F6957F2" w:rsidR="00DA1F1E" w:rsidRPr="00DA1F1E" w:rsidRDefault="00DA1F1E" w:rsidP="00DA1F1E">
      <w:pPr>
        <w:rPr>
          <w:lang w:val="en-US" w:eastAsia="en-AU"/>
        </w:rPr>
      </w:pPr>
      <w:r w:rsidRPr="00DA1F1E">
        <w:rPr>
          <w:lang w:val="en-US" w:eastAsia="en-AU"/>
        </w:rPr>
        <w:t xml:space="preserve">All variances between estimates (original budget) and actual results for 2018, and between the </w:t>
      </w:r>
      <w:r>
        <w:rPr>
          <w:lang w:val="en-US" w:eastAsia="en-AU"/>
        </w:rPr>
        <w:t xml:space="preserve">actual results for 2018 and 2017 </w:t>
      </w:r>
      <w:r w:rsidRPr="00DA1F1E">
        <w:rPr>
          <w:lang w:val="en-US" w:eastAsia="en-AU"/>
        </w:rPr>
        <w:t>are shown below. Narratives are provided for key major variances, wh</w:t>
      </w:r>
      <w:r>
        <w:rPr>
          <w:lang w:val="en-US" w:eastAsia="en-AU"/>
        </w:rPr>
        <w:t>ich are generally greater than:</w:t>
      </w:r>
    </w:p>
    <w:p w14:paraId="672E6C78" w14:textId="10CF9C4B" w:rsidR="00DA1F1E" w:rsidRPr="00DA1F1E" w:rsidRDefault="00DA1F1E" w:rsidP="00DA1F1E">
      <w:pPr>
        <w:pStyle w:val="ListParagraph"/>
        <w:numPr>
          <w:ilvl w:val="0"/>
          <w:numId w:val="60"/>
        </w:numPr>
        <w:rPr>
          <w:lang w:val="en-US" w:eastAsia="en-AU"/>
        </w:rPr>
      </w:pPr>
      <w:r w:rsidRPr="00DA1F1E">
        <w:rPr>
          <w:lang w:val="en-US" w:eastAsia="en-AU"/>
        </w:rPr>
        <w:t>5% and $0.45 million for the Statements of Comprehensive Income and Cash Flows</w:t>
      </w:r>
    </w:p>
    <w:p w14:paraId="55E7A8EE" w14:textId="0B0A4822" w:rsidR="00DA1F1E" w:rsidRPr="00DA1F1E" w:rsidRDefault="00DA1F1E" w:rsidP="00DA1F1E">
      <w:pPr>
        <w:pStyle w:val="ListParagraph"/>
        <w:numPr>
          <w:ilvl w:val="0"/>
          <w:numId w:val="60"/>
        </w:numPr>
        <w:rPr>
          <w:b/>
          <w:lang w:val="en-US" w:eastAsia="en-AU"/>
        </w:rPr>
      </w:pPr>
      <w:r w:rsidRPr="00DA1F1E">
        <w:rPr>
          <w:lang w:val="en-US" w:eastAsia="en-AU"/>
        </w:rPr>
        <w:t>5% and $2.6 million for the Statement of Financial Position.</w:t>
      </w:r>
    </w:p>
    <w:p w14:paraId="375FD860" w14:textId="77777777" w:rsidR="00DA1F1E" w:rsidRDefault="00DA1F1E" w:rsidP="00DA1F1E">
      <w:pPr>
        <w:rPr>
          <w:b/>
          <w:lang w:val="en-US" w:eastAsia="en-AU"/>
        </w:rPr>
      </w:pPr>
    </w:p>
    <w:p w14:paraId="6F39B1F0" w14:textId="5CA49764" w:rsidR="00DA1F1E" w:rsidRDefault="00DA1F1E" w:rsidP="00DA1F1E">
      <w:pPr>
        <w:keepLines w:val="0"/>
        <w:spacing w:after="0" w:line="240" w:lineRule="auto"/>
        <w:rPr>
          <w:b/>
          <w:lang w:val="en-US" w:eastAsia="en-AU"/>
        </w:rPr>
      </w:pPr>
      <w:r>
        <w:rPr>
          <w:b/>
          <w:lang w:val="en-US" w:eastAsia="en-AU"/>
        </w:rPr>
        <w:br/>
      </w:r>
      <w:r w:rsidR="00B02F18">
        <w:rPr>
          <w:b/>
          <w:lang w:val="en-US" w:eastAsia="en-AU"/>
        </w:rPr>
        <w:br/>
      </w:r>
      <w:r w:rsidR="00B02F18">
        <w:rPr>
          <w:b/>
          <w:lang w:val="en-US" w:eastAsia="en-AU"/>
        </w:rPr>
        <w:br/>
      </w:r>
      <w:r w:rsidR="00B02F18">
        <w:rPr>
          <w:b/>
          <w:lang w:val="en-US" w:eastAsia="en-AU"/>
        </w:rPr>
        <w:br/>
      </w:r>
      <w:r w:rsidR="00B02F18">
        <w:rPr>
          <w:b/>
          <w:lang w:val="en-US" w:eastAsia="en-AU"/>
        </w:rPr>
        <w:br/>
      </w:r>
      <w:r w:rsidR="00B02F18">
        <w:rPr>
          <w:b/>
          <w:lang w:val="en-US" w:eastAsia="en-AU"/>
        </w:rPr>
        <w:br/>
      </w:r>
      <w:r w:rsidR="00B02F18">
        <w:rPr>
          <w:b/>
          <w:lang w:val="en-US" w:eastAsia="en-AU"/>
        </w:rPr>
        <w:br/>
      </w:r>
      <w:r w:rsidR="00B02F18">
        <w:rPr>
          <w:b/>
          <w:lang w:val="en-US" w:eastAsia="en-AU"/>
        </w:rPr>
        <w:br/>
      </w:r>
      <w:r>
        <w:rPr>
          <w:b/>
          <w:lang w:val="en-US" w:eastAsia="en-AU"/>
        </w:rPr>
        <w:t xml:space="preserve">STATEMENT OF COMPREHENSIVE INCOME </w:t>
      </w:r>
    </w:p>
    <w:p w14:paraId="5935EB41" w14:textId="77777777" w:rsidR="00FD7E02" w:rsidRDefault="00FD7E02">
      <w:pPr>
        <w:keepLines w:val="0"/>
        <w:spacing w:after="0" w:line="240" w:lineRule="auto"/>
        <w:rPr>
          <w:b/>
          <w:lang w:val="en-US"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tatement of Comprehensive Income"/>
        <w:tblDescription w:val="This table provides the Statement of Comprehensive Income for the reporting period. "/>
      </w:tblPr>
      <w:tblGrid>
        <w:gridCol w:w="4957"/>
        <w:gridCol w:w="1559"/>
        <w:gridCol w:w="1276"/>
        <w:gridCol w:w="1275"/>
        <w:gridCol w:w="1418"/>
        <w:gridCol w:w="1642"/>
        <w:gridCol w:w="1821"/>
      </w:tblGrid>
      <w:tr w:rsidR="00FD7E02" w:rsidRPr="00DA1F1E" w14:paraId="60AEDE2A" w14:textId="77777777" w:rsidTr="005954B1">
        <w:trPr>
          <w:tblHeader/>
        </w:trPr>
        <w:tc>
          <w:tcPr>
            <w:tcW w:w="4957" w:type="dxa"/>
          </w:tcPr>
          <w:p w14:paraId="5B95B218" w14:textId="77777777" w:rsidR="00FD7E02" w:rsidRDefault="00FD7E02" w:rsidP="005954B1">
            <w:pPr>
              <w:rPr>
                <w:lang w:val="en-US" w:eastAsia="en-AU"/>
              </w:rPr>
            </w:pPr>
          </w:p>
        </w:tc>
        <w:tc>
          <w:tcPr>
            <w:tcW w:w="1559" w:type="dxa"/>
          </w:tcPr>
          <w:p w14:paraId="18DE2A1F" w14:textId="77777777" w:rsidR="00FD7E02" w:rsidRPr="00DA1F1E" w:rsidRDefault="00FD7E02" w:rsidP="005954B1">
            <w:pPr>
              <w:jc w:val="center"/>
              <w:rPr>
                <w:b/>
                <w:lang w:val="en-US" w:eastAsia="en-AU"/>
              </w:rPr>
            </w:pPr>
            <w:r>
              <w:rPr>
                <w:b/>
                <w:lang w:val="en-US" w:eastAsia="en-AU"/>
              </w:rPr>
              <w:t>Variance Note</w:t>
            </w:r>
          </w:p>
        </w:tc>
        <w:tc>
          <w:tcPr>
            <w:tcW w:w="1276" w:type="dxa"/>
          </w:tcPr>
          <w:p w14:paraId="1E02B437" w14:textId="77777777" w:rsidR="00FD7E02" w:rsidRPr="00DA1F1E" w:rsidRDefault="00FD7E02" w:rsidP="005954B1">
            <w:pPr>
              <w:jc w:val="right"/>
              <w:rPr>
                <w:b/>
                <w:lang w:val="en-US" w:eastAsia="en-AU"/>
              </w:rPr>
            </w:pPr>
            <w:r>
              <w:rPr>
                <w:b/>
                <w:lang w:val="en-US" w:eastAsia="en-AU"/>
              </w:rPr>
              <w:t>Estimate 2018</w:t>
            </w:r>
          </w:p>
        </w:tc>
        <w:tc>
          <w:tcPr>
            <w:tcW w:w="1275" w:type="dxa"/>
          </w:tcPr>
          <w:p w14:paraId="68C86A5C" w14:textId="77777777" w:rsidR="00FD7E02" w:rsidRPr="00DA1F1E" w:rsidRDefault="00FD7E02" w:rsidP="005954B1">
            <w:pPr>
              <w:jc w:val="right"/>
              <w:rPr>
                <w:b/>
                <w:lang w:val="en-US" w:eastAsia="en-AU"/>
              </w:rPr>
            </w:pPr>
            <w:r>
              <w:rPr>
                <w:b/>
                <w:lang w:val="en-US" w:eastAsia="en-AU"/>
              </w:rPr>
              <w:t>Actual 2018</w:t>
            </w:r>
          </w:p>
        </w:tc>
        <w:tc>
          <w:tcPr>
            <w:tcW w:w="1418" w:type="dxa"/>
          </w:tcPr>
          <w:p w14:paraId="6BA53717" w14:textId="77777777" w:rsidR="00FD7E02" w:rsidRPr="00DA1F1E" w:rsidRDefault="00FD7E02" w:rsidP="005954B1">
            <w:pPr>
              <w:jc w:val="right"/>
              <w:rPr>
                <w:b/>
                <w:lang w:val="en-US" w:eastAsia="en-AU"/>
              </w:rPr>
            </w:pPr>
            <w:r>
              <w:rPr>
                <w:b/>
                <w:lang w:val="en-US" w:eastAsia="en-AU"/>
              </w:rPr>
              <w:t xml:space="preserve">Actual </w:t>
            </w:r>
            <w:r>
              <w:rPr>
                <w:b/>
                <w:lang w:val="en-US" w:eastAsia="en-AU"/>
              </w:rPr>
              <w:br/>
              <w:t>2017</w:t>
            </w:r>
          </w:p>
        </w:tc>
        <w:tc>
          <w:tcPr>
            <w:tcW w:w="1642" w:type="dxa"/>
          </w:tcPr>
          <w:p w14:paraId="3C3F6E3C" w14:textId="77777777" w:rsidR="00FD7E02" w:rsidRPr="00DA1F1E" w:rsidRDefault="00FD7E02" w:rsidP="005954B1">
            <w:pPr>
              <w:jc w:val="right"/>
              <w:rPr>
                <w:b/>
                <w:lang w:val="en-US" w:eastAsia="en-AU"/>
              </w:rPr>
            </w:pPr>
            <w:r>
              <w:rPr>
                <w:b/>
                <w:lang w:val="en-US" w:eastAsia="en-AU"/>
              </w:rPr>
              <w:t xml:space="preserve">Variance between Estimate and Actual </w:t>
            </w:r>
          </w:p>
        </w:tc>
        <w:tc>
          <w:tcPr>
            <w:tcW w:w="1821" w:type="dxa"/>
          </w:tcPr>
          <w:p w14:paraId="6874B774" w14:textId="77777777" w:rsidR="00FD7E02" w:rsidRPr="00DA1F1E" w:rsidRDefault="00FD7E02" w:rsidP="005954B1">
            <w:pPr>
              <w:jc w:val="right"/>
              <w:rPr>
                <w:b/>
                <w:lang w:val="en-US" w:eastAsia="en-AU"/>
              </w:rPr>
            </w:pPr>
            <w:r>
              <w:rPr>
                <w:b/>
                <w:lang w:val="en-US" w:eastAsia="en-AU"/>
              </w:rPr>
              <w:t>Variance between Actual result for 2018 and 2017</w:t>
            </w:r>
          </w:p>
        </w:tc>
      </w:tr>
      <w:tr w:rsidR="00FD7E02" w:rsidRPr="00DA1F1E" w14:paraId="74FCEFE9" w14:textId="77777777" w:rsidTr="005954B1">
        <w:tc>
          <w:tcPr>
            <w:tcW w:w="4957" w:type="dxa"/>
            <w:vAlign w:val="center"/>
          </w:tcPr>
          <w:p w14:paraId="2F8DE938" w14:textId="5378E0AA" w:rsidR="00FD7E02" w:rsidRPr="00DA1F1E" w:rsidRDefault="00FD7E02" w:rsidP="005954B1">
            <w:pPr>
              <w:rPr>
                <w:b/>
                <w:lang w:val="en-US" w:eastAsia="en-AU"/>
              </w:rPr>
            </w:pPr>
          </w:p>
        </w:tc>
        <w:tc>
          <w:tcPr>
            <w:tcW w:w="1559" w:type="dxa"/>
          </w:tcPr>
          <w:p w14:paraId="7238DBC3" w14:textId="77777777" w:rsidR="00FD7E02" w:rsidRDefault="00FD7E02" w:rsidP="005954B1">
            <w:pPr>
              <w:jc w:val="center"/>
              <w:rPr>
                <w:lang w:val="en-US" w:eastAsia="en-AU"/>
              </w:rPr>
            </w:pPr>
          </w:p>
        </w:tc>
        <w:tc>
          <w:tcPr>
            <w:tcW w:w="1276" w:type="dxa"/>
          </w:tcPr>
          <w:p w14:paraId="0A53C08E" w14:textId="77777777" w:rsidR="00FD7E02" w:rsidRDefault="00FD7E02" w:rsidP="005954B1">
            <w:pPr>
              <w:rPr>
                <w:lang w:val="en-US" w:eastAsia="en-AU"/>
              </w:rPr>
            </w:pPr>
          </w:p>
        </w:tc>
        <w:tc>
          <w:tcPr>
            <w:tcW w:w="1275" w:type="dxa"/>
          </w:tcPr>
          <w:p w14:paraId="4A0EACAD" w14:textId="77777777" w:rsidR="00FD7E02" w:rsidRPr="00DA1F1E" w:rsidRDefault="00FD7E02" w:rsidP="005954B1">
            <w:pPr>
              <w:jc w:val="right"/>
              <w:rPr>
                <w:b/>
                <w:lang w:val="en-US" w:eastAsia="en-AU"/>
              </w:rPr>
            </w:pPr>
            <w:r>
              <w:rPr>
                <w:b/>
                <w:lang w:val="en-US" w:eastAsia="en-AU"/>
              </w:rPr>
              <w:t>$000</w:t>
            </w:r>
          </w:p>
        </w:tc>
        <w:tc>
          <w:tcPr>
            <w:tcW w:w="1418" w:type="dxa"/>
          </w:tcPr>
          <w:p w14:paraId="30033F51" w14:textId="77777777" w:rsidR="00FD7E02" w:rsidRPr="00DA1F1E" w:rsidRDefault="00FD7E02" w:rsidP="005954B1">
            <w:pPr>
              <w:jc w:val="right"/>
              <w:rPr>
                <w:b/>
                <w:lang w:val="en-US" w:eastAsia="en-AU"/>
              </w:rPr>
            </w:pPr>
            <w:r>
              <w:rPr>
                <w:b/>
                <w:lang w:val="en-US" w:eastAsia="en-AU"/>
              </w:rPr>
              <w:t>$000</w:t>
            </w:r>
          </w:p>
        </w:tc>
        <w:tc>
          <w:tcPr>
            <w:tcW w:w="1642" w:type="dxa"/>
          </w:tcPr>
          <w:p w14:paraId="07A0D16F" w14:textId="77777777" w:rsidR="00FD7E02" w:rsidRPr="00DA1F1E" w:rsidRDefault="00FD7E02" w:rsidP="005954B1">
            <w:pPr>
              <w:jc w:val="right"/>
              <w:rPr>
                <w:b/>
                <w:lang w:val="en-US" w:eastAsia="en-AU"/>
              </w:rPr>
            </w:pPr>
            <w:r>
              <w:rPr>
                <w:b/>
                <w:lang w:val="en-US" w:eastAsia="en-AU"/>
              </w:rPr>
              <w:t>$000</w:t>
            </w:r>
          </w:p>
        </w:tc>
        <w:tc>
          <w:tcPr>
            <w:tcW w:w="1821" w:type="dxa"/>
          </w:tcPr>
          <w:p w14:paraId="3F8F3BFB" w14:textId="77777777" w:rsidR="00FD7E02" w:rsidRPr="00DA1F1E" w:rsidRDefault="00FD7E02" w:rsidP="005954B1">
            <w:pPr>
              <w:jc w:val="right"/>
              <w:rPr>
                <w:b/>
                <w:lang w:val="en-US" w:eastAsia="en-AU"/>
              </w:rPr>
            </w:pPr>
            <w:r>
              <w:rPr>
                <w:b/>
                <w:lang w:val="en-US" w:eastAsia="en-AU"/>
              </w:rPr>
              <w:t>$000</w:t>
            </w:r>
          </w:p>
        </w:tc>
      </w:tr>
      <w:tr w:rsidR="00FD7E02" w14:paraId="0520FE58" w14:textId="77777777" w:rsidTr="005954B1">
        <w:tc>
          <w:tcPr>
            <w:tcW w:w="4957" w:type="dxa"/>
            <w:vAlign w:val="bottom"/>
          </w:tcPr>
          <w:p w14:paraId="268CB4C8" w14:textId="0E25E90F" w:rsidR="00FD7E02" w:rsidRPr="00FD7E02" w:rsidRDefault="00FD7E02" w:rsidP="00FD7E02">
            <w:pPr>
              <w:rPr>
                <w:b/>
                <w:lang w:val="en-US" w:eastAsia="en-AU"/>
              </w:rPr>
            </w:pPr>
            <w:r w:rsidRPr="00FD7E02">
              <w:rPr>
                <w:b/>
              </w:rPr>
              <w:t>INCOME</w:t>
            </w:r>
          </w:p>
        </w:tc>
        <w:tc>
          <w:tcPr>
            <w:tcW w:w="1559" w:type="dxa"/>
          </w:tcPr>
          <w:p w14:paraId="7F002F4C" w14:textId="77777777" w:rsidR="00FD7E02" w:rsidRDefault="00FD7E02" w:rsidP="00FD7E02">
            <w:pPr>
              <w:rPr>
                <w:lang w:val="en-US" w:eastAsia="en-AU"/>
              </w:rPr>
            </w:pPr>
          </w:p>
        </w:tc>
        <w:tc>
          <w:tcPr>
            <w:tcW w:w="1276" w:type="dxa"/>
          </w:tcPr>
          <w:p w14:paraId="45238439" w14:textId="77777777" w:rsidR="00FD7E02" w:rsidRDefault="00FD7E02" w:rsidP="00FD7E02">
            <w:pPr>
              <w:rPr>
                <w:lang w:val="en-US" w:eastAsia="en-AU"/>
              </w:rPr>
            </w:pPr>
          </w:p>
        </w:tc>
        <w:tc>
          <w:tcPr>
            <w:tcW w:w="1275" w:type="dxa"/>
          </w:tcPr>
          <w:p w14:paraId="7E94643B" w14:textId="77777777" w:rsidR="00FD7E02" w:rsidRDefault="00FD7E02" w:rsidP="00FD7E02">
            <w:pPr>
              <w:rPr>
                <w:lang w:val="en-US" w:eastAsia="en-AU"/>
              </w:rPr>
            </w:pPr>
          </w:p>
        </w:tc>
        <w:tc>
          <w:tcPr>
            <w:tcW w:w="1418" w:type="dxa"/>
          </w:tcPr>
          <w:p w14:paraId="1DD6305C" w14:textId="77777777" w:rsidR="00FD7E02" w:rsidRDefault="00FD7E02" w:rsidP="00FD7E02">
            <w:pPr>
              <w:rPr>
                <w:lang w:val="en-US" w:eastAsia="en-AU"/>
              </w:rPr>
            </w:pPr>
          </w:p>
        </w:tc>
        <w:tc>
          <w:tcPr>
            <w:tcW w:w="1642" w:type="dxa"/>
          </w:tcPr>
          <w:p w14:paraId="3D09F5E4" w14:textId="77777777" w:rsidR="00FD7E02" w:rsidRDefault="00FD7E02" w:rsidP="00FD7E02">
            <w:pPr>
              <w:rPr>
                <w:lang w:val="en-US" w:eastAsia="en-AU"/>
              </w:rPr>
            </w:pPr>
          </w:p>
        </w:tc>
        <w:tc>
          <w:tcPr>
            <w:tcW w:w="1821" w:type="dxa"/>
          </w:tcPr>
          <w:p w14:paraId="422AF5B5" w14:textId="77777777" w:rsidR="00FD7E02" w:rsidRDefault="00FD7E02" w:rsidP="00FD7E02">
            <w:pPr>
              <w:rPr>
                <w:lang w:val="en-US" w:eastAsia="en-AU"/>
              </w:rPr>
            </w:pPr>
          </w:p>
        </w:tc>
      </w:tr>
      <w:tr w:rsidR="00FD7E02" w14:paraId="44357FE9" w14:textId="77777777" w:rsidTr="005954B1">
        <w:tc>
          <w:tcPr>
            <w:tcW w:w="4957" w:type="dxa"/>
            <w:vAlign w:val="bottom"/>
          </w:tcPr>
          <w:p w14:paraId="5DCA246C" w14:textId="5F6A98D3" w:rsidR="00FD7E02" w:rsidRPr="00FD7E02" w:rsidRDefault="00FD7E02" w:rsidP="00FD7E02">
            <w:pPr>
              <w:rPr>
                <w:b/>
                <w:lang w:val="en-US" w:eastAsia="en-AU"/>
              </w:rPr>
            </w:pPr>
            <w:r w:rsidRPr="00FD7E02">
              <w:rPr>
                <w:b/>
              </w:rPr>
              <w:t>Revenue</w:t>
            </w:r>
          </w:p>
        </w:tc>
        <w:tc>
          <w:tcPr>
            <w:tcW w:w="1559" w:type="dxa"/>
          </w:tcPr>
          <w:p w14:paraId="2EE434C1" w14:textId="77777777" w:rsidR="00FD7E02" w:rsidRDefault="00FD7E02" w:rsidP="00FD7E02">
            <w:pPr>
              <w:rPr>
                <w:lang w:val="en-US" w:eastAsia="en-AU"/>
              </w:rPr>
            </w:pPr>
          </w:p>
        </w:tc>
        <w:tc>
          <w:tcPr>
            <w:tcW w:w="1276" w:type="dxa"/>
            <w:vAlign w:val="bottom"/>
          </w:tcPr>
          <w:p w14:paraId="03C88AB6" w14:textId="61C2154C" w:rsidR="00FD7E02" w:rsidRDefault="00FD7E02" w:rsidP="00FD7E02">
            <w:pPr>
              <w:jc w:val="right"/>
              <w:rPr>
                <w:lang w:val="en-US" w:eastAsia="en-AU"/>
              </w:rPr>
            </w:pPr>
          </w:p>
        </w:tc>
        <w:tc>
          <w:tcPr>
            <w:tcW w:w="1275" w:type="dxa"/>
            <w:vAlign w:val="bottom"/>
          </w:tcPr>
          <w:p w14:paraId="3F7E1D3E" w14:textId="04378A52" w:rsidR="00FD7E02" w:rsidRDefault="00FD7E02" w:rsidP="00FD7E02">
            <w:pPr>
              <w:jc w:val="right"/>
              <w:rPr>
                <w:lang w:val="en-US" w:eastAsia="en-AU"/>
              </w:rPr>
            </w:pPr>
          </w:p>
        </w:tc>
        <w:tc>
          <w:tcPr>
            <w:tcW w:w="1418" w:type="dxa"/>
            <w:vAlign w:val="bottom"/>
          </w:tcPr>
          <w:p w14:paraId="6434A50B" w14:textId="5D7FA05A" w:rsidR="00FD7E02" w:rsidRDefault="00FD7E02" w:rsidP="00FD7E02">
            <w:pPr>
              <w:jc w:val="right"/>
              <w:rPr>
                <w:lang w:val="en-US" w:eastAsia="en-AU"/>
              </w:rPr>
            </w:pPr>
          </w:p>
        </w:tc>
        <w:tc>
          <w:tcPr>
            <w:tcW w:w="1642" w:type="dxa"/>
            <w:vAlign w:val="bottom"/>
          </w:tcPr>
          <w:p w14:paraId="52AC88D0" w14:textId="5B761E92" w:rsidR="00FD7E02" w:rsidRDefault="00FD7E02" w:rsidP="00FD7E02">
            <w:pPr>
              <w:jc w:val="right"/>
              <w:rPr>
                <w:lang w:val="en-US" w:eastAsia="en-AU"/>
              </w:rPr>
            </w:pPr>
          </w:p>
        </w:tc>
        <w:tc>
          <w:tcPr>
            <w:tcW w:w="1821" w:type="dxa"/>
            <w:vAlign w:val="bottom"/>
          </w:tcPr>
          <w:p w14:paraId="40096A08" w14:textId="11253530" w:rsidR="00FD7E02" w:rsidRDefault="00FD7E02" w:rsidP="00FD7E02">
            <w:pPr>
              <w:jc w:val="right"/>
              <w:rPr>
                <w:lang w:val="en-US" w:eastAsia="en-AU"/>
              </w:rPr>
            </w:pPr>
          </w:p>
        </w:tc>
      </w:tr>
      <w:tr w:rsidR="00FD7E02" w14:paraId="4E93AA6C" w14:textId="77777777" w:rsidTr="005954B1">
        <w:tc>
          <w:tcPr>
            <w:tcW w:w="4957" w:type="dxa"/>
            <w:vAlign w:val="bottom"/>
          </w:tcPr>
          <w:p w14:paraId="38A979D3" w14:textId="1775AF38" w:rsidR="00FD7E02" w:rsidRDefault="00FD7E02" w:rsidP="00FD7E02">
            <w:pPr>
              <w:rPr>
                <w:lang w:val="en-US" w:eastAsia="en-AU"/>
              </w:rPr>
            </w:pPr>
            <w:r>
              <w:t>Insurer contributions</w:t>
            </w:r>
          </w:p>
        </w:tc>
        <w:tc>
          <w:tcPr>
            <w:tcW w:w="1559" w:type="dxa"/>
          </w:tcPr>
          <w:p w14:paraId="58B36DF1" w14:textId="77777777" w:rsidR="00FD7E02" w:rsidRDefault="00FD7E02" w:rsidP="00FD7E02">
            <w:pPr>
              <w:rPr>
                <w:lang w:val="en-US" w:eastAsia="en-AU"/>
              </w:rPr>
            </w:pPr>
          </w:p>
        </w:tc>
        <w:tc>
          <w:tcPr>
            <w:tcW w:w="1276" w:type="dxa"/>
          </w:tcPr>
          <w:p w14:paraId="768D8BAB" w14:textId="077C9B20" w:rsidR="00FD7E02" w:rsidRDefault="00FD7E02" w:rsidP="00FD7E02">
            <w:pPr>
              <w:jc w:val="right"/>
              <w:rPr>
                <w:lang w:val="en-US" w:eastAsia="en-AU"/>
              </w:rPr>
            </w:pPr>
            <w:r w:rsidRPr="00DF4E75">
              <w:t xml:space="preserve"> 19,883 </w:t>
            </w:r>
          </w:p>
        </w:tc>
        <w:tc>
          <w:tcPr>
            <w:tcW w:w="1275" w:type="dxa"/>
          </w:tcPr>
          <w:p w14:paraId="2F340626" w14:textId="5257C2B6" w:rsidR="00FD7E02" w:rsidRDefault="00FD7E02" w:rsidP="00FD7E02">
            <w:pPr>
              <w:jc w:val="right"/>
              <w:rPr>
                <w:lang w:val="en-US" w:eastAsia="en-AU"/>
              </w:rPr>
            </w:pPr>
            <w:r w:rsidRPr="00DF4E75">
              <w:t xml:space="preserve"> 19,883 </w:t>
            </w:r>
          </w:p>
        </w:tc>
        <w:tc>
          <w:tcPr>
            <w:tcW w:w="1418" w:type="dxa"/>
          </w:tcPr>
          <w:p w14:paraId="79DCB059" w14:textId="0BD5A0C7" w:rsidR="00FD7E02" w:rsidRDefault="00FD7E02" w:rsidP="00FD7E02">
            <w:pPr>
              <w:jc w:val="right"/>
              <w:rPr>
                <w:lang w:val="en-US" w:eastAsia="en-AU"/>
              </w:rPr>
            </w:pPr>
            <w:r w:rsidRPr="00DF4E75">
              <w:t xml:space="preserve"> 19,945 </w:t>
            </w:r>
          </w:p>
        </w:tc>
        <w:tc>
          <w:tcPr>
            <w:tcW w:w="1642" w:type="dxa"/>
          </w:tcPr>
          <w:p w14:paraId="226650A7" w14:textId="1D85B1E9" w:rsidR="00FD7E02" w:rsidRDefault="00FD7E02" w:rsidP="00FD7E02">
            <w:pPr>
              <w:jc w:val="right"/>
              <w:rPr>
                <w:lang w:val="en-US" w:eastAsia="en-AU"/>
              </w:rPr>
            </w:pPr>
            <w:r w:rsidRPr="00DF4E75">
              <w:t xml:space="preserve"> - </w:t>
            </w:r>
          </w:p>
        </w:tc>
        <w:tc>
          <w:tcPr>
            <w:tcW w:w="1821" w:type="dxa"/>
          </w:tcPr>
          <w:p w14:paraId="4A30D622" w14:textId="2D06F34A" w:rsidR="00FD7E02" w:rsidRDefault="00FD7E02" w:rsidP="00FD7E02">
            <w:pPr>
              <w:jc w:val="right"/>
              <w:rPr>
                <w:lang w:val="en-US" w:eastAsia="en-AU"/>
              </w:rPr>
            </w:pPr>
            <w:r w:rsidRPr="00DF4E75">
              <w:t xml:space="preserve"> (62)</w:t>
            </w:r>
          </w:p>
        </w:tc>
      </w:tr>
      <w:tr w:rsidR="00FD7E02" w14:paraId="157946FA" w14:textId="77777777" w:rsidTr="005954B1">
        <w:tc>
          <w:tcPr>
            <w:tcW w:w="4957" w:type="dxa"/>
            <w:vAlign w:val="bottom"/>
          </w:tcPr>
          <w:p w14:paraId="2C9268D5" w14:textId="18CFC5A6" w:rsidR="00FD7E02" w:rsidRDefault="00FD7E02" w:rsidP="00FD7E02">
            <w:pPr>
              <w:rPr>
                <w:lang w:val="en-US" w:eastAsia="en-AU"/>
              </w:rPr>
            </w:pPr>
            <w:r>
              <w:t>Interest revenue</w:t>
            </w:r>
          </w:p>
        </w:tc>
        <w:tc>
          <w:tcPr>
            <w:tcW w:w="1559" w:type="dxa"/>
          </w:tcPr>
          <w:p w14:paraId="07CC8787" w14:textId="77777777" w:rsidR="00FD7E02" w:rsidRDefault="00FD7E02" w:rsidP="00FD7E02">
            <w:pPr>
              <w:rPr>
                <w:lang w:val="en-US" w:eastAsia="en-AU"/>
              </w:rPr>
            </w:pPr>
          </w:p>
        </w:tc>
        <w:tc>
          <w:tcPr>
            <w:tcW w:w="1276" w:type="dxa"/>
          </w:tcPr>
          <w:p w14:paraId="4C77F8D8" w14:textId="7EB027D5" w:rsidR="00FD7E02" w:rsidRDefault="00FD7E02" w:rsidP="00FD7E02">
            <w:pPr>
              <w:jc w:val="right"/>
              <w:rPr>
                <w:lang w:val="en-US" w:eastAsia="en-AU"/>
              </w:rPr>
            </w:pPr>
            <w:r w:rsidRPr="00DF4E75">
              <w:t xml:space="preserve"> 2,411 </w:t>
            </w:r>
          </w:p>
        </w:tc>
        <w:tc>
          <w:tcPr>
            <w:tcW w:w="1275" w:type="dxa"/>
          </w:tcPr>
          <w:p w14:paraId="31925627" w14:textId="46F5214C" w:rsidR="00FD7E02" w:rsidRDefault="00FD7E02" w:rsidP="00FD7E02">
            <w:pPr>
              <w:jc w:val="right"/>
              <w:rPr>
                <w:lang w:val="en-US" w:eastAsia="en-AU"/>
              </w:rPr>
            </w:pPr>
            <w:r w:rsidRPr="00DF4E75">
              <w:t xml:space="preserve"> 2,298 </w:t>
            </w:r>
          </w:p>
        </w:tc>
        <w:tc>
          <w:tcPr>
            <w:tcW w:w="1418" w:type="dxa"/>
          </w:tcPr>
          <w:p w14:paraId="55FFEE48" w14:textId="450B3175" w:rsidR="00FD7E02" w:rsidRDefault="00FD7E02" w:rsidP="00FD7E02">
            <w:pPr>
              <w:jc w:val="right"/>
              <w:rPr>
                <w:lang w:val="en-US" w:eastAsia="en-AU"/>
              </w:rPr>
            </w:pPr>
            <w:r w:rsidRPr="00DF4E75">
              <w:t xml:space="preserve"> 2,320 </w:t>
            </w:r>
          </w:p>
        </w:tc>
        <w:tc>
          <w:tcPr>
            <w:tcW w:w="1642" w:type="dxa"/>
          </w:tcPr>
          <w:p w14:paraId="5665315F" w14:textId="59752EF8" w:rsidR="00FD7E02" w:rsidRDefault="00FD7E02" w:rsidP="00FD7E02">
            <w:pPr>
              <w:jc w:val="right"/>
              <w:rPr>
                <w:lang w:val="en-US" w:eastAsia="en-AU"/>
              </w:rPr>
            </w:pPr>
            <w:r w:rsidRPr="00DF4E75">
              <w:t xml:space="preserve"> 113 </w:t>
            </w:r>
          </w:p>
        </w:tc>
        <w:tc>
          <w:tcPr>
            <w:tcW w:w="1821" w:type="dxa"/>
          </w:tcPr>
          <w:p w14:paraId="0323F4F7" w14:textId="7F97B549" w:rsidR="00FD7E02" w:rsidRDefault="00FD7E02" w:rsidP="00FD7E02">
            <w:pPr>
              <w:jc w:val="right"/>
              <w:rPr>
                <w:lang w:val="en-US" w:eastAsia="en-AU"/>
              </w:rPr>
            </w:pPr>
            <w:r w:rsidRPr="00DF4E75">
              <w:t xml:space="preserve"> (22)</w:t>
            </w:r>
          </w:p>
        </w:tc>
      </w:tr>
      <w:tr w:rsidR="00FD7E02" w14:paraId="0DAB3C6E" w14:textId="77777777" w:rsidTr="005954B1">
        <w:tc>
          <w:tcPr>
            <w:tcW w:w="4957" w:type="dxa"/>
            <w:vAlign w:val="bottom"/>
          </w:tcPr>
          <w:p w14:paraId="5CA6EAC2" w14:textId="75DE1DA9" w:rsidR="00FD7E02" w:rsidRDefault="00FD7E02" w:rsidP="00FD7E02">
            <w:pPr>
              <w:rPr>
                <w:lang w:val="en-US" w:eastAsia="en-AU"/>
              </w:rPr>
            </w:pPr>
            <w:r>
              <w:t>Other revenue</w:t>
            </w:r>
          </w:p>
        </w:tc>
        <w:tc>
          <w:tcPr>
            <w:tcW w:w="1559" w:type="dxa"/>
          </w:tcPr>
          <w:p w14:paraId="0A890C97" w14:textId="77777777" w:rsidR="00FD7E02" w:rsidRDefault="00FD7E02" w:rsidP="00FD7E02">
            <w:pPr>
              <w:rPr>
                <w:lang w:val="en-US" w:eastAsia="en-AU"/>
              </w:rPr>
            </w:pPr>
          </w:p>
        </w:tc>
        <w:tc>
          <w:tcPr>
            <w:tcW w:w="1276" w:type="dxa"/>
          </w:tcPr>
          <w:p w14:paraId="46B4B6DA" w14:textId="7A129F83" w:rsidR="00FD7E02" w:rsidRDefault="00FD7E02" w:rsidP="00FD7E02">
            <w:pPr>
              <w:jc w:val="right"/>
              <w:rPr>
                <w:lang w:val="en-US" w:eastAsia="en-AU"/>
              </w:rPr>
            </w:pPr>
            <w:r w:rsidRPr="00DF4E75">
              <w:t xml:space="preserve"> 1,038 </w:t>
            </w:r>
          </w:p>
        </w:tc>
        <w:tc>
          <w:tcPr>
            <w:tcW w:w="1275" w:type="dxa"/>
          </w:tcPr>
          <w:p w14:paraId="1DD7934D" w14:textId="377E574E" w:rsidR="00FD7E02" w:rsidRDefault="00FD7E02" w:rsidP="00FD7E02">
            <w:pPr>
              <w:jc w:val="right"/>
              <w:rPr>
                <w:lang w:val="en-US" w:eastAsia="en-AU"/>
              </w:rPr>
            </w:pPr>
            <w:r w:rsidRPr="00DF4E75">
              <w:t xml:space="preserve"> 1,044 </w:t>
            </w:r>
          </w:p>
        </w:tc>
        <w:tc>
          <w:tcPr>
            <w:tcW w:w="1418" w:type="dxa"/>
          </w:tcPr>
          <w:p w14:paraId="723ABD19" w14:textId="04E828C7" w:rsidR="00FD7E02" w:rsidRDefault="00FD7E02" w:rsidP="00FD7E02">
            <w:pPr>
              <w:jc w:val="right"/>
              <w:rPr>
                <w:lang w:val="en-US" w:eastAsia="en-AU"/>
              </w:rPr>
            </w:pPr>
            <w:r w:rsidRPr="00DF4E75">
              <w:t xml:space="preserve"> 862 </w:t>
            </w:r>
          </w:p>
        </w:tc>
        <w:tc>
          <w:tcPr>
            <w:tcW w:w="1642" w:type="dxa"/>
          </w:tcPr>
          <w:p w14:paraId="527556E6" w14:textId="5970FAD0" w:rsidR="00FD7E02" w:rsidRDefault="00FD7E02" w:rsidP="00FD7E02">
            <w:pPr>
              <w:jc w:val="right"/>
              <w:rPr>
                <w:lang w:val="en-US" w:eastAsia="en-AU"/>
              </w:rPr>
            </w:pPr>
            <w:r w:rsidRPr="00DF4E75">
              <w:t xml:space="preserve"> (6)</w:t>
            </w:r>
          </w:p>
        </w:tc>
        <w:tc>
          <w:tcPr>
            <w:tcW w:w="1821" w:type="dxa"/>
          </w:tcPr>
          <w:p w14:paraId="7A93A844" w14:textId="5E52D0F5" w:rsidR="00FD7E02" w:rsidRDefault="00FD7E02" w:rsidP="00FD7E02">
            <w:pPr>
              <w:jc w:val="right"/>
              <w:rPr>
                <w:lang w:val="en-US" w:eastAsia="en-AU"/>
              </w:rPr>
            </w:pPr>
            <w:r w:rsidRPr="00DF4E75">
              <w:t xml:space="preserve"> 182 </w:t>
            </w:r>
          </w:p>
        </w:tc>
      </w:tr>
      <w:tr w:rsidR="00FD7E02" w14:paraId="0130B8B2" w14:textId="77777777" w:rsidTr="005954B1">
        <w:tc>
          <w:tcPr>
            <w:tcW w:w="4957" w:type="dxa"/>
            <w:vAlign w:val="bottom"/>
          </w:tcPr>
          <w:p w14:paraId="25E41642" w14:textId="6524CA9D" w:rsidR="00FD7E02" w:rsidRDefault="00FD7E02" w:rsidP="00FD7E02">
            <w:pPr>
              <w:rPr>
                <w:lang w:val="en-US" w:eastAsia="en-AU"/>
              </w:rPr>
            </w:pPr>
            <w:r>
              <w:t>Employers' Indemnity Supplementation Fund</w:t>
            </w:r>
          </w:p>
        </w:tc>
        <w:tc>
          <w:tcPr>
            <w:tcW w:w="1559" w:type="dxa"/>
          </w:tcPr>
          <w:p w14:paraId="3A369B7C" w14:textId="77777777" w:rsidR="00FD7E02" w:rsidRDefault="00FD7E02" w:rsidP="00FD7E02">
            <w:pPr>
              <w:rPr>
                <w:lang w:val="en-US" w:eastAsia="en-AU"/>
              </w:rPr>
            </w:pPr>
          </w:p>
        </w:tc>
        <w:tc>
          <w:tcPr>
            <w:tcW w:w="1276" w:type="dxa"/>
            <w:tcBorders>
              <w:bottom w:val="single" w:sz="4" w:space="0" w:color="auto"/>
            </w:tcBorders>
          </w:tcPr>
          <w:p w14:paraId="5BF7BA66" w14:textId="2A272737" w:rsidR="00FD7E02" w:rsidRDefault="00FD7E02" w:rsidP="00FD7E02">
            <w:pPr>
              <w:jc w:val="right"/>
              <w:rPr>
                <w:lang w:val="en-US" w:eastAsia="en-AU"/>
              </w:rPr>
            </w:pPr>
            <w:r w:rsidRPr="00DF4E75">
              <w:t xml:space="preserve"> -   </w:t>
            </w:r>
          </w:p>
        </w:tc>
        <w:tc>
          <w:tcPr>
            <w:tcW w:w="1275" w:type="dxa"/>
            <w:tcBorders>
              <w:bottom w:val="single" w:sz="4" w:space="0" w:color="auto"/>
            </w:tcBorders>
          </w:tcPr>
          <w:p w14:paraId="49B6D530" w14:textId="3B182526" w:rsidR="00FD7E02" w:rsidRDefault="00FD7E02" w:rsidP="00FD7E02">
            <w:pPr>
              <w:jc w:val="right"/>
              <w:rPr>
                <w:lang w:val="en-US" w:eastAsia="en-AU"/>
              </w:rPr>
            </w:pPr>
            <w:r w:rsidRPr="00DF4E75">
              <w:t xml:space="preserve"> -   </w:t>
            </w:r>
          </w:p>
        </w:tc>
        <w:tc>
          <w:tcPr>
            <w:tcW w:w="1418" w:type="dxa"/>
            <w:tcBorders>
              <w:bottom w:val="single" w:sz="4" w:space="0" w:color="auto"/>
            </w:tcBorders>
          </w:tcPr>
          <w:p w14:paraId="061D6F21" w14:textId="2855F72D" w:rsidR="00FD7E02" w:rsidRDefault="00FD7E02" w:rsidP="00FD7E02">
            <w:pPr>
              <w:jc w:val="right"/>
              <w:rPr>
                <w:lang w:val="en-US" w:eastAsia="en-AU"/>
              </w:rPr>
            </w:pPr>
            <w:r w:rsidRPr="00DF4E75">
              <w:t xml:space="preserve"> 120 </w:t>
            </w:r>
          </w:p>
        </w:tc>
        <w:tc>
          <w:tcPr>
            <w:tcW w:w="1642" w:type="dxa"/>
            <w:tcBorders>
              <w:bottom w:val="single" w:sz="4" w:space="0" w:color="auto"/>
            </w:tcBorders>
          </w:tcPr>
          <w:p w14:paraId="323CEC8D" w14:textId="04F8410F" w:rsidR="00FD7E02" w:rsidRDefault="00FD7E02" w:rsidP="00FD7E02">
            <w:pPr>
              <w:jc w:val="right"/>
              <w:rPr>
                <w:lang w:val="en-US" w:eastAsia="en-AU"/>
              </w:rPr>
            </w:pPr>
            <w:r w:rsidRPr="00DF4E75">
              <w:t xml:space="preserve"> -   </w:t>
            </w:r>
          </w:p>
        </w:tc>
        <w:tc>
          <w:tcPr>
            <w:tcW w:w="1821" w:type="dxa"/>
            <w:tcBorders>
              <w:bottom w:val="single" w:sz="4" w:space="0" w:color="auto"/>
            </w:tcBorders>
          </w:tcPr>
          <w:p w14:paraId="664BB377" w14:textId="42E48968" w:rsidR="00FD7E02" w:rsidRDefault="00FD7E02" w:rsidP="00FD7E02">
            <w:pPr>
              <w:jc w:val="right"/>
              <w:rPr>
                <w:lang w:val="en-US" w:eastAsia="en-AU"/>
              </w:rPr>
            </w:pPr>
            <w:r w:rsidRPr="00DF4E75">
              <w:t xml:space="preserve"> (120)</w:t>
            </w:r>
          </w:p>
        </w:tc>
      </w:tr>
      <w:tr w:rsidR="00FD7E02" w14:paraId="33124AA8" w14:textId="77777777" w:rsidTr="005954B1">
        <w:tc>
          <w:tcPr>
            <w:tcW w:w="4957" w:type="dxa"/>
            <w:vAlign w:val="bottom"/>
          </w:tcPr>
          <w:p w14:paraId="53FBCC60" w14:textId="4F7DCA5E" w:rsidR="00FD7E02" w:rsidRPr="00FD7E02" w:rsidRDefault="00FD7E02" w:rsidP="00FD7E02">
            <w:pPr>
              <w:rPr>
                <w:b/>
                <w:lang w:val="en-US" w:eastAsia="en-AU"/>
              </w:rPr>
            </w:pPr>
            <w:r w:rsidRPr="00FD7E02">
              <w:rPr>
                <w:b/>
              </w:rPr>
              <w:t>Total Revenue</w:t>
            </w:r>
          </w:p>
        </w:tc>
        <w:tc>
          <w:tcPr>
            <w:tcW w:w="1559" w:type="dxa"/>
          </w:tcPr>
          <w:p w14:paraId="7DDC6F30" w14:textId="77777777" w:rsidR="00FD7E02" w:rsidRDefault="00FD7E02" w:rsidP="00FD7E02">
            <w:pPr>
              <w:rPr>
                <w:lang w:val="en-US" w:eastAsia="en-AU"/>
              </w:rPr>
            </w:pPr>
          </w:p>
        </w:tc>
        <w:tc>
          <w:tcPr>
            <w:tcW w:w="1276" w:type="dxa"/>
            <w:tcBorders>
              <w:top w:val="single" w:sz="4" w:space="0" w:color="auto"/>
              <w:bottom w:val="single" w:sz="4" w:space="0" w:color="auto"/>
            </w:tcBorders>
          </w:tcPr>
          <w:p w14:paraId="0CA28F5C" w14:textId="2DBD3E94" w:rsidR="00FD7E02" w:rsidRPr="00FD7E02" w:rsidRDefault="00FD7E02" w:rsidP="00FD7E02">
            <w:pPr>
              <w:jc w:val="right"/>
              <w:rPr>
                <w:b/>
                <w:lang w:val="en-US" w:eastAsia="en-AU"/>
              </w:rPr>
            </w:pPr>
            <w:r w:rsidRPr="00FD7E02">
              <w:rPr>
                <w:b/>
              </w:rPr>
              <w:t xml:space="preserve"> 23,332 </w:t>
            </w:r>
          </w:p>
        </w:tc>
        <w:tc>
          <w:tcPr>
            <w:tcW w:w="1275" w:type="dxa"/>
            <w:tcBorders>
              <w:top w:val="single" w:sz="4" w:space="0" w:color="auto"/>
              <w:bottom w:val="single" w:sz="4" w:space="0" w:color="auto"/>
            </w:tcBorders>
          </w:tcPr>
          <w:p w14:paraId="536266E8" w14:textId="50168656" w:rsidR="00FD7E02" w:rsidRPr="00FD7E02" w:rsidRDefault="00FD7E02" w:rsidP="00FD7E02">
            <w:pPr>
              <w:jc w:val="right"/>
              <w:rPr>
                <w:b/>
                <w:lang w:val="en-US" w:eastAsia="en-AU"/>
              </w:rPr>
            </w:pPr>
            <w:r w:rsidRPr="00FD7E02">
              <w:rPr>
                <w:b/>
              </w:rPr>
              <w:t xml:space="preserve"> 23,225 </w:t>
            </w:r>
          </w:p>
        </w:tc>
        <w:tc>
          <w:tcPr>
            <w:tcW w:w="1418" w:type="dxa"/>
            <w:tcBorders>
              <w:top w:val="single" w:sz="4" w:space="0" w:color="auto"/>
              <w:bottom w:val="single" w:sz="4" w:space="0" w:color="auto"/>
            </w:tcBorders>
          </w:tcPr>
          <w:p w14:paraId="0112ABC0" w14:textId="0B2C7187" w:rsidR="00FD7E02" w:rsidRPr="00FD7E02" w:rsidRDefault="00FD7E02" w:rsidP="00FD7E02">
            <w:pPr>
              <w:jc w:val="right"/>
              <w:rPr>
                <w:b/>
                <w:lang w:val="en-US" w:eastAsia="en-AU"/>
              </w:rPr>
            </w:pPr>
            <w:r w:rsidRPr="00FD7E02">
              <w:rPr>
                <w:b/>
              </w:rPr>
              <w:t xml:space="preserve"> 23,247 </w:t>
            </w:r>
          </w:p>
        </w:tc>
        <w:tc>
          <w:tcPr>
            <w:tcW w:w="1642" w:type="dxa"/>
            <w:tcBorders>
              <w:top w:val="single" w:sz="4" w:space="0" w:color="auto"/>
              <w:bottom w:val="single" w:sz="4" w:space="0" w:color="auto"/>
            </w:tcBorders>
          </w:tcPr>
          <w:p w14:paraId="44539395" w14:textId="430C0B2E" w:rsidR="00FD7E02" w:rsidRPr="00FD7E02" w:rsidRDefault="00FD7E02" w:rsidP="00FD7E02">
            <w:pPr>
              <w:jc w:val="right"/>
              <w:rPr>
                <w:b/>
                <w:lang w:val="en-US" w:eastAsia="en-AU"/>
              </w:rPr>
            </w:pPr>
            <w:r w:rsidRPr="00FD7E02">
              <w:rPr>
                <w:b/>
              </w:rPr>
              <w:t xml:space="preserve"> 107 </w:t>
            </w:r>
          </w:p>
        </w:tc>
        <w:tc>
          <w:tcPr>
            <w:tcW w:w="1821" w:type="dxa"/>
            <w:tcBorders>
              <w:top w:val="single" w:sz="4" w:space="0" w:color="auto"/>
              <w:bottom w:val="single" w:sz="4" w:space="0" w:color="auto"/>
            </w:tcBorders>
          </w:tcPr>
          <w:p w14:paraId="555182C3" w14:textId="4015B3F6" w:rsidR="00FD7E02" w:rsidRPr="00FD7E02" w:rsidRDefault="00FD7E02" w:rsidP="00FD7E02">
            <w:pPr>
              <w:jc w:val="right"/>
              <w:rPr>
                <w:b/>
                <w:lang w:val="en-US" w:eastAsia="en-AU"/>
              </w:rPr>
            </w:pPr>
            <w:r w:rsidRPr="00FD7E02">
              <w:rPr>
                <w:b/>
              </w:rPr>
              <w:t xml:space="preserve"> (22)</w:t>
            </w:r>
          </w:p>
        </w:tc>
      </w:tr>
      <w:tr w:rsidR="00FD7E02" w14:paraId="3055CFFA" w14:textId="77777777" w:rsidTr="005954B1">
        <w:tc>
          <w:tcPr>
            <w:tcW w:w="4957" w:type="dxa"/>
            <w:vAlign w:val="center"/>
          </w:tcPr>
          <w:p w14:paraId="3FF71692" w14:textId="77777777" w:rsidR="00FD7E02" w:rsidRDefault="00FD7E02" w:rsidP="005954B1">
            <w:pPr>
              <w:rPr>
                <w:lang w:val="en-US" w:eastAsia="en-AU"/>
              </w:rPr>
            </w:pPr>
          </w:p>
        </w:tc>
        <w:tc>
          <w:tcPr>
            <w:tcW w:w="1559" w:type="dxa"/>
          </w:tcPr>
          <w:p w14:paraId="0529AE18" w14:textId="77777777" w:rsidR="00FD7E02" w:rsidRDefault="00FD7E02" w:rsidP="005954B1">
            <w:pPr>
              <w:rPr>
                <w:lang w:val="en-US" w:eastAsia="en-AU"/>
              </w:rPr>
            </w:pPr>
          </w:p>
        </w:tc>
        <w:tc>
          <w:tcPr>
            <w:tcW w:w="1276" w:type="dxa"/>
            <w:tcBorders>
              <w:top w:val="single" w:sz="4" w:space="0" w:color="auto"/>
            </w:tcBorders>
            <w:vAlign w:val="bottom"/>
          </w:tcPr>
          <w:p w14:paraId="2B087409" w14:textId="77777777" w:rsidR="00FD7E02" w:rsidRDefault="00FD7E02" w:rsidP="005954B1">
            <w:pPr>
              <w:jc w:val="right"/>
              <w:rPr>
                <w:lang w:val="en-US" w:eastAsia="en-AU"/>
              </w:rPr>
            </w:pPr>
          </w:p>
        </w:tc>
        <w:tc>
          <w:tcPr>
            <w:tcW w:w="1275" w:type="dxa"/>
            <w:tcBorders>
              <w:top w:val="single" w:sz="4" w:space="0" w:color="auto"/>
            </w:tcBorders>
            <w:vAlign w:val="bottom"/>
          </w:tcPr>
          <w:p w14:paraId="7E584246" w14:textId="77777777" w:rsidR="00FD7E02" w:rsidRDefault="00FD7E02" w:rsidP="005954B1">
            <w:pPr>
              <w:jc w:val="right"/>
              <w:rPr>
                <w:lang w:val="en-US" w:eastAsia="en-AU"/>
              </w:rPr>
            </w:pPr>
          </w:p>
        </w:tc>
        <w:tc>
          <w:tcPr>
            <w:tcW w:w="1418" w:type="dxa"/>
            <w:tcBorders>
              <w:top w:val="single" w:sz="4" w:space="0" w:color="auto"/>
            </w:tcBorders>
            <w:vAlign w:val="bottom"/>
          </w:tcPr>
          <w:p w14:paraId="1AF382CD" w14:textId="77777777" w:rsidR="00FD7E02" w:rsidRDefault="00FD7E02" w:rsidP="005954B1">
            <w:pPr>
              <w:jc w:val="right"/>
              <w:rPr>
                <w:lang w:val="en-US" w:eastAsia="en-AU"/>
              </w:rPr>
            </w:pPr>
          </w:p>
        </w:tc>
        <w:tc>
          <w:tcPr>
            <w:tcW w:w="1642" w:type="dxa"/>
            <w:tcBorders>
              <w:top w:val="single" w:sz="4" w:space="0" w:color="auto"/>
            </w:tcBorders>
            <w:vAlign w:val="bottom"/>
          </w:tcPr>
          <w:p w14:paraId="0AEDA042" w14:textId="77777777" w:rsidR="00FD7E02" w:rsidRDefault="00FD7E02" w:rsidP="005954B1">
            <w:pPr>
              <w:jc w:val="right"/>
              <w:rPr>
                <w:lang w:val="en-US" w:eastAsia="en-AU"/>
              </w:rPr>
            </w:pPr>
          </w:p>
        </w:tc>
        <w:tc>
          <w:tcPr>
            <w:tcW w:w="1821" w:type="dxa"/>
            <w:tcBorders>
              <w:top w:val="single" w:sz="4" w:space="0" w:color="auto"/>
            </w:tcBorders>
            <w:vAlign w:val="bottom"/>
          </w:tcPr>
          <w:p w14:paraId="5929B6C7" w14:textId="77777777" w:rsidR="00FD7E02" w:rsidRDefault="00FD7E02" w:rsidP="005954B1">
            <w:pPr>
              <w:jc w:val="right"/>
              <w:rPr>
                <w:lang w:val="en-US" w:eastAsia="en-AU"/>
              </w:rPr>
            </w:pPr>
          </w:p>
        </w:tc>
      </w:tr>
      <w:tr w:rsidR="00FD7E02" w14:paraId="37397CA2" w14:textId="77777777" w:rsidTr="005954B1">
        <w:tc>
          <w:tcPr>
            <w:tcW w:w="4957" w:type="dxa"/>
            <w:vAlign w:val="center"/>
          </w:tcPr>
          <w:p w14:paraId="5E380BFA" w14:textId="77777777" w:rsidR="00FD7E02" w:rsidRDefault="00FD7E02" w:rsidP="005954B1">
            <w:pPr>
              <w:rPr>
                <w:lang w:val="en-US" w:eastAsia="en-AU"/>
              </w:rPr>
            </w:pPr>
          </w:p>
        </w:tc>
        <w:tc>
          <w:tcPr>
            <w:tcW w:w="1559" w:type="dxa"/>
          </w:tcPr>
          <w:p w14:paraId="27305DAC" w14:textId="77777777" w:rsidR="00FD7E02" w:rsidRDefault="00FD7E02" w:rsidP="005954B1">
            <w:pPr>
              <w:rPr>
                <w:lang w:val="en-US" w:eastAsia="en-AU"/>
              </w:rPr>
            </w:pPr>
          </w:p>
        </w:tc>
        <w:tc>
          <w:tcPr>
            <w:tcW w:w="1276" w:type="dxa"/>
            <w:vAlign w:val="bottom"/>
          </w:tcPr>
          <w:p w14:paraId="05865FE3" w14:textId="77777777" w:rsidR="00FD7E02" w:rsidRDefault="00FD7E02" w:rsidP="005954B1">
            <w:pPr>
              <w:jc w:val="right"/>
              <w:rPr>
                <w:lang w:val="en-US" w:eastAsia="en-AU"/>
              </w:rPr>
            </w:pPr>
          </w:p>
        </w:tc>
        <w:tc>
          <w:tcPr>
            <w:tcW w:w="1275" w:type="dxa"/>
            <w:vAlign w:val="bottom"/>
          </w:tcPr>
          <w:p w14:paraId="0F19371F" w14:textId="77777777" w:rsidR="00FD7E02" w:rsidRDefault="00FD7E02" w:rsidP="005954B1">
            <w:pPr>
              <w:jc w:val="right"/>
              <w:rPr>
                <w:lang w:val="en-US" w:eastAsia="en-AU"/>
              </w:rPr>
            </w:pPr>
          </w:p>
        </w:tc>
        <w:tc>
          <w:tcPr>
            <w:tcW w:w="1418" w:type="dxa"/>
            <w:vAlign w:val="bottom"/>
          </w:tcPr>
          <w:p w14:paraId="556467D1" w14:textId="77777777" w:rsidR="00FD7E02" w:rsidRDefault="00FD7E02" w:rsidP="005954B1">
            <w:pPr>
              <w:jc w:val="right"/>
              <w:rPr>
                <w:lang w:val="en-US" w:eastAsia="en-AU"/>
              </w:rPr>
            </w:pPr>
          </w:p>
        </w:tc>
        <w:tc>
          <w:tcPr>
            <w:tcW w:w="1642" w:type="dxa"/>
            <w:vAlign w:val="bottom"/>
          </w:tcPr>
          <w:p w14:paraId="07EFA8AD" w14:textId="77777777" w:rsidR="00FD7E02" w:rsidRDefault="00FD7E02" w:rsidP="005954B1">
            <w:pPr>
              <w:jc w:val="right"/>
              <w:rPr>
                <w:lang w:val="en-US" w:eastAsia="en-AU"/>
              </w:rPr>
            </w:pPr>
          </w:p>
        </w:tc>
        <w:tc>
          <w:tcPr>
            <w:tcW w:w="1821" w:type="dxa"/>
            <w:vAlign w:val="bottom"/>
          </w:tcPr>
          <w:p w14:paraId="1026AFF8" w14:textId="77777777" w:rsidR="00FD7E02" w:rsidRDefault="00FD7E02" w:rsidP="005954B1">
            <w:pPr>
              <w:jc w:val="right"/>
              <w:rPr>
                <w:lang w:val="en-US" w:eastAsia="en-AU"/>
              </w:rPr>
            </w:pPr>
          </w:p>
        </w:tc>
      </w:tr>
      <w:tr w:rsidR="00FD7E02" w14:paraId="0BA4DE87" w14:textId="77777777" w:rsidTr="005954B1">
        <w:tc>
          <w:tcPr>
            <w:tcW w:w="4957" w:type="dxa"/>
            <w:vAlign w:val="center"/>
          </w:tcPr>
          <w:p w14:paraId="435445C5" w14:textId="4EF99831" w:rsidR="00FD7E02" w:rsidRPr="00FD7E02" w:rsidRDefault="00FD7E02" w:rsidP="005954B1">
            <w:pPr>
              <w:rPr>
                <w:b/>
                <w:lang w:val="en-US" w:eastAsia="en-AU"/>
              </w:rPr>
            </w:pPr>
            <w:r>
              <w:rPr>
                <w:b/>
                <w:lang w:val="en-US" w:eastAsia="en-AU"/>
              </w:rPr>
              <w:t>Gains</w:t>
            </w:r>
          </w:p>
        </w:tc>
        <w:tc>
          <w:tcPr>
            <w:tcW w:w="1559" w:type="dxa"/>
          </w:tcPr>
          <w:p w14:paraId="13057474" w14:textId="77777777" w:rsidR="00FD7E02" w:rsidRDefault="00FD7E02" w:rsidP="005954B1">
            <w:pPr>
              <w:rPr>
                <w:lang w:val="en-US" w:eastAsia="en-AU"/>
              </w:rPr>
            </w:pPr>
          </w:p>
        </w:tc>
        <w:tc>
          <w:tcPr>
            <w:tcW w:w="1276" w:type="dxa"/>
            <w:vAlign w:val="bottom"/>
          </w:tcPr>
          <w:p w14:paraId="53515078" w14:textId="77777777" w:rsidR="00FD7E02" w:rsidRDefault="00FD7E02" w:rsidP="005954B1">
            <w:pPr>
              <w:jc w:val="right"/>
              <w:rPr>
                <w:lang w:val="en-US" w:eastAsia="en-AU"/>
              </w:rPr>
            </w:pPr>
          </w:p>
        </w:tc>
        <w:tc>
          <w:tcPr>
            <w:tcW w:w="1275" w:type="dxa"/>
            <w:vAlign w:val="bottom"/>
          </w:tcPr>
          <w:p w14:paraId="7188ECA0" w14:textId="77777777" w:rsidR="00FD7E02" w:rsidRDefault="00FD7E02" w:rsidP="005954B1">
            <w:pPr>
              <w:jc w:val="right"/>
              <w:rPr>
                <w:lang w:val="en-US" w:eastAsia="en-AU"/>
              </w:rPr>
            </w:pPr>
          </w:p>
        </w:tc>
        <w:tc>
          <w:tcPr>
            <w:tcW w:w="1418" w:type="dxa"/>
            <w:vAlign w:val="bottom"/>
          </w:tcPr>
          <w:p w14:paraId="2CEA9895" w14:textId="77777777" w:rsidR="00FD7E02" w:rsidRDefault="00FD7E02" w:rsidP="005954B1">
            <w:pPr>
              <w:jc w:val="right"/>
              <w:rPr>
                <w:lang w:val="en-US" w:eastAsia="en-AU"/>
              </w:rPr>
            </w:pPr>
          </w:p>
        </w:tc>
        <w:tc>
          <w:tcPr>
            <w:tcW w:w="1642" w:type="dxa"/>
            <w:vAlign w:val="bottom"/>
          </w:tcPr>
          <w:p w14:paraId="3EEC59AE" w14:textId="77777777" w:rsidR="00FD7E02" w:rsidRDefault="00FD7E02" w:rsidP="005954B1">
            <w:pPr>
              <w:jc w:val="right"/>
              <w:rPr>
                <w:lang w:val="en-US" w:eastAsia="en-AU"/>
              </w:rPr>
            </w:pPr>
          </w:p>
        </w:tc>
        <w:tc>
          <w:tcPr>
            <w:tcW w:w="1821" w:type="dxa"/>
            <w:vAlign w:val="bottom"/>
          </w:tcPr>
          <w:p w14:paraId="0C3941FB" w14:textId="77777777" w:rsidR="00FD7E02" w:rsidRDefault="00FD7E02" w:rsidP="005954B1">
            <w:pPr>
              <w:jc w:val="right"/>
              <w:rPr>
                <w:lang w:val="en-US" w:eastAsia="en-AU"/>
              </w:rPr>
            </w:pPr>
          </w:p>
        </w:tc>
      </w:tr>
      <w:tr w:rsidR="00FD7E02" w14:paraId="22530687" w14:textId="77777777" w:rsidTr="005954B1">
        <w:tc>
          <w:tcPr>
            <w:tcW w:w="4957" w:type="dxa"/>
            <w:vAlign w:val="center"/>
          </w:tcPr>
          <w:p w14:paraId="1556602A" w14:textId="662E3F6F" w:rsidR="00FD7E02" w:rsidRPr="00FD7E02" w:rsidRDefault="00FD7E02" w:rsidP="00FD7E02">
            <w:pPr>
              <w:rPr>
                <w:lang w:val="en-US" w:eastAsia="en-AU"/>
              </w:rPr>
            </w:pPr>
            <w:r>
              <w:rPr>
                <w:lang w:val="en-US" w:eastAsia="en-AU"/>
              </w:rPr>
              <w:t>Decrease in claims liability</w:t>
            </w:r>
          </w:p>
        </w:tc>
        <w:tc>
          <w:tcPr>
            <w:tcW w:w="1559" w:type="dxa"/>
          </w:tcPr>
          <w:p w14:paraId="2DB3F4EA" w14:textId="6B0B240D" w:rsidR="00FD7E02" w:rsidRPr="00FD7E02" w:rsidRDefault="00FD7E02" w:rsidP="00FD7E02">
            <w:pPr>
              <w:jc w:val="center"/>
              <w:rPr>
                <w:b/>
                <w:lang w:val="en-US" w:eastAsia="en-AU"/>
              </w:rPr>
            </w:pPr>
            <w:r>
              <w:rPr>
                <w:b/>
                <w:lang w:val="en-US" w:eastAsia="en-AU"/>
              </w:rPr>
              <w:t>1,</w:t>
            </w:r>
            <w:r w:rsidR="001C14F7">
              <w:rPr>
                <w:b/>
                <w:lang w:val="en-US" w:eastAsia="en-AU"/>
              </w:rPr>
              <w:t xml:space="preserve"> </w:t>
            </w:r>
            <w:r>
              <w:rPr>
                <w:b/>
                <w:lang w:val="en-US" w:eastAsia="en-AU"/>
              </w:rPr>
              <w:t>A</w:t>
            </w:r>
          </w:p>
        </w:tc>
        <w:tc>
          <w:tcPr>
            <w:tcW w:w="1276" w:type="dxa"/>
            <w:tcBorders>
              <w:bottom w:val="single" w:sz="4" w:space="0" w:color="auto"/>
            </w:tcBorders>
          </w:tcPr>
          <w:p w14:paraId="6BC77DB0" w14:textId="3B29A9DD" w:rsidR="00FD7E02" w:rsidRDefault="00FD7E02" w:rsidP="00FD7E02">
            <w:pPr>
              <w:jc w:val="right"/>
              <w:rPr>
                <w:lang w:val="en-US" w:eastAsia="en-AU"/>
              </w:rPr>
            </w:pPr>
            <w:r w:rsidRPr="00C63FF6">
              <w:t xml:space="preserve"> 1,840 </w:t>
            </w:r>
          </w:p>
        </w:tc>
        <w:tc>
          <w:tcPr>
            <w:tcW w:w="1275" w:type="dxa"/>
            <w:tcBorders>
              <w:bottom w:val="single" w:sz="4" w:space="0" w:color="auto"/>
            </w:tcBorders>
          </w:tcPr>
          <w:p w14:paraId="5F2DAA1E" w14:textId="486660F2" w:rsidR="00FD7E02" w:rsidRDefault="00FD7E02" w:rsidP="00FD7E02">
            <w:pPr>
              <w:jc w:val="right"/>
              <w:rPr>
                <w:lang w:val="en-US" w:eastAsia="en-AU"/>
              </w:rPr>
            </w:pPr>
            <w:r w:rsidRPr="00C63FF6">
              <w:t xml:space="preserve"> -   </w:t>
            </w:r>
          </w:p>
        </w:tc>
        <w:tc>
          <w:tcPr>
            <w:tcW w:w="1418" w:type="dxa"/>
            <w:tcBorders>
              <w:bottom w:val="single" w:sz="4" w:space="0" w:color="auto"/>
            </w:tcBorders>
          </w:tcPr>
          <w:p w14:paraId="75E4315D" w14:textId="1AA1FFB4" w:rsidR="00FD7E02" w:rsidRDefault="00FD7E02" w:rsidP="00FD7E02">
            <w:pPr>
              <w:jc w:val="right"/>
              <w:rPr>
                <w:lang w:val="en-US" w:eastAsia="en-AU"/>
              </w:rPr>
            </w:pPr>
            <w:r w:rsidRPr="00C63FF6">
              <w:t xml:space="preserve"> 3,531 </w:t>
            </w:r>
          </w:p>
        </w:tc>
        <w:tc>
          <w:tcPr>
            <w:tcW w:w="1642" w:type="dxa"/>
            <w:tcBorders>
              <w:bottom w:val="single" w:sz="4" w:space="0" w:color="auto"/>
            </w:tcBorders>
          </w:tcPr>
          <w:p w14:paraId="4E46AF46" w14:textId="53DB636C" w:rsidR="00FD7E02" w:rsidRDefault="00FD7E02" w:rsidP="00FD7E02">
            <w:pPr>
              <w:jc w:val="right"/>
              <w:rPr>
                <w:lang w:val="en-US" w:eastAsia="en-AU"/>
              </w:rPr>
            </w:pPr>
            <w:r w:rsidRPr="00C63FF6">
              <w:t xml:space="preserve"> 1,840 </w:t>
            </w:r>
          </w:p>
        </w:tc>
        <w:tc>
          <w:tcPr>
            <w:tcW w:w="1821" w:type="dxa"/>
            <w:tcBorders>
              <w:bottom w:val="single" w:sz="4" w:space="0" w:color="auto"/>
            </w:tcBorders>
          </w:tcPr>
          <w:p w14:paraId="08BEFF41" w14:textId="22820791" w:rsidR="00FD7E02" w:rsidRDefault="00FD7E02" w:rsidP="00FD7E02">
            <w:pPr>
              <w:jc w:val="right"/>
              <w:rPr>
                <w:lang w:val="en-US" w:eastAsia="en-AU"/>
              </w:rPr>
            </w:pPr>
            <w:r w:rsidRPr="00C63FF6">
              <w:t xml:space="preserve"> (3,531)</w:t>
            </w:r>
          </w:p>
        </w:tc>
      </w:tr>
      <w:tr w:rsidR="00FD7E02" w14:paraId="3303E7AA" w14:textId="77777777" w:rsidTr="005954B1">
        <w:tc>
          <w:tcPr>
            <w:tcW w:w="4957" w:type="dxa"/>
            <w:vAlign w:val="center"/>
          </w:tcPr>
          <w:p w14:paraId="77723A01" w14:textId="37DB3070" w:rsidR="00FD7E02" w:rsidRPr="00FD7E02" w:rsidRDefault="00FD7E02" w:rsidP="00FD7E02">
            <w:pPr>
              <w:rPr>
                <w:b/>
                <w:lang w:val="en-US" w:eastAsia="en-AU"/>
              </w:rPr>
            </w:pPr>
            <w:r>
              <w:rPr>
                <w:b/>
                <w:lang w:val="en-US" w:eastAsia="en-AU"/>
              </w:rPr>
              <w:t>Total Gains</w:t>
            </w:r>
          </w:p>
        </w:tc>
        <w:tc>
          <w:tcPr>
            <w:tcW w:w="1559" w:type="dxa"/>
          </w:tcPr>
          <w:p w14:paraId="74282EE6" w14:textId="77777777" w:rsidR="00FD7E02" w:rsidRDefault="00FD7E02" w:rsidP="00FD7E02">
            <w:pPr>
              <w:rPr>
                <w:lang w:val="en-US" w:eastAsia="en-AU"/>
              </w:rPr>
            </w:pPr>
          </w:p>
        </w:tc>
        <w:tc>
          <w:tcPr>
            <w:tcW w:w="1276" w:type="dxa"/>
            <w:tcBorders>
              <w:top w:val="single" w:sz="4" w:space="0" w:color="auto"/>
              <w:bottom w:val="single" w:sz="4" w:space="0" w:color="auto"/>
            </w:tcBorders>
          </w:tcPr>
          <w:p w14:paraId="449C152E" w14:textId="71691DA4" w:rsidR="00FD7E02" w:rsidRPr="00FD7E02" w:rsidRDefault="00FD7E02" w:rsidP="00FD7E02">
            <w:pPr>
              <w:jc w:val="right"/>
              <w:rPr>
                <w:b/>
                <w:lang w:val="en-US" w:eastAsia="en-AU"/>
              </w:rPr>
            </w:pPr>
            <w:r w:rsidRPr="00FD7E02">
              <w:rPr>
                <w:b/>
              </w:rPr>
              <w:t xml:space="preserve"> 1,840 </w:t>
            </w:r>
          </w:p>
        </w:tc>
        <w:tc>
          <w:tcPr>
            <w:tcW w:w="1275" w:type="dxa"/>
            <w:tcBorders>
              <w:top w:val="single" w:sz="4" w:space="0" w:color="auto"/>
              <w:bottom w:val="single" w:sz="4" w:space="0" w:color="auto"/>
            </w:tcBorders>
          </w:tcPr>
          <w:p w14:paraId="32E567A5" w14:textId="68A2FFDB" w:rsidR="00FD7E02" w:rsidRPr="00FD7E02" w:rsidRDefault="00FD7E02" w:rsidP="00FD7E02">
            <w:pPr>
              <w:jc w:val="right"/>
              <w:rPr>
                <w:b/>
                <w:lang w:val="en-US" w:eastAsia="en-AU"/>
              </w:rPr>
            </w:pPr>
            <w:r w:rsidRPr="00FD7E02">
              <w:rPr>
                <w:b/>
              </w:rPr>
              <w:t xml:space="preserve"> -   </w:t>
            </w:r>
          </w:p>
        </w:tc>
        <w:tc>
          <w:tcPr>
            <w:tcW w:w="1418" w:type="dxa"/>
            <w:tcBorders>
              <w:top w:val="single" w:sz="4" w:space="0" w:color="auto"/>
              <w:bottom w:val="single" w:sz="4" w:space="0" w:color="auto"/>
            </w:tcBorders>
          </w:tcPr>
          <w:p w14:paraId="25C5E7EE" w14:textId="503E6852" w:rsidR="00FD7E02" w:rsidRPr="00FD7E02" w:rsidRDefault="00FD7E02" w:rsidP="00FD7E02">
            <w:pPr>
              <w:jc w:val="right"/>
              <w:rPr>
                <w:b/>
                <w:lang w:val="en-US" w:eastAsia="en-AU"/>
              </w:rPr>
            </w:pPr>
            <w:r w:rsidRPr="00FD7E02">
              <w:rPr>
                <w:b/>
              </w:rPr>
              <w:t xml:space="preserve"> 3,531 </w:t>
            </w:r>
          </w:p>
        </w:tc>
        <w:tc>
          <w:tcPr>
            <w:tcW w:w="1642" w:type="dxa"/>
            <w:tcBorders>
              <w:top w:val="single" w:sz="4" w:space="0" w:color="auto"/>
              <w:bottom w:val="single" w:sz="4" w:space="0" w:color="auto"/>
            </w:tcBorders>
          </w:tcPr>
          <w:p w14:paraId="345F57C6" w14:textId="053503FC" w:rsidR="00FD7E02" w:rsidRPr="00FD7E02" w:rsidRDefault="00FD7E02" w:rsidP="00FD7E02">
            <w:pPr>
              <w:jc w:val="right"/>
              <w:rPr>
                <w:b/>
                <w:lang w:val="en-US" w:eastAsia="en-AU"/>
              </w:rPr>
            </w:pPr>
            <w:r w:rsidRPr="00FD7E02">
              <w:rPr>
                <w:b/>
              </w:rPr>
              <w:t xml:space="preserve"> 1,840 </w:t>
            </w:r>
          </w:p>
        </w:tc>
        <w:tc>
          <w:tcPr>
            <w:tcW w:w="1821" w:type="dxa"/>
            <w:tcBorders>
              <w:top w:val="single" w:sz="4" w:space="0" w:color="auto"/>
              <w:bottom w:val="single" w:sz="4" w:space="0" w:color="auto"/>
            </w:tcBorders>
          </w:tcPr>
          <w:p w14:paraId="48B71741" w14:textId="5DE68721" w:rsidR="00FD7E02" w:rsidRPr="00FD7E02" w:rsidRDefault="00FD7E02" w:rsidP="00FD7E02">
            <w:pPr>
              <w:jc w:val="right"/>
              <w:rPr>
                <w:b/>
                <w:lang w:val="en-US" w:eastAsia="en-AU"/>
              </w:rPr>
            </w:pPr>
            <w:r w:rsidRPr="00FD7E02">
              <w:rPr>
                <w:b/>
              </w:rPr>
              <w:t xml:space="preserve"> (3,531)</w:t>
            </w:r>
          </w:p>
        </w:tc>
      </w:tr>
      <w:tr w:rsidR="00FD7E02" w14:paraId="48FB6FB2" w14:textId="77777777" w:rsidTr="005954B1">
        <w:tc>
          <w:tcPr>
            <w:tcW w:w="4957" w:type="dxa"/>
            <w:vAlign w:val="center"/>
          </w:tcPr>
          <w:p w14:paraId="133F3D99" w14:textId="70F8E590" w:rsidR="00FD7E02" w:rsidRPr="00FD7E02" w:rsidRDefault="00FD7E02" w:rsidP="00FD7E02">
            <w:pPr>
              <w:rPr>
                <w:b/>
                <w:lang w:val="en-US" w:eastAsia="en-AU"/>
              </w:rPr>
            </w:pPr>
            <w:r w:rsidRPr="00FD7E02">
              <w:rPr>
                <w:b/>
                <w:lang w:val="en-US" w:eastAsia="en-AU"/>
              </w:rPr>
              <w:t>Total Income</w:t>
            </w:r>
          </w:p>
        </w:tc>
        <w:tc>
          <w:tcPr>
            <w:tcW w:w="1559" w:type="dxa"/>
          </w:tcPr>
          <w:p w14:paraId="7C2AD239" w14:textId="77777777" w:rsidR="00FD7E02" w:rsidRDefault="00FD7E02" w:rsidP="00FD7E02">
            <w:pPr>
              <w:rPr>
                <w:lang w:val="en-US" w:eastAsia="en-AU"/>
              </w:rPr>
            </w:pPr>
          </w:p>
        </w:tc>
        <w:tc>
          <w:tcPr>
            <w:tcW w:w="1276" w:type="dxa"/>
            <w:tcBorders>
              <w:top w:val="single" w:sz="4" w:space="0" w:color="auto"/>
              <w:bottom w:val="single" w:sz="4" w:space="0" w:color="auto"/>
            </w:tcBorders>
          </w:tcPr>
          <w:p w14:paraId="11CFC507" w14:textId="7A8ADFFE" w:rsidR="00FD7E02" w:rsidRPr="00FD7E02" w:rsidRDefault="00FD7E02" w:rsidP="00FD7E02">
            <w:pPr>
              <w:jc w:val="right"/>
              <w:rPr>
                <w:b/>
              </w:rPr>
            </w:pPr>
            <w:r w:rsidRPr="00FD7E02">
              <w:rPr>
                <w:b/>
              </w:rPr>
              <w:t xml:space="preserve"> 25,172 </w:t>
            </w:r>
          </w:p>
        </w:tc>
        <w:tc>
          <w:tcPr>
            <w:tcW w:w="1275" w:type="dxa"/>
            <w:tcBorders>
              <w:top w:val="single" w:sz="4" w:space="0" w:color="auto"/>
              <w:bottom w:val="single" w:sz="4" w:space="0" w:color="auto"/>
            </w:tcBorders>
          </w:tcPr>
          <w:p w14:paraId="6AC65BCE" w14:textId="3CC00265" w:rsidR="00FD7E02" w:rsidRPr="00FD7E02" w:rsidRDefault="00FD7E02" w:rsidP="00FD7E02">
            <w:pPr>
              <w:jc w:val="right"/>
              <w:rPr>
                <w:b/>
              </w:rPr>
            </w:pPr>
            <w:r w:rsidRPr="00FD7E02">
              <w:rPr>
                <w:b/>
              </w:rPr>
              <w:t xml:space="preserve"> 23,225 </w:t>
            </w:r>
          </w:p>
        </w:tc>
        <w:tc>
          <w:tcPr>
            <w:tcW w:w="1418" w:type="dxa"/>
            <w:tcBorders>
              <w:top w:val="single" w:sz="4" w:space="0" w:color="auto"/>
              <w:bottom w:val="single" w:sz="4" w:space="0" w:color="auto"/>
            </w:tcBorders>
          </w:tcPr>
          <w:p w14:paraId="56BCEBDD" w14:textId="2D289E8E" w:rsidR="00FD7E02" w:rsidRPr="00FD7E02" w:rsidRDefault="00FD7E02" w:rsidP="00FD7E02">
            <w:pPr>
              <w:jc w:val="right"/>
              <w:rPr>
                <w:b/>
              </w:rPr>
            </w:pPr>
            <w:r w:rsidRPr="00FD7E02">
              <w:rPr>
                <w:b/>
              </w:rPr>
              <w:t xml:space="preserve"> 26,778 </w:t>
            </w:r>
          </w:p>
        </w:tc>
        <w:tc>
          <w:tcPr>
            <w:tcW w:w="1642" w:type="dxa"/>
            <w:tcBorders>
              <w:top w:val="single" w:sz="4" w:space="0" w:color="auto"/>
              <w:bottom w:val="single" w:sz="4" w:space="0" w:color="auto"/>
            </w:tcBorders>
          </w:tcPr>
          <w:p w14:paraId="28B16B35" w14:textId="0A577A77" w:rsidR="00FD7E02" w:rsidRPr="00FD7E02" w:rsidRDefault="00FD7E02" w:rsidP="00FD7E02">
            <w:pPr>
              <w:jc w:val="right"/>
              <w:rPr>
                <w:b/>
              </w:rPr>
            </w:pPr>
            <w:r w:rsidRPr="00FD7E02">
              <w:rPr>
                <w:b/>
              </w:rPr>
              <w:t xml:space="preserve"> 1,947 </w:t>
            </w:r>
          </w:p>
        </w:tc>
        <w:tc>
          <w:tcPr>
            <w:tcW w:w="1821" w:type="dxa"/>
            <w:tcBorders>
              <w:top w:val="single" w:sz="4" w:space="0" w:color="auto"/>
              <w:bottom w:val="single" w:sz="4" w:space="0" w:color="auto"/>
            </w:tcBorders>
          </w:tcPr>
          <w:p w14:paraId="396A95A3" w14:textId="5901E8A4" w:rsidR="00FD7E02" w:rsidRPr="00FD7E02" w:rsidRDefault="00FD7E02" w:rsidP="00FD7E02">
            <w:pPr>
              <w:jc w:val="right"/>
              <w:rPr>
                <w:b/>
              </w:rPr>
            </w:pPr>
            <w:r w:rsidRPr="00FD7E02">
              <w:rPr>
                <w:b/>
              </w:rPr>
              <w:t xml:space="preserve"> (3,553)</w:t>
            </w:r>
          </w:p>
        </w:tc>
      </w:tr>
      <w:tr w:rsidR="00FD7E02" w14:paraId="67164F95" w14:textId="77777777" w:rsidTr="005954B1">
        <w:tc>
          <w:tcPr>
            <w:tcW w:w="4957" w:type="dxa"/>
            <w:vAlign w:val="center"/>
          </w:tcPr>
          <w:p w14:paraId="2D6BAD64" w14:textId="5DF7EDDB" w:rsidR="00FD7E02" w:rsidRPr="00FD7E02" w:rsidRDefault="00FD7E02" w:rsidP="00FD7E02">
            <w:pPr>
              <w:rPr>
                <w:b/>
                <w:lang w:val="en-US" w:eastAsia="en-AU"/>
              </w:rPr>
            </w:pPr>
            <w:r>
              <w:rPr>
                <w:b/>
                <w:lang w:val="en-US" w:eastAsia="en-AU"/>
              </w:rPr>
              <w:t>EXPENSES</w:t>
            </w:r>
          </w:p>
        </w:tc>
        <w:tc>
          <w:tcPr>
            <w:tcW w:w="1559" w:type="dxa"/>
          </w:tcPr>
          <w:p w14:paraId="16E7AD4C" w14:textId="77777777" w:rsidR="00FD7E02" w:rsidRDefault="00FD7E02" w:rsidP="00FD7E02">
            <w:pPr>
              <w:rPr>
                <w:lang w:val="en-US" w:eastAsia="en-AU"/>
              </w:rPr>
            </w:pPr>
          </w:p>
        </w:tc>
        <w:tc>
          <w:tcPr>
            <w:tcW w:w="1276" w:type="dxa"/>
            <w:tcBorders>
              <w:top w:val="single" w:sz="4" w:space="0" w:color="auto"/>
            </w:tcBorders>
          </w:tcPr>
          <w:p w14:paraId="50EFF986" w14:textId="77777777" w:rsidR="00FD7E02" w:rsidRPr="00FD7E02" w:rsidRDefault="00FD7E02" w:rsidP="00FD7E02">
            <w:pPr>
              <w:jc w:val="right"/>
              <w:rPr>
                <w:b/>
              </w:rPr>
            </w:pPr>
          </w:p>
        </w:tc>
        <w:tc>
          <w:tcPr>
            <w:tcW w:w="1275" w:type="dxa"/>
            <w:tcBorders>
              <w:top w:val="single" w:sz="4" w:space="0" w:color="auto"/>
            </w:tcBorders>
          </w:tcPr>
          <w:p w14:paraId="21447D5F" w14:textId="77777777" w:rsidR="00FD7E02" w:rsidRPr="00FD7E02" w:rsidRDefault="00FD7E02" w:rsidP="00FD7E02">
            <w:pPr>
              <w:jc w:val="right"/>
              <w:rPr>
                <w:b/>
              </w:rPr>
            </w:pPr>
          </w:p>
        </w:tc>
        <w:tc>
          <w:tcPr>
            <w:tcW w:w="1418" w:type="dxa"/>
            <w:tcBorders>
              <w:top w:val="single" w:sz="4" w:space="0" w:color="auto"/>
            </w:tcBorders>
          </w:tcPr>
          <w:p w14:paraId="5B8A6A5F" w14:textId="77777777" w:rsidR="00FD7E02" w:rsidRPr="00FD7E02" w:rsidRDefault="00FD7E02" w:rsidP="00FD7E02">
            <w:pPr>
              <w:jc w:val="right"/>
              <w:rPr>
                <w:b/>
              </w:rPr>
            </w:pPr>
          </w:p>
        </w:tc>
        <w:tc>
          <w:tcPr>
            <w:tcW w:w="1642" w:type="dxa"/>
            <w:tcBorders>
              <w:top w:val="single" w:sz="4" w:space="0" w:color="auto"/>
            </w:tcBorders>
          </w:tcPr>
          <w:p w14:paraId="681F9594" w14:textId="77777777" w:rsidR="00FD7E02" w:rsidRPr="00FD7E02" w:rsidRDefault="00FD7E02" w:rsidP="00FD7E02">
            <w:pPr>
              <w:jc w:val="right"/>
              <w:rPr>
                <w:b/>
              </w:rPr>
            </w:pPr>
          </w:p>
        </w:tc>
        <w:tc>
          <w:tcPr>
            <w:tcW w:w="1821" w:type="dxa"/>
            <w:tcBorders>
              <w:top w:val="single" w:sz="4" w:space="0" w:color="auto"/>
            </w:tcBorders>
          </w:tcPr>
          <w:p w14:paraId="1EBA2B28" w14:textId="77777777" w:rsidR="00FD7E02" w:rsidRPr="00FD7E02" w:rsidRDefault="00FD7E02" w:rsidP="00FD7E02">
            <w:pPr>
              <w:jc w:val="right"/>
              <w:rPr>
                <w:b/>
              </w:rPr>
            </w:pPr>
          </w:p>
        </w:tc>
      </w:tr>
      <w:tr w:rsidR="00FD7E02" w14:paraId="7594DDC1" w14:textId="77777777" w:rsidTr="005954B1">
        <w:tc>
          <w:tcPr>
            <w:tcW w:w="4957" w:type="dxa"/>
          </w:tcPr>
          <w:p w14:paraId="4962E59F" w14:textId="022B2B1E" w:rsidR="00FD7E02" w:rsidRPr="00FD7E02" w:rsidRDefault="00FD7E02" w:rsidP="00FD7E02">
            <w:pPr>
              <w:rPr>
                <w:b/>
                <w:lang w:val="en-US" w:eastAsia="en-AU"/>
              </w:rPr>
            </w:pPr>
            <w:r w:rsidRPr="00FD7E02">
              <w:rPr>
                <w:b/>
              </w:rPr>
              <w:t xml:space="preserve">Expenses </w:t>
            </w:r>
          </w:p>
        </w:tc>
        <w:tc>
          <w:tcPr>
            <w:tcW w:w="1559" w:type="dxa"/>
          </w:tcPr>
          <w:p w14:paraId="720FCF8A" w14:textId="77777777" w:rsidR="00FD7E02" w:rsidRDefault="00FD7E02" w:rsidP="00FD7E02">
            <w:pPr>
              <w:rPr>
                <w:lang w:val="en-US" w:eastAsia="en-AU"/>
              </w:rPr>
            </w:pPr>
          </w:p>
        </w:tc>
        <w:tc>
          <w:tcPr>
            <w:tcW w:w="1276" w:type="dxa"/>
          </w:tcPr>
          <w:p w14:paraId="6399C59C" w14:textId="77777777" w:rsidR="00FD7E02" w:rsidRPr="00FD7E02" w:rsidRDefault="00FD7E02" w:rsidP="00FD7E02">
            <w:pPr>
              <w:jc w:val="right"/>
              <w:rPr>
                <w:b/>
              </w:rPr>
            </w:pPr>
          </w:p>
        </w:tc>
        <w:tc>
          <w:tcPr>
            <w:tcW w:w="1275" w:type="dxa"/>
          </w:tcPr>
          <w:p w14:paraId="1D3EE1D8" w14:textId="77777777" w:rsidR="00FD7E02" w:rsidRPr="00FD7E02" w:rsidRDefault="00FD7E02" w:rsidP="00FD7E02">
            <w:pPr>
              <w:jc w:val="right"/>
              <w:rPr>
                <w:b/>
              </w:rPr>
            </w:pPr>
          </w:p>
        </w:tc>
        <w:tc>
          <w:tcPr>
            <w:tcW w:w="1418" w:type="dxa"/>
          </w:tcPr>
          <w:p w14:paraId="106ACBBA" w14:textId="77777777" w:rsidR="00FD7E02" w:rsidRPr="00FD7E02" w:rsidRDefault="00FD7E02" w:rsidP="00FD7E02">
            <w:pPr>
              <w:jc w:val="right"/>
              <w:rPr>
                <w:b/>
              </w:rPr>
            </w:pPr>
          </w:p>
        </w:tc>
        <w:tc>
          <w:tcPr>
            <w:tcW w:w="1642" w:type="dxa"/>
          </w:tcPr>
          <w:p w14:paraId="6C165125" w14:textId="77777777" w:rsidR="00FD7E02" w:rsidRPr="00FD7E02" w:rsidRDefault="00FD7E02" w:rsidP="00FD7E02">
            <w:pPr>
              <w:jc w:val="right"/>
              <w:rPr>
                <w:b/>
              </w:rPr>
            </w:pPr>
          </w:p>
        </w:tc>
        <w:tc>
          <w:tcPr>
            <w:tcW w:w="1821" w:type="dxa"/>
          </w:tcPr>
          <w:p w14:paraId="2F33E996" w14:textId="77777777" w:rsidR="00FD7E02" w:rsidRPr="00FD7E02" w:rsidRDefault="00FD7E02" w:rsidP="00FD7E02">
            <w:pPr>
              <w:jc w:val="right"/>
              <w:rPr>
                <w:b/>
              </w:rPr>
            </w:pPr>
          </w:p>
        </w:tc>
      </w:tr>
      <w:tr w:rsidR="00FD7E02" w14:paraId="02F7BBC3" w14:textId="77777777" w:rsidTr="005954B1">
        <w:tc>
          <w:tcPr>
            <w:tcW w:w="4957" w:type="dxa"/>
          </w:tcPr>
          <w:p w14:paraId="44BE67A2" w14:textId="15D049DE" w:rsidR="00FD7E02" w:rsidRDefault="00FD7E02" w:rsidP="00FD7E02">
            <w:pPr>
              <w:rPr>
                <w:b/>
                <w:lang w:val="en-US" w:eastAsia="en-AU"/>
              </w:rPr>
            </w:pPr>
            <w:r w:rsidRPr="007235DD">
              <w:t>Employee benefits expense</w:t>
            </w:r>
          </w:p>
        </w:tc>
        <w:tc>
          <w:tcPr>
            <w:tcW w:w="1559" w:type="dxa"/>
          </w:tcPr>
          <w:p w14:paraId="579A8B51" w14:textId="3011AE77" w:rsidR="00FD7E02" w:rsidRPr="00FD7E02" w:rsidRDefault="00FD7E02" w:rsidP="00FD7E02">
            <w:pPr>
              <w:jc w:val="center"/>
              <w:rPr>
                <w:b/>
                <w:lang w:val="en-US" w:eastAsia="en-AU"/>
              </w:rPr>
            </w:pPr>
            <w:r>
              <w:rPr>
                <w:b/>
                <w:lang w:val="en-US" w:eastAsia="en-AU"/>
              </w:rPr>
              <w:t>2</w:t>
            </w:r>
          </w:p>
        </w:tc>
        <w:tc>
          <w:tcPr>
            <w:tcW w:w="1276" w:type="dxa"/>
          </w:tcPr>
          <w:p w14:paraId="5EDF779E" w14:textId="34E35E89" w:rsidR="00FD7E02" w:rsidRPr="00FD7E02" w:rsidRDefault="00FD7E02" w:rsidP="00FD7E02">
            <w:pPr>
              <w:jc w:val="right"/>
              <w:rPr>
                <w:b/>
              </w:rPr>
            </w:pPr>
            <w:r w:rsidRPr="00916BB8">
              <w:t xml:space="preserve"> 16,691 </w:t>
            </w:r>
          </w:p>
        </w:tc>
        <w:tc>
          <w:tcPr>
            <w:tcW w:w="1275" w:type="dxa"/>
          </w:tcPr>
          <w:p w14:paraId="3DFCD665" w14:textId="0CB86363" w:rsidR="00FD7E02" w:rsidRPr="00FD7E02" w:rsidRDefault="00FD7E02" w:rsidP="00FD7E02">
            <w:pPr>
              <w:jc w:val="right"/>
              <w:rPr>
                <w:b/>
              </w:rPr>
            </w:pPr>
            <w:r w:rsidRPr="00BC1B4B">
              <w:t xml:space="preserve"> 14,853 </w:t>
            </w:r>
          </w:p>
        </w:tc>
        <w:tc>
          <w:tcPr>
            <w:tcW w:w="1418" w:type="dxa"/>
          </w:tcPr>
          <w:p w14:paraId="27B9AD0C" w14:textId="4AFD0D78" w:rsidR="00FD7E02" w:rsidRPr="00FD7E02" w:rsidRDefault="00FD7E02" w:rsidP="00FD7E02">
            <w:pPr>
              <w:jc w:val="right"/>
              <w:rPr>
                <w:b/>
              </w:rPr>
            </w:pPr>
            <w:r w:rsidRPr="005D0ACE">
              <w:t xml:space="preserve"> 14,494 </w:t>
            </w:r>
          </w:p>
        </w:tc>
        <w:tc>
          <w:tcPr>
            <w:tcW w:w="1642" w:type="dxa"/>
          </w:tcPr>
          <w:p w14:paraId="19305C5C" w14:textId="6DB3C683" w:rsidR="00FD7E02" w:rsidRPr="00FD7E02" w:rsidRDefault="00FD7E02" w:rsidP="00FD7E02">
            <w:pPr>
              <w:jc w:val="right"/>
              <w:rPr>
                <w:b/>
              </w:rPr>
            </w:pPr>
            <w:r w:rsidRPr="006A479B">
              <w:t xml:space="preserve"> 1,838 </w:t>
            </w:r>
          </w:p>
        </w:tc>
        <w:tc>
          <w:tcPr>
            <w:tcW w:w="1821" w:type="dxa"/>
          </w:tcPr>
          <w:p w14:paraId="6F53F555" w14:textId="150C15D0" w:rsidR="00FD7E02" w:rsidRPr="00FD7E02" w:rsidRDefault="00FD7E02" w:rsidP="00FD7E02">
            <w:pPr>
              <w:jc w:val="right"/>
              <w:rPr>
                <w:b/>
              </w:rPr>
            </w:pPr>
            <w:r w:rsidRPr="007B5EF0">
              <w:t xml:space="preserve"> 359 </w:t>
            </w:r>
          </w:p>
        </w:tc>
      </w:tr>
      <w:tr w:rsidR="00FD7E02" w14:paraId="2A3E37D9" w14:textId="77777777" w:rsidTr="005954B1">
        <w:tc>
          <w:tcPr>
            <w:tcW w:w="4957" w:type="dxa"/>
          </w:tcPr>
          <w:p w14:paraId="57E3D2FA" w14:textId="72AE77A7" w:rsidR="00FD7E02" w:rsidRDefault="00FD7E02" w:rsidP="00FD7E02">
            <w:pPr>
              <w:rPr>
                <w:b/>
                <w:lang w:val="en-US" w:eastAsia="en-AU"/>
              </w:rPr>
            </w:pPr>
            <w:r w:rsidRPr="007235DD">
              <w:t>Supplies and services</w:t>
            </w:r>
          </w:p>
        </w:tc>
        <w:tc>
          <w:tcPr>
            <w:tcW w:w="1559" w:type="dxa"/>
          </w:tcPr>
          <w:p w14:paraId="5A219D21" w14:textId="315ECB85" w:rsidR="00FD7E02" w:rsidRPr="00FD7E02" w:rsidRDefault="00FD7E02" w:rsidP="00FD7E02">
            <w:pPr>
              <w:jc w:val="center"/>
              <w:rPr>
                <w:b/>
                <w:lang w:val="en-US" w:eastAsia="en-AU"/>
              </w:rPr>
            </w:pPr>
            <w:r>
              <w:rPr>
                <w:b/>
                <w:lang w:val="en-US" w:eastAsia="en-AU"/>
              </w:rPr>
              <w:t>3</w:t>
            </w:r>
          </w:p>
        </w:tc>
        <w:tc>
          <w:tcPr>
            <w:tcW w:w="1276" w:type="dxa"/>
          </w:tcPr>
          <w:p w14:paraId="5695F2CC" w14:textId="11AE7674" w:rsidR="00FD7E02" w:rsidRPr="00FD7E02" w:rsidRDefault="00FD7E02" w:rsidP="00FD7E02">
            <w:pPr>
              <w:jc w:val="right"/>
              <w:rPr>
                <w:b/>
              </w:rPr>
            </w:pPr>
            <w:r w:rsidRPr="00916BB8">
              <w:t xml:space="preserve"> 3,200 </w:t>
            </w:r>
          </w:p>
        </w:tc>
        <w:tc>
          <w:tcPr>
            <w:tcW w:w="1275" w:type="dxa"/>
          </w:tcPr>
          <w:p w14:paraId="519066F5" w14:textId="18C98FA7" w:rsidR="00FD7E02" w:rsidRPr="00FD7E02" w:rsidRDefault="00FD7E02" w:rsidP="00FD7E02">
            <w:pPr>
              <w:jc w:val="right"/>
              <w:rPr>
                <w:b/>
              </w:rPr>
            </w:pPr>
            <w:r w:rsidRPr="00BC1B4B">
              <w:t xml:space="preserve"> 2,729 </w:t>
            </w:r>
          </w:p>
        </w:tc>
        <w:tc>
          <w:tcPr>
            <w:tcW w:w="1418" w:type="dxa"/>
          </w:tcPr>
          <w:p w14:paraId="2BCA9F98" w14:textId="68FA9C4B" w:rsidR="00FD7E02" w:rsidRPr="00FD7E02" w:rsidRDefault="00FD7E02" w:rsidP="00FD7E02">
            <w:pPr>
              <w:jc w:val="right"/>
              <w:rPr>
                <w:b/>
              </w:rPr>
            </w:pPr>
            <w:r w:rsidRPr="005D0ACE">
              <w:t xml:space="preserve"> 2,722 </w:t>
            </w:r>
          </w:p>
        </w:tc>
        <w:tc>
          <w:tcPr>
            <w:tcW w:w="1642" w:type="dxa"/>
          </w:tcPr>
          <w:p w14:paraId="175954DA" w14:textId="24D37259" w:rsidR="00FD7E02" w:rsidRPr="00FD7E02" w:rsidRDefault="00FD7E02" w:rsidP="00FD7E02">
            <w:pPr>
              <w:jc w:val="right"/>
              <w:rPr>
                <w:b/>
              </w:rPr>
            </w:pPr>
            <w:r w:rsidRPr="006A479B">
              <w:t xml:space="preserve"> 471 </w:t>
            </w:r>
          </w:p>
        </w:tc>
        <w:tc>
          <w:tcPr>
            <w:tcW w:w="1821" w:type="dxa"/>
          </w:tcPr>
          <w:p w14:paraId="5918DF5F" w14:textId="0BAD8117" w:rsidR="00FD7E02" w:rsidRPr="00FD7E02" w:rsidRDefault="00FD7E02" w:rsidP="00FD7E02">
            <w:pPr>
              <w:jc w:val="right"/>
              <w:rPr>
                <w:b/>
              </w:rPr>
            </w:pPr>
            <w:r w:rsidRPr="007B5EF0">
              <w:t xml:space="preserve"> 7 </w:t>
            </w:r>
          </w:p>
        </w:tc>
      </w:tr>
      <w:tr w:rsidR="00FD7E02" w14:paraId="153058BA" w14:textId="77777777" w:rsidTr="005954B1">
        <w:tc>
          <w:tcPr>
            <w:tcW w:w="4957" w:type="dxa"/>
          </w:tcPr>
          <w:p w14:paraId="36CC0136" w14:textId="2A312FBD" w:rsidR="00FD7E02" w:rsidRDefault="00FD7E02" w:rsidP="00FD7E02">
            <w:pPr>
              <w:rPr>
                <w:b/>
                <w:lang w:val="en-US" w:eastAsia="en-AU"/>
              </w:rPr>
            </w:pPr>
            <w:r w:rsidRPr="007235DD">
              <w:t>Depreciation and amortisation expense</w:t>
            </w:r>
          </w:p>
        </w:tc>
        <w:tc>
          <w:tcPr>
            <w:tcW w:w="1559" w:type="dxa"/>
          </w:tcPr>
          <w:p w14:paraId="4B5732BB" w14:textId="77777777" w:rsidR="00FD7E02" w:rsidRDefault="00FD7E02" w:rsidP="00FD7E02">
            <w:pPr>
              <w:rPr>
                <w:lang w:val="en-US" w:eastAsia="en-AU"/>
              </w:rPr>
            </w:pPr>
          </w:p>
        </w:tc>
        <w:tc>
          <w:tcPr>
            <w:tcW w:w="1276" w:type="dxa"/>
          </w:tcPr>
          <w:p w14:paraId="6B422006" w14:textId="6D02FAF5" w:rsidR="00FD7E02" w:rsidRPr="00FD7E02" w:rsidRDefault="00FD7E02" w:rsidP="00FD7E02">
            <w:pPr>
              <w:jc w:val="right"/>
              <w:rPr>
                <w:b/>
              </w:rPr>
            </w:pPr>
            <w:r w:rsidRPr="00916BB8">
              <w:t xml:space="preserve"> 1,042 </w:t>
            </w:r>
          </w:p>
        </w:tc>
        <w:tc>
          <w:tcPr>
            <w:tcW w:w="1275" w:type="dxa"/>
          </w:tcPr>
          <w:p w14:paraId="62D37C31" w14:textId="0798C679" w:rsidR="00FD7E02" w:rsidRPr="00FD7E02" w:rsidRDefault="00FD7E02" w:rsidP="00FD7E02">
            <w:pPr>
              <w:jc w:val="right"/>
              <w:rPr>
                <w:b/>
              </w:rPr>
            </w:pPr>
            <w:r w:rsidRPr="00BC1B4B">
              <w:t xml:space="preserve"> 955 </w:t>
            </w:r>
          </w:p>
        </w:tc>
        <w:tc>
          <w:tcPr>
            <w:tcW w:w="1418" w:type="dxa"/>
          </w:tcPr>
          <w:p w14:paraId="665040EF" w14:textId="714AD211" w:rsidR="00FD7E02" w:rsidRPr="00FD7E02" w:rsidRDefault="00FD7E02" w:rsidP="00FD7E02">
            <w:pPr>
              <w:jc w:val="right"/>
              <w:rPr>
                <w:b/>
              </w:rPr>
            </w:pPr>
            <w:r w:rsidRPr="005D0ACE">
              <w:t xml:space="preserve"> 971 </w:t>
            </w:r>
          </w:p>
        </w:tc>
        <w:tc>
          <w:tcPr>
            <w:tcW w:w="1642" w:type="dxa"/>
          </w:tcPr>
          <w:p w14:paraId="2FD80890" w14:textId="5ED68364" w:rsidR="00FD7E02" w:rsidRPr="00FD7E02" w:rsidRDefault="00FD7E02" w:rsidP="00FD7E02">
            <w:pPr>
              <w:jc w:val="right"/>
              <w:rPr>
                <w:b/>
              </w:rPr>
            </w:pPr>
            <w:r w:rsidRPr="006A479B">
              <w:t xml:space="preserve"> 87 </w:t>
            </w:r>
          </w:p>
        </w:tc>
        <w:tc>
          <w:tcPr>
            <w:tcW w:w="1821" w:type="dxa"/>
          </w:tcPr>
          <w:p w14:paraId="0DCD39D5" w14:textId="1A3E0F7F" w:rsidR="00FD7E02" w:rsidRPr="00FD7E02" w:rsidRDefault="00FD7E02" w:rsidP="00FD7E02">
            <w:pPr>
              <w:jc w:val="right"/>
              <w:rPr>
                <w:b/>
              </w:rPr>
            </w:pPr>
            <w:r w:rsidRPr="007B5EF0">
              <w:t xml:space="preserve"> (16)</w:t>
            </w:r>
          </w:p>
        </w:tc>
      </w:tr>
      <w:tr w:rsidR="00FD7E02" w14:paraId="031D4B87" w14:textId="77777777" w:rsidTr="005954B1">
        <w:tc>
          <w:tcPr>
            <w:tcW w:w="4957" w:type="dxa"/>
          </w:tcPr>
          <w:p w14:paraId="35860E8A" w14:textId="3C01390E" w:rsidR="00FD7E02" w:rsidRDefault="00FD7E02" w:rsidP="00FD7E02">
            <w:pPr>
              <w:rPr>
                <w:b/>
                <w:lang w:val="en-US" w:eastAsia="en-AU"/>
              </w:rPr>
            </w:pPr>
            <w:r w:rsidRPr="007235DD">
              <w:t>Accommodation expenses</w:t>
            </w:r>
          </w:p>
        </w:tc>
        <w:tc>
          <w:tcPr>
            <w:tcW w:w="1559" w:type="dxa"/>
          </w:tcPr>
          <w:p w14:paraId="72E88A30" w14:textId="77777777" w:rsidR="00FD7E02" w:rsidRDefault="00FD7E02" w:rsidP="00FD7E02">
            <w:pPr>
              <w:rPr>
                <w:lang w:val="en-US" w:eastAsia="en-AU"/>
              </w:rPr>
            </w:pPr>
          </w:p>
        </w:tc>
        <w:tc>
          <w:tcPr>
            <w:tcW w:w="1276" w:type="dxa"/>
          </w:tcPr>
          <w:p w14:paraId="5E0A4D45" w14:textId="26627966" w:rsidR="00FD7E02" w:rsidRPr="00FD7E02" w:rsidRDefault="00FD7E02" w:rsidP="00FD7E02">
            <w:pPr>
              <w:jc w:val="right"/>
              <w:rPr>
                <w:b/>
              </w:rPr>
            </w:pPr>
            <w:r w:rsidRPr="00916BB8">
              <w:t xml:space="preserve"> 557 </w:t>
            </w:r>
          </w:p>
        </w:tc>
        <w:tc>
          <w:tcPr>
            <w:tcW w:w="1275" w:type="dxa"/>
          </w:tcPr>
          <w:p w14:paraId="4C433764" w14:textId="0B02CA68" w:rsidR="00FD7E02" w:rsidRPr="00FD7E02" w:rsidRDefault="00FD7E02" w:rsidP="00FD7E02">
            <w:pPr>
              <w:jc w:val="right"/>
              <w:rPr>
                <w:b/>
              </w:rPr>
            </w:pPr>
            <w:r w:rsidRPr="00BC1B4B">
              <w:t xml:space="preserve"> 686 </w:t>
            </w:r>
          </w:p>
        </w:tc>
        <w:tc>
          <w:tcPr>
            <w:tcW w:w="1418" w:type="dxa"/>
          </w:tcPr>
          <w:p w14:paraId="49B0E3AD" w14:textId="5E69DACC" w:rsidR="00FD7E02" w:rsidRPr="00FD7E02" w:rsidRDefault="00FD7E02" w:rsidP="00FD7E02">
            <w:pPr>
              <w:jc w:val="right"/>
              <w:rPr>
                <w:b/>
              </w:rPr>
            </w:pPr>
            <w:r w:rsidRPr="005D0ACE">
              <w:t xml:space="preserve"> 647 </w:t>
            </w:r>
          </w:p>
        </w:tc>
        <w:tc>
          <w:tcPr>
            <w:tcW w:w="1642" w:type="dxa"/>
          </w:tcPr>
          <w:p w14:paraId="221B305A" w14:textId="667B82F8" w:rsidR="00FD7E02" w:rsidRPr="00FD7E02" w:rsidRDefault="00FD7E02" w:rsidP="00FD7E02">
            <w:pPr>
              <w:jc w:val="right"/>
              <w:rPr>
                <w:b/>
              </w:rPr>
            </w:pPr>
            <w:r w:rsidRPr="006A479B">
              <w:t xml:space="preserve"> (129)</w:t>
            </w:r>
          </w:p>
        </w:tc>
        <w:tc>
          <w:tcPr>
            <w:tcW w:w="1821" w:type="dxa"/>
          </w:tcPr>
          <w:p w14:paraId="081AB1A2" w14:textId="59E54132" w:rsidR="00FD7E02" w:rsidRPr="00FD7E02" w:rsidRDefault="00FD7E02" w:rsidP="00FD7E02">
            <w:pPr>
              <w:jc w:val="right"/>
              <w:rPr>
                <w:b/>
              </w:rPr>
            </w:pPr>
            <w:r w:rsidRPr="007B5EF0">
              <w:t xml:space="preserve"> 39 </w:t>
            </w:r>
          </w:p>
        </w:tc>
      </w:tr>
      <w:tr w:rsidR="00FD7E02" w14:paraId="2D82362F" w14:textId="77777777" w:rsidTr="005954B1">
        <w:tc>
          <w:tcPr>
            <w:tcW w:w="4957" w:type="dxa"/>
          </w:tcPr>
          <w:p w14:paraId="30EC60BF" w14:textId="15F6AE4C" w:rsidR="00FD7E02" w:rsidRDefault="00FD7E02" w:rsidP="00FD7E02">
            <w:pPr>
              <w:rPr>
                <w:b/>
                <w:lang w:val="en-US" w:eastAsia="en-AU"/>
              </w:rPr>
            </w:pPr>
            <w:r w:rsidRPr="007235DD">
              <w:t>Grants and subsidies</w:t>
            </w:r>
          </w:p>
        </w:tc>
        <w:tc>
          <w:tcPr>
            <w:tcW w:w="1559" w:type="dxa"/>
          </w:tcPr>
          <w:p w14:paraId="77483A21" w14:textId="77777777" w:rsidR="00FD7E02" w:rsidRDefault="00FD7E02" w:rsidP="00FD7E02">
            <w:pPr>
              <w:rPr>
                <w:lang w:val="en-US" w:eastAsia="en-AU"/>
              </w:rPr>
            </w:pPr>
          </w:p>
        </w:tc>
        <w:tc>
          <w:tcPr>
            <w:tcW w:w="1276" w:type="dxa"/>
          </w:tcPr>
          <w:p w14:paraId="28EAED6A" w14:textId="2AD80337" w:rsidR="00FD7E02" w:rsidRPr="00FD7E02" w:rsidRDefault="00FD7E02" w:rsidP="00FD7E02">
            <w:pPr>
              <w:jc w:val="right"/>
              <w:rPr>
                <w:b/>
              </w:rPr>
            </w:pPr>
            <w:r w:rsidRPr="00916BB8">
              <w:t xml:space="preserve"> 50 </w:t>
            </w:r>
          </w:p>
        </w:tc>
        <w:tc>
          <w:tcPr>
            <w:tcW w:w="1275" w:type="dxa"/>
          </w:tcPr>
          <w:p w14:paraId="57A2C4DD" w14:textId="051B9EF9" w:rsidR="00FD7E02" w:rsidRPr="00FD7E02" w:rsidRDefault="00FD7E02" w:rsidP="00FD7E02">
            <w:pPr>
              <w:jc w:val="right"/>
              <w:rPr>
                <w:b/>
              </w:rPr>
            </w:pPr>
            <w:r w:rsidRPr="00BC1B4B">
              <w:t xml:space="preserve"> 50 </w:t>
            </w:r>
          </w:p>
        </w:tc>
        <w:tc>
          <w:tcPr>
            <w:tcW w:w="1418" w:type="dxa"/>
          </w:tcPr>
          <w:p w14:paraId="1A672575" w14:textId="1DFBB16F" w:rsidR="00FD7E02" w:rsidRPr="00FD7E02" w:rsidRDefault="00FD7E02" w:rsidP="00FD7E02">
            <w:pPr>
              <w:jc w:val="right"/>
              <w:rPr>
                <w:b/>
              </w:rPr>
            </w:pPr>
            <w:r w:rsidRPr="005D0ACE">
              <w:t xml:space="preserve"> 50 </w:t>
            </w:r>
          </w:p>
        </w:tc>
        <w:tc>
          <w:tcPr>
            <w:tcW w:w="1642" w:type="dxa"/>
          </w:tcPr>
          <w:p w14:paraId="0214C4D0" w14:textId="2B5C56A9" w:rsidR="00FD7E02" w:rsidRPr="00FD7E02" w:rsidRDefault="00FD7E02" w:rsidP="00FD7E02">
            <w:pPr>
              <w:jc w:val="right"/>
              <w:rPr>
                <w:b/>
              </w:rPr>
            </w:pPr>
            <w:r w:rsidRPr="006A479B">
              <w:t xml:space="preserve"> -   </w:t>
            </w:r>
          </w:p>
        </w:tc>
        <w:tc>
          <w:tcPr>
            <w:tcW w:w="1821" w:type="dxa"/>
          </w:tcPr>
          <w:p w14:paraId="71CF01BA" w14:textId="4B02EEA2" w:rsidR="00FD7E02" w:rsidRPr="00FD7E02" w:rsidRDefault="00FD7E02" w:rsidP="00FD7E02">
            <w:pPr>
              <w:jc w:val="right"/>
              <w:rPr>
                <w:b/>
              </w:rPr>
            </w:pPr>
            <w:r w:rsidRPr="007B5EF0">
              <w:t xml:space="preserve"> -   </w:t>
            </w:r>
          </w:p>
        </w:tc>
      </w:tr>
      <w:tr w:rsidR="00FD7E02" w14:paraId="61C3CE39" w14:textId="77777777" w:rsidTr="005954B1">
        <w:tc>
          <w:tcPr>
            <w:tcW w:w="4957" w:type="dxa"/>
          </w:tcPr>
          <w:p w14:paraId="61B77BF5" w14:textId="338955C7" w:rsidR="00FD7E02" w:rsidRDefault="00FD7E02" w:rsidP="00FD7E02">
            <w:pPr>
              <w:rPr>
                <w:b/>
                <w:lang w:val="en-US" w:eastAsia="en-AU"/>
              </w:rPr>
            </w:pPr>
            <w:r w:rsidRPr="007235DD">
              <w:t>Claims expense</w:t>
            </w:r>
          </w:p>
        </w:tc>
        <w:tc>
          <w:tcPr>
            <w:tcW w:w="1559" w:type="dxa"/>
          </w:tcPr>
          <w:p w14:paraId="571B44A3" w14:textId="1CB28150" w:rsidR="00FD7E02" w:rsidRPr="00FD7E02" w:rsidRDefault="00FD7E02" w:rsidP="00FD7E02">
            <w:pPr>
              <w:jc w:val="center"/>
              <w:rPr>
                <w:b/>
                <w:lang w:val="en-US" w:eastAsia="en-AU"/>
              </w:rPr>
            </w:pPr>
            <w:r>
              <w:rPr>
                <w:b/>
                <w:lang w:val="en-US" w:eastAsia="en-AU"/>
              </w:rPr>
              <w:t>1, A</w:t>
            </w:r>
          </w:p>
        </w:tc>
        <w:tc>
          <w:tcPr>
            <w:tcW w:w="1276" w:type="dxa"/>
          </w:tcPr>
          <w:p w14:paraId="4C250ADD" w14:textId="3C00218F" w:rsidR="00FD7E02" w:rsidRPr="00FD7E02" w:rsidRDefault="00FD7E02" w:rsidP="00FD7E02">
            <w:pPr>
              <w:jc w:val="right"/>
              <w:rPr>
                <w:b/>
              </w:rPr>
            </w:pPr>
            <w:r w:rsidRPr="00916BB8">
              <w:t xml:space="preserve"> 1,788 </w:t>
            </w:r>
          </w:p>
        </w:tc>
        <w:tc>
          <w:tcPr>
            <w:tcW w:w="1275" w:type="dxa"/>
          </w:tcPr>
          <w:p w14:paraId="441E9E78" w14:textId="0FAE69DC" w:rsidR="00FD7E02" w:rsidRPr="00FD7E02" w:rsidRDefault="00FD7E02" w:rsidP="00FD7E02">
            <w:pPr>
              <w:jc w:val="right"/>
              <w:rPr>
                <w:b/>
              </w:rPr>
            </w:pPr>
            <w:r w:rsidRPr="00BC1B4B">
              <w:t xml:space="preserve"> 3,065 </w:t>
            </w:r>
          </w:p>
        </w:tc>
        <w:tc>
          <w:tcPr>
            <w:tcW w:w="1418" w:type="dxa"/>
          </w:tcPr>
          <w:p w14:paraId="65B247CB" w14:textId="5BD2A353" w:rsidR="00FD7E02" w:rsidRPr="00FD7E02" w:rsidRDefault="00FD7E02" w:rsidP="00FD7E02">
            <w:pPr>
              <w:jc w:val="right"/>
              <w:rPr>
                <w:b/>
              </w:rPr>
            </w:pPr>
            <w:r w:rsidRPr="005D0ACE">
              <w:t xml:space="preserve"> 2,020 </w:t>
            </w:r>
          </w:p>
        </w:tc>
        <w:tc>
          <w:tcPr>
            <w:tcW w:w="1642" w:type="dxa"/>
          </w:tcPr>
          <w:p w14:paraId="03792DA9" w14:textId="107560D2" w:rsidR="00FD7E02" w:rsidRPr="00FD7E02" w:rsidRDefault="00FD7E02" w:rsidP="00FD7E02">
            <w:pPr>
              <w:jc w:val="right"/>
              <w:rPr>
                <w:b/>
              </w:rPr>
            </w:pPr>
            <w:r w:rsidRPr="006A479B">
              <w:t xml:space="preserve"> (1,277)</w:t>
            </w:r>
          </w:p>
        </w:tc>
        <w:tc>
          <w:tcPr>
            <w:tcW w:w="1821" w:type="dxa"/>
          </w:tcPr>
          <w:p w14:paraId="5AD969FC" w14:textId="4A89A407" w:rsidR="00FD7E02" w:rsidRPr="00FD7E02" w:rsidRDefault="00FD7E02" w:rsidP="00FD7E02">
            <w:pPr>
              <w:jc w:val="right"/>
              <w:rPr>
                <w:b/>
              </w:rPr>
            </w:pPr>
            <w:r w:rsidRPr="007B5EF0">
              <w:t xml:space="preserve"> 1,045 </w:t>
            </w:r>
          </w:p>
        </w:tc>
      </w:tr>
      <w:tr w:rsidR="00FD7E02" w14:paraId="19F4CA8F" w14:textId="77777777" w:rsidTr="005954B1">
        <w:tc>
          <w:tcPr>
            <w:tcW w:w="4957" w:type="dxa"/>
          </w:tcPr>
          <w:p w14:paraId="22CFE508" w14:textId="36AC87AA" w:rsidR="00FD7E02" w:rsidRDefault="00FD7E02" w:rsidP="00FD7E02">
            <w:pPr>
              <w:rPr>
                <w:b/>
                <w:lang w:val="en-US" w:eastAsia="en-AU"/>
              </w:rPr>
            </w:pPr>
            <w:r w:rsidRPr="007235DD">
              <w:t>Loss on disposal of non-current assets</w:t>
            </w:r>
          </w:p>
        </w:tc>
        <w:tc>
          <w:tcPr>
            <w:tcW w:w="1559" w:type="dxa"/>
          </w:tcPr>
          <w:p w14:paraId="1C9223AA" w14:textId="77777777" w:rsidR="00FD7E02" w:rsidRDefault="00FD7E02" w:rsidP="00FD7E02">
            <w:pPr>
              <w:rPr>
                <w:lang w:val="en-US" w:eastAsia="en-AU"/>
              </w:rPr>
            </w:pPr>
          </w:p>
        </w:tc>
        <w:tc>
          <w:tcPr>
            <w:tcW w:w="1276" w:type="dxa"/>
          </w:tcPr>
          <w:p w14:paraId="2D6EEB17" w14:textId="6C1436D9" w:rsidR="00FD7E02" w:rsidRPr="00FD7E02" w:rsidRDefault="00FD7E02" w:rsidP="00FD7E02">
            <w:pPr>
              <w:jc w:val="right"/>
              <w:rPr>
                <w:b/>
              </w:rPr>
            </w:pPr>
            <w:r w:rsidRPr="00916BB8">
              <w:t xml:space="preserve"> -   </w:t>
            </w:r>
          </w:p>
        </w:tc>
        <w:tc>
          <w:tcPr>
            <w:tcW w:w="1275" w:type="dxa"/>
          </w:tcPr>
          <w:p w14:paraId="133DA7A3" w14:textId="311FE7A0" w:rsidR="00FD7E02" w:rsidRPr="00FD7E02" w:rsidRDefault="00FD7E02" w:rsidP="00FD7E02">
            <w:pPr>
              <w:jc w:val="right"/>
              <w:rPr>
                <w:b/>
              </w:rPr>
            </w:pPr>
            <w:r w:rsidRPr="00BC1B4B">
              <w:t xml:space="preserve"> 3 </w:t>
            </w:r>
          </w:p>
        </w:tc>
        <w:tc>
          <w:tcPr>
            <w:tcW w:w="1418" w:type="dxa"/>
          </w:tcPr>
          <w:p w14:paraId="3F54E4FB" w14:textId="3AD0833D" w:rsidR="00FD7E02" w:rsidRPr="00FD7E02" w:rsidRDefault="00FD7E02" w:rsidP="00FD7E02">
            <w:pPr>
              <w:jc w:val="right"/>
              <w:rPr>
                <w:b/>
              </w:rPr>
            </w:pPr>
            <w:r w:rsidRPr="005D0ACE">
              <w:t xml:space="preserve"> 5 </w:t>
            </w:r>
          </w:p>
        </w:tc>
        <w:tc>
          <w:tcPr>
            <w:tcW w:w="1642" w:type="dxa"/>
          </w:tcPr>
          <w:p w14:paraId="36E13B53" w14:textId="02102073" w:rsidR="00FD7E02" w:rsidRPr="00FD7E02" w:rsidRDefault="00FD7E02" w:rsidP="00FD7E02">
            <w:pPr>
              <w:jc w:val="right"/>
              <w:rPr>
                <w:b/>
              </w:rPr>
            </w:pPr>
            <w:r w:rsidRPr="006A479B">
              <w:t xml:space="preserve"> (3)</w:t>
            </w:r>
          </w:p>
        </w:tc>
        <w:tc>
          <w:tcPr>
            <w:tcW w:w="1821" w:type="dxa"/>
          </w:tcPr>
          <w:p w14:paraId="79ADC1E8" w14:textId="1D667EF4" w:rsidR="00FD7E02" w:rsidRPr="00FD7E02" w:rsidRDefault="00FD7E02" w:rsidP="00FD7E02">
            <w:pPr>
              <w:jc w:val="right"/>
              <w:rPr>
                <w:b/>
              </w:rPr>
            </w:pPr>
            <w:r w:rsidRPr="007B5EF0">
              <w:t xml:space="preserve"> (2)</w:t>
            </w:r>
          </w:p>
        </w:tc>
      </w:tr>
      <w:tr w:rsidR="00FD7E02" w14:paraId="46C6BE5E" w14:textId="77777777" w:rsidTr="005954B1">
        <w:tc>
          <w:tcPr>
            <w:tcW w:w="4957" w:type="dxa"/>
          </w:tcPr>
          <w:p w14:paraId="7A22A935" w14:textId="13DD4C78" w:rsidR="00FD7E02" w:rsidRDefault="00FD7E02" w:rsidP="00FD7E02">
            <w:pPr>
              <w:rPr>
                <w:b/>
                <w:lang w:val="en-US" w:eastAsia="en-AU"/>
              </w:rPr>
            </w:pPr>
            <w:r w:rsidRPr="007235DD">
              <w:t xml:space="preserve">Other expenses </w:t>
            </w:r>
          </w:p>
        </w:tc>
        <w:tc>
          <w:tcPr>
            <w:tcW w:w="1559" w:type="dxa"/>
          </w:tcPr>
          <w:p w14:paraId="1EC24F91" w14:textId="77777777" w:rsidR="00FD7E02" w:rsidRDefault="00FD7E02" w:rsidP="00FD7E02">
            <w:pPr>
              <w:rPr>
                <w:lang w:val="en-US" w:eastAsia="en-AU"/>
              </w:rPr>
            </w:pPr>
          </w:p>
        </w:tc>
        <w:tc>
          <w:tcPr>
            <w:tcW w:w="1276" w:type="dxa"/>
            <w:tcBorders>
              <w:bottom w:val="single" w:sz="4" w:space="0" w:color="auto"/>
            </w:tcBorders>
          </w:tcPr>
          <w:p w14:paraId="1F732427" w14:textId="5E89231C" w:rsidR="00FD7E02" w:rsidRPr="00FD7E02" w:rsidRDefault="00FD7E02" w:rsidP="00FD7E02">
            <w:pPr>
              <w:jc w:val="right"/>
              <w:rPr>
                <w:b/>
              </w:rPr>
            </w:pPr>
            <w:r w:rsidRPr="00916BB8">
              <w:t xml:space="preserve"> 1,734 </w:t>
            </w:r>
          </w:p>
        </w:tc>
        <w:tc>
          <w:tcPr>
            <w:tcW w:w="1275" w:type="dxa"/>
            <w:tcBorders>
              <w:bottom w:val="single" w:sz="4" w:space="0" w:color="auto"/>
            </w:tcBorders>
          </w:tcPr>
          <w:p w14:paraId="1F3EA1AB" w14:textId="3005C2A3" w:rsidR="00FD7E02" w:rsidRPr="00FD7E02" w:rsidRDefault="00FD7E02" w:rsidP="00FD7E02">
            <w:pPr>
              <w:jc w:val="right"/>
              <w:rPr>
                <w:b/>
              </w:rPr>
            </w:pPr>
            <w:r w:rsidRPr="00BC1B4B">
              <w:t xml:space="preserve"> 1,323 </w:t>
            </w:r>
          </w:p>
        </w:tc>
        <w:tc>
          <w:tcPr>
            <w:tcW w:w="1418" w:type="dxa"/>
            <w:tcBorders>
              <w:bottom w:val="single" w:sz="4" w:space="0" w:color="auto"/>
            </w:tcBorders>
          </w:tcPr>
          <w:p w14:paraId="40CCEB1F" w14:textId="6C479E10" w:rsidR="00FD7E02" w:rsidRPr="00FD7E02" w:rsidRDefault="00FD7E02" w:rsidP="00FD7E02">
            <w:pPr>
              <w:jc w:val="right"/>
              <w:rPr>
                <w:b/>
              </w:rPr>
            </w:pPr>
            <w:r w:rsidRPr="005D0ACE">
              <w:t xml:space="preserve"> 1,382 </w:t>
            </w:r>
          </w:p>
        </w:tc>
        <w:tc>
          <w:tcPr>
            <w:tcW w:w="1642" w:type="dxa"/>
            <w:tcBorders>
              <w:bottom w:val="single" w:sz="4" w:space="0" w:color="auto"/>
            </w:tcBorders>
          </w:tcPr>
          <w:p w14:paraId="1064E17A" w14:textId="3FB98C2E" w:rsidR="00FD7E02" w:rsidRPr="00FD7E02" w:rsidRDefault="00FD7E02" w:rsidP="00FD7E02">
            <w:pPr>
              <w:jc w:val="right"/>
              <w:rPr>
                <w:b/>
              </w:rPr>
            </w:pPr>
            <w:r w:rsidRPr="006A479B">
              <w:t xml:space="preserve"> 411 </w:t>
            </w:r>
          </w:p>
        </w:tc>
        <w:tc>
          <w:tcPr>
            <w:tcW w:w="1821" w:type="dxa"/>
            <w:tcBorders>
              <w:bottom w:val="single" w:sz="4" w:space="0" w:color="auto"/>
            </w:tcBorders>
          </w:tcPr>
          <w:p w14:paraId="092AB74D" w14:textId="00212B64" w:rsidR="00FD7E02" w:rsidRPr="00FD7E02" w:rsidRDefault="00FD7E02" w:rsidP="00FD7E02">
            <w:pPr>
              <w:jc w:val="right"/>
              <w:rPr>
                <w:b/>
              </w:rPr>
            </w:pPr>
            <w:r w:rsidRPr="007B5EF0">
              <w:t xml:space="preserve"> (59)</w:t>
            </w:r>
          </w:p>
        </w:tc>
      </w:tr>
      <w:tr w:rsidR="00FD7E02" w14:paraId="1ADD9A73" w14:textId="77777777" w:rsidTr="005954B1">
        <w:tc>
          <w:tcPr>
            <w:tcW w:w="4957" w:type="dxa"/>
          </w:tcPr>
          <w:p w14:paraId="45ADB87F" w14:textId="2BCB448D" w:rsidR="00FD7E02" w:rsidRPr="00FD7E02" w:rsidRDefault="00FD7E02" w:rsidP="00FD7E02">
            <w:pPr>
              <w:rPr>
                <w:b/>
                <w:lang w:val="en-US" w:eastAsia="en-AU"/>
              </w:rPr>
            </w:pPr>
            <w:r w:rsidRPr="00FD7E02">
              <w:rPr>
                <w:b/>
              </w:rPr>
              <w:t xml:space="preserve">Total Expenses </w:t>
            </w:r>
          </w:p>
        </w:tc>
        <w:tc>
          <w:tcPr>
            <w:tcW w:w="1559" w:type="dxa"/>
          </w:tcPr>
          <w:p w14:paraId="348BB661" w14:textId="77777777" w:rsidR="00FD7E02" w:rsidRDefault="00FD7E02" w:rsidP="00FD7E02">
            <w:pPr>
              <w:rPr>
                <w:lang w:val="en-US" w:eastAsia="en-AU"/>
              </w:rPr>
            </w:pPr>
          </w:p>
        </w:tc>
        <w:tc>
          <w:tcPr>
            <w:tcW w:w="1276" w:type="dxa"/>
            <w:tcBorders>
              <w:top w:val="single" w:sz="4" w:space="0" w:color="auto"/>
              <w:bottom w:val="single" w:sz="4" w:space="0" w:color="auto"/>
            </w:tcBorders>
          </w:tcPr>
          <w:p w14:paraId="6EE083B2" w14:textId="4E14C1D0" w:rsidR="00FD7E02" w:rsidRPr="00FD7E02" w:rsidRDefault="00FD7E02" w:rsidP="00FD7E02">
            <w:pPr>
              <w:jc w:val="right"/>
              <w:rPr>
                <w:b/>
              </w:rPr>
            </w:pPr>
            <w:r w:rsidRPr="00916BB8">
              <w:t xml:space="preserve"> </w:t>
            </w:r>
            <w:r w:rsidRPr="00FD7E02">
              <w:rPr>
                <w:b/>
              </w:rPr>
              <w:t xml:space="preserve">25,062 </w:t>
            </w:r>
          </w:p>
        </w:tc>
        <w:tc>
          <w:tcPr>
            <w:tcW w:w="1275" w:type="dxa"/>
            <w:tcBorders>
              <w:top w:val="single" w:sz="4" w:space="0" w:color="auto"/>
              <w:bottom w:val="single" w:sz="4" w:space="0" w:color="auto"/>
            </w:tcBorders>
          </w:tcPr>
          <w:p w14:paraId="36294969" w14:textId="6808B510" w:rsidR="00FD7E02" w:rsidRPr="00FD7E02" w:rsidRDefault="00FD7E02" w:rsidP="00FD7E02">
            <w:pPr>
              <w:jc w:val="right"/>
              <w:rPr>
                <w:b/>
              </w:rPr>
            </w:pPr>
            <w:r w:rsidRPr="00FD7E02">
              <w:rPr>
                <w:b/>
              </w:rPr>
              <w:t xml:space="preserve"> 23,664 </w:t>
            </w:r>
          </w:p>
        </w:tc>
        <w:tc>
          <w:tcPr>
            <w:tcW w:w="1418" w:type="dxa"/>
            <w:tcBorders>
              <w:top w:val="single" w:sz="4" w:space="0" w:color="auto"/>
              <w:bottom w:val="single" w:sz="4" w:space="0" w:color="auto"/>
            </w:tcBorders>
          </w:tcPr>
          <w:p w14:paraId="68F223D3" w14:textId="1287C307" w:rsidR="00FD7E02" w:rsidRPr="00FD7E02" w:rsidRDefault="00FD7E02" w:rsidP="00FD7E02">
            <w:pPr>
              <w:jc w:val="right"/>
              <w:rPr>
                <w:b/>
              </w:rPr>
            </w:pPr>
            <w:r w:rsidRPr="00FD7E02">
              <w:rPr>
                <w:b/>
              </w:rPr>
              <w:t xml:space="preserve"> 22,291 </w:t>
            </w:r>
          </w:p>
        </w:tc>
        <w:tc>
          <w:tcPr>
            <w:tcW w:w="1642" w:type="dxa"/>
            <w:tcBorders>
              <w:top w:val="single" w:sz="4" w:space="0" w:color="auto"/>
              <w:bottom w:val="single" w:sz="4" w:space="0" w:color="auto"/>
            </w:tcBorders>
          </w:tcPr>
          <w:p w14:paraId="2C5537F6" w14:textId="4C43A797" w:rsidR="00FD7E02" w:rsidRPr="00FD7E02" w:rsidRDefault="00FD7E02" w:rsidP="00FD7E02">
            <w:pPr>
              <w:jc w:val="right"/>
              <w:rPr>
                <w:b/>
              </w:rPr>
            </w:pPr>
            <w:r w:rsidRPr="00FD7E02">
              <w:rPr>
                <w:b/>
              </w:rPr>
              <w:t xml:space="preserve"> 1,398 </w:t>
            </w:r>
          </w:p>
        </w:tc>
        <w:tc>
          <w:tcPr>
            <w:tcW w:w="1821" w:type="dxa"/>
            <w:tcBorders>
              <w:top w:val="single" w:sz="4" w:space="0" w:color="auto"/>
              <w:bottom w:val="single" w:sz="4" w:space="0" w:color="auto"/>
            </w:tcBorders>
          </w:tcPr>
          <w:p w14:paraId="5C5097D4" w14:textId="138A3927" w:rsidR="00FD7E02" w:rsidRPr="00FD7E02" w:rsidRDefault="00FD7E02" w:rsidP="00FD7E02">
            <w:pPr>
              <w:jc w:val="right"/>
              <w:rPr>
                <w:b/>
              </w:rPr>
            </w:pPr>
            <w:r w:rsidRPr="00FD7E02">
              <w:rPr>
                <w:b/>
              </w:rPr>
              <w:t xml:space="preserve"> 1,373 </w:t>
            </w:r>
          </w:p>
        </w:tc>
      </w:tr>
      <w:tr w:rsidR="005954B1" w14:paraId="7A6600C7" w14:textId="77777777" w:rsidTr="005954B1">
        <w:tc>
          <w:tcPr>
            <w:tcW w:w="4957" w:type="dxa"/>
          </w:tcPr>
          <w:p w14:paraId="442736C0" w14:textId="53112485" w:rsidR="005954B1" w:rsidRPr="00FD7E02" w:rsidRDefault="005954B1" w:rsidP="005954B1">
            <w:pPr>
              <w:rPr>
                <w:b/>
              </w:rPr>
            </w:pPr>
            <w:r w:rsidRPr="00AF78EB">
              <w:t>Profit/(Loss) before grants and subsidies from State Government</w:t>
            </w:r>
          </w:p>
        </w:tc>
        <w:tc>
          <w:tcPr>
            <w:tcW w:w="1559" w:type="dxa"/>
          </w:tcPr>
          <w:p w14:paraId="2F6C3FEA" w14:textId="77777777" w:rsidR="005954B1" w:rsidRDefault="005954B1" w:rsidP="005954B1">
            <w:pPr>
              <w:rPr>
                <w:lang w:val="en-US" w:eastAsia="en-AU"/>
              </w:rPr>
            </w:pPr>
          </w:p>
        </w:tc>
        <w:tc>
          <w:tcPr>
            <w:tcW w:w="1276" w:type="dxa"/>
            <w:tcBorders>
              <w:top w:val="single" w:sz="4" w:space="0" w:color="auto"/>
            </w:tcBorders>
          </w:tcPr>
          <w:p w14:paraId="66DCB784" w14:textId="42ADC095" w:rsidR="005954B1" w:rsidRPr="00916BB8" w:rsidRDefault="005954B1" w:rsidP="005954B1">
            <w:pPr>
              <w:jc w:val="right"/>
            </w:pPr>
            <w:r w:rsidRPr="006877DF">
              <w:t xml:space="preserve"> 110 </w:t>
            </w:r>
          </w:p>
        </w:tc>
        <w:tc>
          <w:tcPr>
            <w:tcW w:w="1275" w:type="dxa"/>
            <w:tcBorders>
              <w:top w:val="single" w:sz="4" w:space="0" w:color="auto"/>
            </w:tcBorders>
          </w:tcPr>
          <w:p w14:paraId="3C79360B" w14:textId="1EC1F277" w:rsidR="005954B1" w:rsidRPr="00FD7E02" w:rsidRDefault="005954B1" w:rsidP="005954B1">
            <w:pPr>
              <w:jc w:val="right"/>
              <w:rPr>
                <w:b/>
              </w:rPr>
            </w:pPr>
            <w:r w:rsidRPr="006877DF">
              <w:t xml:space="preserve"> (439)</w:t>
            </w:r>
          </w:p>
        </w:tc>
        <w:tc>
          <w:tcPr>
            <w:tcW w:w="1418" w:type="dxa"/>
            <w:tcBorders>
              <w:top w:val="single" w:sz="4" w:space="0" w:color="auto"/>
            </w:tcBorders>
          </w:tcPr>
          <w:p w14:paraId="111B1DD7" w14:textId="117F8D02" w:rsidR="005954B1" w:rsidRPr="00FD7E02" w:rsidRDefault="005954B1" w:rsidP="005954B1">
            <w:pPr>
              <w:jc w:val="right"/>
              <w:rPr>
                <w:b/>
              </w:rPr>
            </w:pPr>
            <w:r w:rsidRPr="006877DF">
              <w:t xml:space="preserve"> 4,487 </w:t>
            </w:r>
          </w:p>
        </w:tc>
        <w:tc>
          <w:tcPr>
            <w:tcW w:w="1642" w:type="dxa"/>
            <w:tcBorders>
              <w:top w:val="single" w:sz="4" w:space="0" w:color="auto"/>
            </w:tcBorders>
          </w:tcPr>
          <w:p w14:paraId="58546C6A" w14:textId="65514E08" w:rsidR="005954B1" w:rsidRPr="00FD7E02" w:rsidRDefault="005954B1" w:rsidP="005954B1">
            <w:pPr>
              <w:jc w:val="right"/>
              <w:rPr>
                <w:b/>
              </w:rPr>
            </w:pPr>
            <w:r w:rsidRPr="006877DF">
              <w:t xml:space="preserve"> 549 </w:t>
            </w:r>
          </w:p>
        </w:tc>
        <w:tc>
          <w:tcPr>
            <w:tcW w:w="1821" w:type="dxa"/>
            <w:tcBorders>
              <w:top w:val="single" w:sz="4" w:space="0" w:color="auto"/>
            </w:tcBorders>
          </w:tcPr>
          <w:p w14:paraId="39CFF7E6" w14:textId="7B2B6D9B" w:rsidR="005954B1" w:rsidRPr="00FD7E02" w:rsidRDefault="005954B1" w:rsidP="005954B1">
            <w:pPr>
              <w:jc w:val="right"/>
              <w:rPr>
                <w:b/>
              </w:rPr>
            </w:pPr>
            <w:r w:rsidRPr="006877DF">
              <w:t xml:space="preserve"> (4,926)</w:t>
            </w:r>
          </w:p>
        </w:tc>
      </w:tr>
      <w:tr w:rsidR="005954B1" w14:paraId="248B7B4D" w14:textId="77777777" w:rsidTr="005954B1">
        <w:tc>
          <w:tcPr>
            <w:tcW w:w="4957" w:type="dxa"/>
          </w:tcPr>
          <w:p w14:paraId="47A06596" w14:textId="53B2D137" w:rsidR="005954B1" w:rsidRPr="00FD7E02" w:rsidRDefault="005954B1" w:rsidP="005954B1">
            <w:pPr>
              <w:rPr>
                <w:b/>
              </w:rPr>
            </w:pPr>
            <w:r w:rsidRPr="00AF78EB">
              <w:t>Services received free of charge</w:t>
            </w:r>
          </w:p>
        </w:tc>
        <w:tc>
          <w:tcPr>
            <w:tcW w:w="1559" w:type="dxa"/>
          </w:tcPr>
          <w:p w14:paraId="6F65F8F7" w14:textId="77777777" w:rsidR="005954B1" w:rsidRDefault="005954B1" w:rsidP="005954B1">
            <w:pPr>
              <w:rPr>
                <w:lang w:val="en-US" w:eastAsia="en-AU"/>
              </w:rPr>
            </w:pPr>
          </w:p>
        </w:tc>
        <w:tc>
          <w:tcPr>
            <w:tcW w:w="1276" w:type="dxa"/>
            <w:tcBorders>
              <w:bottom w:val="single" w:sz="4" w:space="0" w:color="auto"/>
            </w:tcBorders>
          </w:tcPr>
          <w:p w14:paraId="360D14E4" w14:textId="4C18D84E" w:rsidR="005954B1" w:rsidRPr="00916BB8" w:rsidRDefault="005954B1" w:rsidP="005954B1">
            <w:pPr>
              <w:jc w:val="right"/>
            </w:pPr>
            <w:r w:rsidRPr="006877DF">
              <w:t xml:space="preserve"> 170 </w:t>
            </w:r>
          </w:p>
        </w:tc>
        <w:tc>
          <w:tcPr>
            <w:tcW w:w="1275" w:type="dxa"/>
            <w:tcBorders>
              <w:bottom w:val="single" w:sz="4" w:space="0" w:color="auto"/>
            </w:tcBorders>
          </w:tcPr>
          <w:p w14:paraId="2EE73DBB" w14:textId="702F120F" w:rsidR="005954B1" w:rsidRPr="00FD7E02" w:rsidRDefault="005954B1" w:rsidP="005954B1">
            <w:pPr>
              <w:jc w:val="right"/>
              <w:rPr>
                <w:b/>
              </w:rPr>
            </w:pPr>
            <w:r w:rsidRPr="006877DF">
              <w:t xml:space="preserve"> 84 </w:t>
            </w:r>
          </w:p>
        </w:tc>
        <w:tc>
          <w:tcPr>
            <w:tcW w:w="1418" w:type="dxa"/>
            <w:tcBorders>
              <w:bottom w:val="single" w:sz="4" w:space="0" w:color="auto"/>
            </w:tcBorders>
          </w:tcPr>
          <w:p w14:paraId="7837ECAC" w14:textId="58D4AE9A" w:rsidR="005954B1" w:rsidRPr="00FD7E02" w:rsidRDefault="005954B1" w:rsidP="005954B1">
            <w:pPr>
              <w:jc w:val="right"/>
              <w:rPr>
                <w:b/>
              </w:rPr>
            </w:pPr>
            <w:r w:rsidRPr="006877DF">
              <w:t xml:space="preserve"> 114 </w:t>
            </w:r>
          </w:p>
        </w:tc>
        <w:tc>
          <w:tcPr>
            <w:tcW w:w="1642" w:type="dxa"/>
            <w:tcBorders>
              <w:bottom w:val="single" w:sz="4" w:space="0" w:color="auto"/>
            </w:tcBorders>
          </w:tcPr>
          <w:p w14:paraId="147F761A" w14:textId="723B2C2C" w:rsidR="005954B1" w:rsidRPr="00FD7E02" w:rsidRDefault="005954B1" w:rsidP="005954B1">
            <w:pPr>
              <w:jc w:val="right"/>
              <w:rPr>
                <w:b/>
              </w:rPr>
            </w:pPr>
            <w:r w:rsidRPr="006877DF">
              <w:t xml:space="preserve"> 86 </w:t>
            </w:r>
          </w:p>
        </w:tc>
        <w:tc>
          <w:tcPr>
            <w:tcW w:w="1821" w:type="dxa"/>
            <w:tcBorders>
              <w:bottom w:val="single" w:sz="4" w:space="0" w:color="auto"/>
            </w:tcBorders>
          </w:tcPr>
          <w:p w14:paraId="78E28168" w14:textId="631A9934" w:rsidR="005954B1" w:rsidRPr="00FD7E02" w:rsidRDefault="005954B1" w:rsidP="005954B1">
            <w:pPr>
              <w:jc w:val="right"/>
              <w:rPr>
                <w:b/>
              </w:rPr>
            </w:pPr>
            <w:r w:rsidRPr="006877DF">
              <w:t xml:space="preserve"> (30)</w:t>
            </w:r>
          </w:p>
        </w:tc>
      </w:tr>
      <w:tr w:rsidR="005954B1" w14:paraId="5882D549" w14:textId="77777777" w:rsidTr="005954B1">
        <w:tc>
          <w:tcPr>
            <w:tcW w:w="4957" w:type="dxa"/>
          </w:tcPr>
          <w:p w14:paraId="79E9F4FC" w14:textId="0EEC6771" w:rsidR="005954B1" w:rsidRPr="005954B1" w:rsidRDefault="005954B1" w:rsidP="005954B1">
            <w:pPr>
              <w:rPr>
                <w:b/>
              </w:rPr>
            </w:pPr>
            <w:r w:rsidRPr="005954B1">
              <w:rPr>
                <w:b/>
              </w:rPr>
              <w:t>Profit/(Loss) for the period</w:t>
            </w:r>
          </w:p>
        </w:tc>
        <w:tc>
          <w:tcPr>
            <w:tcW w:w="1559" w:type="dxa"/>
          </w:tcPr>
          <w:p w14:paraId="1F685F6F" w14:textId="77777777" w:rsidR="005954B1" w:rsidRDefault="005954B1" w:rsidP="005954B1">
            <w:pPr>
              <w:rPr>
                <w:lang w:val="en-US" w:eastAsia="en-AU"/>
              </w:rPr>
            </w:pPr>
          </w:p>
        </w:tc>
        <w:tc>
          <w:tcPr>
            <w:tcW w:w="1276" w:type="dxa"/>
            <w:tcBorders>
              <w:top w:val="single" w:sz="4" w:space="0" w:color="auto"/>
              <w:bottom w:val="double" w:sz="4" w:space="0" w:color="auto"/>
            </w:tcBorders>
          </w:tcPr>
          <w:p w14:paraId="0221F0C8" w14:textId="486DF070" w:rsidR="005954B1" w:rsidRPr="005954B1" w:rsidRDefault="005954B1" w:rsidP="005954B1">
            <w:pPr>
              <w:jc w:val="right"/>
              <w:rPr>
                <w:b/>
              </w:rPr>
            </w:pPr>
            <w:r w:rsidRPr="005954B1">
              <w:rPr>
                <w:b/>
              </w:rPr>
              <w:t xml:space="preserve"> 280 </w:t>
            </w:r>
          </w:p>
        </w:tc>
        <w:tc>
          <w:tcPr>
            <w:tcW w:w="1275" w:type="dxa"/>
            <w:tcBorders>
              <w:top w:val="single" w:sz="4" w:space="0" w:color="auto"/>
              <w:bottom w:val="double" w:sz="4" w:space="0" w:color="auto"/>
            </w:tcBorders>
          </w:tcPr>
          <w:p w14:paraId="6B1ED8C2" w14:textId="3CADCF61" w:rsidR="005954B1" w:rsidRPr="005954B1" w:rsidRDefault="005954B1" w:rsidP="005954B1">
            <w:pPr>
              <w:jc w:val="right"/>
              <w:rPr>
                <w:b/>
              </w:rPr>
            </w:pPr>
            <w:r w:rsidRPr="005954B1">
              <w:rPr>
                <w:b/>
              </w:rPr>
              <w:t xml:space="preserve"> (355)</w:t>
            </w:r>
          </w:p>
        </w:tc>
        <w:tc>
          <w:tcPr>
            <w:tcW w:w="1418" w:type="dxa"/>
            <w:tcBorders>
              <w:top w:val="single" w:sz="4" w:space="0" w:color="auto"/>
              <w:bottom w:val="double" w:sz="4" w:space="0" w:color="auto"/>
            </w:tcBorders>
          </w:tcPr>
          <w:p w14:paraId="196E7BD9" w14:textId="72F99C25" w:rsidR="005954B1" w:rsidRPr="005954B1" w:rsidRDefault="005954B1" w:rsidP="005954B1">
            <w:pPr>
              <w:jc w:val="right"/>
              <w:rPr>
                <w:b/>
              </w:rPr>
            </w:pPr>
            <w:r w:rsidRPr="005954B1">
              <w:rPr>
                <w:b/>
              </w:rPr>
              <w:t xml:space="preserve"> 4,601 </w:t>
            </w:r>
          </w:p>
        </w:tc>
        <w:tc>
          <w:tcPr>
            <w:tcW w:w="1642" w:type="dxa"/>
            <w:tcBorders>
              <w:top w:val="single" w:sz="4" w:space="0" w:color="auto"/>
              <w:bottom w:val="double" w:sz="4" w:space="0" w:color="auto"/>
            </w:tcBorders>
          </w:tcPr>
          <w:p w14:paraId="3E91F77E" w14:textId="6CE82476" w:rsidR="005954B1" w:rsidRPr="005954B1" w:rsidRDefault="005954B1" w:rsidP="005954B1">
            <w:pPr>
              <w:jc w:val="right"/>
              <w:rPr>
                <w:b/>
              </w:rPr>
            </w:pPr>
            <w:r w:rsidRPr="005954B1">
              <w:rPr>
                <w:b/>
              </w:rPr>
              <w:t xml:space="preserve"> 635 </w:t>
            </w:r>
          </w:p>
        </w:tc>
        <w:tc>
          <w:tcPr>
            <w:tcW w:w="1821" w:type="dxa"/>
            <w:tcBorders>
              <w:top w:val="single" w:sz="4" w:space="0" w:color="auto"/>
              <w:bottom w:val="double" w:sz="4" w:space="0" w:color="auto"/>
            </w:tcBorders>
          </w:tcPr>
          <w:p w14:paraId="00D07771" w14:textId="20CBA7CC" w:rsidR="005954B1" w:rsidRPr="005954B1" w:rsidRDefault="005954B1" w:rsidP="005954B1">
            <w:pPr>
              <w:jc w:val="right"/>
              <w:rPr>
                <w:b/>
              </w:rPr>
            </w:pPr>
            <w:r w:rsidRPr="005954B1">
              <w:rPr>
                <w:b/>
              </w:rPr>
              <w:t xml:space="preserve"> (4,956)</w:t>
            </w:r>
          </w:p>
        </w:tc>
      </w:tr>
      <w:tr w:rsidR="005954B1" w14:paraId="63BFB98D" w14:textId="77777777" w:rsidTr="005954B1">
        <w:tc>
          <w:tcPr>
            <w:tcW w:w="4957" w:type="dxa"/>
          </w:tcPr>
          <w:p w14:paraId="662C5FE9" w14:textId="7D14D9FD" w:rsidR="005954B1" w:rsidRPr="005954B1" w:rsidRDefault="005954B1" w:rsidP="005954B1">
            <w:pPr>
              <w:rPr>
                <w:b/>
              </w:rPr>
            </w:pPr>
            <w:r w:rsidRPr="005954B1">
              <w:rPr>
                <w:b/>
              </w:rPr>
              <w:t>OTHER COMPREHENSIVE INCOME</w:t>
            </w:r>
          </w:p>
        </w:tc>
        <w:tc>
          <w:tcPr>
            <w:tcW w:w="1559" w:type="dxa"/>
          </w:tcPr>
          <w:p w14:paraId="4F6859EA" w14:textId="77777777" w:rsidR="005954B1" w:rsidRDefault="005954B1" w:rsidP="005954B1">
            <w:pPr>
              <w:rPr>
                <w:lang w:val="en-US" w:eastAsia="en-AU"/>
              </w:rPr>
            </w:pPr>
          </w:p>
        </w:tc>
        <w:tc>
          <w:tcPr>
            <w:tcW w:w="1276" w:type="dxa"/>
            <w:tcBorders>
              <w:top w:val="double" w:sz="4" w:space="0" w:color="auto"/>
            </w:tcBorders>
          </w:tcPr>
          <w:p w14:paraId="714E51E7" w14:textId="77777777" w:rsidR="005954B1" w:rsidRPr="005954B1" w:rsidRDefault="005954B1" w:rsidP="005954B1">
            <w:pPr>
              <w:jc w:val="right"/>
              <w:rPr>
                <w:b/>
              </w:rPr>
            </w:pPr>
          </w:p>
        </w:tc>
        <w:tc>
          <w:tcPr>
            <w:tcW w:w="1275" w:type="dxa"/>
            <w:tcBorders>
              <w:top w:val="double" w:sz="4" w:space="0" w:color="auto"/>
            </w:tcBorders>
          </w:tcPr>
          <w:p w14:paraId="64A8FA56" w14:textId="77777777" w:rsidR="005954B1" w:rsidRPr="005954B1" w:rsidRDefault="005954B1" w:rsidP="005954B1">
            <w:pPr>
              <w:jc w:val="right"/>
              <w:rPr>
                <w:b/>
              </w:rPr>
            </w:pPr>
          </w:p>
        </w:tc>
        <w:tc>
          <w:tcPr>
            <w:tcW w:w="1418" w:type="dxa"/>
            <w:tcBorders>
              <w:top w:val="double" w:sz="4" w:space="0" w:color="auto"/>
            </w:tcBorders>
          </w:tcPr>
          <w:p w14:paraId="419892FA" w14:textId="77777777" w:rsidR="005954B1" w:rsidRPr="005954B1" w:rsidRDefault="005954B1" w:rsidP="005954B1">
            <w:pPr>
              <w:jc w:val="right"/>
              <w:rPr>
                <w:b/>
              </w:rPr>
            </w:pPr>
          </w:p>
        </w:tc>
        <w:tc>
          <w:tcPr>
            <w:tcW w:w="1642" w:type="dxa"/>
            <w:tcBorders>
              <w:top w:val="double" w:sz="4" w:space="0" w:color="auto"/>
            </w:tcBorders>
          </w:tcPr>
          <w:p w14:paraId="154B6394" w14:textId="77777777" w:rsidR="005954B1" w:rsidRPr="005954B1" w:rsidRDefault="005954B1" w:rsidP="005954B1">
            <w:pPr>
              <w:jc w:val="right"/>
              <w:rPr>
                <w:b/>
              </w:rPr>
            </w:pPr>
          </w:p>
        </w:tc>
        <w:tc>
          <w:tcPr>
            <w:tcW w:w="1821" w:type="dxa"/>
            <w:tcBorders>
              <w:top w:val="double" w:sz="4" w:space="0" w:color="auto"/>
            </w:tcBorders>
          </w:tcPr>
          <w:p w14:paraId="0837E7AE" w14:textId="77777777" w:rsidR="005954B1" w:rsidRPr="005954B1" w:rsidRDefault="005954B1" w:rsidP="005954B1">
            <w:pPr>
              <w:jc w:val="right"/>
              <w:rPr>
                <w:b/>
              </w:rPr>
            </w:pPr>
          </w:p>
        </w:tc>
      </w:tr>
      <w:tr w:rsidR="005954B1" w14:paraId="477FAD8E" w14:textId="77777777" w:rsidTr="005954B1">
        <w:tc>
          <w:tcPr>
            <w:tcW w:w="4957" w:type="dxa"/>
          </w:tcPr>
          <w:p w14:paraId="6A16AEC6" w14:textId="23FBBDEA" w:rsidR="005954B1" w:rsidRPr="005954B1" w:rsidRDefault="005954B1" w:rsidP="005954B1">
            <w:pPr>
              <w:rPr>
                <w:b/>
              </w:rPr>
            </w:pPr>
            <w:r w:rsidRPr="005954B1">
              <w:rPr>
                <w:b/>
              </w:rPr>
              <w:t>Items not reclassified subsequently to profit or loss</w:t>
            </w:r>
          </w:p>
        </w:tc>
        <w:tc>
          <w:tcPr>
            <w:tcW w:w="1559" w:type="dxa"/>
          </w:tcPr>
          <w:p w14:paraId="033BC5BE" w14:textId="77777777" w:rsidR="005954B1" w:rsidRDefault="005954B1" w:rsidP="005954B1">
            <w:pPr>
              <w:rPr>
                <w:lang w:val="en-US" w:eastAsia="en-AU"/>
              </w:rPr>
            </w:pPr>
          </w:p>
        </w:tc>
        <w:tc>
          <w:tcPr>
            <w:tcW w:w="1276" w:type="dxa"/>
          </w:tcPr>
          <w:p w14:paraId="271DAC0B" w14:textId="77777777" w:rsidR="005954B1" w:rsidRPr="005954B1" w:rsidRDefault="005954B1" w:rsidP="005954B1">
            <w:pPr>
              <w:jc w:val="right"/>
              <w:rPr>
                <w:b/>
              </w:rPr>
            </w:pPr>
          </w:p>
        </w:tc>
        <w:tc>
          <w:tcPr>
            <w:tcW w:w="1275" w:type="dxa"/>
          </w:tcPr>
          <w:p w14:paraId="385DE74F" w14:textId="77777777" w:rsidR="005954B1" w:rsidRPr="005954B1" w:rsidRDefault="005954B1" w:rsidP="005954B1">
            <w:pPr>
              <w:jc w:val="right"/>
              <w:rPr>
                <w:b/>
              </w:rPr>
            </w:pPr>
          </w:p>
        </w:tc>
        <w:tc>
          <w:tcPr>
            <w:tcW w:w="1418" w:type="dxa"/>
          </w:tcPr>
          <w:p w14:paraId="057F8CDB" w14:textId="77777777" w:rsidR="005954B1" w:rsidRPr="005954B1" w:rsidRDefault="005954B1" w:rsidP="005954B1">
            <w:pPr>
              <w:jc w:val="right"/>
              <w:rPr>
                <w:b/>
              </w:rPr>
            </w:pPr>
          </w:p>
        </w:tc>
        <w:tc>
          <w:tcPr>
            <w:tcW w:w="1642" w:type="dxa"/>
          </w:tcPr>
          <w:p w14:paraId="094B6828" w14:textId="77777777" w:rsidR="005954B1" w:rsidRPr="005954B1" w:rsidRDefault="005954B1" w:rsidP="005954B1">
            <w:pPr>
              <w:jc w:val="right"/>
              <w:rPr>
                <w:b/>
              </w:rPr>
            </w:pPr>
          </w:p>
        </w:tc>
        <w:tc>
          <w:tcPr>
            <w:tcW w:w="1821" w:type="dxa"/>
          </w:tcPr>
          <w:p w14:paraId="2CE77BA8" w14:textId="77777777" w:rsidR="005954B1" w:rsidRPr="005954B1" w:rsidRDefault="005954B1" w:rsidP="005954B1">
            <w:pPr>
              <w:jc w:val="right"/>
              <w:rPr>
                <w:b/>
              </w:rPr>
            </w:pPr>
          </w:p>
        </w:tc>
      </w:tr>
      <w:tr w:rsidR="005954B1" w14:paraId="4E04A9A3" w14:textId="77777777" w:rsidTr="005954B1">
        <w:tc>
          <w:tcPr>
            <w:tcW w:w="4957" w:type="dxa"/>
          </w:tcPr>
          <w:p w14:paraId="5BFCD1AF" w14:textId="0BB18F5B" w:rsidR="005954B1" w:rsidRPr="005954B1" w:rsidRDefault="005954B1" w:rsidP="005954B1">
            <w:pPr>
              <w:rPr>
                <w:b/>
              </w:rPr>
            </w:pPr>
            <w:r w:rsidRPr="00847A6B">
              <w:t>Remeasurements of defined benefit liability</w:t>
            </w:r>
          </w:p>
        </w:tc>
        <w:tc>
          <w:tcPr>
            <w:tcW w:w="1559" w:type="dxa"/>
          </w:tcPr>
          <w:p w14:paraId="0D04FC12" w14:textId="50B7D7B8" w:rsidR="005954B1" w:rsidRPr="005954B1" w:rsidRDefault="005954B1" w:rsidP="005954B1">
            <w:pPr>
              <w:jc w:val="center"/>
              <w:rPr>
                <w:b/>
                <w:lang w:val="en-US" w:eastAsia="en-AU"/>
              </w:rPr>
            </w:pPr>
            <w:r>
              <w:rPr>
                <w:b/>
                <w:lang w:val="en-US" w:eastAsia="en-AU"/>
              </w:rPr>
              <w:t>B</w:t>
            </w:r>
          </w:p>
        </w:tc>
        <w:tc>
          <w:tcPr>
            <w:tcW w:w="1276" w:type="dxa"/>
          </w:tcPr>
          <w:p w14:paraId="1346FBAF" w14:textId="437FCA11" w:rsidR="005954B1" w:rsidRPr="005954B1" w:rsidRDefault="005954B1" w:rsidP="005954B1">
            <w:pPr>
              <w:jc w:val="right"/>
              <w:rPr>
                <w:b/>
              </w:rPr>
            </w:pPr>
            <w:r w:rsidRPr="0081773A">
              <w:t xml:space="preserve"> -   </w:t>
            </w:r>
          </w:p>
        </w:tc>
        <w:tc>
          <w:tcPr>
            <w:tcW w:w="1275" w:type="dxa"/>
          </w:tcPr>
          <w:p w14:paraId="25322472" w14:textId="1877B85C" w:rsidR="005954B1" w:rsidRPr="005954B1" w:rsidRDefault="005954B1" w:rsidP="005954B1">
            <w:pPr>
              <w:jc w:val="right"/>
              <w:rPr>
                <w:b/>
              </w:rPr>
            </w:pPr>
            <w:r w:rsidRPr="0081773A">
              <w:t xml:space="preserve"> (213)</w:t>
            </w:r>
          </w:p>
        </w:tc>
        <w:tc>
          <w:tcPr>
            <w:tcW w:w="1418" w:type="dxa"/>
          </w:tcPr>
          <w:p w14:paraId="0FACE1EA" w14:textId="43E84E27" w:rsidR="005954B1" w:rsidRPr="005954B1" w:rsidRDefault="005954B1" w:rsidP="005954B1">
            <w:pPr>
              <w:jc w:val="right"/>
              <w:rPr>
                <w:b/>
              </w:rPr>
            </w:pPr>
            <w:r w:rsidRPr="0081773A">
              <w:t xml:space="preserve"> 749 </w:t>
            </w:r>
          </w:p>
        </w:tc>
        <w:tc>
          <w:tcPr>
            <w:tcW w:w="1642" w:type="dxa"/>
          </w:tcPr>
          <w:p w14:paraId="76637FD5" w14:textId="420B18DE" w:rsidR="005954B1" w:rsidRPr="005954B1" w:rsidRDefault="005954B1" w:rsidP="005954B1">
            <w:pPr>
              <w:jc w:val="right"/>
              <w:rPr>
                <w:b/>
              </w:rPr>
            </w:pPr>
            <w:r w:rsidRPr="0081773A">
              <w:t xml:space="preserve"> 213 </w:t>
            </w:r>
          </w:p>
        </w:tc>
        <w:tc>
          <w:tcPr>
            <w:tcW w:w="1821" w:type="dxa"/>
          </w:tcPr>
          <w:p w14:paraId="622C0690" w14:textId="3EC5C94D" w:rsidR="005954B1" w:rsidRPr="005954B1" w:rsidRDefault="005954B1" w:rsidP="005954B1">
            <w:pPr>
              <w:jc w:val="right"/>
              <w:rPr>
                <w:b/>
              </w:rPr>
            </w:pPr>
            <w:r w:rsidRPr="0081773A">
              <w:t xml:space="preserve"> (962)</w:t>
            </w:r>
          </w:p>
        </w:tc>
      </w:tr>
      <w:tr w:rsidR="005954B1" w14:paraId="1281F610" w14:textId="77777777" w:rsidTr="005954B1">
        <w:tc>
          <w:tcPr>
            <w:tcW w:w="4957" w:type="dxa"/>
          </w:tcPr>
          <w:p w14:paraId="4C180E71" w14:textId="35D54544" w:rsidR="005954B1" w:rsidRPr="005954B1" w:rsidRDefault="005954B1" w:rsidP="005954B1">
            <w:pPr>
              <w:rPr>
                <w:b/>
              </w:rPr>
            </w:pPr>
            <w:r w:rsidRPr="00847A6B">
              <w:t>Changes in asset revaluation surplus</w:t>
            </w:r>
          </w:p>
        </w:tc>
        <w:tc>
          <w:tcPr>
            <w:tcW w:w="1559" w:type="dxa"/>
          </w:tcPr>
          <w:p w14:paraId="51EEF30B" w14:textId="77777777" w:rsidR="005954B1" w:rsidRDefault="005954B1" w:rsidP="005954B1">
            <w:pPr>
              <w:rPr>
                <w:lang w:val="en-US" w:eastAsia="en-AU"/>
              </w:rPr>
            </w:pPr>
          </w:p>
        </w:tc>
        <w:tc>
          <w:tcPr>
            <w:tcW w:w="1276" w:type="dxa"/>
          </w:tcPr>
          <w:p w14:paraId="56EEDFB6" w14:textId="44C861D8" w:rsidR="005954B1" w:rsidRPr="005954B1" w:rsidRDefault="005954B1" w:rsidP="005954B1">
            <w:pPr>
              <w:jc w:val="right"/>
              <w:rPr>
                <w:b/>
              </w:rPr>
            </w:pPr>
            <w:r w:rsidRPr="0081773A">
              <w:t xml:space="preserve"> -   </w:t>
            </w:r>
          </w:p>
        </w:tc>
        <w:tc>
          <w:tcPr>
            <w:tcW w:w="1275" w:type="dxa"/>
            <w:tcBorders>
              <w:bottom w:val="single" w:sz="4" w:space="0" w:color="auto"/>
            </w:tcBorders>
          </w:tcPr>
          <w:p w14:paraId="2509267B" w14:textId="565E7143" w:rsidR="005954B1" w:rsidRPr="005954B1" w:rsidRDefault="005954B1" w:rsidP="005954B1">
            <w:pPr>
              <w:jc w:val="right"/>
              <w:rPr>
                <w:b/>
              </w:rPr>
            </w:pPr>
            <w:r w:rsidRPr="0081773A">
              <w:t xml:space="preserve"> 104 </w:t>
            </w:r>
          </w:p>
        </w:tc>
        <w:tc>
          <w:tcPr>
            <w:tcW w:w="1418" w:type="dxa"/>
            <w:tcBorders>
              <w:bottom w:val="single" w:sz="4" w:space="0" w:color="auto"/>
            </w:tcBorders>
          </w:tcPr>
          <w:p w14:paraId="6B15FC98" w14:textId="002BF05C" w:rsidR="005954B1" w:rsidRPr="005954B1" w:rsidRDefault="005954B1" w:rsidP="005954B1">
            <w:pPr>
              <w:jc w:val="right"/>
              <w:rPr>
                <w:b/>
              </w:rPr>
            </w:pPr>
            <w:r w:rsidRPr="0081773A">
              <w:t xml:space="preserve"> (1,827)</w:t>
            </w:r>
          </w:p>
        </w:tc>
        <w:tc>
          <w:tcPr>
            <w:tcW w:w="1642" w:type="dxa"/>
            <w:tcBorders>
              <w:bottom w:val="single" w:sz="4" w:space="0" w:color="auto"/>
            </w:tcBorders>
          </w:tcPr>
          <w:p w14:paraId="45885119" w14:textId="30B0A4CE" w:rsidR="005954B1" w:rsidRPr="005954B1" w:rsidRDefault="005954B1" w:rsidP="005954B1">
            <w:pPr>
              <w:jc w:val="right"/>
              <w:rPr>
                <w:b/>
              </w:rPr>
            </w:pPr>
            <w:r w:rsidRPr="0081773A">
              <w:t xml:space="preserve"> (104)</w:t>
            </w:r>
          </w:p>
        </w:tc>
        <w:tc>
          <w:tcPr>
            <w:tcW w:w="1821" w:type="dxa"/>
            <w:tcBorders>
              <w:bottom w:val="single" w:sz="4" w:space="0" w:color="auto"/>
            </w:tcBorders>
          </w:tcPr>
          <w:p w14:paraId="199C0BEB" w14:textId="03AF5333" w:rsidR="005954B1" w:rsidRPr="005954B1" w:rsidRDefault="005954B1" w:rsidP="005954B1">
            <w:pPr>
              <w:jc w:val="right"/>
              <w:rPr>
                <w:b/>
              </w:rPr>
            </w:pPr>
            <w:r w:rsidRPr="0081773A">
              <w:t xml:space="preserve"> 1,931 </w:t>
            </w:r>
          </w:p>
        </w:tc>
      </w:tr>
      <w:tr w:rsidR="005954B1" w14:paraId="02B15680" w14:textId="77777777" w:rsidTr="005954B1">
        <w:tc>
          <w:tcPr>
            <w:tcW w:w="4957" w:type="dxa"/>
          </w:tcPr>
          <w:p w14:paraId="45A53EF1" w14:textId="51CF05D0" w:rsidR="005954B1" w:rsidRPr="005954B1" w:rsidRDefault="005954B1" w:rsidP="005954B1">
            <w:pPr>
              <w:rPr>
                <w:b/>
              </w:rPr>
            </w:pPr>
            <w:r w:rsidRPr="00847A6B">
              <w:t>Total other comprehensive income</w:t>
            </w:r>
          </w:p>
        </w:tc>
        <w:tc>
          <w:tcPr>
            <w:tcW w:w="1559" w:type="dxa"/>
          </w:tcPr>
          <w:p w14:paraId="6F6C8D46" w14:textId="77777777" w:rsidR="005954B1" w:rsidRDefault="005954B1" w:rsidP="005954B1">
            <w:pPr>
              <w:rPr>
                <w:lang w:val="en-US" w:eastAsia="en-AU"/>
              </w:rPr>
            </w:pPr>
          </w:p>
        </w:tc>
        <w:tc>
          <w:tcPr>
            <w:tcW w:w="1276" w:type="dxa"/>
          </w:tcPr>
          <w:p w14:paraId="32749B96" w14:textId="78177DA7" w:rsidR="005954B1" w:rsidRPr="005954B1" w:rsidRDefault="005954B1" w:rsidP="005954B1">
            <w:pPr>
              <w:jc w:val="right"/>
              <w:rPr>
                <w:b/>
              </w:rPr>
            </w:pPr>
            <w:r w:rsidRPr="0081773A">
              <w:t xml:space="preserve"> -   </w:t>
            </w:r>
          </w:p>
        </w:tc>
        <w:tc>
          <w:tcPr>
            <w:tcW w:w="1275" w:type="dxa"/>
            <w:tcBorders>
              <w:top w:val="single" w:sz="4" w:space="0" w:color="auto"/>
            </w:tcBorders>
          </w:tcPr>
          <w:p w14:paraId="3E81855C" w14:textId="383C5D5D" w:rsidR="005954B1" w:rsidRPr="005954B1" w:rsidRDefault="005954B1" w:rsidP="005954B1">
            <w:pPr>
              <w:jc w:val="right"/>
              <w:rPr>
                <w:b/>
              </w:rPr>
            </w:pPr>
            <w:r w:rsidRPr="0081773A">
              <w:t xml:space="preserve"> (109)</w:t>
            </w:r>
          </w:p>
        </w:tc>
        <w:tc>
          <w:tcPr>
            <w:tcW w:w="1418" w:type="dxa"/>
            <w:tcBorders>
              <w:top w:val="single" w:sz="4" w:space="0" w:color="auto"/>
            </w:tcBorders>
          </w:tcPr>
          <w:p w14:paraId="09E5F949" w14:textId="7ED68FA0" w:rsidR="005954B1" w:rsidRPr="005954B1" w:rsidRDefault="005954B1" w:rsidP="005954B1">
            <w:pPr>
              <w:jc w:val="right"/>
              <w:rPr>
                <w:b/>
              </w:rPr>
            </w:pPr>
            <w:r w:rsidRPr="0081773A">
              <w:t xml:space="preserve"> (1,078)</w:t>
            </w:r>
          </w:p>
        </w:tc>
        <w:tc>
          <w:tcPr>
            <w:tcW w:w="1642" w:type="dxa"/>
            <w:tcBorders>
              <w:top w:val="single" w:sz="4" w:space="0" w:color="auto"/>
            </w:tcBorders>
          </w:tcPr>
          <w:p w14:paraId="56991759" w14:textId="0850DAF9" w:rsidR="005954B1" w:rsidRPr="005954B1" w:rsidRDefault="005954B1" w:rsidP="005954B1">
            <w:pPr>
              <w:jc w:val="right"/>
              <w:rPr>
                <w:b/>
              </w:rPr>
            </w:pPr>
            <w:r w:rsidRPr="0081773A">
              <w:t xml:space="preserve"> 109 </w:t>
            </w:r>
          </w:p>
        </w:tc>
        <w:tc>
          <w:tcPr>
            <w:tcW w:w="1821" w:type="dxa"/>
            <w:tcBorders>
              <w:top w:val="single" w:sz="4" w:space="0" w:color="auto"/>
            </w:tcBorders>
          </w:tcPr>
          <w:p w14:paraId="4A218327" w14:textId="20ED4106" w:rsidR="005954B1" w:rsidRPr="005954B1" w:rsidRDefault="005954B1" w:rsidP="005954B1">
            <w:pPr>
              <w:jc w:val="right"/>
              <w:rPr>
                <w:b/>
              </w:rPr>
            </w:pPr>
            <w:r w:rsidRPr="0081773A">
              <w:t xml:space="preserve"> 969 </w:t>
            </w:r>
          </w:p>
        </w:tc>
      </w:tr>
      <w:tr w:rsidR="005954B1" w14:paraId="40E20119" w14:textId="77777777" w:rsidTr="005954B1">
        <w:tc>
          <w:tcPr>
            <w:tcW w:w="4957" w:type="dxa"/>
          </w:tcPr>
          <w:p w14:paraId="0695546F" w14:textId="0E1EDAAD" w:rsidR="005954B1" w:rsidRPr="005954B1" w:rsidRDefault="005954B1" w:rsidP="005954B1">
            <w:pPr>
              <w:rPr>
                <w:b/>
              </w:rPr>
            </w:pPr>
            <w:r w:rsidRPr="005954B1">
              <w:rPr>
                <w:b/>
              </w:rPr>
              <w:t>TOTAL COMPREHENSIVE INCOME FOR THE PERIOD</w:t>
            </w:r>
          </w:p>
        </w:tc>
        <w:tc>
          <w:tcPr>
            <w:tcW w:w="1559" w:type="dxa"/>
          </w:tcPr>
          <w:p w14:paraId="29D4EB2F" w14:textId="77777777" w:rsidR="005954B1" w:rsidRDefault="005954B1" w:rsidP="005954B1">
            <w:pPr>
              <w:rPr>
                <w:lang w:val="en-US" w:eastAsia="en-AU"/>
              </w:rPr>
            </w:pPr>
          </w:p>
        </w:tc>
        <w:tc>
          <w:tcPr>
            <w:tcW w:w="1276" w:type="dxa"/>
            <w:tcBorders>
              <w:top w:val="single" w:sz="4" w:space="0" w:color="auto"/>
              <w:bottom w:val="double" w:sz="4" w:space="0" w:color="auto"/>
            </w:tcBorders>
          </w:tcPr>
          <w:p w14:paraId="684F4124" w14:textId="48E4505B" w:rsidR="005954B1" w:rsidRPr="005954B1" w:rsidRDefault="005954B1" w:rsidP="005954B1">
            <w:pPr>
              <w:jc w:val="right"/>
              <w:rPr>
                <w:b/>
              </w:rPr>
            </w:pPr>
            <w:r w:rsidRPr="005954B1">
              <w:rPr>
                <w:b/>
              </w:rPr>
              <w:t xml:space="preserve"> 280 </w:t>
            </w:r>
          </w:p>
        </w:tc>
        <w:tc>
          <w:tcPr>
            <w:tcW w:w="1275" w:type="dxa"/>
            <w:tcBorders>
              <w:top w:val="single" w:sz="4" w:space="0" w:color="auto"/>
              <w:bottom w:val="double" w:sz="4" w:space="0" w:color="auto"/>
            </w:tcBorders>
          </w:tcPr>
          <w:p w14:paraId="4382DE77" w14:textId="79EB9057" w:rsidR="005954B1" w:rsidRPr="005954B1" w:rsidRDefault="005954B1" w:rsidP="005954B1">
            <w:pPr>
              <w:jc w:val="right"/>
              <w:rPr>
                <w:b/>
              </w:rPr>
            </w:pPr>
            <w:r w:rsidRPr="005954B1">
              <w:rPr>
                <w:b/>
              </w:rPr>
              <w:t xml:space="preserve"> (464)</w:t>
            </w:r>
          </w:p>
        </w:tc>
        <w:tc>
          <w:tcPr>
            <w:tcW w:w="1418" w:type="dxa"/>
            <w:tcBorders>
              <w:top w:val="single" w:sz="4" w:space="0" w:color="auto"/>
              <w:bottom w:val="double" w:sz="4" w:space="0" w:color="auto"/>
            </w:tcBorders>
          </w:tcPr>
          <w:p w14:paraId="0E9D53A6" w14:textId="5D0D5F47" w:rsidR="005954B1" w:rsidRPr="005954B1" w:rsidRDefault="005954B1" w:rsidP="005954B1">
            <w:pPr>
              <w:jc w:val="right"/>
              <w:rPr>
                <w:b/>
              </w:rPr>
            </w:pPr>
            <w:r w:rsidRPr="005954B1">
              <w:rPr>
                <w:b/>
              </w:rPr>
              <w:t xml:space="preserve"> 3,523 </w:t>
            </w:r>
          </w:p>
        </w:tc>
        <w:tc>
          <w:tcPr>
            <w:tcW w:w="1642" w:type="dxa"/>
            <w:tcBorders>
              <w:top w:val="single" w:sz="4" w:space="0" w:color="auto"/>
              <w:bottom w:val="double" w:sz="4" w:space="0" w:color="auto"/>
            </w:tcBorders>
          </w:tcPr>
          <w:p w14:paraId="449EC7AB" w14:textId="650D026E" w:rsidR="005954B1" w:rsidRPr="005954B1" w:rsidRDefault="005954B1" w:rsidP="005954B1">
            <w:pPr>
              <w:jc w:val="right"/>
              <w:rPr>
                <w:b/>
              </w:rPr>
            </w:pPr>
            <w:r w:rsidRPr="005954B1">
              <w:rPr>
                <w:b/>
              </w:rPr>
              <w:t xml:space="preserve"> 744 </w:t>
            </w:r>
          </w:p>
        </w:tc>
        <w:tc>
          <w:tcPr>
            <w:tcW w:w="1821" w:type="dxa"/>
            <w:tcBorders>
              <w:top w:val="single" w:sz="4" w:space="0" w:color="auto"/>
              <w:bottom w:val="double" w:sz="4" w:space="0" w:color="auto"/>
            </w:tcBorders>
          </w:tcPr>
          <w:p w14:paraId="1A5EC616" w14:textId="3F23156C" w:rsidR="005954B1" w:rsidRPr="005954B1" w:rsidRDefault="005954B1" w:rsidP="005954B1">
            <w:pPr>
              <w:jc w:val="right"/>
              <w:rPr>
                <w:b/>
              </w:rPr>
            </w:pPr>
            <w:r w:rsidRPr="005954B1">
              <w:rPr>
                <w:b/>
              </w:rPr>
              <w:t xml:space="preserve"> (3,987)</w:t>
            </w:r>
          </w:p>
        </w:tc>
      </w:tr>
    </w:tbl>
    <w:p w14:paraId="3FF99372" w14:textId="77777777" w:rsidR="005954B1" w:rsidRDefault="005954B1">
      <w:pPr>
        <w:keepLines w:val="0"/>
        <w:spacing w:after="0" w:line="240" w:lineRule="auto"/>
        <w:rPr>
          <w:b/>
          <w:lang w:val="en-US" w:eastAsia="en-AU"/>
        </w:rPr>
      </w:pPr>
    </w:p>
    <w:p w14:paraId="6B7B65FA" w14:textId="77777777" w:rsidR="005954B1" w:rsidRDefault="005954B1">
      <w:pPr>
        <w:keepLines w:val="0"/>
        <w:spacing w:after="0" w:line="240" w:lineRule="auto"/>
        <w:rPr>
          <w:b/>
          <w:lang w:val="en-US" w:eastAsia="en-AU"/>
        </w:rPr>
      </w:pPr>
      <w:r w:rsidRPr="005954B1">
        <w:rPr>
          <w:b/>
          <w:lang w:val="en-US" w:eastAsia="en-AU"/>
        </w:rPr>
        <w:t>Major Estimate and Actual (2018) Variance Narratives</w:t>
      </w:r>
    </w:p>
    <w:p w14:paraId="4FD13EC3" w14:textId="77777777" w:rsidR="005954B1" w:rsidRDefault="005954B1">
      <w:pPr>
        <w:keepLines w:val="0"/>
        <w:spacing w:after="0" w:line="240" w:lineRule="auto"/>
        <w:rPr>
          <w:b/>
          <w:lang w:val="en-US" w:eastAsia="en-AU"/>
        </w:rPr>
      </w:pPr>
    </w:p>
    <w:p w14:paraId="484AD1BE" w14:textId="61B89CFD" w:rsidR="005954B1" w:rsidRPr="005954B1" w:rsidRDefault="005954B1" w:rsidP="005954B1">
      <w:pPr>
        <w:rPr>
          <w:lang w:val="en-US" w:eastAsia="en-AU"/>
        </w:rPr>
      </w:pPr>
      <w:r w:rsidRPr="005954B1">
        <w:rPr>
          <w:lang w:val="en-US" w:eastAsia="en-AU"/>
        </w:rPr>
        <w:t>1) The claims liability variance is due to an unexpected increase in actuarially assess</w:t>
      </w:r>
      <w:r w:rsidR="001C14F7">
        <w:rPr>
          <w:lang w:val="en-US" w:eastAsia="en-AU"/>
        </w:rPr>
        <w:t xml:space="preserve">ed uninsured claim liabilities </w:t>
      </w:r>
      <w:r w:rsidRPr="005954B1">
        <w:rPr>
          <w:lang w:val="en-US" w:eastAsia="en-AU"/>
        </w:rPr>
        <w:t>for the General Account as a result of 5 new potential common law claims identified in the past 12 months. This is reflected in the correspondi</w:t>
      </w:r>
      <w:r>
        <w:rPr>
          <w:lang w:val="en-US" w:eastAsia="en-AU"/>
        </w:rPr>
        <w:t>ng increase in claims expense.</w:t>
      </w:r>
      <w:r w:rsidRPr="005954B1">
        <w:rPr>
          <w:lang w:val="en-US" w:eastAsia="en-AU"/>
        </w:rPr>
        <w:tab/>
      </w:r>
      <w:r w:rsidRPr="005954B1">
        <w:rPr>
          <w:lang w:val="en-US" w:eastAsia="en-AU"/>
        </w:rPr>
        <w:tab/>
      </w:r>
      <w:r w:rsidRPr="005954B1">
        <w:rPr>
          <w:lang w:val="en-US" w:eastAsia="en-AU"/>
        </w:rPr>
        <w:tab/>
      </w:r>
      <w:r w:rsidRPr="005954B1">
        <w:rPr>
          <w:lang w:val="en-US" w:eastAsia="en-AU"/>
        </w:rPr>
        <w:tab/>
      </w:r>
    </w:p>
    <w:p w14:paraId="795D3C6A" w14:textId="167E5288" w:rsidR="005954B1" w:rsidRPr="005954B1" w:rsidRDefault="005954B1" w:rsidP="005954B1">
      <w:pPr>
        <w:rPr>
          <w:lang w:val="en-US" w:eastAsia="en-AU"/>
        </w:rPr>
      </w:pPr>
      <w:r w:rsidRPr="005954B1">
        <w:rPr>
          <w:lang w:val="en-US" w:eastAsia="en-AU"/>
        </w:rPr>
        <w:t>2)  Employee benefits expense is $1.838 million (11.0%) under budget expectations due to a number of vacancies</w:t>
      </w:r>
      <w:r>
        <w:rPr>
          <w:lang w:val="en-US" w:eastAsia="en-AU"/>
        </w:rPr>
        <w:t xml:space="preserve"> arising throughout the year.</w:t>
      </w:r>
      <w:r w:rsidRPr="005954B1">
        <w:rPr>
          <w:lang w:val="en-US" w:eastAsia="en-AU"/>
        </w:rPr>
        <w:tab/>
      </w:r>
      <w:r w:rsidRPr="005954B1">
        <w:rPr>
          <w:lang w:val="en-US" w:eastAsia="en-AU"/>
        </w:rPr>
        <w:tab/>
      </w:r>
      <w:r w:rsidRPr="005954B1">
        <w:rPr>
          <w:lang w:val="en-US" w:eastAsia="en-AU"/>
        </w:rPr>
        <w:tab/>
      </w:r>
    </w:p>
    <w:p w14:paraId="4205F77A" w14:textId="77777777" w:rsidR="005954B1" w:rsidRDefault="005954B1" w:rsidP="005954B1">
      <w:pPr>
        <w:rPr>
          <w:b/>
          <w:lang w:val="en-US" w:eastAsia="en-AU"/>
        </w:rPr>
      </w:pPr>
      <w:r w:rsidRPr="005954B1">
        <w:rPr>
          <w:lang w:val="en-US" w:eastAsia="en-AU"/>
        </w:rPr>
        <w:t>3)  Supplies and services is $471K (14.7%) under budget expectations due to lower than estimated professional service fees such as Sessional Arbitrators, Actuarial services, State Solicitor costs and Ot</w:t>
      </w:r>
      <w:r>
        <w:rPr>
          <w:lang w:val="en-US" w:eastAsia="en-AU"/>
        </w:rPr>
        <w:t>her Professional services.</w:t>
      </w:r>
      <w:r>
        <w:rPr>
          <w:lang w:val="en-US" w:eastAsia="en-AU"/>
        </w:rPr>
        <w:br/>
      </w:r>
      <w:r>
        <w:rPr>
          <w:lang w:val="en-US" w:eastAsia="en-AU"/>
        </w:rPr>
        <w:br/>
      </w:r>
    </w:p>
    <w:p w14:paraId="19111B3F" w14:textId="77777777" w:rsidR="005954B1" w:rsidRDefault="005954B1">
      <w:pPr>
        <w:keepLines w:val="0"/>
        <w:spacing w:after="0" w:line="240" w:lineRule="auto"/>
        <w:rPr>
          <w:b/>
          <w:lang w:val="en-US" w:eastAsia="en-AU"/>
        </w:rPr>
      </w:pPr>
      <w:r>
        <w:rPr>
          <w:b/>
          <w:lang w:val="en-US" w:eastAsia="en-AU"/>
        </w:rPr>
        <w:br w:type="page"/>
      </w:r>
    </w:p>
    <w:p w14:paraId="76F97107" w14:textId="79F3CD1F" w:rsidR="005954B1" w:rsidRDefault="005954B1" w:rsidP="005954B1">
      <w:pPr>
        <w:rPr>
          <w:lang w:val="en-US" w:eastAsia="en-AU"/>
        </w:rPr>
      </w:pPr>
      <w:r w:rsidRPr="005954B1">
        <w:rPr>
          <w:b/>
          <w:lang w:val="en-US" w:eastAsia="en-AU"/>
        </w:rPr>
        <w:t>Major Actual (2018) and Comparative (2017) Variance Narratives</w:t>
      </w:r>
    </w:p>
    <w:p w14:paraId="36169B62" w14:textId="404EF277" w:rsidR="005954B1" w:rsidRPr="005954B1" w:rsidRDefault="005954B1" w:rsidP="005954B1">
      <w:pPr>
        <w:rPr>
          <w:lang w:val="en-US" w:eastAsia="en-AU"/>
        </w:rPr>
      </w:pPr>
      <w:r w:rsidRPr="005954B1">
        <w:rPr>
          <w:lang w:val="en-US" w:eastAsia="en-AU"/>
        </w:rPr>
        <w:t>A)  The claims liability variance against prior year is due to an increase in actuarially assessed uninsured claim liabilities  for the General Account  as a result of 5 new potential common law claims identified in the past 12 months. This is reflected in the corresponding increase in claims expense.</w:t>
      </w:r>
      <w:r w:rsidRPr="005954B1">
        <w:rPr>
          <w:lang w:val="en-US" w:eastAsia="en-AU"/>
        </w:rPr>
        <w:tab/>
      </w:r>
      <w:r w:rsidRPr="005954B1">
        <w:rPr>
          <w:lang w:val="en-US" w:eastAsia="en-AU"/>
        </w:rPr>
        <w:tab/>
      </w:r>
      <w:r w:rsidRPr="005954B1">
        <w:rPr>
          <w:lang w:val="en-US" w:eastAsia="en-AU"/>
        </w:rPr>
        <w:tab/>
      </w:r>
      <w:r w:rsidRPr="005954B1">
        <w:rPr>
          <w:lang w:val="en-US" w:eastAsia="en-AU"/>
        </w:rPr>
        <w:tab/>
      </w:r>
      <w:r w:rsidRPr="005954B1">
        <w:rPr>
          <w:lang w:val="en-US" w:eastAsia="en-AU"/>
        </w:rPr>
        <w:tab/>
      </w:r>
      <w:r w:rsidRPr="005954B1">
        <w:rPr>
          <w:lang w:val="en-US" w:eastAsia="en-AU"/>
        </w:rPr>
        <w:tab/>
      </w:r>
    </w:p>
    <w:p w14:paraId="136C496A" w14:textId="5F9C5A79" w:rsidR="00DA1F1E" w:rsidRPr="005954B1" w:rsidRDefault="005954B1" w:rsidP="00DA1F1E">
      <w:pPr>
        <w:rPr>
          <w:b/>
          <w:lang w:val="en-US" w:eastAsia="en-AU"/>
        </w:rPr>
      </w:pPr>
      <w:r w:rsidRPr="005954B1">
        <w:rPr>
          <w:lang w:val="en-US" w:eastAsia="en-AU"/>
        </w:rPr>
        <w:t>B)  The remeasurement of the defined benefit liability variance of $962K (128.4%) against the prior year, is mainly due to a correction in the mortality rates assumed in</w:t>
      </w:r>
      <w:r>
        <w:rPr>
          <w:lang w:val="en-US" w:eastAsia="en-AU"/>
        </w:rPr>
        <w:t xml:space="preserve"> the actuarial assessment.</w:t>
      </w:r>
      <w:r>
        <w:rPr>
          <w:lang w:val="en-US" w:eastAsia="en-AU"/>
        </w:rPr>
        <w:br/>
      </w:r>
      <w:r>
        <w:rPr>
          <w:lang w:val="en-US" w:eastAsia="en-AU"/>
        </w:rPr>
        <w:br/>
      </w:r>
      <w:r>
        <w:rPr>
          <w:b/>
          <w:lang w:val="en-US" w:eastAsia="en-AU"/>
        </w:rPr>
        <w:t>STATEMENT OF FINANCIAL POSITION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tatement of Financial Position"/>
        <w:tblDescription w:val="This table provides the Statement of Financial Position for the Authority for the reporting period. "/>
      </w:tblPr>
      <w:tblGrid>
        <w:gridCol w:w="4957"/>
        <w:gridCol w:w="1559"/>
        <w:gridCol w:w="1276"/>
        <w:gridCol w:w="1275"/>
        <w:gridCol w:w="1418"/>
        <w:gridCol w:w="1642"/>
        <w:gridCol w:w="1821"/>
      </w:tblGrid>
      <w:tr w:rsidR="00DA1F1E" w14:paraId="0FBC45DE" w14:textId="77777777" w:rsidTr="00110551">
        <w:trPr>
          <w:tblHeader/>
        </w:trPr>
        <w:tc>
          <w:tcPr>
            <w:tcW w:w="4957" w:type="dxa"/>
          </w:tcPr>
          <w:p w14:paraId="72479093" w14:textId="77777777" w:rsidR="00DA1F1E" w:rsidRDefault="00DA1F1E" w:rsidP="00DA1F1E">
            <w:pPr>
              <w:rPr>
                <w:lang w:val="en-US" w:eastAsia="en-AU"/>
              </w:rPr>
            </w:pPr>
          </w:p>
        </w:tc>
        <w:tc>
          <w:tcPr>
            <w:tcW w:w="1559" w:type="dxa"/>
          </w:tcPr>
          <w:p w14:paraId="3E825488" w14:textId="2B038537" w:rsidR="00DA1F1E" w:rsidRPr="00DA1F1E" w:rsidRDefault="00DA1F1E" w:rsidP="00DA1F1E">
            <w:pPr>
              <w:jc w:val="center"/>
              <w:rPr>
                <w:b/>
                <w:lang w:val="en-US" w:eastAsia="en-AU"/>
              </w:rPr>
            </w:pPr>
            <w:r>
              <w:rPr>
                <w:b/>
                <w:lang w:val="en-US" w:eastAsia="en-AU"/>
              </w:rPr>
              <w:t>Variance Note</w:t>
            </w:r>
          </w:p>
        </w:tc>
        <w:tc>
          <w:tcPr>
            <w:tcW w:w="1276" w:type="dxa"/>
          </w:tcPr>
          <w:p w14:paraId="28F1CC6F" w14:textId="411A6453" w:rsidR="00DA1F1E" w:rsidRPr="00DA1F1E" w:rsidRDefault="00DA1F1E" w:rsidP="00DA1F1E">
            <w:pPr>
              <w:jc w:val="right"/>
              <w:rPr>
                <w:b/>
                <w:lang w:val="en-US" w:eastAsia="en-AU"/>
              </w:rPr>
            </w:pPr>
            <w:r>
              <w:rPr>
                <w:b/>
                <w:lang w:val="en-US" w:eastAsia="en-AU"/>
              </w:rPr>
              <w:t>Estimate 2018</w:t>
            </w:r>
          </w:p>
        </w:tc>
        <w:tc>
          <w:tcPr>
            <w:tcW w:w="1275" w:type="dxa"/>
          </w:tcPr>
          <w:p w14:paraId="5F3C8ECC" w14:textId="2C8799B9" w:rsidR="00DA1F1E" w:rsidRPr="00DA1F1E" w:rsidRDefault="00DA1F1E" w:rsidP="00DA1F1E">
            <w:pPr>
              <w:jc w:val="right"/>
              <w:rPr>
                <w:b/>
                <w:lang w:val="en-US" w:eastAsia="en-AU"/>
              </w:rPr>
            </w:pPr>
            <w:r>
              <w:rPr>
                <w:b/>
                <w:lang w:val="en-US" w:eastAsia="en-AU"/>
              </w:rPr>
              <w:t>Actual 2018</w:t>
            </w:r>
          </w:p>
        </w:tc>
        <w:tc>
          <w:tcPr>
            <w:tcW w:w="1418" w:type="dxa"/>
          </w:tcPr>
          <w:p w14:paraId="313F0519" w14:textId="208D8909" w:rsidR="00DA1F1E" w:rsidRPr="00DA1F1E" w:rsidRDefault="00DA1F1E" w:rsidP="00DA1F1E">
            <w:pPr>
              <w:jc w:val="right"/>
              <w:rPr>
                <w:b/>
                <w:lang w:val="en-US" w:eastAsia="en-AU"/>
              </w:rPr>
            </w:pPr>
            <w:r>
              <w:rPr>
                <w:b/>
                <w:lang w:val="en-US" w:eastAsia="en-AU"/>
              </w:rPr>
              <w:t xml:space="preserve">Actual </w:t>
            </w:r>
            <w:r>
              <w:rPr>
                <w:b/>
                <w:lang w:val="en-US" w:eastAsia="en-AU"/>
              </w:rPr>
              <w:br/>
              <w:t>2017</w:t>
            </w:r>
          </w:p>
        </w:tc>
        <w:tc>
          <w:tcPr>
            <w:tcW w:w="1642" w:type="dxa"/>
          </w:tcPr>
          <w:p w14:paraId="59B35384" w14:textId="70CEDB7C" w:rsidR="00DA1F1E" w:rsidRPr="00DA1F1E" w:rsidRDefault="00DA1F1E" w:rsidP="00DA1F1E">
            <w:pPr>
              <w:jc w:val="right"/>
              <w:rPr>
                <w:b/>
                <w:lang w:val="en-US" w:eastAsia="en-AU"/>
              </w:rPr>
            </w:pPr>
            <w:r>
              <w:rPr>
                <w:b/>
                <w:lang w:val="en-US" w:eastAsia="en-AU"/>
              </w:rPr>
              <w:t xml:space="preserve">Variance between Estimate and Actual </w:t>
            </w:r>
          </w:p>
        </w:tc>
        <w:tc>
          <w:tcPr>
            <w:tcW w:w="1821" w:type="dxa"/>
          </w:tcPr>
          <w:p w14:paraId="4F97DB13" w14:textId="4AC70D3F" w:rsidR="00DA1F1E" w:rsidRPr="00DA1F1E" w:rsidRDefault="00DA1F1E" w:rsidP="00DA1F1E">
            <w:pPr>
              <w:jc w:val="right"/>
              <w:rPr>
                <w:b/>
                <w:lang w:val="en-US" w:eastAsia="en-AU"/>
              </w:rPr>
            </w:pPr>
            <w:r>
              <w:rPr>
                <w:b/>
                <w:lang w:val="en-US" w:eastAsia="en-AU"/>
              </w:rPr>
              <w:t>Variance between Actual result for 2018 and 2017</w:t>
            </w:r>
          </w:p>
        </w:tc>
      </w:tr>
      <w:tr w:rsidR="00DA1F1E" w14:paraId="43EBCBCC" w14:textId="77777777" w:rsidTr="00B02F18">
        <w:tc>
          <w:tcPr>
            <w:tcW w:w="4957" w:type="dxa"/>
            <w:vAlign w:val="center"/>
          </w:tcPr>
          <w:p w14:paraId="44D10095" w14:textId="2DD3DBF0" w:rsidR="00DA1F1E" w:rsidRPr="00DA1F1E" w:rsidRDefault="00DA1F1E" w:rsidP="00B02F18">
            <w:pPr>
              <w:rPr>
                <w:b/>
                <w:lang w:val="en-US" w:eastAsia="en-AU"/>
              </w:rPr>
            </w:pPr>
            <w:r>
              <w:rPr>
                <w:b/>
                <w:lang w:val="en-US" w:eastAsia="en-AU"/>
              </w:rPr>
              <w:t>ASSETS</w:t>
            </w:r>
          </w:p>
        </w:tc>
        <w:tc>
          <w:tcPr>
            <w:tcW w:w="1559" w:type="dxa"/>
          </w:tcPr>
          <w:p w14:paraId="2110310B" w14:textId="77777777" w:rsidR="00DA1F1E" w:rsidRDefault="00DA1F1E" w:rsidP="00DA1F1E">
            <w:pPr>
              <w:jc w:val="center"/>
              <w:rPr>
                <w:lang w:val="en-US" w:eastAsia="en-AU"/>
              </w:rPr>
            </w:pPr>
          </w:p>
        </w:tc>
        <w:tc>
          <w:tcPr>
            <w:tcW w:w="1276" w:type="dxa"/>
          </w:tcPr>
          <w:p w14:paraId="05362F78" w14:textId="77777777" w:rsidR="00DA1F1E" w:rsidRDefault="00DA1F1E" w:rsidP="00DA1F1E">
            <w:pPr>
              <w:rPr>
                <w:lang w:val="en-US" w:eastAsia="en-AU"/>
              </w:rPr>
            </w:pPr>
          </w:p>
        </w:tc>
        <w:tc>
          <w:tcPr>
            <w:tcW w:w="1275" w:type="dxa"/>
          </w:tcPr>
          <w:p w14:paraId="0AC7B21D" w14:textId="33A94979" w:rsidR="00DA1F1E" w:rsidRPr="00DA1F1E" w:rsidRDefault="00DA1F1E" w:rsidP="00DA1F1E">
            <w:pPr>
              <w:jc w:val="right"/>
              <w:rPr>
                <w:b/>
                <w:lang w:val="en-US" w:eastAsia="en-AU"/>
              </w:rPr>
            </w:pPr>
            <w:r>
              <w:rPr>
                <w:b/>
                <w:lang w:val="en-US" w:eastAsia="en-AU"/>
              </w:rPr>
              <w:t>$000</w:t>
            </w:r>
          </w:p>
        </w:tc>
        <w:tc>
          <w:tcPr>
            <w:tcW w:w="1418" w:type="dxa"/>
          </w:tcPr>
          <w:p w14:paraId="2A08B9C2" w14:textId="00748525" w:rsidR="00DA1F1E" w:rsidRPr="00DA1F1E" w:rsidRDefault="00DA1F1E" w:rsidP="00DA1F1E">
            <w:pPr>
              <w:jc w:val="right"/>
              <w:rPr>
                <w:b/>
                <w:lang w:val="en-US" w:eastAsia="en-AU"/>
              </w:rPr>
            </w:pPr>
            <w:r>
              <w:rPr>
                <w:b/>
                <w:lang w:val="en-US" w:eastAsia="en-AU"/>
              </w:rPr>
              <w:t>$000</w:t>
            </w:r>
          </w:p>
        </w:tc>
        <w:tc>
          <w:tcPr>
            <w:tcW w:w="1642" w:type="dxa"/>
          </w:tcPr>
          <w:p w14:paraId="2BCB1C4C" w14:textId="11249C49" w:rsidR="00DA1F1E" w:rsidRPr="00DA1F1E" w:rsidRDefault="00DA1F1E" w:rsidP="00DA1F1E">
            <w:pPr>
              <w:jc w:val="right"/>
              <w:rPr>
                <w:b/>
                <w:lang w:val="en-US" w:eastAsia="en-AU"/>
              </w:rPr>
            </w:pPr>
            <w:r>
              <w:rPr>
                <w:b/>
                <w:lang w:val="en-US" w:eastAsia="en-AU"/>
              </w:rPr>
              <w:t>$000</w:t>
            </w:r>
          </w:p>
        </w:tc>
        <w:tc>
          <w:tcPr>
            <w:tcW w:w="1821" w:type="dxa"/>
          </w:tcPr>
          <w:p w14:paraId="2A095AC4" w14:textId="448C46B5" w:rsidR="00DA1F1E" w:rsidRPr="00DA1F1E" w:rsidRDefault="00DA1F1E" w:rsidP="00DA1F1E">
            <w:pPr>
              <w:jc w:val="right"/>
              <w:rPr>
                <w:b/>
                <w:lang w:val="en-US" w:eastAsia="en-AU"/>
              </w:rPr>
            </w:pPr>
            <w:r>
              <w:rPr>
                <w:b/>
                <w:lang w:val="en-US" w:eastAsia="en-AU"/>
              </w:rPr>
              <w:t>$000</w:t>
            </w:r>
          </w:p>
        </w:tc>
      </w:tr>
      <w:tr w:rsidR="00DA1F1E" w14:paraId="103B8CA7" w14:textId="77777777" w:rsidTr="00B02F18">
        <w:tc>
          <w:tcPr>
            <w:tcW w:w="4957" w:type="dxa"/>
            <w:vAlign w:val="center"/>
          </w:tcPr>
          <w:p w14:paraId="47F62C99" w14:textId="548156D8" w:rsidR="00DA1F1E" w:rsidRPr="00DA1F1E" w:rsidRDefault="00DA1F1E" w:rsidP="00B02F18">
            <w:pPr>
              <w:rPr>
                <w:b/>
                <w:lang w:val="en-US" w:eastAsia="en-AU"/>
              </w:rPr>
            </w:pPr>
            <w:r>
              <w:rPr>
                <w:b/>
                <w:lang w:val="en-US" w:eastAsia="en-AU"/>
              </w:rPr>
              <w:t>Current assets</w:t>
            </w:r>
          </w:p>
        </w:tc>
        <w:tc>
          <w:tcPr>
            <w:tcW w:w="1559" w:type="dxa"/>
          </w:tcPr>
          <w:p w14:paraId="4A19BB1B" w14:textId="77777777" w:rsidR="00DA1F1E" w:rsidRDefault="00DA1F1E" w:rsidP="00DA1F1E">
            <w:pPr>
              <w:rPr>
                <w:lang w:val="en-US" w:eastAsia="en-AU"/>
              </w:rPr>
            </w:pPr>
          </w:p>
        </w:tc>
        <w:tc>
          <w:tcPr>
            <w:tcW w:w="1276" w:type="dxa"/>
          </w:tcPr>
          <w:p w14:paraId="582BC643" w14:textId="77777777" w:rsidR="00DA1F1E" w:rsidRDefault="00DA1F1E" w:rsidP="00DA1F1E">
            <w:pPr>
              <w:rPr>
                <w:lang w:val="en-US" w:eastAsia="en-AU"/>
              </w:rPr>
            </w:pPr>
          </w:p>
        </w:tc>
        <w:tc>
          <w:tcPr>
            <w:tcW w:w="1275" w:type="dxa"/>
          </w:tcPr>
          <w:p w14:paraId="2261CECF" w14:textId="77777777" w:rsidR="00DA1F1E" w:rsidRDefault="00DA1F1E" w:rsidP="00DA1F1E">
            <w:pPr>
              <w:rPr>
                <w:lang w:val="en-US" w:eastAsia="en-AU"/>
              </w:rPr>
            </w:pPr>
          </w:p>
        </w:tc>
        <w:tc>
          <w:tcPr>
            <w:tcW w:w="1418" w:type="dxa"/>
          </w:tcPr>
          <w:p w14:paraId="1D47A634" w14:textId="77777777" w:rsidR="00DA1F1E" w:rsidRDefault="00DA1F1E" w:rsidP="00DA1F1E">
            <w:pPr>
              <w:rPr>
                <w:lang w:val="en-US" w:eastAsia="en-AU"/>
              </w:rPr>
            </w:pPr>
          </w:p>
        </w:tc>
        <w:tc>
          <w:tcPr>
            <w:tcW w:w="1642" w:type="dxa"/>
          </w:tcPr>
          <w:p w14:paraId="60BFEBE9" w14:textId="77777777" w:rsidR="00DA1F1E" w:rsidRDefault="00DA1F1E" w:rsidP="00DA1F1E">
            <w:pPr>
              <w:rPr>
                <w:lang w:val="en-US" w:eastAsia="en-AU"/>
              </w:rPr>
            </w:pPr>
          </w:p>
        </w:tc>
        <w:tc>
          <w:tcPr>
            <w:tcW w:w="1821" w:type="dxa"/>
          </w:tcPr>
          <w:p w14:paraId="3DCA2D60" w14:textId="77777777" w:rsidR="00DA1F1E" w:rsidRDefault="00DA1F1E" w:rsidP="00DA1F1E">
            <w:pPr>
              <w:rPr>
                <w:lang w:val="en-US" w:eastAsia="en-AU"/>
              </w:rPr>
            </w:pPr>
          </w:p>
        </w:tc>
      </w:tr>
      <w:tr w:rsidR="00110551" w14:paraId="09D320DF" w14:textId="77777777" w:rsidTr="00B02F18">
        <w:tc>
          <w:tcPr>
            <w:tcW w:w="4957" w:type="dxa"/>
            <w:vAlign w:val="center"/>
          </w:tcPr>
          <w:p w14:paraId="578F8ECD" w14:textId="00ED90C3" w:rsidR="00110551" w:rsidRDefault="00110551" w:rsidP="00B02F18">
            <w:pPr>
              <w:rPr>
                <w:lang w:val="en-US" w:eastAsia="en-AU"/>
              </w:rPr>
            </w:pPr>
            <w:r>
              <w:rPr>
                <w:lang w:val="en-US" w:eastAsia="en-AU"/>
              </w:rPr>
              <w:t>Cash and cash equivalents</w:t>
            </w:r>
          </w:p>
        </w:tc>
        <w:tc>
          <w:tcPr>
            <w:tcW w:w="1559" w:type="dxa"/>
          </w:tcPr>
          <w:p w14:paraId="396627CA" w14:textId="77777777" w:rsidR="00110551" w:rsidRDefault="00110551" w:rsidP="00110551">
            <w:pPr>
              <w:rPr>
                <w:lang w:val="en-US" w:eastAsia="en-AU"/>
              </w:rPr>
            </w:pPr>
          </w:p>
        </w:tc>
        <w:tc>
          <w:tcPr>
            <w:tcW w:w="1276" w:type="dxa"/>
            <w:vAlign w:val="bottom"/>
          </w:tcPr>
          <w:p w14:paraId="1F1137A4" w14:textId="72758CBF" w:rsidR="00110551" w:rsidRDefault="00110551" w:rsidP="00110551">
            <w:pPr>
              <w:jc w:val="right"/>
              <w:rPr>
                <w:lang w:val="en-US" w:eastAsia="en-AU"/>
              </w:rPr>
            </w:pPr>
            <w:r>
              <w:t xml:space="preserve">      3,185 </w:t>
            </w:r>
          </w:p>
        </w:tc>
        <w:tc>
          <w:tcPr>
            <w:tcW w:w="1275" w:type="dxa"/>
            <w:vAlign w:val="bottom"/>
          </w:tcPr>
          <w:p w14:paraId="72905E73" w14:textId="72D27F79" w:rsidR="00110551" w:rsidRDefault="00110551" w:rsidP="00110551">
            <w:pPr>
              <w:jc w:val="right"/>
              <w:rPr>
                <w:lang w:val="en-US" w:eastAsia="en-AU"/>
              </w:rPr>
            </w:pPr>
            <w:r>
              <w:t xml:space="preserve">        8,157 </w:t>
            </w:r>
          </w:p>
        </w:tc>
        <w:tc>
          <w:tcPr>
            <w:tcW w:w="1418" w:type="dxa"/>
            <w:vAlign w:val="bottom"/>
          </w:tcPr>
          <w:p w14:paraId="278453BF" w14:textId="1BA017F7" w:rsidR="00110551" w:rsidRDefault="00110551" w:rsidP="00110551">
            <w:pPr>
              <w:jc w:val="right"/>
              <w:rPr>
                <w:lang w:val="en-US" w:eastAsia="en-AU"/>
              </w:rPr>
            </w:pPr>
            <w:r>
              <w:t xml:space="preserve">     10,580 </w:t>
            </w:r>
          </w:p>
        </w:tc>
        <w:tc>
          <w:tcPr>
            <w:tcW w:w="1642" w:type="dxa"/>
            <w:vAlign w:val="bottom"/>
          </w:tcPr>
          <w:p w14:paraId="1A8D8481" w14:textId="3D552C34" w:rsidR="00110551" w:rsidRDefault="00110551" w:rsidP="00110551">
            <w:pPr>
              <w:jc w:val="right"/>
              <w:rPr>
                <w:lang w:val="en-US" w:eastAsia="en-AU"/>
              </w:rPr>
            </w:pPr>
            <w:r>
              <w:t xml:space="preserve">          (4,972)</w:t>
            </w:r>
          </w:p>
        </w:tc>
        <w:tc>
          <w:tcPr>
            <w:tcW w:w="1821" w:type="dxa"/>
            <w:vAlign w:val="bottom"/>
          </w:tcPr>
          <w:p w14:paraId="42211298" w14:textId="04119BEE" w:rsidR="00110551" w:rsidRDefault="00110551" w:rsidP="00110551">
            <w:pPr>
              <w:jc w:val="right"/>
              <w:rPr>
                <w:lang w:val="en-US" w:eastAsia="en-AU"/>
              </w:rPr>
            </w:pPr>
            <w:r>
              <w:t xml:space="preserve">                 (2,423)</w:t>
            </w:r>
          </w:p>
        </w:tc>
      </w:tr>
      <w:tr w:rsidR="00110551" w14:paraId="2356BC8F" w14:textId="77777777" w:rsidTr="00B02F18">
        <w:tc>
          <w:tcPr>
            <w:tcW w:w="4957" w:type="dxa"/>
            <w:vAlign w:val="center"/>
          </w:tcPr>
          <w:p w14:paraId="03A0C1B7" w14:textId="7A598423" w:rsidR="00110551" w:rsidRDefault="00110551" w:rsidP="00B02F18">
            <w:pPr>
              <w:rPr>
                <w:lang w:val="en-US" w:eastAsia="en-AU"/>
              </w:rPr>
            </w:pPr>
            <w:r>
              <w:t>Restricted cash and cash equivalents</w:t>
            </w:r>
          </w:p>
        </w:tc>
        <w:tc>
          <w:tcPr>
            <w:tcW w:w="1559" w:type="dxa"/>
          </w:tcPr>
          <w:p w14:paraId="49342D85" w14:textId="77777777" w:rsidR="00110551" w:rsidRDefault="00110551" w:rsidP="00110551">
            <w:pPr>
              <w:rPr>
                <w:lang w:val="en-US" w:eastAsia="en-AU"/>
              </w:rPr>
            </w:pPr>
          </w:p>
        </w:tc>
        <w:tc>
          <w:tcPr>
            <w:tcW w:w="1276" w:type="dxa"/>
            <w:vAlign w:val="bottom"/>
          </w:tcPr>
          <w:p w14:paraId="71C32F50" w14:textId="22A5681C" w:rsidR="00110551" w:rsidRDefault="00110551" w:rsidP="00110551">
            <w:pPr>
              <w:jc w:val="right"/>
              <w:rPr>
                <w:lang w:val="en-US" w:eastAsia="en-AU"/>
              </w:rPr>
            </w:pPr>
            <w:r>
              <w:t xml:space="preserve">    85,615 </w:t>
            </w:r>
          </w:p>
        </w:tc>
        <w:tc>
          <w:tcPr>
            <w:tcW w:w="1275" w:type="dxa"/>
            <w:vAlign w:val="bottom"/>
          </w:tcPr>
          <w:p w14:paraId="67FB14C2" w14:textId="1071319B" w:rsidR="00110551" w:rsidRDefault="00110551" w:rsidP="00110551">
            <w:pPr>
              <w:jc w:val="right"/>
              <w:rPr>
                <w:lang w:val="en-US" w:eastAsia="en-AU"/>
              </w:rPr>
            </w:pPr>
            <w:r>
              <w:t xml:space="preserve">      86,625 </w:t>
            </w:r>
          </w:p>
        </w:tc>
        <w:tc>
          <w:tcPr>
            <w:tcW w:w="1418" w:type="dxa"/>
            <w:vAlign w:val="bottom"/>
          </w:tcPr>
          <w:p w14:paraId="26584AB1" w14:textId="67C421F0" w:rsidR="00110551" w:rsidRDefault="00110551" w:rsidP="00110551">
            <w:pPr>
              <w:jc w:val="right"/>
              <w:rPr>
                <w:lang w:val="en-US" w:eastAsia="en-AU"/>
              </w:rPr>
            </w:pPr>
            <w:r>
              <w:t xml:space="preserve">     85,742 </w:t>
            </w:r>
          </w:p>
        </w:tc>
        <w:tc>
          <w:tcPr>
            <w:tcW w:w="1642" w:type="dxa"/>
            <w:vAlign w:val="bottom"/>
          </w:tcPr>
          <w:p w14:paraId="24363794" w14:textId="078DA9A6" w:rsidR="00110551" w:rsidRDefault="00110551" w:rsidP="00110551">
            <w:pPr>
              <w:jc w:val="right"/>
              <w:rPr>
                <w:lang w:val="en-US" w:eastAsia="en-AU"/>
              </w:rPr>
            </w:pPr>
            <w:r>
              <w:t xml:space="preserve">          (1,010)</w:t>
            </w:r>
          </w:p>
        </w:tc>
        <w:tc>
          <w:tcPr>
            <w:tcW w:w="1821" w:type="dxa"/>
            <w:vAlign w:val="bottom"/>
          </w:tcPr>
          <w:p w14:paraId="4EFEE2FC" w14:textId="3297A00D" w:rsidR="00110551" w:rsidRDefault="00110551" w:rsidP="00110551">
            <w:pPr>
              <w:jc w:val="right"/>
              <w:rPr>
                <w:lang w:val="en-US" w:eastAsia="en-AU"/>
              </w:rPr>
            </w:pPr>
            <w:r>
              <w:t xml:space="preserve">                     883 </w:t>
            </w:r>
          </w:p>
        </w:tc>
      </w:tr>
      <w:tr w:rsidR="00110551" w14:paraId="21C491D0" w14:textId="77777777" w:rsidTr="00B02F18">
        <w:tc>
          <w:tcPr>
            <w:tcW w:w="4957" w:type="dxa"/>
            <w:vAlign w:val="center"/>
          </w:tcPr>
          <w:p w14:paraId="518C79B6" w14:textId="572F22E2" w:rsidR="00110551" w:rsidRDefault="00110551" w:rsidP="00B02F18">
            <w:pPr>
              <w:rPr>
                <w:lang w:val="en-US" w:eastAsia="en-AU"/>
              </w:rPr>
            </w:pPr>
            <w:r>
              <w:t>Receivables</w:t>
            </w:r>
          </w:p>
        </w:tc>
        <w:tc>
          <w:tcPr>
            <w:tcW w:w="1559" w:type="dxa"/>
          </w:tcPr>
          <w:p w14:paraId="15262B10" w14:textId="77777777" w:rsidR="00110551" w:rsidRDefault="00110551" w:rsidP="00110551">
            <w:pPr>
              <w:rPr>
                <w:lang w:val="en-US" w:eastAsia="en-AU"/>
              </w:rPr>
            </w:pPr>
          </w:p>
        </w:tc>
        <w:tc>
          <w:tcPr>
            <w:tcW w:w="1276" w:type="dxa"/>
            <w:vAlign w:val="bottom"/>
          </w:tcPr>
          <w:p w14:paraId="744EC686" w14:textId="3E97C33A" w:rsidR="00110551" w:rsidRDefault="00110551" w:rsidP="00110551">
            <w:pPr>
              <w:jc w:val="right"/>
              <w:rPr>
                <w:lang w:val="en-US" w:eastAsia="en-AU"/>
              </w:rPr>
            </w:pPr>
            <w:r>
              <w:t xml:space="preserve">      1,097 </w:t>
            </w:r>
          </w:p>
        </w:tc>
        <w:tc>
          <w:tcPr>
            <w:tcW w:w="1275" w:type="dxa"/>
            <w:vAlign w:val="bottom"/>
          </w:tcPr>
          <w:p w14:paraId="0D22E7FC" w14:textId="6188C978" w:rsidR="00110551" w:rsidRDefault="00110551" w:rsidP="00110551">
            <w:pPr>
              <w:jc w:val="right"/>
              <w:rPr>
                <w:lang w:val="en-US" w:eastAsia="en-AU"/>
              </w:rPr>
            </w:pPr>
            <w:r>
              <w:t xml:space="preserve">        1,278 </w:t>
            </w:r>
          </w:p>
        </w:tc>
        <w:tc>
          <w:tcPr>
            <w:tcW w:w="1418" w:type="dxa"/>
            <w:vAlign w:val="bottom"/>
          </w:tcPr>
          <w:p w14:paraId="0F2A7834" w14:textId="6A56F1C4" w:rsidR="00110551" w:rsidRDefault="00110551" w:rsidP="00110551">
            <w:pPr>
              <w:jc w:val="right"/>
              <w:rPr>
                <w:lang w:val="en-US" w:eastAsia="en-AU"/>
              </w:rPr>
            </w:pPr>
            <w:r>
              <w:t xml:space="preserve">       1,069 </w:t>
            </w:r>
          </w:p>
        </w:tc>
        <w:tc>
          <w:tcPr>
            <w:tcW w:w="1642" w:type="dxa"/>
            <w:vAlign w:val="bottom"/>
          </w:tcPr>
          <w:p w14:paraId="6B522B92" w14:textId="60B20837" w:rsidR="00110551" w:rsidRDefault="00110551" w:rsidP="00110551">
            <w:pPr>
              <w:jc w:val="right"/>
              <w:rPr>
                <w:lang w:val="en-US" w:eastAsia="en-AU"/>
              </w:rPr>
            </w:pPr>
            <w:r>
              <w:t xml:space="preserve">             (181)</w:t>
            </w:r>
          </w:p>
        </w:tc>
        <w:tc>
          <w:tcPr>
            <w:tcW w:w="1821" w:type="dxa"/>
            <w:vAlign w:val="bottom"/>
          </w:tcPr>
          <w:p w14:paraId="4A5E6139" w14:textId="7DE3DB1A" w:rsidR="00110551" w:rsidRDefault="00110551" w:rsidP="00110551">
            <w:pPr>
              <w:jc w:val="right"/>
              <w:rPr>
                <w:lang w:val="en-US" w:eastAsia="en-AU"/>
              </w:rPr>
            </w:pPr>
            <w:r>
              <w:t xml:space="preserve">                     209 </w:t>
            </w:r>
          </w:p>
        </w:tc>
      </w:tr>
      <w:tr w:rsidR="00110551" w14:paraId="347CDBCD" w14:textId="77777777" w:rsidTr="00B02F18">
        <w:tc>
          <w:tcPr>
            <w:tcW w:w="4957" w:type="dxa"/>
            <w:vAlign w:val="center"/>
          </w:tcPr>
          <w:p w14:paraId="0D1AA4B1" w14:textId="465A0ECB" w:rsidR="00110551" w:rsidRDefault="00110551" w:rsidP="00B02F18">
            <w:pPr>
              <w:rPr>
                <w:lang w:val="en-US" w:eastAsia="en-AU"/>
              </w:rPr>
            </w:pPr>
            <w:r>
              <w:t>Other Assets</w:t>
            </w:r>
          </w:p>
        </w:tc>
        <w:tc>
          <w:tcPr>
            <w:tcW w:w="1559" w:type="dxa"/>
          </w:tcPr>
          <w:p w14:paraId="522CE2C1" w14:textId="77777777" w:rsidR="00110551" w:rsidRDefault="00110551" w:rsidP="00110551">
            <w:pPr>
              <w:rPr>
                <w:lang w:val="en-US" w:eastAsia="en-AU"/>
              </w:rPr>
            </w:pPr>
          </w:p>
        </w:tc>
        <w:tc>
          <w:tcPr>
            <w:tcW w:w="1276" w:type="dxa"/>
            <w:vAlign w:val="bottom"/>
          </w:tcPr>
          <w:p w14:paraId="1F03F8C2" w14:textId="5F2965BB" w:rsidR="00110551" w:rsidRDefault="00110551" w:rsidP="00110551">
            <w:pPr>
              <w:jc w:val="right"/>
              <w:rPr>
                <w:lang w:val="en-US" w:eastAsia="en-AU"/>
              </w:rPr>
            </w:pPr>
            <w:r>
              <w:t xml:space="preserve">           -   </w:t>
            </w:r>
          </w:p>
        </w:tc>
        <w:tc>
          <w:tcPr>
            <w:tcW w:w="1275" w:type="dxa"/>
            <w:vAlign w:val="bottom"/>
          </w:tcPr>
          <w:p w14:paraId="766ADA81" w14:textId="57A5E958" w:rsidR="00110551" w:rsidRDefault="00110551" w:rsidP="00110551">
            <w:pPr>
              <w:jc w:val="right"/>
              <w:rPr>
                <w:lang w:val="en-US" w:eastAsia="en-AU"/>
              </w:rPr>
            </w:pPr>
            <w:r>
              <w:t xml:space="preserve">             83 </w:t>
            </w:r>
          </w:p>
        </w:tc>
        <w:tc>
          <w:tcPr>
            <w:tcW w:w="1418" w:type="dxa"/>
            <w:vAlign w:val="bottom"/>
          </w:tcPr>
          <w:p w14:paraId="7C4D7142" w14:textId="2485D687" w:rsidR="00110551" w:rsidRDefault="00110551" w:rsidP="00110551">
            <w:pPr>
              <w:jc w:val="right"/>
              <w:rPr>
                <w:lang w:val="en-US" w:eastAsia="en-AU"/>
              </w:rPr>
            </w:pPr>
            <w:r>
              <w:t xml:space="preserve">           75 </w:t>
            </w:r>
          </w:p>
        </w:tc>
        <w:tc>
          <w:tcPr>
            <w:tcW w:w="1642" w:type="dxa"/>
            <w:vAlign w:val="bottom"/>
          </w:tcPr>
          <w:p w14:paraId="41FEEE7B" w14:textId="28F207B0" w:rsidR="00110551" w:rsidRDefault="00110551" w:rsidP="00110551">
            <w:pPr>
              <w:jc w:val="right"/>
              <w:rPr>
                <w:lang w:val="en-US" w:eastAsia="en-AU"/>
              </w:rPr>
            </w:pPr>
            <w:r>
              <w:t xml:space="preserve">              (83)</w:t>
            </w:r>
          </w:p>
        </w:tc>
        <w:tc>
          <w:tcPr>
            <w:tcW w:w="1821" w:type="dxa"/>
            <w:vAlign w:val="bottom"/>
          </w:tcPr>
          <w:p w14:paraId="6C0FC81C" w14:textId="2959601E" w:rsidR="00110551" w:rsidRDefault="00110551" w:rsidP="00110551">
            <w:pPr>
              <w:jc w:val="right"/>
              <w:rPr>
                <w:lang w:val="en-US" w:eastAsia="en-AU"/>
              </w:rPr>
            </w:pPr>
            <w:r>
              <w:t xml:space="preserve">                         8 </w:t>
            </w:r>
          </w:p>
        </w:tc>
      </w:tr>
      <w:tr w:rsidR="00110551" w14:paraId="393582CE" w14:textId="77777777" w:rsidTr="00B02F18">
        <w:tc>
          <w:tcPr>
            <w:tcW w:w="4957" w:type="dxa"/>
            <w:vAlign w:val="center"/>
          </w:tcPr>
          <w:p w14:paraId="3509043E" w14:textId="07F661A8" w:rsidR="00110551" w:rsidRDefault="00110551" w:rsidP="00B02F18">
            <w:pPr>
              <w:rPr>
                <w:lang w:val="en-US" w:eastAsia="en-AU"/>
              </w:rPr>
            </w:pPr>
            <w:r>
              <w:t>Other financial assets</w:t>
            </w:r>
          </w:p>
        </w:tc>
        <w:tc>
          <w:tcPr>
            <w:tcW w:w="1559" w:type="dxa"/>
          </w:tcPr>
          <w:p w14:paraId="35F47DEA" w14:textId="4B14C8CC" w:rsidR="00110551" w:rsidRPr="00110551" w:rsidRDefault="00110551" w:rsidP="00110551">
            <w:pPr>
              <w:jc w:val="center"/>
              <w:rPr>
                <w:b/>
                <w:lang w:val="en-US" w:eastAsia="en-AU"/>
              </w:rPr>
            </w:pPr>
            <w:r>
              <w:rPr>
                <w:b/>
                <w:lang w:val="en-US" w:eastAsia="en-AU"/>
              </w:rPr>
              <w:t>C</w:t>
            </w:r>
          </w:p>
        </w:tc>
        <w:tc>
          <w:tcPr>
            <w:tcW w:w="1276" w:type="dxa"/>
            <w:tcBorders>
              <w:bottom w:val="single" w:sz="4" w:space="0" w:color="auto"/>
            </w:tcBorders>
            <w:vAlign w:val="bottom"/>
          </w:tcPr>
          <w:p w14:paraId="7F8F471B" w14:textId="523092B8" w:rsidR="00110551" w:rsidRDefault="00110551" w:rsidP="00110551">
            <w:pPr>
              <w:jc w:val="right"/>
              <w:rPr>
                <w:lang w:val="en-US" w:eastAsia="en-AU"/>
              </w:rPr>
            </w:pPr>
            <w:r>
              <w:t xml:space="preserve">    18,999 </w:t>
            </w:r>
          </w:p>
        </w:tc>
        <w:tc>
          <w:tcPr>
            <w:tcW w:w="1275" w:type="dxa"/>
            <w:tcBorders>
              <w:bottom w:val="single" w:sz="4" w:space="0" w:color="auto"/>
            </w:tcBorders>
            <w:vAlign w:val="bottom"/>
          </w:tcPr>
          <w:p w14:paraId="36A7D37D" w14:textId="12F5AC43" w:rsidR="00110551" w:rsidRDefault="00110551" w:rsidP="00110551">
            <w:pPr>
              <w:jc w:val="right"/>
              <w:rPr>
                <w:lang w:val="en-US" w:eastAsia="en-AU"/>
              </w:rPr>
            </w:pPr>
            <w:r>
              <w:t xml:space="preserve">      18,024 </w:t>
            </w:r>
          </w:p>
        </w:tc>
        <w:tc>
          <w:tcPr>
            <w:tcW w:w="1418" w:type="dxa"/>
            <w:tcBorders>
              <w:bottom w:val="single" w:sz="4" w:space="0" w:color="auto"/>
            </w:tcBorders>
            <w:vAlign w:val="bottom"/>
          </w:tcPr>
          <w:p w14:paraId="5F6945D7" w14:textId="3D83C937" w:rsidR="00110551" w:rsidRDefault="00110551" w:rsidP="00110551">
            <w:pPr>
              <w:jc w:val="right"/>
              <w:rPr>
                <w:lang w:val="en-US" w:eastAsia="en-AU"/>
              </w:rPr>
            </w:pPr>
            <w:r>
              <w:t xml:space="preserve">     14,529 </w:t>
            </w:r>
          </w:p>
        </w:tc>
        <w:tc>
          <w:tcPr>
            <w:tcW w:w="1642" w:type="dxa"/>
            <w:tcBorders>
              <w:bottom w:val="single" w:sz="4" w:space="0" w:color="auto"/>
            </w:tcBorders>
            <w:vAlign w:val="bottom"/>
          </w:tcPr>
          <w:p w14:paraId="64A9245E" w14:textId="681DBF61" w:rsidR="00110551" w:rsidRDefault="00110551" w:rsidP="00110551">
            <w:pPr>
              <w:jc w:val="right"/>
              <w:rPr>
                <w:lang w:val="en-US" w:eastAsia="en-AU"/>
              </w:rPr>
            </w:pPr>
            <w:r>
              <w:t xml:space="preserve">              975 </w:t>
            </w:r>
          </w:p>
        </w:tc>
        <w:tc>
          <w:tcPr>
            <w:tcW w:w="1821" w:type="dxa"/>
            <w:tcBorders>
              <w:bottom w:val="single" w:sz="4" w:space="0" w:color="auto"/>
            </w:tcBorders>
            <w:vAlign w:val="bottom"/>
          </w:tcPr>
          <w:p w14:paraId="47E50D21" w14:textId="64C9397C" w:rsidR="00110551" w:rsidRDefault="00110551" w:rsidP="00110551">
            <w:pPr>
              <w:jc w:val="right"/>
              <w:rPr>
                <w:lang w:val="en-US" w:eastAsia="en-AU"/>
              </w:rPr>
            </w:pPr>
            <w:r>
              <w:t xml:space="preserve">                  3,495 </w:t>
            </w:r>
          </w:p>
        </w:tc>
      </w:tr>
      <w:tr w:rsidR="00110551" w14:paraId="58ADF136" w14:textId="77777777" w:rsidTr="00B02F18">
        <w:tc>
          <w:tcPr>
            <w:tcW w:w="4957" w:type="dxa"/>
            <w:vAlign w:val="center"/>
          </w:tcPr>
          <w:p w14:paraId="54E7EE2E" w14:textId="120D30B1" w:rsidR="00110551" w:rsidRDefault="00110551" w:rsidP="00B02F18">
            <w:pPr>
              <w:rPr>
                <w:lang w:val="en-US" w:eastAsia="en-AU"/>
              </w:rPr>
            </w:pPr>
            <w:r>
              <w:rPr>
                <w:b/>
                <w:bCs/>
              </w:rPr>
              <w:t>Total Current Assets</w:t>
            </w:r>
          </w:p>
        </w:tc>
        <w:tc>
          <w:tcPr>
            <w:tcW w:w="1559" w:type="dxa"/>
          </w:tcPr>
          <w:p w14:paraId="60A93047" w14:textId="77777777" w:rsidR="00110551" w:rsidRDefault="00110551" w:rsidP="00110551">
            <w:pPr>
              <w:rPr>
                <w:lang w:val="en-US" w:eastAsia="en-AU"/>
              </w:rPr>
            </w:pPr>
          </w:p>
        </w:tc>
        <w:tc>
          <w:tcPr>
            <w:tcW w:w="1276" w:type="dxa"/>
            <w:tcBorders>
              <w:top w:val="single" w:sz="4" w:space="0" w:color="auto"/>
              <w:bottom w:val="single" w:sz="4" w:space="0" w:color="auto"/>
            </w:tcBorders>
            <w:vAlign w:val="bottom"/>
          </w:tcPr>
          <w:p w14:paraId="55ADFE44" w14:textId="2C798A3E" w:rsidR="00110551" w:rsidRDefault="00110551" w:rsidP="00110551">
            <w:pPr>
              <w:jc w:val="right"/>
              <w:rPr>
                <w:lang w:val="en-US" w:eastAsia="en-AU"/>
              </w:rPr>
            </w:pPr>
            <w:r>
              <w:rPr>
                <w:b/>
                <w:bCs/>
              </w:rPr>
              <w:t xml:space="preserve">   108,896 </w:t>
            </w:r>
          </w:p>
        </w:tc>
        <w:tc>
          <w:tcPr>
            <w:tcW w:w="1275" w:type="dxa"/>
            <w:tcBorders>
              <w:top w:val="single" w:sz="4" w:space="0" w:color="auto"/>
              <w:bottom w:val="single" w:sz="4" w:space="0" w:color="auto"/>
            </w:tcBorders>
            <w:vAlign w:val="bottom"/>
          </w:tcPr>
          <w:p w14:paraId="0F0054D1" w14:textId="75DE5144" w:rsidR="00110551" w:rsidRDefault="00110551" w:rsidP="00110551">
            <w:pPr>
              <w:jc w:val="right"/>
              <w:rPr>
                <w:lang w:val="en-US" w:eastAsia="en-AU"/>
              </w:rPr>
            </w:pPr>
            <w:r>
              <w:rPr>
                <w:b/>
                <w:bCs/>
              </w:rPr>
              <w:t xml:space="preserve">     114,167 </w:t>
            </w:r>
          </w:p>
        </w:tc>
        <w:tc>
          <w:tcPr>
            <w:tcW w:w="1418" w:type="dxa"/>
            <w:tcBorders>
              <w:top w:val="single" w:sz="4" w:space="0" w:color="auto"/>
              <w:bottom w:val="single" w:sz="4" w:space="0" w:color="auto"/>
            </w:tcBorders>
            <w:vAlign w:val="bottom"/>
          </w:tcPr>
          <w:p w14:paraId="1AC28ECD" w14:textId="03CB2A76" w:rsidR="00110551" w:rsidRDefault="00110551" w:rsidP="00110551">
            <w:pPr>
              <w:jc w:val="right"/>
              <w:rPr>
                <w:lang w:val="en-US" w:eastAsia="en-AU"/>
              </w:rPr>
            </w:pPr>
            <w:r>
              <w:rPr>
                <w:b/>
                <w:bCs/>
              </w:rPr>
              <w:t xml:space="preserve">   111,995 </w:t>
            </w:r>
          </w:p>
        </w:tc>
        <w:tc>
          <w:tcPr>
            <w:tcW w:w="1642" w:type="dxa"/>
            <w:tcBorders>
              <w:top w:val="single" w:sz="4" w:space="0" w:color="auto"/>
              <w:bottom w:val="single" w:sz="4" w:space="0" w:color="auto"/>
            </w:tcBorders>
            <w:vAlign w:val="bottom"/>
          </w:tcPr>
          <w:p w14:paraId="34ECFCC8" w14:textId="5843E146" w:rsidR="00110551" w:rsidRDefault="00110551" w:rsidP="00110551">
            <w:pPr>
              <w:jc w:val="right"/>
              <w:rPr>
                <w:lang w:val="en-US" w:eastAsia="en-AU"/>
              </w:rPr>
            </w:pPr>
            <w:r>
              <w:rPr>
                <w:b/>
                <w:bCs/>
              </w:rPr>
              <w:t xml:space="preserve">          (5,271)</w:t>
            </w:r>
          </w:p>
        </w:tc>
        <w:tc>
          <w:tcPr>
            <w:tcW w:w="1821" w:type="dxa"/>
            <w:tcBorders>
              <w:top w:val="single" w:sz="4" w:space="0" w:color="auto"/>
              <w:bottom w:val="single" w:sz="4" w:space="0" w:color="auto"/>
            </w:tcBorders>
            <w:vAlign w:val="bottom"/>
          </w:tcPr>
          <w:p w14:paraId="02AA41E0" w14:textId="16AF3B0B" w:rsidR="00110551" w:rsidRDefault="00110551" w:rsidP="00110551">
            <w:pPr>
              <w:jc w:val="right"/>
              <w:rPr>
                <w:lang w:val="en-US" w:eastAsia="en-AU"/>
              </w:rPr>
            </w:pPr>
            <w:r>
              <w:rPr>
                <w:b/>
                <w:bCs/>
              </w:rPr>
              <w:t xml:space="preserve">                  2,172 </w:t>
            </w:r>
          </w:p>
        </w:tc>
      </w:tr>
      <w:tr w:rsidR="00DA1F1E" w14:paraId="74584271" w14:textId="77777777" w:rsidTr="00110551">
        <w:tc>
          <w:tcPr>
            <w:tcW w:w="4957" w:type="dxa"/>
            <w:vAlign w:val="center"/>
          </w:tcPr>
          <w:p w14:paraId="240B7F5C" w14:textId="77777777" w:rsidR="00DA1F1E" w:rsidRDefault="00DA1F1E" w:rsidP="00DA1F1E">
            <w:pPr>
              <w:rPr>
                <w:lang w:val="en-US" w:eastAsia="en-AU"/>
              </w:rPr>
            </w:pPr>
          </w:p>
        </w:tc>
        <w:tc>
          <w:tcPr>
            <w:tcW w:w="1559" w:type="dxa"/>
          </w:tcPr>
          <w:p w14:paraId="6821B5A0" w14:textId="77777777" w:rsidR="00DA1F1E" w:rsidRDefault="00DA1F1E" w:rsidP="00DA1F1E">
            <w:pPr>
              <w:rPr>
                <w:lang w:val="en-US" w:eastAsia="en-AU"/>
              </w:rPr>
            </w:pPr>
          </w:p>
        </w:tc>
        <w:tc>
          <w:tcPr>
            <w:tcW w:w="1276" w:type="dxa"/>
            <w:tcBorders>
              <w:top w:val="single" w:sz="4" w:space="0" w:color="auto"/>
            </w:tcBorders>
          </w:tcPr>
          <w:p w14:paraId="7041A6B8" w14:textId="77777777" w:rsidR="00DA1F1E" w:rsidRDefault="00DA1F1E" w:rsidP="00DA1F1E">
            <w:pPr>
              <w:rPr>
                <w:lang w:val="en-US" w:eastAsia="en-AU"/>
              </w:rPr>
            </w:pPr>
          </w:p>
        </w:tc>
        <w:tc>
          <w:tcPr>
            <w:tcW w:w="1275" w:type="dxa"/>
            <w:tcBorders>
              <w:top w:val="single" w:sz="4" w:space="0" w:color="auto"/>
            </w:tcBorders>
          </w:tcPr>
          <w:p w14:paraId="21A5DAC1" w14:textId="77777777" w:rsidR="00DA1F1E" w:rsidRDefault="00DA1F1E" w:rsidP="00DA1F1E">
            <w:pPr>
              <w:rPr>
                <w:lang w:val="en-US" w:eastAsia="en-AU"/>
              </w:rPr>
            </w:pPr>
          </w:p>
        </w:tc>
        <w:tc>
          <w:tcPr>
            <w:tcW w:w="1418" w:type="dxa"/>
            <w:tcBorders>
              <w:top w:val="single" w:sz="4" w:space="0" w:color="auto"/>
            </w:tcBorders>
          </w:tcPr>
          <w:p w14:paraId="72C5E5F7" w14:textId="77777777" w:rsidR="00DA1F1E" w:rsidRDefault="00DA1F1E" w:rsidP="00DA1F1E">
            <w:pPr>
              <w:rPr>
                <w:lang w:val="en-US" w:eastAsia="en-AU"/>
              </w:rPr>
            </w:pPr>
          </w:p>
        </w:tc>
        <w:tc>
          <w:tcPr>
            <w:tcW w:w="1642" w:type="dxa"/>
            <w:tcBorders>
              <w:top w:val="single" w:sz="4" w:space="0" w:color="auto"/>
            </w:tcBorders>
          </w:tcPr>
          <w:p w14:paraId="2D143C5A" w14:textId="77777777" w:rsidR="00DA1F1E" w:rsidRDefault="00DA1F1E" w:rsidP="00DA1F1E">
            <w:pPr>
              <w:rPr>
                <w:lang w:val="en-US" w:eastAsia="en-AU"/>
              </w:rPr>
            </w:pPr>
          </w:p>
        </w:tc>
        <w:tc>
          <w:tcPr>
            <w:tcW w:w="1821" w:type="dxa"/>
            <w:tcBorders>
              <w:top w:val="single" w:sz="4" w:space="0" w:color="auto"/>
            </w:tcBorders>
          </w:tcPr>
          <w:p w14:paraId="7C5C19D7" w14:textId="77777777" w:rsidR="00DA1F1E" w:rsidRDefault="00DA1F1E" w:rsidP="00DA1F1E">
            <w:pPr>
              <w:rPr>
                <w:lang w:val="en-US" w:eastAsia="en-AU"/>
              </w:rPr>
            </w:pPr>
          </w:p>
        </w:tc>
      </w:tr>
      <w:tr w:rsidR="00DA1F1E" w14:paraId="57B23BC3" w14:textId="77777777" w:rsidTr="00B02F18">
        <w:tc>
          <w:tcPr>
            <w:tcW w:w="4957" w:type="dxa"/>
            <w:vAlign w:val="center"/>
          </w:tcPr>
          <w:p w14:paraId="78F9D445" w14:textId="5B78C52C" w:rsidR="00DA1F1E" w:rsidRPr="00110551" w:rsidRDefault="00110551" w:rsidP="00B02F18">
            <w:pPr>
              <w:rPr>
                <w:b/>
                <w:lang w:val="en-US" w:eastAsia="en-AU"/>
              </w:rPr>
            </w:pPr>
            <w:r>
              <w:rPr>
                <w:b/>
                <w:lang w:val="en-US" w:eastAsia="en-AU"/>
              </w:rPr>
              <w:t>Non-Current Assets</w:t>
            </w:r>
          </w:p>
        </w:tc>
        <w:tc>
          <w:tcPr>
            <w:tcW w:w="1559" w:type="dxa"/>
          </w:tcPr>
          <w:p w14:paraId="23515893" w14:textId="77777777" w:rsidR="00DA1F1E" w:rsidRDefault="00DA1F1E" w:rsidP="00DA1F1E">
            <w:pPr>
              <w:rPr>
                <w:lang w:val="en-US" w:eastAsia="en-AU"/>
              </w:rPr>
            </w:pPr>
          </w:p>
        </w:tc>
        <w:tc>
          <w:tcPr>
            <w:tcW w:w="1276" w:type="dxa"/>
          </w:tcPr>
          <w:p w14:paraId="02BFBC79" w14:textId="77777777" w:rsidR="00DA1F1E" w:rsidRDefault="00DA1F1E" w:rsidP="00DA1F1E">
            <w:pPr>
              <w:rPr>
                <w:lang w:val="en-US" w:eastAsia="en-AU"/>
              </w:rPr>
            </w:pPr>
          </w:p>
        </w:tc>
        <w:tc>
          <w:tcPr>
            <w:tcW w:w="1275" w:type="dxa"/>
          </w:tcPr>
          <w:p w14:paraId="10AE22DC" w14:textId="77777777" w:rsidR="00DA1F1E" w:rsidRDefault="00DA1F1E" w:rsidP="00DA1F1E">
            <w:pPr>
              <w:rPr>
                <w:lang w:val="en-US" w:eastAsia="en-AU"/>
              </w:rPr>
            </w:pPr>
          </w:p>
        </w:tc>
        <w:tc>
          <w:tcPr>
            <w:tcW w:w="1418" w:type="dxa"/>
          </w:tcPr>
          <w:p w14:paraId="037C0E8C" w14:textId="77777777" w:rsidR="00DA1F1E" w:rsidRDefault="00DA1F1E" w:rsidP="00DA1F1E">
            <w:pPr>
              <w:rPr>
                <w:lang w:val="en-US" w:eastAsia="en-AU"/>
              </w:rPr>
            </w:pPr>
          </w:p>
        </w:tc>
        <w:tc>
          <w:tcPr>
            <w:tcW w:w="1642" w:type="dxa"/>
          </w:tcPr>
          <w:p w14:paraId="4946B2F4" w14:textId="77777777" w:rsidR="00DA1F1E" w:rsidRDefault="00DA1F1E" w:rsidP="00DA1F1E">
            <w:pPr>
              <w:rPr>
                <w:lang w:val="en-US" w:eastAsia="en-AU"/>
              </w:rPr>
            </w:pPr>
          </w:p>
        </w:tc>
        <w:tc>
          <w:tcPr>
            <w:tcW w:w="1821" w:type="dxa"/>
          </w:tcPr>
          <w:p w14:paraId="384C06EB" w14:textId="77777777" w:rsidR="00DA1F1E" w:rsidRDefault="00DA1F1E" w:rsidP="00DA1F1E">
            <w:pPr>
              <w:rPr>
                <w:lang w:val="en-US" w:eastAsia="en-AU"/>
              </w:rPr>
            </w:pPr>
          </w:p>
        </w:tc>
      </w:tr>
      <w:tr w:rsidR="00110551" w14:paraId="65F50D97" w14:textId="77777777" w:rsidTr="00B02F18">
        <w:tc>
          <w:tcPr>
            <w:tcW w:w="4957" w:type="dxa"/>
            <w:vAlign w:val="center"/>
          </w:tcPr>
          <w:p w14:paraId="6BAB923C" w14:textId="555046B8" w:rsidR="00110551" w:rsidRDefault="00110551" w:rsidP="00B02F18">
            <w:pPr>
              <w:rPr>
                <w:lang w:val="en-US" w:eastAsia="en-AU"/>
              </w:rPr>
            </w:pPr>
            <w:r>
              <w:t>Property, plant, equipment &amp; vehicles</w:t>
            </w:r>
          </w:p>
        </w:tc>
        <w:tc>
          <w:tcPr>
            <w:tcW w:w="1559" w:type="dxa"/>
          </w:tcPr>
          <w:p w14:paraId="3016054E" w14:textId="77777777" w:rsidR="00110551" w:rsidRDefault="00110551" w:rsidP="00110551">
            <w:pPr>
              <w:rPr>
                <w:lang w:val="en-US" w:eastAsia="en-AU"/>
              </w:rPr>
            </w:pPr>
          </w:p>
        </w:tc>
        <w:tc>
          <w:tcPr>
            <w:tcW w:w="1276" w:type="dxa"/>
            <w:vAlign w:val="bottom"/>
          </w:tcPr>
          <w:p w14:paraId="57D63E67" w14:textId="5742E975" w:rsidR="00110551" w:rsidRDefault="00110551" w:rsidP="00110551">
            <w:pPr>
              <w:jc w:val="right"/>
              <w:rPr>
                <w:lang w:val="en-US" w:eastAsia="en-AU"/>
              </w:rPr>
            </w:pPr>
            <w:r>
              <w:t xml:space="preserve">    19,624 </w:t>
            </w:r>
          </w:p>
        </w:tc>
        <w:tc>
          <w:tcPr>
            <w:tcW w:w="1275" w:type="dxa"/>
            <w:vAlign w:val="bottom"/>
          </w:tcPr>
          <w:p w14:paraId="5124D0AE" w14:textId="42D84263" w:rsidR="00110551" w:rsidRDefault="00110551" w:rsidP="00110551">
            <w:pPr>
              <w:jc w:val="right"/>
              <w:rPr>
                <w:lang w:val="en-US" w:eastAsia="en-AU"/>
              </w:rPr>
            </w:pPr>
            <w:r>
              <w:t xml:space="preserve">      18,010 </w:t>
            </w:r>
          </w:p>
        </w:tc>
        <w:tc>
          <w:tcPr>
            <w:tcW w:w="1418" w:type="dxa"/>
            <w:vAlign w:val="bottom"/>
          </w:tcPr>
          <w:p w14:paraId="0C668632" w14:textId="7DB0DC31" w:rsidR="00110551" w:rsidRDefault="00110551" w:rsidP="00110551">
            <w:pPr>
              <w:jc w:val="right"/>
              <w:rPr>
                <w:lang w:val="en-US" w:eastAsia="en-AU"/>
              </w:rPr>
            </w:pPr>
            <w:r>
              <w:t xml:space="preserve">     17,782 </w:t>
            </w:r>
          </w:p>
        </w:tc>
        <w:tc>
          <w:tcPr>
            <w:tcW w:w="1642" w:type="dxa"/>
            <w:vAlign w:val="bottom"/>
          </w:tcPr>
          <w:p w14:paraId="5436DD9E" w14:textId="31E1EE2A" w:rsidR="00110551" w:rsidRDefault="00110551" w:rsidP="00110551">
            <w:pPr>
              <w:jc w:val="right"/>
              <w:rPr>
                <w:lang w:val="en-US" w:eastAsia="en-AU"/>
              </w:rPr>
            </w:pPr>
            <w:r>
              <w:t xml:space="preserve">           1,614 </w:t>
            </w:r>
          </w:p>
        </w:tc>
        <w:tc>
          <w:tcPr>
            <w:tcW w:w="1821" w:type="dxa"/>
            <w:vAlign w:val="bottom"/>
          </w:tcPr>
          <w:p w14:paraId="57E0CBBE" w14:textId="0FC12C36" w:rsidR="00110551" w:rsidRDefault="00110551" w:rsidP="00110551">
            <w:pPr>
              <w:jc w:val="right"/>
              <w:rPr>
                <w:lang w:val="en-US" w:eastAsia="en-AU"/>
              </w:rPr>
            </w:pPr>
            <w:r>
              <w:t xml:space="preserve">                     228 </w:t>
            </w:r>
          </w:p>
        </w:tc>
      </w:tr>
      <w:tr w:rsidR="00110551" w14:paraId="60634DEF" w14:textId="77777777" w:rsidTr="00B02F18">
        <w:tc>
          <w:tcPr>
            <w:tcW w:w="4957" w:type="dxa"/>
            <w:vAlign w:val="center"/>
          </w:tcPr>
          <w:p w14:paraId="05174455" w14:textId="03B5ED1E" w:rsidR="00110551" w:rsidRDefault="00110551" w:rsidP="00B02F18">
            <w:pPr>
              <w:rPr>
                <w:lang w:val="en-US" w:eastAsia="en-AU"/>
              </w:rPr>
            </w:pPr>
            <w:r>
              <w:t>Intangible assets</w:t>
            </w:r>
          </w:p>
        </w:tc>
        <w:tc>
          <w:tcPr>
            <w:tcW w:w="1559" w:type="dxa"/>
          </w:tcPr>
          <w:p w14:paraId="68A528A0" w14:textId="77777777" w:rsidR="00110551" w:rsidRDefault="00110551" w:rsidP="00110551">
            <w:pPr>
              <w:rPr>
                <w:lang w:val="en-US" w:eastAsia="en-AU"/>
              </w:rPr>
            </w:pPr>
          </w:p>
        </w:tc>
        <w:tc>
          <w:tcPr>
            <w:tcW w:w="1276" w:type="dxa"/>
            <w:tcBorders>
              <w:bottom w:val="single" w:sz="4" w:space="0" w:color="auto"/>
            </w:tcBorders>
            <w:vAlign w:val="bottom"/>
          </w:tcPr>
          <w:p w14:paraId="2314615C" w14:textId="3D030E33" w:rsidR="00110551" w:rsidRDefault="00110551" w:rsidP="00110551">
            <w:pPr>
              <w:jc w:val="right"/>
              <w:rPr>
                <w:lang w:val="en-US" w:eastAsia="en-AU"/>
              </w:rPr>
            </w:pPr>
            <w:r>
              <w:t xml:space="preserve">      2,134 </w:t>
            </w:r>
          </w:p>
        </w:tc>
        <w:tc>
          <w:tcPr>
            <w:tcW w:w="1275" w:type="dxa"/>
            <w:tcBorders>
              <w:bottom w:val="single" w:sz="4" w:space="0" w:color="auto"/>
            </w:tcBorders>
            <w:vAlign w:val="bottom"/>
          </w:tcPr>
          <w:p w14:paraId="5FE7DB17" w14:textId="7D779E43" w:rsidR="00110551" w:rsidRDefault="00110551" w:rsidP="00110551">
            <w:pPr>
              <w:jc w:val="right"/>
              <w:rPr>
                <w:lang w:val="en-US" w:eastAsia="en-AU"/>
              </w:rPr>
            </w:pPr>
            <w:r>
              <w:t xml:space="preserve">        2,037 </w:t>
            </w:r>
          </w:p>
        </w:tc>
        <w:tc>
          <w:tcPr>
            <w:tcW w:w="1418" w:type="dxa"/>
            <w:tcBorders>
              <w:bottom w:val="single" w:sz="4" w:space="0" w:color="auto"/>
            </w:tcBorders>
            <w:vAlign w:val="bottom"/>
          </w:tcPr>
          <w:p w14:paraId="5CCCE4EF" w14:textId="04FC4548" w:rsidR="00110551" w:rsidRDefault="00110551" w:rsidP="00110551">
            <w:pPr>
              <w:jc w:val="right"/>
              <w:rPr>
                <w:lang w:val="en-US" w:eastAsia="en-AU"/>
              </w:rPr>
            </w:pPr>
            <w:r>
              <w:t xml:space="preserve">       2,485 </w:t>
            </w:r>
          </w:p>
        </w:tc>
        <w:tc>
          <w:tcPr>
            <w:tcW w:w="1642" w:type="dxa"/>
            <w:tcBorders>
              <w:bottom w:val="single" w:sz="4" w:space="0" w:color="auto"/>
            </w:tcBorders>
            <w:vAlign w:val="bottom"/>
          </w:tcPr>
          <w:p w14:paraId="3B778E06" w14:textId="437A8CB6" w:rsidR="00110551" w:rsidRDefault="00110551" w:rsidP="00110551">
            <w:pPr>
              <w:jc w:val="right"/>
              <w:rPr>
                <w:lang w:val="en-US" w:eastAsia="en-AU"/>
              </w:rPr>
            </w:pPr>
            <w:r>
              <w:t xml:space="preserve">               97 </w:t>
            </w:r>
          </w:p>
        </w:tc>
        <w:tc>
          <w:tcPr>
            <w:tcW w:w="1821" w:type="dxa"/>
            <w:tcBorders>
              <w:bottom w:val="single" w:sz="4" w:space="0" w:color="auto"/>
            </w:tcBorders>
            <w:vAlign w:val="bottom"/>
          </w:tcPr>
          <w:p w14:paraId="749056EA" w14:textId="00C9D9C1" w:rsidR="00110551" w:rsidRDefault="00110551" w:rsidP="00110551">
            <w:pPr>
              <w:jc w:val="right"/>
              <w:rPr>
                <w:lang w:val="en-US" w:eastAsia="en-AU"/>
              </w:rPr>
            </w:pPr>
            <w:r>
              <w:t xml:space="preserve">                    (448)</w:t>
            </w:r>
          </w:p>
        </w:tc>
      </w:tr>
      <w:tr w:rsidR="00110551" w14:paraId="5155A68F" w14:textId="77777777" w:rsidTr="00B02F18">
        <w:tc>
          <w:tcPr>
            <w:tcW w:w="4957" w:type="dxa"/>
            <w:vAlign w:val="center"/>
          </w:tcPr>
          <w:p w14:paraId="5CB1BEA3" w14:textId="25A1B6EC" w:rsidR="00110551" w:rsidRPr="00110551" w:rsidRDefault="00110551" w:rsidP="00B02F18">
            <w:pPr>
              <w:rPr>
                <w:b/>
                <w:lang w:eastAsia="en-AU"/>
              </w:rPr>
            </w:pPr>
            <w:r w:rsidRPr="00110551">
              <w:rPr>
                <w:b/>
              </w:rPr>
              <w:t>Total Non-Current Assets</w:t>
            </w:r>
          </w:p>
        </w:tc>
        <w:tc>
          <w:tcPr>
            <w:tcW w:w="1559" w:type="dxa"/>
          </w:tcPr>
          <w:p w14:paraId="29EB53E0" w14:textId="77777777" w:rsidR="00110551" w:rsidRDefault="00110551" w:rsidP="00110551">
            <w:pPr>
              <w:rPr>
                <w:lang w:val="en-US" w:eastAsia="en-AU"/>
              </w:rPr>
            </w:pPr>
          </w:p>
        </w:tc>
        <w:tc>
          <w:tcPr>
            <w:tcW w:w="1276" w:type="dxa"/>
            <w:tcBorders>
              <w:top w:val="single" w:sz="4" w:space="0" w:color="auto"/>
              <w:bottom w:val="single" w:sz="4" w:space="0" w:color="auto"/>
            </w:tcBorders>
            <w:vAlign w:val="bottom"/>
          </w:tcPr>
          <w:p w14:paraId="43FD77FD" w14:textId="6D98F7E9" w:rsidR="00110551" w:rsidRPr="00110551" w:rsidRDefault="00110551" w:rsidP="00110551">
            <w:pPr>
              <w:jc w:val="right"/>
              <w:rPr>
                <w:b/>
                <w:lang w:val="en-US" w:eastAsia="en-AU"/>
              </w:rPr>
            </w:pPr>
            <w:r w:rsidRPr="00110551">
              <w:rPr>
                <w:b/>
              </w:rPr>
              <w:t xml:space="preserve">    21,758 </w:t>
            </w:r>
          </w:p>
        </w:tc>
        <w:tc>
          <w:tcPr>
            <w:tcW w:w="1275" w:type="dxa"/>
            <w:tcBorders>
              <w:top w:val="single" w:sz="4" w:space="0" w:color="auto"/>
              <w:bottom w:val="single" w:sz="4" w:space="0" w:color="auto"/>
            </w:tcBorders>
            <w:vAlign w:val="bottom"/>
          </w:tcPr>
          <w:p w14:paraId="6DF106EA" w14:textId="206BA074" w:rsidR="00110551" w:rsidRPr="00110551" w:rsidRDefault="00110551" w:rsidP="00110551">
            <w:pPr>
              <w:jc w:val="right"/>
              <w:rPr>
                <w:b/>
                <w:lang w:val="en-US" w:eastAsia="en-AU"/>
              </w:rPr>
            </w:pPr>
            <w:r w:rsidRPr="00110551">
              <w:rPr>
                <w:b/>
              </w:rPr>
              <w:t xml:space="preserve">      20,047 </w:t>
            </w:r>
          </w:p>
        </w:tc>
        <w:tc>
          <w:tcPr>
            <w:tcW w:w="1418" w:type="dxa"/>
            <w:tcBorders>
              <w:top w:val="single" w:sz="4" w:space="0" w:color="auto"/>
              <w:bottom w:val="single" w:sz="4" w:space="0" w:color="auto"/>
            </w:tcBorders>
            <w:vAlign w:val="bottom"/>
          </w:tcPr>
          <w:p w14:paraId="52A32F53" w14:textId="5BF750E4" w:rsidR="00110551" w:rsidRPr="00110551" w:rsidRDefault="00110551" w:rsidP="00110551">
            <w:pPr>
              <w:jc w:val="right"/>
              <w:rPr>
                <w:b/>
                <w:lang w:val="en-US" w:eastAsia="en-AU"/>
              </w:rPr>
            </w:pPr>
            <w:r w:rsidRPr="00110551">
              <w:rPr>
                <w:b/>
              </w:rPr>
              <w:t xml:space="preserve">     20,267 </w:t>
            </w:r>
          </w:p>
        </w:tc>
        <w:tc>
          <w:tcPr>
            <w:tcW w:w="1642" w:type="dxa"/>
            <w:tcBorders>
              <w:top w:val="single" w:sz="4" w:space="0" w:color="auto"/>
              <w:bottom w:val="single" w:sz="4" w:space="0" w:color="auto"/>
            </w:tcBorders>
            <w:vAlign w:val="bottom"/>
          </w:tcPr>
          <w:p w14:paraId="595B67C8" w14:textId="39E710FF" w:rsidR="00110551" w:rsidRPr="00110551" w:rsidRDefault="00110551" w:rsidP="00110551">
            <w:pPr>
              <w:jc w:val="right"/>
              <w:rPr>
                <w:b/>
                <w:lang w:val="en-US" w:eastAsia="en-AU"/>
              </w:rPr>
            </w:pPr>
            <w:r w:rsidRPr="00110551">
              <w:rPr>
                <w:b/>
              </w:rPr>
              <w:t xml:space="preserve">           1,711 </w:t>
            </w:r>
          </w:p>
        </w:tc>
        <w:tc>
          <w:tcPr>
            <w:tcW w:w="1821" w:type="dxa"/>
            <w:tcBorders>
              <w:top w:val="single" w:sz="4" w:space="0" w:color="auto"/>
              <w:bottom w:val="single" w:sz="4" w:space="0" w:color="auto"/>
            </w:tcBorders>
            <w:vAlign w:val="bottom"/>
          </w:tcPr>
          <w:p w14:paraId="22A93B53" w14:textId="7083DC21" w:rsidR="00110551" w:rsidRPr="00110551" w:rsidRDefault="00110551" w:rsidP="00110551">
            <w:pPr>
              <w:jc w:val="right"/>
              <w:rPr>
                <w:b/>
                <w:lang w:val="en-US" w:eastAsia="en-AU"/>
              </w:rPr>
            </w:pPr>
            <w:r w:rsidRPr="00110551">
              <w:rPr>
                <w:b/>
              </w:rPr>
              <w:t xml:space="preserve">                    (220)</w:t>
            </w:r>
          </w:p>
        </w:tc>
      </w:tr>
      <w:tr w:rsidR="00110551" w14:paraId="1F5548A4" w14:textId="77777777" w:rsidTr="00B02F18">
        <w:tc>
          <w:tcPr>
            <w:tcW w:w="4957" w:type="dxa"/>
            <w:vAlign w:val="center"/>
          </w:tcPr>
          <w:p w14:paraId="5DE399C2" w14:textId="7D024665" w:rsidR="00110551" w:rsidRPr="00110551" w:rsidRDefault="00110551" w:rsidP="00B02F18">
            <w:pPr>
              <w:rPr>
                <w:b/>
                <w:lang w:eastAsia="en-AU"/>
              </w:rPr>
            </w:pPr>
            <w:r w:rsidRPr="00110551">
              <w:rPr>
                <w:b/>
              </w:rPr>
              <w:t>Total Assets</w:t>
            </w:r>
          </w:p>
        </w:tc>
        <w:tc>
          <w:tcPr>
            <w:tcW w:w="1559" w:type="dxa"/>
          </w:tcPr>
          <w:p w14:paraId="7F8E9132" w14:textId="77777777" w:rsidR="00110551" w:rsidRDefault="00110551" w:rsidP="00110551">
            <w:pPr>
              <w:rPr>
                <w:lang w:val="en-US" w:eastAsia="en-AU"/>
              </w:rPr>
            </w:pPr>
          </w:p>
        </w:tc>
        <w:tc>
          <w:tcPr>
            <w:tcW w:w="1276" w:type="dxa"/>
            <w:tcBorders>
              <w:top w:val="single" w:sz="4" w:space="0" w:color="auto"/>
              <w:bottom w:val="double" w:sz="4" w:space="0" w:color="auto"/>
            </w:tcBorders>
            <w:vAlign w:val="bottom"/>
          </w:tcPr>
          <w:p w14:paraId="1B6536AF" w14:textId="64DAD6C9" w:rsidR="00110551" w:rsidRPr="00110551" w:rsidRDefault="00110551" w:rsidP="00110551">
            <w:pPr>
              <w:jc w:val="right"/>
              <w:rPr>
                <w:b/>
                <w:lang w:val="en-US" w:eastAsia="en-AU"/>
              </w:rPr>
            </w:pPr>
            <w:r w:rsidRPr="00110551">
              <w:rPr>
                <w:b/>
              </w:rPr>
              <w:t xml:space="preserve">   130,654 </w:t>
            </w:r>
          </w:p>
        </w:tc>
        <w:tc>
          <w:tcPr>
            <w:tcW w:w="1275" w:type="dxa"/>
            <w:tcBorders>
              <w:top w:val="single" w:sz="4" w:space="0" w:color="auto"/>
              <w:bottom w:val="double" w:sz="4" w:space="0" w:color="auto"/>
            </w:tcBorders>
            <w:vAlign w:val="bottom"/>
          </w:tcPr>
          <w:p w14:paraId="14EF9372" w14:textId="3A6EBEE0" w:rsidR="00110551" w:rsidRPr="00110551" w:rsidRDefault="00110551" w:rsidP="00110551">
            <w:pPr>
              <w:jc w:val="right"/>
              <w:rPr>
                <w:b/>
                <w:lang w:val="en-US" w:eastAsia="en-AU"/>
              </w:rPr>
            </w:pPr>
            <w:r w:rsidRPr="00110551">
              <w:rPr>
                <w:b/>
              </w:rPr>
              <w:t xml:space="preserve">     134,214 </w:t>
            </w:r>
          </w:p>
        </w:tc>
        <w:tc>
          <w:tcPr>
            <w:tcW w:w="1418" w:type="dxa"/>
            <w:tcBorders>
              <w:top w:val="single" w:sz="4" w:space="0" w:color="auto"/>
              <w:bottom w:val="double" w:sz="4" w:space="0" w:color="auto"/>
            </w:tcBorders>
            <w:vAlign w:val="bottom"/>
          </w:tcPr>
          <w:p w14:paraId="45F834E9" w14:textId="459D79C1" w:rsidR="00110551" w:rsidRPr="00110551" w:rsidRDefault="00110551" w:rsidP="00110551">
            <w:pPr>
              <w:jc w:val="right"/>
              <w:rPr>
                <w:b/>
                <w:lang w:val="en-US" w:eastAsia="en-AU"/>
              </w:rPr>
            </w:pPr>
            <w:r w:rsidRPr="00110551">
              <w:rPr>
                <w:b/>
              </w:rPr>
              <w:t xml:space="preserve">   132,262 </w:t>
            </w:r>
          </w:p>
        </w:tc>
        <w:tc>
          <w:tcPr>
            <w:tcW w:w="1642" w:type="dxa"/>
            <w:tcBorders>
              <w:top w:val="single" w:sz="4" w:space="0" w:color="auto"/>
              <w:bottom w:val="double" w:sz="4" w:space="0" w:color="auto"/>
            </w:tcBorders>
            <w:vAlign w:val="bottom"/>
          </w:tcPr>
          <w:p w14:paraId="5E12A6D5" w14:textId="4554CDE9" w:rsidR="00110551" w:rsidRPr="00110551" w:rsidRDefault="00110551" w:rsidP="00110551">
            <w:pPr>
              <w:jc w:val="right"/>
              <w:rPr>
                <w:b/>
                <w:lang w:val="en-US" w:eastAsia="en-AU"/>
              </w:rPr>
            </w:pPr>
            <w:r w:rsidRPr="00110551">
              <w:rPr>
                <w:b/>
              </w:rPr>
              <w:t xml:space="preserve">          (3,560)</w:t>
            </w:r>
          </w:p>
        </w:tc>
        <w:tc>
          <w:tcPr>
            <w:tcW w:w="1821" w:type="dxa"/>
            <w:tcBorders>
              <w:top w:val="single" w:sz="4" w:space="0" w:color="auto"/>
              <w:bottom w:val="double" w:sz="4" w:space="0" w:color="auto"/>
            </w:tcBorders>
            <w:vAlign w:val="bottom"/>
          </w:tcPr>
          <w:p w14:paraId="0C973191" w14:textId="616C3397" w:rsidR="00110551" w:rsidRPr="00110551" w:rsidRDefault="00110551" w:rsidP="00110551">
            <w:pPr>
              <w:jc w:val="right"/>
              <w:rPr>
                <w:b/>
                <w:lang w:val="en-US" w:eastAsia="en-AU"/>
              </w:rPr>
            </w:pPr>
            <w:r w:rsidRPr="00110551">
              <w:rPr>
                <w:b/>
              </w:rPr>
              <w:t xml:space="preserve">                  1,952 </w:t>
            </w:r>
          </w:p>
        </w:tc>
      </w:tr>
      <w:tr w:rsidR="00DA1F1E" w14:paraId="7AC08380" w14:textId="77777777" w:rsidTr="00B02F18">
        <w:tc>
          <w:tcPr>
            <w:tcW w:w="4957" w:type="dxa"/>
            <w:vAlign w:val="center"/>
          </w:tcPr>
          <w:p w14:paraId="25D08190" w14:textId="1FCCC61A" w:rsidR="00DA1F1E" w:rsidRPr="00110551" w:rsidRDefault="00110551" w:rsidP="00B02F18">
            <w:pPr>
              <w:rPr>
                <w:b/>
                <w:lang w:val="en-US" w:eastAsia="en-AU"/>
              </w:rPr>
            </w:pPr>
            <w:r>
              <w:rPr>
                <w:b/>
                <w:lang w:val="en-US" w:eastAsia="en-AU"/>
              </w:rPr>
              <w:t>LIABILITIES</w:t>
            </w:r>
          </w:p>
        </w:tc>
        <w:tc>
          <w:tcPr>
            <w:tcW w:w="1559" w:type="dxa"/>
          </w:tcPr>
          <w:p w14:paraId="4B073DD0" w14:textId="77777777" w:rsidR="00DA1F1E" w:rsidRDefault="00DA1F1E" w:rsidP="00DA1F1E">
            <w:pPr>
              <w:rPr>
                <w:lang w:val="en-US" w:eastAsia="en-AU"/>
              </w:rPr>
            </w:pPr>
          </w:p>
        </w:tc>
        <w:tc>
          <w:tcPr>
            <w:tcW w:w="1276" w:type="dxa"/>
            <w:tcBorders>
              <w:top w:val="double" w:sz="4" w:space="0" w:color="auto"/>
            </w:tcBorders>
          </w:tcPr>
          <w:p w14:paraId="6FDB3FDB" w14:textId="77777777" w:rsidR="00DA1F1E" w:rsidRDefault="00DA1F1E" w:rsidP="00DA1F1E">
            <w:pPr>
              <w:rPr>
                <w:lang w:val="en-US" w:eastAsia="en-AU"/>
              </w:rPr>
            </w:pPr>
          </w:p>
        </w:tc>
        <w:tc>
          <w:tcPr>
            <w:tcW w:w="1275" w:type="dxa"/>
            <w:tcBorders>
              <w:top w:val="double" w:sz="4" w:space="0" w:color="auto"/>
            </w:tcBorders>
          </w:tcPr>
          <w:p w14:paraId="492DB8F5" w14:textId="77777777" w:rsidR="00DA1F1E" w:rsidRDefault="00DA1F1E" w:rsidP="00DA1F1E">
            <w:pPr>
              <w:rPr>
                <w:lang w:val="en-US" w:eastAsia="en-AU"/>
              </w:rPr>
            </w:pPr>
          </w:p>
        </w:tc>
        <w:tc>
          <w:tcPr>
            <w:tcW w:w="1418" w:type="dxa"/>
            <w:tcBorders>
              <w:top w:val="double" w:sz="4" w:space="0" w:color="auto"/>
            </w:tcBorders>
          </w:tcPr>
          <w:p w14:paraId="7A1D6757" w14:textId="77777777" w:rsidR="00DA1F1E" w:rsidRDefault="00DA1F1E" w:rsidP="00DA1F1E">
            <w:pPr>
              <w:rPr>
                <w:lang w:val="en-US" w:eastAsia="en-AU"/>
              </w:rPr>
            </w:pPr>
          </w:p>
        </w:tc>
        <w:tc>
          <w:tcPr>
            <w:tcW w:w="1642" w:type="dxa"/>
            <w:tcBorders>
              <w:top w:val="double" w:sz="4" w:space="0" w:color="auto"/>
            </w:tcBorders>
          </w:tcPr>
          <w:p w14:paraId="55127ABA" w14:textId="77777777" w:rsidR="00DA1F1E" w:rsidRDefault="00DA1F1E" w:rsidP="00DA1F1E">
            <w:pPr>
              <w:rPr>
                <w:lang w:val="en-US" w:eastAsia="en-AU"/>
              </w:rPr>
            </w:pPr>
          </w:p>
        </w:tc>
        <w:tc>
          <w:tcPr>
            <w:tcW w:w="1821" w:type="dxa"/>
            <w:tcBorders>
              <w:top w:val="double" w:sz="4" w:space="0" w:color="auto"/>
            </w:tcBorders>
          </w:tcPr>
          <w:p w14:paraId="40FB10CE" w14:textId="77777777" w:rsidR="00DA1F1E" w:rsidRDefault="00DA1F1E" w:rsidP="00DA1F1E">
            <w:pPr>
              <w:rPr>
                <w:lang w:val="en-US" w:eastAsia="en-AU"/>
              </w:rPr>
            </w:pPr>
          </w:p>
        </w:tc>
      </w:tr>
      <w:tr w:rsidR="00DA1F1E" w14:paraId="75A28154" w14:textId="77777777" w:rsidTr="00B02F18">
        <w:tc>
          <w:tcPr>
            <w:tcW w:w="4957" w:type="dxa"/>
            <w:vAlign w:val="center"/>
          </w:tcPr>
          <w:p w14:paraId="4681CF71" w14:textId="2C6AC5AB" w:rsidR="00DA1F1E" w:rsidRPr="00110551" w:rsidRDefault="00110551" w:rsidP="00B02F18">
            <w:pPr>
              <w:rPr>
                <w:b/>
                <w:lang w:val="en-US" w:eastAsia="en-AU"/>
              </w:rPr>
            </w:pPr>
            <w:r>
              <w:rPr>
                <w:b/>
                <w:lang w:val="en-US" w:eastAsia="en-AU"/>
              </w:rPr>
              <w:t xml:space="preserve">Current liabilities </w:t>
            </w:r>
          </w:p>
        </w:tc>
        <w:tc>
          <w:tcPr>
            <w:tcW w:w="1559" w:type="dxa"/>
          </w:tcPr>
          <w:p w14:paraId="7D000B52" w14:textId="77777777" w:rsidR="00DA1F1E" w:rsidRDefault="00DA1F1E" w:rsidP="00DA1F1E">
            <w:pPr>
              <w:rPr>
                <w:lang w:val="en-US" w:eastAsia="en-AU"/>
              </w:rPr>
            </w:pPr>
          </w:p>
        </w:tc>
        <w:tc>
          <w:tcPr>
            <w:tcW w:w="1276" w:type="dxa"/>
          </w:tcPr>
          <w:p w14:paraId="05BF50DD" w14:textId="77777777" w:rsidR="00DA1F1E" w:rsidRDefault="00DA1F1E" w:rsidP="00DA1F1E">
            <w:pPr>
              <w:rPr>
                <w:lang w:val="en-US" w:eastAsia="en-AU"/>
              </w:rPr>
            </w:pPr>
          </w:p>
        </w:tc>
        <w:tc>
          <w:tcPr>
            <w:tcW w:w="1275" w:type="dxa"/>
          </w:tcPr>
          <w:p w14:paraId="178DDC5E" w14:textId="77777777" w:rsidR="00DA1F1E" w:rsidRDefault="00DA1F1E" w:rsidP="00DA1F1E">
            <w:pPr>
              <w:rPr>
                <w:lang w:val="en-US" w:eastAsia="en-AU"/>
              </w:rPr>
            </w:pPr>
          </w:p>
        </w:tc>
        <w:tc>
          <w:tcPr>
            <w:tcW w:w="1418" w:type="dxa"/>
          </w:tcPr>
          <w:p w14:paraId="384BD0D3" w14:textId="77777777" w:rsidR="00DA1F1E" w:rsidRDefault="00DA1F1E" w:rsidP="00DA1F1E">
            <w:pPr>
              <w:rPr>
                <w:lang w:val="en-US" w:eastAsia="en-AU"/>
              </w:rPr>
            </w:pPr>
          </w:p>
        </w:tc>
        <w:tc>
          <w:tcPr>
            <w:tcW w:w="1642" w:type="dxa"/>
          </w:tcPr>
          <w:p w14:paraId="4F96FDDA" w14:textId="77777777" w:rsidR="00DA1F1E" w:rsidRDefault="00DA1F1E" w:rsidP="00DA1F1E">
            <w:pPr>
              <w:rPr>
                <w:lang w:val="en-US" w:eastAsia="en-AU"/>
              </w:rPr>
            </w:pPr>
          </w:p>
        </w:tc>
        <w:tc>
          <w:tcPr>
            <w:tcW w:w="1821" w:type="dxa"/>
          </w:tcPr>
          <w:p w14:paraId="6E956DCF" w14:textId="77777777" w:rsidR="00DA1F1E" w:rsidRDefault="00DA1F1E" w:rsidP="00DA1F1E">
            <w:pPr>
              <w:rPr>
                <w:lang w:val="en-US" w:eastAsia="en-AU"/>
              </w:rPr>
            </w:pPr>
          </w:p>
        </w:tc>
      </w:tr>
      <w:tr w:rsidR="00110551" w14:paraId="521D521C" w14:textId="77777777" w:rsidTr="00B02F18">
        <w:tc>
          <w:tcPr>
            <w:tcW w:w="4957" w:type="dxa"/>
            <w:vAlign w:val="center"/>
          </w:tcPr>
          <w:p w14:paraId="76485957" w14:textId="172DF442" w:rsidR="00110551" w:rsidRDefault="00110551" w:rsidP="00B02F18">
            <w:pPr>
              <w:rPr>
                <w:lang w:val="en-US" w:eastAsia="en-AU"/>
              </w:rPr>
            </w:pPr>
            <w:r>
              <w:rPr>
                <w:lang w:val="en-US" w:eastAsia="en-AU"/>
              </w:rPr>
              <w:t>Payables</w:t>
            </w:r>
          </w:p>
        </w:tc>
        <w:tc>
          <w:tcPr>
            <w:tcW w:w="1559" w:type="dxa"/>
          </w:tcPr>
          <w:p w14:paraId="5098591D" w14:textId="77777777" w:rsidR="00110551" w:rsidRDefault="00110551" w:rsidP="00110551">
            <w:pPr>
              <w:rPr>
                <w:lang w:val="en-US" w:eastAsia="en-AU"/>
              </w:rPr>
            </w:pPr>
          </w:p>
        </w:tc>
        <w:tc>
          <w:tcPr>
            <w:tcW w:w="1276" w:type="dxa"/>
            <w:vAlign w:val="bottom"/>
          </w:tcPr>
          <w:p w14:paraId="7F9F86C5" w14:textId="04C1D2A2" w:rsidR="00110551" w:rsidRDefault="00110551" w:rsidP="00110551">
            <w:pPr>
              <w:jc w:val="right"/>
              <w:rPr>
                <w:lang w:val="en-US" w:eastAsia="en-AU"/>
              </w:rPr>
            </w:pPr>
            <w:r>
              <w:t xml:space="preserve">      2,675 </w:t>
            </w:r>
          </w:p>
        </w:tc>
        <w:tc>
          <w:tcPr>
            <w:tcW w:w="1275" w:type="dxa"/>
            <w:vAlign w:val="bottom"/>
          </w:tcPr>
          <w:p w14:paraId="26024095" w14:textId="4B670EF9" w:rsidR="00110551" w:rsidRDefault="00110551" w:rsidP="00110551">
            <w:pPr>
              <w:jc w:val="right"/>
              <w:rPr>
                <w:lang w:val="en-US" w:eastAsia="en-AU"/>
              </w:rPr>
            </w:pPr>
            <w:r>
              <w:t xml:space="preserve">        1,340 </w:t>
            </w:r>
          </w:p>
        </w:tc>
        <w:tc>
          <w:tcPr>
            <w:tcW w:w="1418" w:type="dxa"/>
            <w:vAlign w:val="bottom"/>
          </w:tcPr>
          <w:p w14:paraId="3F746846" w14:textId="038EF2C1" w:rsidR="00110551" w:rsidRDefault="00110551" w:rsidP="00110551">
            <w:pPr>
              <w:jc w:val="right"/>
              <w:rPr>
                <w:lang w:val="en-US" w:eastAsia="en-AU"/>
              </w:rPr>
            </w:pPr>
            <w:r>
              <w:t xml:space="preserve">          804 </w:t>
            </w:r>
          </w:p>
        </w:tc>
        <w:tc>
          <w:tcPr>
            <w:tcW w:w="1642" w:type="dxa"/>
            <w:vAlign w:val="bottom"/>
          </w:tcPr>
          <w:p w14:paraId="6FD11E97" w14:textId="00E818BF" w:rsidR="00110551" w:rsidRDefault="00110551" w:rsidP="00110551">
            <w:pPr>
              <w:jc w:val="right"/>
              <w:rPr>
                <w:lang w:val="en-US" w:eastAsia="en-AU"/>
              </w:rPr>
            </w:pPr>
            <w:r>
              <w:t xml:space="preserve">           1,335 </w:t>
            </w:r>
          </w:p>
        </w:tc>
        <w:tc>
          <w:tcPr>
            <w:tcW w:w="1821" w:type="dxa"/>
            <w:vAlign w:val="bottom"/>
          </w:tcPr>
          <w:p w14:paraId="448F8CE7" w14:textId="4FDCDB48" w:rsidR="00110551" w:rsidRDefault="00110551" w:rsidP="00110551">
            <w:pPr>
              <w:jc w:val="right"/>
              <w:rPr>
                <w:lang w:val="en-US" w:eastAsia="en-AU"/>
              </w:rPr>
            </w:pPr>
            <w:r>
              <w:t xml:space="preserve">                     536 </w:t>
            </w:r>
          </w:p>
        </w:tc>
      </w:tr>
      <w:tr w:rsidR="00110551" w14:paraId="559E61E1" w14:textId="77777777" w:rsidTr="00B02F18">
        <w:tc>
          <w:tcPr>
            <w:tcW w:w="4957" w:type="dxa"/>
            <w:vAlign w:val="center"/>
          </w:tcPr>
          <w:p w14:paraId="49E3CDFE" w14:textId="59005839" w:rsidR="00110551" w:rsidRDefault="00110551" w:rsidP="00B02F18">
            <w:pPr>
              <w:rPr>
                <w:lang w:val="en-US" w:eastAsia="en-AU"/>
              </w:rPr>
            </w:pPr>
            <w:r>
              <w:rPr>
                <w:lang w:val="en-US" w:eastAsia="en-AU"/>
              </w:rPr>
              <w:t>Provisions</w:t>
            </w:r>
          </w:p>
        </w:tc>
        <w:tc>
          <w:tcPr>
            <w:tcW w:w="1559" w:type="dxa"/>
          </w:tcPr>
          <w:p w14:paraId="4362709A" w14:textId="77777777" w:rsidR="00110551" w:rsidRDefault="00110551" w:rsidP="00110551">
            <w:pPr>
              <w:rPr>
                <w:lang w:val="en-US" w:eastAsia="en-AU"/>
              </w:rPr>
            </w:pPr>
          </w:p>
        </w:tc>
        <w:tc>
          <w:tcPr>
            <w:tcW w:w="1276" w:type="dxa"/>
            <w:tcBorders>
              <w:bottom w:val="single" w:sz="4" w:space="0" w:color="auto"/>
            </w:tcBorders>
            <w:vAlign w:val="bottom"/>
          </w:tcPr>
          <w:p w14:paraId="328689EE" w14:textId="1ABA33C5" w:rsidR="00110551" w:rsidRDefault="00110551" w:rsidP="00110551">
            <w:pPr>
              <w:jc w:val="right"/>
              <w:rPr>
                <w:lang w:val="en-US" w:eastAsia="en-AU"/>
              </w:rPr>
            </w:pPr>
            <w:r>
              <w:t xml:space="preserve">      4,533 </w:t>
            </w:r>
          </w:p>
        </w:tc>
        <w:tc>
          <w:tcPr>
            <w:tcW w:w="1275" w:type="dxa"/>
            <w:tcBorders>
              <w:bottom w:val="single" w:sz="4" w:space="0" w:color="auto"/>
            </w:tcBorders>
            <w:vAlign w:val="bottom"/>
          </w:tcPr>
          <w:p w14:paraId="6E663BF6" w14:textId="4BB635CE" w:rsidR="00110551" w:rsidRDefault="00110551" w:rsidP="00110551">
            <w:pPr>
              <w:jc w:val="right"/>
              <w:rPr>
                <w:lang w:val="en-US" w:eastAsia="en-AU"/>
              </w:rPr>
            </w:pPr>
            <w:r>
              <w:t xml:space="preserve">        7,901 </w:t>
            </w:r>
          </w:p>
        </w:tc>
        <w:tc>
          <w:tcPr>
            <w:tcW w:w="1418" w:type="dxa"/>
            <w:tcBorders>
              <w:bottom w:val="single" w:sz="4" w:space="0" w:color="auto"/>
            </w:tcBorders>
            <w:vAlign w:val="bottom"/>
          </w:tcPr>
          <w:p w14:paraId="631737AA" w14:textId="1E039548" w:rsidR="00110551" w:rsidRDefault="00110551" w:rsidP="00110551">
            <w:pPr>
              <w:jc w:val="right"/>
              <w:rPr>
                <w:lang w:val="en-US" w:eastAsia="en-AU"/>
              </w:rPr>
            </w:pPr>
            <w:r>
              <w:t xml:space="preserve">       5,756 </w:t>
            </w:r>
          </w:p>
        </w:tc>
        <w:tc>
          <w:tcPr>
            <w:tcW w:w="1642" w:type="dxa"/>
            <w:tcBorders>
              <w:bottom w:val="single" w:sz="4" w:space="0" w:color="auto"/>
            </w:tcBorders>
            <w:vAlign w:val="bottom"/>
          </w:tcPr>
          <w:p w14:paraId="0CBF52CC" w14:textId="630A0730" w:rsidR="00110551" w:rsidRDefault="00110551" w:rsidP="00110551">
            <w:pPr>
              <w:jc w:val="right"/>
              <w:rPr>
                <w:lang w:val="en-US" w:eastAsia="en-AU"/>
              </w:rPr>
            </w:pPr>
            <w:r>
              <w:t xml:space="preserve">          (3,368)</w:t>
            </w:r>
          </w:p>
        </w:tc>
        <w:tc>
          <w:tcPr>
            <w:tcW w:w="1821" w:type="dxa"/>
            <w:tcBorders>
              <w:bottom w:val="single" w:sz="4" w:space="0" w:color="auto"/>
            </w:tcBorders>
            <w:vAlign w:val="bottom"/>
          </w:tcPr>
          <w:p w14:paraId="22D80E04" w14:textId="66D54234" w:rsidR="00110551" w:rsidRDefault="00110551" w:rsidP="00110551">
            <w:pPr>
              <w:jc w:val="right"/>
              <w:rPr>
                <w:lang w:val="en-US" w:eastAsia="en-AU"/>
              </w:rPr>
            </w:pPr>
            <w:r>
              <w:t xml:space="preserve">                  2,145 </w:t>
            </w:r>
          </w:p>
        </w:tc>
      </w:tr>
      <w:tr w:rsidR="00110551" w14:paraId="590AE9AC" w14:textId="77777777" w:rsidTr="00110551">
        <w:tc>
          <w:tcPr>
            <w:tcW w:w="4957" w:type="dxa"/>
          </w:tcPr>
          <w:p w14:paraId="381DD7F2" w14:textId="7D457126" w:rsidR="00110551" w:rsidRPr="00110551" w:rsidRDefault="00110551" w:rsidP="00110551">
            <w:pPr>
              <w:rPr>
                <w:b/>
                <w:lang w:val="en-US" w:eastAsia="en-AU"/>
              </w:rPr>
            </w:pPr>
            <w:r>
              <w:rPr>
                <w:b/>
                <w:lang w:val="en-US" w:eastAsia="en-AU"/>
              </w:rPr>
              <w:t xml:space="preserve">Total Current Liabilities </w:t>
            </w:r>
          </w:p>
        </w:tc>
        <w:tc>
          <w:tcPr>
            <w:tcW w:w="1559" w:type="dxa"/>
          </w:tcPr>
          <w:p w14:paraId="6BF22545" w14:textId="77777777" w:rsidR="00110551" w:rsidRDefault="00110551" w:rsidP="00110551">
            <w:pPr>
              <w:rPr>
                <w:lang w:val="en-US" w:eastAsia="en-AU"/>
              </w:rPr>
            </w:pPr>
          </w:p>
        </w:tc>
        <w:tc>
          <w:tcPr>
            <w:tcW w:w="1276" w:type="dxa"/>
            <w:tcBorders>
              <w:top w:val="single" w:sz="4" w:space="0" w:color="auto"/>
              <w:bottom w:val="single" w:sz="4" w:space="0" w:color="auto"/>
            </w:tcBorders>
            <w:vAlign w:val="bottom"/>
          </w:tcPr>
          <w:p w14:paraId="438CB769" w14:textId="2C5FBF5E" w:rsidR="00110551" w:rsidRPr="00110551" w:rsidRDefault="00110551" w:rsidP="00110551">
            <w:pPr>
              <w:jc w:val="right"/>
              <w:rPr>
                <w:b/>
                <w:lang w:val="en-US" w:eastAsia="en-AU"/>
              </w:rPr>
            </w:pPr>
            <w:r w:rsidRPr="00110551">
              <w:rPr>
                <w:b/>
              </w:rPr>
              <w:t xml:space="preserve">      7,208 </w:t>
            </w:r>
          </w:p>
        </w:tc>
        <w:tc>
          <w:tcPr>
            <w:tcW w:w="1275" w:type="dxa"/>
            <w:tcBorders>
              <w:top w:val="single" w:sz="4" w:space="0" w:color="auto"/>
              <w:bottom w:val="single" w:sz="4" w:space="0" w:color="auto"/>
            </w:tcBorders>
            <w:vAlign w:val="bottom"/>
          </w:tcPr>
          <w:p w14:paraId="08650DFD" w14:textId="703D3B9B" w:rsidR="00110551" w:rsidRPr="00110551" w:rsidRDefault="00110551" w:rsidP="00110551">
            <w:pPr>
              <w:jc w:val="right"/>
              <w:rPr>
                <w:b/>
                <w:lang w:val="en-US" w:eastAsia="en-AU"/>
              </w:rPr>
            </w:pPr>
            <w:r w:rsidRPr="00110551">
              <w:rPr>
                <w:b/>
              </w:rPr>
              <w:t xml:space="preserve">        9,241 </w:t>
            </w:r>
          </w:p>
        </w:tc>
        <w:tc>
          <w:tcPr>
            <w:tcW w:w="1418" w:type="dxa"/>
            <w:tcBorders>
              <w:top w:val="single" w:sz="4" w:space="0" w:color="auto"/>
              <w:bottom w:val="single" w:sz="4" w:space="0" w:color="auto"/>
            </w:tcBorders>
            <w:vAlign w:val="bottom"/>
          </w:tcPr>
          <w:p w14:paraId="27D66A65" w14:textId="7824ADEE" w:rsidR="00110551" w:rsidRPr="00110551" w:rsidRDefault="00110551" w:rsidP="00110551">
            <w:pPr>
              <w:jc w:val="right"/>
              <w:rPr>
                <w:b/>
                <w:lang w:val="en-US" w:eastAsia="en-AU"/>
              </w:rPr>
            </w:pPr>
            <w:r w:rsidRPr="00110551">
              <w:rPr>
                <w:b/>
              </w:rPr>
              <w:t xml:space="preserve">       6,560 </w:t>
            </w:r>
          </w:p>
        </w:tc>
        <w:tc>
          <w:tcPr>
            <w:tcW w:w="1642" w:type="dxa"/>
            <w:tcBorders>
              <w:top w:val="single" w:sz="4" w:space="0" w:color="auto"/>
              <w:bottom w:val="single" w:sz="4" w:space="0" w:color="auto"/>
            </w:tcBorders>
            <w:vAlign w:val="bottom"/>
          </w:tcPr>
          <w:p w14:paraId="67BC631B" w14:textId="323170C8" w:rsidR="00110551" w:rsidRPr="00110551" w:rsidRDefault="00110551" w:rsidP="00110551">
            <w:pPr>
              <w:jc w:val="right"/>
              <w:rPr>
                <w:b/>
                <w:lang w:val="en-US" w:eastAsia="en-AU"/>
              </w:rPr>
            </w:pPr>
            <w:r w:rsidRPr="00110551">
              <w:rPr>
                <w:b/>
              </w:rPr>
              <w:t xml:space="preserve">          (2,033)</w:t>
            </w:r>
          </w:p>
        </w:tc>
        <w:tc>
          <w:tcPr>
            <w:tcW w:w="1821" w:type="dxa"/>
            <w:tcBorders>
              <w:top w:val="single" w:sz="4" w:space="0" w:color="auto"/>
              <w:bottom w:val="single" w:sz="4" w:space="0" w:color="auto"/>
            </w:tcBorders>
            <w:vAlign w:val="bottom"/>
          </w:tcPr>
          <w:p w14:paraId="4132E869" w14:textId="2DC08319" w:rsidR="00110551" w:rsidRPr="00110551" w:rsidRDefault="00110551" w:rsidP="00110551">
            <w:pPr>
              <w:jc w:val="right"/>
              <w:rPr>
                <w:b/>
                <w:lang w:val="en-US" w:eastAsia="en-AU"/>
              </w:rPr>
            </w:pPr>
            <w:r w:rsidRPr="00110551">
              <w:rPr>
                <w:b/>
              </w:rPr>
              <w:t xml:space="preserve">                  2,681 </w:t>
            </w:r>
          </w:p>
        </w:tc>
      </w:tr>
      <w:tr w:rsidR="00110551" w14:paraId="16E9369F" w14:textId="77777777" w:rsidTr="005954B1">
        <w:tc>
          <w:tcPr>
            <w:tcW w:w="4957" w:type="dxa"/>
            <w:vAlign w:val="bottom"/>
          </w:tcPr>
          <w:p w14:paraId="12B34A0C" w14:textId="36D71F70" w:rsidR="00110551" w:rsidRPr="00110551" w:rsidRDefault="00110551" w:rsidP="00110551">
            <w:pPr>
              <w:rPr>
                <w:b/>
                <w:lang w:val="en-US" w:eastAsia="en-AU"/>
              </w:rPr>
            </w:pPr>
            <w:r w:rsidRPr="00110551">
              <w:rPr>
                <w:b/>
              </w:rPr>
              <w:t>Non-Current Liabilities</w:t>
            </w:r>
          </w:p>
        </w:tc>
        <w:tc>
          <w:tcPr>
            <w:tcW w:w="1559" w:type="dxa"/>
          </w:tcPr>
          <w:p w14:paraId="032C6AAE" w14:textId="77777777" w:rsidR="00110551" w:rsidRDefault="00110551" w:rsidP="00110551">
            <w:pPr>
              <w:rPr>
                <w:lang w:val="en-US" w:eastAsia="en-AU"/>
              </w:rPr>
            </w:pPr>
          </w:p>
        </w:tc>
        <w:tc>
          <w:tcPr>
            <w:tcW w:w="1276" w:type="dxa"/>
            <w:tcBorders>
              <w:top w:val="single" w:sz="4" w:space="0" w:color="auto"/>
            </w:tcBorders>
          </w:tcPr>
          <w:p w14:paraId="5A055127" w14:textId="77777777" w:rsidR="00110551" w:rsidRDefault="00110551" w:rsidP="00110551">
            <w:pPr>
              <w:rPr>
                <w:lang w:val="en-US" w:eastAsia="en-AU"/>
              </w:rPr>
            </w:pPr>
          </w:p>
        </w:tc>
        <w:tc>
          <w:tcPr>
            <w:tcW w:w="1275" w:type="dxa"/>
            <w:tcBorders>
              <w:top w:val="single" w:sz="4" w:space="0" w:color="auto"/>
            </w:tcBorders>
          </w:tcPr>
          <w:p w14:paraId="19072B00" w14:textId="77777777" w:rsidR="00110551" w:rsidRDefault="00110551" w:rsidP="00110551">
            <w:pPr>
              <w:rPr>
                <w:lang w:val="en-US" w:eastAsia="en-AU"/>
              </w:rPr>
            </w:pPr>
          </w:p>
        </w:tc>
        <w:tc>
          <w:tcPr>
            <w:tcW w:w="1418" w:type="dxa"/>
            <w:tcBorders>
              <w:top w:val="single" w:sz="4" w:space="0" w:color="auto"/>
            </w:tcBorders>
          </w:tcPr>
          <w:p w14:paraId="430963B6" w14:textId="77777777" w:rsidR="00110551" w:rsidRDefault="00110551" w:rsidP="00110551">
            <w:pPr>
              <w:rPr>
                <w:lang w:val="en-US" w:eastAsia="en-AU"/>
              </w:rPr>
            </w:pPr>
          </w:p>
        </w:tc>
        <w:tc>
          <w:tcPr>
            <w:tcW w:w="1642" w:type="dxa"/>
            <w:tcBorders>
              <w:top w:val="single" w:sz="4" w:space="0" w:color="auto"/>
            </w:tcBorders>
          </w:tcPr>
          <w:p w14:paraId="5A43063F" w14:textId="77777777" w:rsidR="00110551" w:rsidRDefault="00110551" w:rsidP="00110551">
            <w:pPr>
              <w:rPr>
                <w:lang w:val="en-US" w:eastAsia="en-AU"/>
              </w:rPr>
            </w:pPr>
          </w:p>
        </w:tc>
        <w:tc>
          <w:tcPr>
            <w:tcW w:w="1821" w:type="dxa"/>
            <w:tcBorders>
              <w:top w:val="single" w:sz="4" w:space="0" w:color="auto"/>
            </w:tcBorders>
          </w:tcPr>
          <w:p w14:paraId="58538384" w14:textId="77777777" w:rsidR="00110551" w:rsidRDefault="00110551" w:rsidP="00110551">
            <w:pPr>
              <w:rPr>
                <w:lang w:val="en-US" w:eastAsia="en-AU"/>
              </w:rPr>
            </w:pPr>
          </w:p>
        </w:tc>
      </w:tr>
      <w:tr w:rsidR="00110551" w14:paraId="248EC641" w14:textId="77777777" w:rsidTr="00110551">
        <w:tc>
          <w:tcPr>
            <w:tcW w:w="4957" w:type="dxa"/>
            <w:vAlign w:val="bottom"/>
          </w:tcPr>
          <w:p w14:paraId="0BE1392C" w14:textId="75DDD1D1" w:rsidR="00110551" w:rsidRDefault="00110551" w:rsidP="00110551">
            <w:pPr>
              <w:rPr>
                <w:lang w:val="en-US" w:eastAsia="en-AU"/>
              </w:rPr>
            </w:pPr>
            <w:r>
              <w:t>Provisions</w:t>
            </w:r>
          </w:p>
        </w:tc>
        <w:tc>
          <w:tcPr>
            <w:tcW w:w="1559" w:type="dxa"/>
          </w:tcPr>
          <w:p w14:paraId="5A5B046E" w14:textId="77777777" w:rsidR="00110551" w:rsidRDefault="00110551" w:rsidP="00110551">
            <w:pPr>
              <w:rPr>
                <w:lang w:val="en-US" w:eastAsia="en-AU"/>
              </w:rPr>
            </w:pPr>
          </w:p>
        </w:tc>
        <w:tc>
          <w:tcPr>
            <w:tcW w:w="1276" w:type="dxa"/>
            <w:tcBorders>
              <w:bottom w:val="single" w:sz="4" w:space="0" w:color="auto"/>
            </w:tcBorders>
            <w:vAlign w:val="bottom"/>
          </w:tcPr>
          <w:p w14:paraId="70C5D9AF" w14:textId="41A4163C" w:rsidR="00110551" w:rsidRDefault="00110551" w:rsidP="00110551">
            <w:pPr>
              <w:jc w:val="right"/>
              <w:rPr>
                <w:lang w:val="en-US" w:eastAsia="en-AU"/>
              </w:rPr>
            </w:pPr>
            <w:r>
              <w:t xml:space="preserve">    23,965 </w:t>
            </w:r>
          </w:p>
        </w:tc>
        <w:tc>
          <w:tcPr>
            <w:tcW w:w="1275" w:type="dxa"/>
            <w:tcBorders>
              <w:bottom w:val="single" w:sz="4" w:space="0" w:color="auto"/>
            </w:tcBorders>
            <w:vAlign w:val="bottom"/>
          </w:tcPr>
          <w:p w14:paraId="713CF3BA" w14:textId="4EF5C41A" w:rsidR="00110551" w:rsidRDefault="00110551" w:rsidP="00110551">
            <w:pPr>
              <w:jc w:val="right"/>
              <w:rPr>
                <w:lang w:val="en-US" w:eastAsia="en-AU"/>
              </w:rPr>
            </w:pPr>
            <w:r>
              <w:t xml:space="preserve">      22,777 </w:t>
            </w:r>
          </w:p>
        </w:tc>
        <w:tc>
          <w:tcPr>
            <w:tcW w:w="1418" w:type="dxa"/>
            <w:tcBorders>
              <w:bottom w:val="single" w:sz="4" w:space="0" w:color="auto"/>
            </w:tcBorders>
            <w:vAlign w:val="bottom"/>
          </w:tcPr>
          <w:p w14:paraId="4A5F08CD" w14:textId="4570FE26" w:rsidR="00110551" w:rsidRDefault="00110551" w:rsidP="00110551">
            <w:pPr>
              <w:jc w:val="right"/>
              <w:rPr>
                <w:lang w:val="en-US" w:eastAsia="en-AU"/>
              </w:rPr>
            </w:pPr>
            <w:r>
              <w:t xml:space="preserve">     23,042 </w:t>
            </w:r>
          </w:p>
        </w:tc>
        <w:tc>
          <w:tcPr>
            <w:tcW w:w="1642" w:type="dxa"/>
            <w:tcBorders>
              <w:bottom w:val="single" w:sz="4" w:space="0" w:color="auto"/>
            </w:tcBorders>
            <w:vAlign w:val="bottom"/>
          </w:tcPr>
          <w:p w14:paraId="3AE17F68" w14:textId="1AD2D671" w:rsidR="00110551" w:rsidRDefault="00110551" w:rsidP="00110551">
            <w:pPr>
              <w:jc w:val="right"/>
              <w:rPr>
                <w:lang w:val="en-US" w:eastAsia="en-AU"/>
              </w:rPr>
            </w:pPr>
            <w:r>
              <w:t xml:space="preserve">           1,188 </w:t>
            </w:r>
          </w:p>
        </w:tc>
        <w:tc>
          <w:tcPr>
            <w:tcW w:w="1821" w:type="dxa"/>
            <w:tcBorders>
              <w:bottom w:val="single" w:sz="4" w:space="0" w:color="auto"/>
            </w:tcBorders>
            <w:vAlign w:val="bottom"/>
          </w:tcPr>
          <w:p w14:paraId="77E197F0" w14:textId="25797057" w:rsidR="00110551" w:rsidRDefault="00110551" w:rsidP="00110551">
            <w:pPr>
              <w:jc w:val="right"/>
              <w:rPr>
                <w:lang w:val="en-US" w:eastAsia="en-AU"/>
              </w:rPr>
            </w:pPr>
            <w:r>
              <w:t xml:space="preserve">                    (265)</w:t>
            </w:r>
          </w:p>
        </w:tc>
      </w:tr>
      <w:tr w:rsidR="00110551" w14:paraId="0E6BB6FE" w14:textId="77777777" w:rsidTr="00110551">
        <w:tc>
          <w:tcPr>
            <w:tcW w:w="4957" w:type="dxa"/>
            <w:vAlign w:val="center"/>
          </w:tcPr>
          <w:p w14:paraId="14586D07" w14:textId="59C73FBA" w:rsidR="00110551" w:rsidRPr="00110551" w:rsidRDefault="00110551" w:rsidP="00110551">
            <w:pPr>
              <w:rPr>
                <w:b/>
                <w:lang w:val="en-US" w:eastAsia="en-AU"/>
              </w:rPr>
            </w:pPr>
            <w:r w:rsidRPr="00110551">
              <w:rPr>
                <w:b/>
              </w:rPr>
              <w:t>Total Non-Current Liabilities</w:t>
            </w:r>
          </w:p>
        </w:tc>
        <w:tc>
          <w:tcPr>
            <w:tcW w:w="1559" w:type="dxa"/>
          </w:tcPr>
          <w:p w14:paraId="1F5B6EFA" w14:textId="77777777" w:rsidR="00110551" w:rsidRDefault="00110551" w:rsidP="00110551">
            <w:pPr>
              <w:rPr>
                <w:lang w:val="en-US" w:eastAsia="en-AU"/>
              </w:rPr>
            </w:pPr>
          </w:p>
        </w:tc>
        <w:tc>
          <w:tcPr>
            <w:tcW w:w="1276" w:type="dxa"/>
            <w:tcBorders>
              <w:top w:val="single" w:sz="4" w:space="0" w:color="auto"/>
              <w:bottom w:val="single" w:sz="4" w:space="0" w:color="auto"/>
            </w:tcBorders>
            <w:vAlign w:val="bottom"/>
          </w:tcPr>
          <w:p w14:paraId="11BD2099" w14:textId="3DCBF432" w:rsidR="00110551" w:rsidRPr="00110551" w:rsidRDefault="00110551" w:rsidP="00110551">
            <w:pPr>
              <w:jc w:val="right"/>
              <w:rPr>
                <w:b/>
                <w:lang w:val="en-US" w:eastAsia="en-AU"/>
              </w:rPr>
            </w:pPr>
            <w:r w:rsidRPr="00110551">
              <w:rPr>
                <w:b/>
              </w:rPr>
              <w:t xml:space="preserve">    23,965 </w:t>
            </w:r>
          </w:p>
        </w:tc>
        <w:tc>
          <w:tcPr>
            <w:tcW w:w="1275" w:type="dxa"/>
            <w:tcBorders>
              <w:top w:val="single" w:sz="4" w:space="0" w:color="auto"/>
              <w:bottom w:val="single" w:sz="4" w:space="0" w:color="auto"/>
            </w:tcBorders>
            <w:vAlign w:val="bottom"/>
          </w:tcPr>
          <w:p w14:paraId="1F9854C4" w14:textId="54640957" w:rsidR="00110551" w:rsidRPr="00110551" w:rsidRDefault="00110551" w:rsidP="00110551">
            <w:pPr>
              <w:jc w:val="right"/>
              <w:rPr>
                <w:b/>
                <w:lang w:val="en-US" w:eastAsia="en-AU"/>
              </w:rPr>
            </w:pPr>
            <w:r w:rsidRPr="00110551">
              <w:rPr>
                <w:b/>
              </w:rPr>
              <w:t xml:space="preserve">      22,777 </w:t>
            </w:r>
          </w:p>
        </w:tc>
        <w:tc>
          <w:tcPr>
            <w:tcW w:w="1418" w:type="dxa"/>
            <w:tcBorders>
              <w:top w:val="single" w:sz="4" w:space="0" w:color="auto"/>
              <w:bottom w:val="single" w:sz="4" w:space="0" w:color="auto"/>
            </w:tcBorders>
            <w:vAlign w:val="bottom"/>
          </w:tcPr>
          <w:p w14:paraId="31F8AC1C" w14:textId="1CC72D05" w:rsidR="00110551" w:rsidRPr="00110551" w:rsidRDefault="00110551" w:rsidP="00110551">
            <w:pPr>
              <w:jc w:val="right"/>
              <w:rPr>
                <w:b/>
                <w:lang w:val="en-US" w:eastAsia="en-AU"/>
              </w:rPr>
            </w:pPr>
            <w:r w:rsidRPr="00110551">
              <w:rPr>
                <w:b/>
              </w:rPr>
              <w:t xml:space="preserve">     23,042 </w:t>
            </w:r>
          </w:p>
        </w:tc>
        <w:tc>
          <w:tcPr>
            <w:tcW w:w="1642" w:type="dxa"/>
            <w:tcBorders>
              <w:top w:val="single" w:sz="4" w:space="0" w:color="auto"/>
              <w:bottom w:val="single" w:sz="4" w:space="0" w:color="auto"/>
            </w:tcBorders>
            <w:vAlign w:val="bottom"/>
          </w:tcPr>
          <w:p w14:paraId="2BEF7DE6" w14:textId="2016C733" w:rsidR="00110551" w:rsidRPr="00110551" w:rsidRDefault="00110551" w:rsidP="00110551">
            <w:pPr>
              <w:jc w:val="right"/>
              <w:rPr>
                <w:b/>
                <w:lang w:val="en-US" w:eastAsia="en-AU"/>
              </w:rPr>
            </w:pPr>
            <w:r w:rsidRPr="00110551">
              <w:rPr>
                <w:b/>
              </w:rPr>
              <w:t xml:space="preserve">           1,188 </w:t>
            </w:r>
          </w:p>
        </w:tc>
        <w:tc>
          <w:tcPr>
            <w:tcW w:w="1821" w:type="dxa"/>
            <w:tcBorders>
              <w:top w:val="single" w:sz="4" w:space="0" w:color="auto"/>
              <w:bottom w:val="single" w:sz="4" w:space="0" w:color="auto"/>
            </w:tcBorders>
            <w:vAlign w:val="bottom"/>
          </w:tcPr>
          <w:p w14:paraId="1DBD9E39" w14:textId="24E4B3B7" w:rsidR="00110551" w:rsidRPr="00110551" w:rsidRDefault="00110551" w:rsidP="00110551">
            <w:pPr>
              <w:jc w:val="right"/>
              <w:rPr>
                <w:b/>
                <w:lang w:val="en-US" w:eastAsia="en-AU"/>
              </w:rPr>
            </w:pPr>
            <w:r w:rsidRPr="00110551">
              <w:rPr>
                <w:b/>
              </w:rPr>
              <w:t xml:space="preserve">                    (265)</w:t>
            </w:r>
          </w:p>
        </w:tc>
      </w:tr>
      <w:tr w:rsidR="00110551" w14:paraId="01499DB9" w14:textId="77777777" w:rsidTr="00110551">
        <w:tc>
          <w:tcPr>
            <w:tcW w:w="4957" w:type="dxa"/>
            <w:vAlign w:val="center"/>
          </w:tcPr>
          <w:p w14:paraId="5557F049" w14:textId="74CF3231" w:rsidR="00110551" w:rsidRPr="00110551" w:rsidRDefault="00110551" w:rsidP="00110551">
            <w:pPr>
              <w:rPr>
                <w:b/>
                <w:lang w:val="en-US" w:eastAsia="en-AU"/>
              </w:rPr>
            </w:pPr>
            <w:r>
              <w:rPr>
                <w:b/>
                <w:lang w:val="en-US" w:eastAsia="en-AU"/>
              </w:rPr>
              <w:t xml:space="preserve">Total Liabilities </w:t>
            </w:r>
          </w:p>
        </w:tc>
        <w:tc>
          <w:tcPr>
            <w:tcW w:w="1559" w:type="dxa"/>
          </w:tcPr>
          <w:p w14:paraId="29A9FB56" w14:textId="77777777" w:rsidR="00110551" w:rsidRDefault="00110551" w:rsidP="00110551">
            <w:pPr>
              <w:rPr>
                <w:lang w:val="en-US" w:eastAsia="en-AU"/>
              </w:rPr>
            </w:pPr>
          </w:p>
        </w:tc>
        <w:tc>
          <w:tcPr>
            <w:tcW w:w="1276" w:type="dxa"/>
            <w:tcBorders>
              <w:top w:val="single" w:sz="4" w:space="0" w:color="auto"/>
              <w:bottom w:val="single" w:sz="4" w:space="0" w:color="auto"/>
            </w:tcBorders>
            <w:vAlign w:val="bottom"/>
          </w:tcPr>
          <w:p w14:paraId="791BCB69" w14:textId="0EE95C0A" w:rsidR="00110551" w:rsidRPr="00110551" w:rsidRDefault="00110551" w:rsidP="00110551">
            <w:pPr>
              <w:jc w:val="right"/>
              <w:rPr>
                <w:b/>
                <w:lang w:val="en-US" w:eastAsia="en-AU"/>
              </w:rPr>
            </w:pPr>
            <w:r w:rsidRPr="00110551">
              <w:rPr>
                <w:b/>
              </w:rPr>
              <w:t xml:space="preserve">    31,173 </w:t>
            </w:r>
          </w:p>
        </w:tc>
        <w:tc>
          <w:tcPr>
            <w:tcW w:w="1275" w:type="dxa"/>
            <w:tcBorders>
              <w:top w:val="single" w:sz="4" w:space="0" w:color="auto"/>
              <w:bottom w:val="single" w:sz="4" w:space="0" w:color="auto"/>
            </w:tcBorders>
            <w:vAlign w:val="bottom"/>
          </w:tcPr>
          <w:p w14:paraId="3A576BB0" w14:textId="297CAA80" w:rsidR="00110551" w:rsidRPr="00110551" w:rsidRDefault="00110551" w:rsidP="00110551">
            <w:pPr>
              <w:jc w:val="right"/>
              <w:rPr>
                <w:b/>
                <w:lang w:val="en-US" w:eastAsia="en-AU"/>
              </w:rPr>
            </w:pPr>
            <w:r w:rsidRPr="00110551">
              <w:rPr>
                <w:b/>
              </w:rPr>
              <w:t xml:space="preserve">      32,018 </w:t>
            </w:r>
          </w:p>
        </w:tc>
        <w:tc>
          <w:tcPr>
            <w:tcW w:w="1418" w:type="dxa"/>
            <w:tcBorders>
              <w:top w:val="single" w:sz="4" w:space="0" w:color="auto"/>
              <w:bottom w:val="single" w:sz="4" w:space="0" w:color="auto"/>
            </w:tcBorders>
            <w:vAlign w:val="bottom"/>
          </w:tcPr>
          <w:p w14:paraId="46CB122F" w14:textId="2EA5B330" w:rsidR="00110551" w:rsidRPr="00110551" w:rsidRDefault="00110551" w:rsidP="00110551">
            <w:pPr>
              <w:jc w:val="right"/>
              <w:rPr>
                <w:b/>
                <w:lang w:val="en-US" w:eastAsia="en-AU"/>
              </w:rPr>
            </w:pPr>
            <w:r w:rsidRPr="00110551">
              <w:rPr>
                <w:b/>
              </w:rPr>
              <w:t xml:space="preserve">     29,602 </w:t>
            </w:r>
          </w:p>
        </w:tc>
        <w:tc>
          <w:tcPr>
            <w:tcW w:w="1642" w:type="dxa"/>
            <w:tcBorders>
              <w:top w:val="single" w:sz="4" w:space="0" w:color="auto"/>
              <w:bottom w:val="single" w:sz="4" w:space="0" w:color="auto"/>
            </w:tcBorders>
            <w:vAlign w:val="bottom"/>
          </w:tcPr>
          <w:p w14:paraId="77856758" w14:textId="25D8053E" w:rsidR="00110551" w:rsidRPr="00110551" w:rsidRDefault="00110551" w:rsidP="00110551">
            <w:pPr>
              <w:jc w:val="right"/>
              <w:rPr>
                <w:b/>
                <w:lang w:val="en-US" w:eastAsia="en-AU"/>
              </w:rPr>
            </w:pPr>
            <w:r w:rsidRPr="00110551">
              <w:rPr>
                <w:b/>
              </w:rPr>
              <w:t xml:space="preserve">             (845)</w:t>
            </w:r>
          </w:p>
        </w:tc>
        <w:tc>
          <w:tcPr>
            <w:tcW w:w="1821" w:type="dxa"/>
            <w:tcBorders>
              <w:top w:val="single" w:sz="4" w:space="0" w:color="auto"/>
              <w:bottom w:val="single" w:sz="4" w:space="0" w:color="auto"/>
            </w:tcBorders>
            <w:vAlign w:val="bottom"/>
          </w:tcPr>
          <w:p w14:paraId="53DA85BE" w14:textId="6B4DD5F7" w:rsidR="00110551" w:rsidRPr="00110551" w:rsidRDefault="00110551" w:rsidP="00110551">
            <w:pPr>
              <w:jc w:val="right"/>
              <w:rPr>
                <w:b/>
                <w:lang w:val="en-US" w:eastAsia="en-AU"/>
              </w:rPr>
            </w:pPr>
            <w:r w:rsidRPr="00110551">
              <w:rPr>
                <w:b/>
              </w:rPr>
              <w:t xml:space="preserve">                  2,416 </w:t>
            </w:r>
          </w:p>
        </w:tc>
      </w:tr>
      <w:tr w:rsidR="00110551" w14:paraId="48F0C213" w14:textId="77777777" w:rsidTr="00110551">
        <w:tc>
          <w:tcPr>
            <w:tcW w:w="4957" w:type="dxa"/>
            <w:vAlign w:val="center"/>
          </w:tcPr>
          <w:p w14:paraId="00347191" w14:textId="241658A6" w:rsidR="00110551" w:rsidRPr="00110551" w:rsidRDefault="00110551" w:rsidP="00110551">
            <w:pPr>
              <w:rPr>
                <w:b/>
                <w:lang w:val="en-US" w:eastAsia="en-AU"/>
              </w:rPr>
            </w:pPr>
            <w:r>
              <w:rPr>
                <w:b/>
                <w:lang w:val="en-US" w:eastAsia="en-AU"/>
              </w:rPr>
              <w:t>NET ASSETS</w:t>
            </w:r>
          </w:p>
        </w:tc>
        <w:tc>
          <w:tcPr>
            <w:tcW w:w="1559" w:type="dxa"/>
          </w:tcPr>
          <w:p w14:paraId="76F5735B" w14:textId="77777777" w:rsidR="00110551" w:rsidRDefault="00110551" w:rsidP="00110551">
            <w:pPr>
              <w:rPr>
                <w:lang w:val="en-US" w:eastAsia="en-AU"/>
              </w:rPr>
            </w:pPr>
          </w:p>
        </w:tc>
        <w:tc>
          <w:tcPr>
            <w:tcW w:w="1276" w:type="dxa"/>
            <w:tcBorders>
              <w:top w:val="single" w:sz="4" w:space="0" w:color="auto"/>
              <w:bottom w:val="double" w:sz="4" w:space="0" w:color="auto"/>
            </w:tcBorders>
            <w:vAlign w:val="bottom"/>
          </w:tcPr>
          <w:p w14:paraId="415771CA" w14:textId="14FCF60D" w:rsidR="00110551" w:rsidRPr="00110551" w:rsidRDefault="00110551" w:rsidP="00110551">
            <w:pPr>
              <w:jc w:val="right"/>
              <w:rPr>
                <w:b/>
                <w:lang w:val="en-US" w:eastAsia="en-AU"/>
              </w:rPr>
            </w:pPr>
            <w:r w:rsidRPr="00110551">
              <w:rPr>
                <w:b/>
              </w:rPr>
              <w:t xml:space="preserve">    99,481 </w:t>
            </w:r>
          </w:p>
        </w:tc>
        <w:tc>
          <w:tcPr>
            <w:tcW w:w="1275" w:type="dxa"/>
            <w:tcBorders>
              <w:top w:val="single" w:sz="4" w:space="0" w:color="auto"/>
              <w:bottom w:val="double" w:sz="4" w:space="0" w:color="auto"/>
            </w:tcBorders>
            <w:vAlign w:val="bottom"/>
          </w:tcPr>
          <w:p w14:paraId="52B52CF8" w14:textId="477819B4" w:rsidR="00110551" w:rsidRPr="00110551" w:rsidRDefault="00110551" w:rsidP="00110551">
            <w:pPr>
              <w:jc w:val="right"/>
              <w:rPr>
                <w:b/>
                <w:lang w:val="en-US" w:eastAsia="en-AU"/>
              </w:rPr>
            </w:pPr>
            <w:r w:rsidRPr="00110551">
              <w:rPr>
                <w:b/>
              </w:rPr>
              <w:t xml:space="preserve">     102,196 </w:t>
            </w:r>
          </w:p>
        </w:tc>
        <w:tc>
          <w:tcPr>
            <w:tcW w:w="1418" w:type="dxa"/>
            <w:tcBorders>
              <w:top w:val="single" w:sz="4" w:space="0" w:color="auto"/>
              <w:bottom w:val="double" w:sz="4" w:space="0" w:color="auto"/>
            </w:tcBorders>
            <w:vAlign w:val="bottom"/>
          </w:tcPr>
          <w:p w14:paraId="0B8B1717" w14:textId="657EE515" w:rsidR="00110551" w:rsidRPr="00110551" w:rsidRDefault="00110551" w:rsidP="00110551">
            <w:pPr>
              <w:jc w:val="right"/>
              <w:rPr>
                <w:b/>
                <w:lang w:val="en-US" w:eastAsia="en-AU"/>
              </w:rPr>
            </w:pPr>
            <w:r w:rsidRPr="00110551">
              <w:rPr>
                <w:b/>
              </w:rPr>
              <w:t xml:space="preserve">   102,660 </w:t>
            </w:r>
          </w:p>
        </w:tc>
        <w:tc>
          <w:tcPr>
            <w:tcW w:w="1642" w:type="dxa"/>
            <w:tcBorders>
              <w:top w:val="single" w:sz="4" w:space="0" w:color="auto"/>
              <w:bottom w:val="double" w:sz="4" w:space="0" w:color="auto"/>
            </w:tcBorders>
            <w:vAlign w:val="bottom"/>
          </w:tcPr>
          <w:p w14:paraId="72017D88" w14:textId="50273689" w:rsidR="00110551" w:rsidRPr="00110551" w:rsidRDefault="00110551" w:rsidP="00110551">
            <w:pPr>
              <w:jc w:val="right"/>
              <w:rPr>
                <w:b/>
                <w:lang w:val="en-US" w:eastAsia="en-AU"/>
              </w:rPr>
            </w:pPr>
            <w:r w:rsidRPr="00110551">
              <w:rPr>
                <w:b/>
              </w:rPr>
              <w:t xml:space="preserve">          (2,715)</w:t>
            </w:r>
          </w:p>
        </w:tc>
        <w:tc>
          <w:tcPr>
            <w:tcW w:w="1821" w:type="dxa"/>
            <w:tcBorders>
              <w:top w:val="single" w:sz="4" w:space="0" w:color="auto"/>
              <w:bottom w:val="double" w:sz="4" w:space="0" w:color="auto"/>
            </w:tcBorders>
            <w:vAlign w:val="bottom"/>
          </w:tcPr>
          <w:p w14:paraId="3E39C2BE" w14:textId="0B6412CB" w:rsidR="00110551" w:rsidRPr="00110551" w:rsidRDefault="00110551" w:rsidP="00110551">
            <w:pPr>
              <w:jc w:val="right"/>
              <w:rPr>
                <w:b/>
                <w:lang w:val="en-US" w:eastAsia="en-AU"/>
              </w:rPr>
            </w:pPr>
            <w:r w:rsidRPr="00110551">
              <w:rPr>
                <w:b/>
              </w:rPr>
              <w:t xml:space="preserve">                    (464)</w:t>
            </w:r>
          </w:p>
        </w:tc>
      </w:tr>
      <w:tr w:rsidR="00110551" w14:paraId="5858CC58" w14:textId="77777777" w:rsidTr="00110551">
        <w:tc>
          <w:tcPr>
            <w:tcW w:w="4957" w:type="dxa"/>
          </w:tcPr>
          <w:p w14:paraId="3A5AA11F" w14:textId="1931B43D" w:rsidR="00110551" w:rsidRPr="00110551" w:rsidRDefault="00110551" w:rsidP="00DA1F1E">
            <w:pPr>
              <w:rPr>
                <w:b/>
                <w:lang w:val="en-US" w:eastAsia="en-AU"/>
              </w:rPr>
            </w:pPr>
            <w:r>
              <w:rPr>
                <w:b/>
                <w:lang w:val="en-US" w:eastAsia="en-AU"/>
              </w:rPr>
              <w:t>EQUITY</w:t>
            </w:r>
          </w:p>
        </w:tc>
        <w:tc>
          <w:tcPr>
            <w:tcW w:w="1559" w:type="dxa"/>
          </w:tcPr>
          <w:p w14:paraId="41E3FECC" w14:textId="77777777" w:rsidR="00110551" w:rsidRDefault="00110551" w:rsidP="00DA1F1E">
            <w:pPr>
              <w:rPr>
                <w:lang w:val="en-US" w:eastAsia="en-AU"/>
              </w:rPr>
            </w:pPr>
          </w:p>
        </w:tc>
        <w:tc>
          <w:tcPr>
            <w:tcW w:w="1276" w:type="dxa"/>
            <w:tcBorders>
              <w:top w:val="double" w:sz="4" w:space="0" w:color="auto"/>
            </w:tcBorders>
          </w:tcPr>
          <w:p w14:paraId="62B2BE76" w14:textId="77777777" w:rsidR="00110551" w:rsidRDefault="00110551" w:rsidP="00DA1F1E">
            <w:pPr>
              <w:rPr>
                <w:lang w:val="en-US" w:eastAsia="en-AU"/>
              </w:rPr>
            </w:pPr>
          </w:p>
        </w:tc>
        <w:tc>
          <w:tcPr>
            <w:tcW w:w="1275" w:type="dxa"/>
            <w:tcBorders>
              <w:top w:val="double" w:sz="4" w:space="0" w:color="auto"/>
            </w:tcBorders>
          </w:tcPr>
          <w:p w14:paraId="7E419359" w14:textId="77777777" w:rsidR="00110551" w:rsidRDefault="00110551" w:rsidP="00DA1F1E">
            <w:pPr>
              <w:rPr>
                <w:lang w:val="en-US" w:eastAsia="en-AU"/>
              </w:rPr>
            </w:pPr>
          </w:p>
        </w:tc>
        <w:tc>
          <w:tcPr>
            <w:tcW w:w="1418" w:type="dxa"/>
            <w:tcBorders>
              <w:top w:val="double" w:sz="4" w:space="0" w:color="auto"/>
            </w:tcBorders>
          </w:tcPr>
          <w:p w14:paraId="34BEBF69" w14:textId="77777777" w:rsidR="00110551" w:rsidRDefault="00110551" w:rsidP="00DA1F1E">
            <w:pPr>
              <w:rPr>
                <w:lang w:val="en-US" w:eastAsia="en-AU"/>
              </w:rPr>
            </w:pPr>
          </w:p>
        </w:tc>
        <w:tc>
          <w:tcPr>
            <w:tcW w:w="1642" w:type="dxa"/>
            <w:tcBorders>
              <w:top w:val="double" w:sz="4" w:space="0" w:color="auto"/>
            </w:tcBorders>
          </w:tcPr>
          <w:p w14:paraId="14C1DF36" w14:textId="77777777" w:rsidR="00110551" w:rsidRDefault="00110551" w:rsidP="00DA1F1E">
            <w:pPr>
              <w:rPr>
                <w:lang w:val="en-US" w:eastAsia="en-AU"/>
              </w:rPr>
            </w:pPr>
          </w:p>
        </w:tc>
        <w:tc>
          <w:tcPr>
            <w:tcW w:w="1821" w:type="dxa"/>
            <w:tcBorders>
              <w:top w:val="double" w:sz="4" w:space="0" w:color="auto"/>
            </w:tcBorders>
          </w:tcPr>
          <w:p w14:paraId="6C9CD9B4" w14:textId="77777777" w:rsidR="00110551" w:rsidRDefault="00110551" w:rsidP="00DA1F1E">
            <w:pPr>
              <w:rPr>
                <w:lang w:val="en-US" w:eastAsia="en-AU"/>
              </w:rPr>
            </w:pPr>
          </w:p>
        </w:tc>
      </w:tr>
      <w:tr w:rsidR="00110551" w14:paraId="20FBF953" w14:textId="77777777" w:rsidTr="00110551">
        <w:tc>
          <w:tcPr>
            <w:tcW w:w="4957" w:type="dxa"/>
            <w:vAlign w:val="center"/>
          </w:tcPr>
          <w:p w14:paraId="1DDD6840" w14:textId="22DC4E5F" w:rsidR="00110551" w:rsidRPr="00110551" w:rsidRDefault="00110551" w:rsidP="00110551">
            <w:pPr>
              <w:rPr>
                <w:lang w:val="en-US" w:eastAsia="en-AU"/>
              </w:rPr>
            </w:pPr>
            <w:r>
              <w:rPr>
                <w:lang w:val="en-US" w:eastAsia="en-AU"/>
              </w:rPr>
              <w:t>Reserves</w:t>
            </w:r>
          </w:p>
        </w:tc>
        <w:tc>
          <w:tcPr>
            <w:tcW w:w="1559" w:type="dxa"/>
          </w:tcPr>
          <w:p w14:paraId="51F5113A" w14:textId="77777777" w:rsidR="00110551" w:rsidRDefault="00110551" w:rsidP="00110551">
            <w:pPr>
              <w:rPr>
                <w:lang w:val="en-US" w:eastAsia="en-AU"/>
              </w:rPr>
            </w:pPr>
          </w:p>
        </w:tc>
        <w:tc>
          <w:tcPr>
            <w:tcW w:w="1276" w:type="dxa"/>
            <w:vAlign w:val="bottom"/>
          </w:tcPr>
          <w:p w14:paraId="41A2BDD4" w14:textId="3BF96698" w:rsidR="00110551" w:rsidRPr="00110551" w:rsidRDefault="00110551" w:rsidP="00110551">
            <w:pPr>
              <w:jc w:val="right"/>
              <w:rPr>
                <w:lang w:val="en-US" w:eastAsia="en-AU"/>
              </w:rPr>
            </w:pPr>
            <w:r w:rsidRPr="00110551">
              <w:rPr>
                <w:rFonts w:cs="Arial"/>
                <w:szCs w:val="20"/>
              </w:rPr>
              <w:t xml:space="preserve">    16,190 </w:t>
            </w:r>
          </w:p>
        </w:tc>
        <w:tc>
          <w:tcPr>
            <w:tcW w:w="1275" w:type="dxa"/>
            <w:vAlign w:val="bottom"/>
          </w:tcPr>
          <w:p w14:paraId="1B594D1A" w14:textId="69E1AB9C" w:rsidR="00110551" w:rsidRPr="00110551" w:rsidRDefault="00110551" w:rsidP="00110551">
            <w:pPr>
              <w:jc w:val="right"/>
              <w:rPr>
                <w:lang w:val="en-US" w:eastAsia="en-AU"/>
              </w:rPr>
            </w:pPr>
            <w:r w:rsidRPr="00110551">
              <w:rPr>
                <w:rFonts w:cs="Arial"/>
                <w:szCs w:val="20"/>
              </w:rPr>
              <w:t xml:space="preserve">      14,467 </w:t>
            </w:r>
          </w:p>
        </w:tc>
        <w:tc>
          <w:tcPr>
            <w:tcW w:w="1418" w:type="dxa"/>
            <w:vAlign w:val="bottom"/>
          </w:tcPr>
          <w:p w14:paraId="4BEFA52D" w14:textId="11816A13" w:rsidR="00110551" w:rsidRPr="00110551" w:rsidRDefault="00110551" w:rsidP="00110551">
            <w:pPr>
              <w:jc w:val="right"/>
              <w:rPr>
                <w:lang w:val="en-US" w:eastAsia="en-AU"/>
              </w:rPr>
            </w:pPr>
            <w:r w:rsidRPr="00110551">
              <w:rPr>
                <w:rFonts w:cs="Arial"/>
                <w:szCs w:val="20"/>
              </w:rPr>
              <w:t xml:space="preserve">     14,363 </w:t>
            </w:r>
          </w:p>
        </w:tc>
        <w:tc>
          <w:tcPr>
            <w:tcW w:w="1642" w:type="dxa"/>
            <w:vAlign w:val="bottom"/>
          </w:tcPr>
          <w:p w14:paraId="43A09B2B" w14:textId="2CCF0BAF" w:rsidR="00110551" w:rsidRPr="00110551" w:rsidRDefault="00110551" w:rsidP="00110551">
            <w:pPr>
              <w:jc w:val="right"/>
              <w:rPr>
                <w:lang w:val="en-US" w:eastAsia="en-AU"/>
              </w:rPr>
            </w:pPr>
            <w:r w:rsidRPr="00110551">
              <w:rPr>
                <w:rFonts w:cs="Arial"/>
                <w:szCs w:val="20"/>
              </w:rPr>
              <w:t xml:space="preserve">           1,723 </w:t>
            </w:r>
          </w:p>
        </w:tc>
        <w:tc>
          <w:tcPr>
            <w:tcW w:w="1821" w:type="dxa"/>
            <w:vAlign w:val="bottom"/>
          </w:tcPr>
          <w:p w14:paraId="036DA913" w14:textId="1DFFF591" w:rsidR="00110551" w:rsidRPr="00110551" w:rsidRDefault="00110551" w:rsidP="00110551">
            <w:pPr>
              <w:jc w:val="right"/>
              <w:rPr>
                <w:lang w:val="en-US" w:eastAsia="en-AU"/>
              </w:rPr>
            </w:pPr>
            <w:r w:rsidRPr="00110551">
              <w:rPr>
                <w:rFonts w:cs="Arial"/>
                <w:szCs w:val="20"/>
              </w:rPr>
              <w:t xml:space="preserve">                     104 </w:t>
            </w:r>
          </w:p>
        </w:tc>
      </w:tr>
      <w:tr w:rsidR="00110551" w14:paraId="68C83400" w14:textId="77777777" w:rsidTr="00110551">
        <w:tc>
          <w:tcPr>
            <w:tcW w:w="4957" w:type="dxa"/>
            <w:vAlign w:val="center"/>
          </w:tcPr>
          <w:p w14:paraId="48BDD3E7" w14:textId="78B74D8D" w:rsidR="00110551" w:rsidRDefault="00110551" w:rsidP="00110551">
            <w:pPr>
              <w:rPr>
                <w:lang w:val="en-US" w:eastAsia="en-AU"/>
              </w:rPr>
            </w:pPr>
            <w:r>
              <w:rPr>
                <w:lang w:val="en-US" w:eastAsia="en-AU"/>
              </w:rPr>
              <w:t>Retained earnings</w:t>
            </w:r>
          </w:p>
        </w:tc>
        <w:tc>
          <w:tcPr>
            <w:tcW w:w="1559" w:type="dxa"/>
          </w:tcPr>
          <w:p w14:paraId="35773397" w14:textId="77777777" w:rsidR="00110551" w:rsidRDefault="00110551" w:rsidP="00110551">
            <w:pPr>
              <w:rPr>
                <w:lang w:val="en-US" w:eastAsia="en-AU"/>
              </w:rPr>
            </w:pPr>
          </w:p>
        </w:tc>
        <w:tc>
          <w:tcPr>
            <w:tcW w:w="1276" w:type="dxa"/>
            <w:tcBorders>
              <w:bottom w:val="single" w:sz="4" w:space="0" w:color="auto"/>
            </w:tcBorders>
            <w:vAlign w:val="bottom"/>
          </w:tcPr>
          <w:p w14:paraId="3902E632" w14:textId="7F7C8FF7" w:rsidR="00110551" w:rsidRPr="00110551" w:rsidRDefault="00110551" w:rsidP="00110551">
            <w:pPr>
              <w:jc w:val="right"/>
              <w:rPr>
                <w:lang w:val="en-US" w:eastAsia="en-AU"/>
              </w:rPr>
            </w:pPr>
            <w:r w:rsidRPr="00110551">
              <w:rPr>
                <w:rFonts w:cs="Arial"/>
                <w:szCs w:val="20"/>
              </w:rPr>
              <w:t xml:space="preserve">    83,291 </w:t>
            </w:r>
          </w:p>
        </w:tc>
        <w:tc>
          <w:tcPr>
            <w:tcW w:w="1275" w:type="dxa"/>
            <w:tcBorders>
              <w:bottom w:val="single" w:sz="4" w:space="0" w:color="auto"/>
            </w:tcBorders>
            <w:vAlign w:val="bottom"/>
          </w:tcPr>
          <w:p w14:paraId="3F45EACD" w14:textId="68AC0431" w:rsidR="00110551" w:rsidRPr="00110551" w:rsidRDefault="00110551" w:rsidP="00110551">
            <w:pPr>
              <w:jc w:val="right"/>
              <w:rPr>
                <w:lang w:val="en-US" w:eastAsia="en-AU"/>
              </w:rPr>
            </w:pPr>
            <w:r w:rsidRPr="00110551">
              <w:rPr>
                <w:rFonts w:cs="Arial"/>
                <w:szCs w:val="20"/>
              </w:rPr>
              <w:t xml:space="preserve">      87,729 </w:t>
            </w:r>
          </w:p>
        </w:tc>
        <w:tc>
          <w:tcPr>
            <w:tcW w:w="1418" w:type="dxa"/>
            <w:tcBorders>
              <w:bottom w:val="single" w:sz="4" w:space="0" w:color="auto"/>
            </w:tcBorders>
            <w:vAlign w:val="bottom"/>
          </w:tcPr>
          <w:p w14:paraId="784D7DC1" w14:textId="2A29C99B" w:rsidR="00110551" w:rsidRPr="00110551" w:rsidRDefault="00110551" w:rsidP="00110551">
            <w:pPr>
              <w:jc w:val="right"/>
              <w:rPr>
                <w:lang w:val="en-US" w:eastAsia="en-AU"/>
              </w:rPr>
            </w:pPr>
            <w:r w:rsidRPr="00110551">
              <w:rPr>
                <w:rFonts w:cs="Arial"/>
                <w:szCs w:val="20"/>
              </w:rPr>
              <w:t xml:space="preserve">     88,297 </w:t>
            </w:r>
          </w:p>
        </w:tc>
        <w:tc>
          <w:tcPr>
            <w:tcW w:w="1642" w:type="dxa"/>
            <w:tcBorders>
              <w:bottom w:val="single" w:sz="4" w:space="0" w:color="auto"/>
            </w:tcBorders>
            <w:vAlign w:val="bottom"/>
          </w:tcPr>
          <w:p w14:paraId="4FDE59A9" w14:textId="2028182D" w:rsidR="00110551" w:rsidRPr="00110551" w:rsidRDefault="00110551" w:rsidP="00110551">
            <w:pPr>
              <w:jc w:val="right"/>
              <w:rPr>
                <w:lang w:val="en-US" w:eastAsia="en-AU"/>
              </w:rPr>
            </w:pPr>
            <w:r w:rsidRPr="00110551">
              <w:rPr>
                <w:rFonts w:cs="Arial"/>
                <w:szCs w:val="20"/>
              </w:rPr>
              <w:t xml:space="preserve">          (4,438)</w:t>
            </w:r>
          </w:p>
        </w:tc>
        <w:tc>
          <w:tcPr>
            <w:tcW w:w="1821" w:type="dxa"/>
            <w:tcBorders>
              <w:bottom w:val="single" w:sz="4" w:space="0" w:color="auto"/>
            </w:tcBorders>
            <w:vAlign w:val="bottom"/>
          </w:tcPr>
          <w:p w14:paraId="20228EAD" w14:textId="3D343A29" w:rsidR="00110551" w:rsidRPr="00110551" w:rsidRDefault="00110551" w:rsidP="00110551">
            <w:pPr>
              <w:jc w:val="right"/>
              <w:rPr>
                <w:lang w:val="en-US" w:eastAsia="en-AU"/>
              </w:rPr>
            </w:pPr>
            <w:r w:rsidRPr="00110551">
              <w:rPr>
                <w:rFonts w:cs="Arial"/>
                <w:szCs w:val="20"/>
              </w:rPr>
              <w:t xml:space="preserve">                    (568)</w:t>
            </w:r>
          </w:p>
        </w:tc>
      </w:tr>
      <w:tr w:rsidR="00110551" w14:paraId="1AB29B29" w14:textId="77777777" w:rsidTr="00B02F18">
        <w:tc>
          <w:tcPr>
            <w:tcW w:w="4957" w:type="dxa"/>
            <w:vAlign w:val="center"/>
          </w:tcPr>
          <w:p w14:paraId="0C0BAA6D" w14:textId="50F72AF7" w:rsidR="00110551" w:rsidRPr="00110551" w:rsidRDefault="00110551" w:rsidP="00B02F18">
            <w:pPr>
              <w:rPr>
                <w:b/>
                <w:lang w:val="en-US" w:eastAsia="en-AU"/>
              </w:rPr>
            </w:pPr>
            <w:r>
              <w:rPr>
                <w:b/>
                <w:lang w:val="en-US" w:eastAsia="en-AU"/>
              </w:rPr>
              <w:t>Total Equity</w:t>
            </w:r>
          </w:p>
        </w:tc>
        <w:tc>
          <w:tcPr>
            <w:tcW w:w="1559" w:type="dxa"/>
          </w:tcPr>
          <w:p w14:paraId="3695D1E5" w14:textId="77777777" w:rsidR="00110551" w:rsidRDefault="00110551" w:rsidP="00110551">
            <w:pPr>
              <w:rPr>
                <w:lang w:val="en-US" w:eastAsia="en-AU"/>
              </w:rPr>
            </w:pPr>
          </w:p>
        </w:tc>
        <w:tc>
          <w:tcPr>
            <w:tcW w:w="1276" w:type="dxa"/>
            <w:tcBorders>
              <w:top w:val="single" w:sz="4" w:space="0" w:color="auto"/>
              <w:bottom w:val="double" w:sz="4" w:space="0" w:color="auto"/>
            </w:tcBorders>
            <w:vAlign w:val="bottom"/>
          </w:tcPr>
          <w:p w14:paraId="2CA1FDCF" w14:textId="327E59CF" w:rsidR="00110551" w:rsidRPr="00110551" w:rsidRDefault="00110551" w:rsidP="00110551">
            <w:pPr>
              <w:jc w:val="right"/>
              <w:rPr>
                <w:b/>
                <w:lang w:val="en-US" w:eastAsia="en-AU"/>
              </w:rPr>
            </w:pPr>
            <w:r w:rsidRPr="00110551">
              <w:rPr>
                <w:b/>
              </w:rPr>
              <w:t xml:space="preserve">    99,481 </w:t>
            </w:r>
          </w:p>
        </w:tc>
        <w:tc>
          <w:tcPr>
            <w:tcW w:w="1275" w:type="dxa"/>
            <w:tcBorders>
              <w:top w:val="single" w:sz="4" w:space="0" w:color="auto"/>
              <w:bottom w:val="double" w:sz="4" w:space="0" w:color="auto"/>
            </w:tcBorders>
            <w:vAlign w:val="bottom"/>
          </w:tcPr>
          <w:p w14:paraId="5D92A9D7" w14:textId="344834DD" w:rsidR="00110551" w:rsidRPr="00110551" w:rsidRDefault="00110551" w:rsidP="00110551">
            <w:pPr>
              <w:jc w:val="right"/>
              <w:rPr>
                <w:b/>
                <w:lang w:val="en-US" w:eastAsia="en-AU"/>
              </w:rPr>
            </w:pPr>
            <w:r w:rsidRPr="00110551">
              <w:rPr>
                <w:b/>
              </w:rPr>
              <w:t xml:space="preserve">     102,196 </w:t>
            </w:r>
          </w:p>
        </w:tc>
        <w:tc>
          <w:tcPr>
            <w:tcW w:w="1418" w:type="dxa"/>
            <w:tcBorders>
              <w:top w:val="single" w:sz="4" w:space="0" w:color="auto"/>
              <w:bottom w:val="double" w:sz="4" w:space="0" w:color="auto"/>
            </w:tcBorders>
            <w:vAlign w:val="bottom"/>
          </w:tcPr>
          <w:p w14:paraId="5E8A8D6C" w14:textId="5120D3E2" w:rsidR="00110551" w:rsidRPr="00110551" w:rsidRDefault="00110551" w:rsidP="00110551">
            <w:pPr>
              <w:jc w:val="right"/>
              <w:rPr>
                <w:b/>
                <w:lang w:val="en-US" w:eastAsia="en-AU"/>
              </w:rPr>
            </w:pPr>
            <w:r w:rsidRPr="00110551">
              <w:rPr>
                <w:b/>
              </w:rPr>
              <w:t xml:space="preserve">   102,660 </w:t>
            </w:r>
          </w:p>
        </w:tc>
        <w:tc>
          <w:tcPr>
            <w:tcW w:w="1642" w:type="dxa"/>
            <w:tcBorders>
              <w:top w:val="single" w:sz="4" w:space="0" w:color="auto"/>
              <w:bottom w:val="double" w:sz="4" w:space="0" w:color="auto"/>
            </w:tcBorders>
            <w:vAlign w:val="bottom"/>
          </w:tcPr>
          <w:p w14:paraId="04604CCB" w14:textId="736D5785" w:rsidR="00110551" w:rsidRPr="00110551" w:rsidRDefault="00110551" w:rsidP="00110551">
            <w:pPr>
              <w:jc w:val="right"/>
              <w:rPr>
                <w:b/>
                <w:lang w:val="en-US" w:eastAsia="en-AU"/>
              </w:rPr>
            </w:pPr>
            <w:r w:rsidRPr="00110551">
              <w:rPr>
                <w:b/>
              </w:rPr>
              <w:t xml:space="preserve">          (2,715)</w:t>
            </w:r>
          </w:p>
        </w:tc>
        <w:tc>
          <w:tcPr>
            <w:tcW w:w="1821" w:type="dxa"/>
            <w:tcBorders>
              <w:top w:val="single" w:sz="4" w:space="0" w:color="auto"/>
              <w:bottom w:val="double" w:sz="4" w:space="0" w:color="auto"/>
            </w:tcBorders>
            <w:vAlign w:val="bottom"/>
          </w:tcPr>
          <w:p w14:paraId="7D6EB214" w14:textId="44C38207" w:rsidR="00110551" w:rsidRPr="00110551" w:rsidRDefault="00110551" w:rsidP="00110551">
            <w:pPr>
              <w:jc w:val="right"/>
              <w:rPr>
                <w:b/>
                <w:lang w:val="en-US" w:eastAsia="en-AU"/>
              </w:rPr>
            </w:pPr>
            <w:r w:rsidRPr="00110551">
              <w:rPr>
                <w:b/>
              </w:rPr>
              <w:t xml:space="preserve">                    (464)</w:t>
            </w:r>
          </w:p>
        </w:tc>
      </w:tr>
    </w:tbl>
    <w:p w14:paraId="39413AB1" w14:textId="0DD89B28" w:rsidR="00DA1F1E" w:rsidRDefault="005954B1" w:rsidP="00DA1F1E">
      <w:pPr>
        <w:rPr>
          <w:b/>
          <w:lang w:val="en-US" w:eastAsia="en-AU"/>
        </w:rPr>
      </w:pPr>
      <w:r>
        <w:rPr>
          <w:lang w:val="en-US" w:eastAsia="en-AU"/>
        </w:rPr>
        <w:br/>
      </w:r>
      <w:r w:rsidR="00B02F18">
        <w:rPr>
          <w:lang w:val="en-US" w:eastAsia="en-AU"/>
        </w:rPr>
        <w:br/>
      </w:r>
      <w:r w:rsidR="00B02F18">
        <w:rPr>
          <w:b/>
          <w:lang w:val="en-US" w:eastAsia="en-AU"/>
        </w:rPr>
        <w:t>Major Estimate and Actual (2018) Variance Narratives</w:t>
      </w:r>
    </w:p>
    <w:p w14:paraId="5EBFEF03" w14:textId="7D1B05C3" w:rsidR="00B02F18" w:rsidRDefault="00B02F18" w:rsidP="00B02F18">
      <w:pPr>
        <w:rPr>
          <w:lang w:val="en-US" w:eastAsia="en-AU"/>
        </w:rPr>
      </w:pPr>
      <w:r w:rsidRPr="00B02F18">
        <w:rPr>
          <w:lang w:val="en-US" w:eastAsia="en-AU"/>
        </w:rPr>
        <w:t>4) Provisions are $3.368 million (74.3%) over budget estimates due to an increase in claims liability as a result of 5 new potential common law claims identif</w:t>
      </w:r>
      <w:r>
        <w:rPr>
          <w:lang w:val="en-US" w:eastAsia="en-AU"/>
        </w:rPr>
        <w:t>ied in the past 12 months.</w:t>
      </w:r>
    </w:p>
    <w:p w14:paraId="0329FEA7" w14:textId="225F17BB" w:rsidR="00B02F18" w:rsidRDefault="00B02F18" w:rsidP="00B02F18">
      <w:pPr>
        <w:rPr>
          <w:b/>
          <w:lang w:val="en-US" w:eastAsia="en-AU"/>
        </w:rPr>
      </w:pPr>
      <w:r>
        <w:rPr>
          <w:b/>
          <w:lang w:val="en-US" w:eastAsia="en-AU"/>
        </w:rPr>
        <w:t>Major Actual (2018) and Comparative (2017) Variance Narratives</w:t>
      </w:r>
    </w:p>
    <w:p w14:paraId="10B8F36B" w14:textId="2068A167" w:rsidR="00B02F18" w:rsidRDefault="00B02F18" w:rsidP="00B02F18">
      <w:pPr>
        <w:rPr>
          <w:lang w:val="en-US" w:eastAsia="en-AU"/>
        </w:rPr>
      </w:pPr>
      <w:r w:rsidRPr="00B02F18">
        <w:rPr>
          <w:lang w:val="en-US" w:eastAsia="en-AU"/>
        </w:rPr>
        <w:t>C)  Other financial assets increase of $3.495 million (24.1%) is due to an increase in deposits with a maturity date greater than</w:t>
      </w:r>
      <w:r>
        <w:rPr>
          <w:lang w:val="en-US" w:eastAsia="en-AU"/>
        </w:rPr>
        <w:t xml:space="preserve"> 3 months at 30 June 2018.</w:t>
      </w:r>
    </w:p>
    <w:p w14:paraId="4BE4B7B6" w14:textId="49C4FA7D" w:rsidR="00B02F18" w:rsidRDefault="00B02F18" w:rsidP="00B02F18">
      <w:pPr>
        <w:keepLines w:val="0"/>
        <w:spacing w:after="0" w:line="240" w:lineRule="auto"/>
        <w:rPr>
          <w:b/>
          <w:lang w:val="en-US" w:eastAsia="en-AU"/>
        </w:rPr>
      </w:pPr>
      <w:r>
        <w:rPr>
          <w:b/>
          <w:lang w:val="en-US" w:eastAsia="en-AU"/>
        </w:rPr>
        <w:t>STATEMENT OF CASH FLOWS</w:t>
      </w:r>
    </w:p>
    <w:p w14:paraId="57F046BE" w14:textId="77777777" w:rsidR="006A414B" w:rsidRPr="00B02F18" w:rsidRDefault="006A414B" w:rsidP="00B02F18">
      <w:pPr>
        <w:keepLines w:val="0"/>
        <w:spacing w:after="0" w:line="240" w:lineRule="auto"/>
        <w:rPr>
          <w:b/>
          <w:lang w:val="en-US" w:eastAsia="en-AU"/>
        </w:rPr>
      </w:pPr>
      <w:r>
        <w:rPr>
          <w:b/>
          <w:lang w:val="en-US" w:eastAsia="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tatement of Cash Flows"/>
        <w:tblDescription w:val="This table provides the Statement of Cash Flows for the reporting period. "/>
      </w:tblPr>
      <w:tblGrid>
        <w:gridCol w:w="4957"/>
        <w:gridCol w:w="1559"/>
        <w:gridCol w:w="1276"/>
        <w:gridCol w:w="1275"/>
        <w:gridCol w:w="1418"/>
        <w:gridCol w:w="1642"/>
        <w:gridCol w:w="1821"/>
      </w:tblGrid>
      <w:tr w:rsidR="006A414B" w:rsidRPr="00DA1F1E" w14:paraId="1110286F" w14:textId="77777777" w:rsidTr="005954B1">
        <w:trPr>
          <w:tblHeader/>
        </w:trPr>
        <w:tc>
          <w:tcPr>
            <w:tcW w:w="4957" w:type="dxa"/>
          </w:tcPr>
          <w:p w14:paraId="37D6C2A9" w14:textId="77777777" w:rsidR="006A414B" w:rsidRDefault="006A414B" w:rsidP="005954B1">
            <w:pPr>
              <w:rPr>
                <w:lang w:val="en-US" w:eastAsia="en-AU"/>
              </w:rPr>
            </w:pPr>
          </w:p>
        </w:tc>
        <w:tc>
          <w:tcPr>
            <w:tcW w:w="1559" w:type="dxa"/>
          </w:tcPr>
          <w:p w14:paraId="44F6ACDA" w14:textId="77777777" w:rsidR="006A414B" w:rsidRPr="00DA1F1E" w:rsidRDefault="006A414B" w:rsidP="005954B1">
            <w:pPr>
              <w:jc w:val="center"/>
              <w:rPr>
                <w:b/>
                <w:lang w:val="en-US" w:eastAsia="en-AU"/>
              </w:rPr>
            </w:pPr>
            <w:r>
              <w:rPr>
                <w:b/>
                <w:lang w:val="en-US" w:eastAsia="en-AU"/>
              </w:rPr>
              <w:t>Variance Note</w:t>
            </w:r>
          </w:p>
        </w:tc>
        <w:tc>
          <w:tcPr>
            <w:tcW w:w="1276" w:type="dxa"/>
          </w:tcPr>
          <w:p w14:paraId="465210C5" w14:textId="77777777" w:rsidR="006A414B" w:rsidRPr="00DA1F1E" w:rsidRDefault="006A414B" w:rsidP="005954B1">
            <w:pPr>
              <w:jc w:val="right"/>
              <w:rPr>
                <w:b/>
                <w:lang w:val="en-US" w:eastAsia="en-AU"/>
              </w:rPr>
            </w:pPr>
            <w:r>
              <w:rPr>
                <w:b/>
                <w:lang w:val="en-US" w:eastAsia="en-AU"/>
              </w:rPr>
              <w:t>Estimate 2018</w:t>
            </w:r>
          </w:p>
        </w:tc>
        <w:tc>
          <w:tcPr>
            <w:tcW w:w="1275" w:type="dxa"/>
          </w:tcPr>
          <w:p w14:paraId="555A2CC8" w14:textId="77777777" w:rsidR="006A414B" w:rsidRPr="00DA1F1E" w:rsidRDefault="006A414B" w:rsidP="005954B1">
            <w:pPr>
              <w:jc w:val="right"/>
              <w:rPr>
                <w:b/>
                <w:lang w:val="en-US" w:eastAsia="en-AU"/>
              </w:rPr>
            </w:pPr>
            <w:r>
              <w:rPr>
                <w:b/>
                <w:lang w:val="en-US" w:eastAsia="en-AU"/>
              </w:rPr>
              <w:t>Actual 2018</w:t>
            </w:r>
          </w:p>
        </w:tc>
        <w:tc>
          <w:tcPr>
            <w:tcW w:w="1418" w:type="dxa"/>
          </w:tcPr>
          <w:p w14:paraId="7F74DEFA" w14:textId="77777777" w:rsidR="006A414B" w:rsidRPr="00DA1F1E" w:rsidRDefault="006A414B" w:rsidP="005954B1">
            <w:pPr>
              <w:jc w:val="right"/>
              <w:rPr>
                <w:b/>
                <w:lang w:val="en-US" w:eastAsia="en-AU"/>
              </w:rPr>
            </w:pPr>
            <w:r>
              <w:rPr>
                <w:b/>
                <w:lang w:val="en-US" w:eastAsia="en-AU"/>
              </w:rPr>
              <w:t xml:space="preserve">Actual </w:t>
            </w:r>
            <w:r>
              <w:rPr>
                <w:b/>
                <w:lang w:val="en-US" w:eastAsia="en-AU"/>
              </w:rPr>
              <w:br/>
              <w:t>2017</w:t>
            </w:r>
          </w:p>
        </w:tc>
        <w:tc>
          <w:tcPr>
            <w:tcW w:w="1642" w:type="dxa"/>
          </w:tcPr>
          <w:p w14:paraId="419B135B" w14:textId="77777777" w:rsidR="006A414B" w:rsidRPr="00DA1F1E" w:rsidRDefault="006A414B" w:rsidP="005954B1">
            <w:pPr>
              <w:jc w:val="right"/>
              <w:rPr>
                <w:b/>
                <w:lang w:val="en-US" w:eastAsia="en-AU"/>
              </w:rPr>
            </w:pPr>
            <w:r>
              <w:rPr>
                <w:b/>
                <w:lang w:val="en-US" w:eastAsia="en-AU"/>
              </w:rPr>
              <w:t xml:space="preserve">Variance between Estimate and Actual </w:t>
            </w:r>
          </w:p>
        </w:tc>
        <w:tc>
          <w:tcPr>
            <w:tcW w:w="1821" w:type="dxa"/>
          </w:tcPr>
          <w:p w14:paraId="754271AE" w14:textId="77777777" w:rsidR="006A414B" w:rsidRPr="00DA1F1E" w:rsidRDefault="006A414B" w:rsidP="005954B1">
            <w:pPr>
              <w:jc w:val="right"/>
              <w:rPr>
                <w:b/>
                <w:lang w:val="en-US" w:eastAsia="en-AU"/>
              </w:rPr>
            </w:pPr>
            <w:r>
              <w:rPr>
                <w:b/>
                <w:lang w:val="en-US" w:eastAsia="en-AU"/>
              </w:rPr>
              <w:t>Variance between Actual result for 2018 and 2017</w:t>
            </w:r>
          </w:p>
        </w:tc>
      </w:tr>
      <w:tr w:rsidR="006A414B" w:rsidRPr="00DA1F1E" w14:paraId="2AF6D4AC" w14:textId="77777777" w:rsidTr="005954B1">
        <w:tc>
          <w:tcPr>
            <w:tcW w:w="4957" w:type="dxa"/>
            <w:vAlign w:val="center"/>
          </w:tcPr>
          <w:p w14:paraId="33EBE67E" w14:textId="106DCC0A" w:rsidR="006A414B" w:rsidRPr="00DA1F1E" w:rsidRDefault="006A414B" w:rsidP="005954B1">
            <w:pPr>
              <w:rPr>
                <w:b/>
                <w:lang w:val="en-US" w:eastAsia="en-AU"/>
              </w:rPr>
            </w:pPr>
          </w:p>
        </w:tc>
        <w:tc>
          <w:tcPr>
            <w:tcW w:w="1559" w:type="dxa"/>
          </w:tcPr>
          <w:p w14:paraId="7BF64424" w14:textId="77777777" w:rsidR="006A414B" w:rsidRDefault="006A414B" w:rsidP="005954B1">
            <w:pPr>
              <w:jc w:val="center"/>
              <w:rPr>
                <w:lang w:val="en-US" w:eastAsia="en-AU"/>
              </w:rPr>
            </w:pPr>
          </w:p>
        </w:tc>
        <w:tc>
          <w:tcPr>
            <w:tcW w:w="1276" w:type="dxa"/>
          </w:tcPr>
          <w:p w14:paraId="31A10726" w14:textId="77777777" w:rsidR="006A414B" w:rsidRDefault="006A414B" w:rsidP="005954B1">
            <w:pPr>
              <w:rPr>
                <w:lang w:val="en-US" w:eastAsia="en-AU"/>
              </w:rPr>
            </w:pPr>
          </w:p>
        </w:tc>
        <w:tc>
          <w:tcPr>
            <w:tcW w:w="1275" w:type="dxa"/>
          </w:tcPr>
          <w:p w14:paraId="099C1034" w14:textId="77777777" w:rsidR="006A414B" w:rsidRPr="00DA1F1E" w:rsidRDefault="006A414B" w:rsidP="005954B1">
            <w:pPr>
              <w:jc w:val="right"/>
              <w:rPr>
                <w:b/>
                <w:lang w:val="en-US" w:eastAsia="en-AU"/>
              </w:rPr>
            </w:pPr>
            <w:r>
              <w:rPr>
                <w:b/>
                <w:lang w:val="en-US" w:eastAsia="en-AU"/>
              </w:rPr>
              <w:t>$000</w:t>
            </w:r>
          </w:p>
        </w:tc>
        <w:tc>
          <w:tcPr>
            <w:tcW w:w="1418" w:type="dxa"/>
          </w:tcPr>
          <w:p w14:paraId="432654BC" w14:textId="77777777" w:rsidR="006A414B" w:rsidRPr="00DA1F1E" w:rsidRDefault="006A414B" w:rsidP="005954B1">
            <w:pPr>
              <w:jc w:val="right"/>
              <w:rPr>
                <w:b/>
                <w:lang w:val="en-US" w:eastAsia="en-AU"/>
              </w:rPr>
            </w:pPr>
            <w:r>
              <w:rPr>
                <w:b/>
                <w:lang w:val="en-US" w:eastAsia="en-AU"/>
              </w:rPr>
              <w:t>$000</w:t>
            </w:r>
          </w:p>
        </w:tc>
        <w:tc>
          <w:tcPr>
            <w:tcW w:w="1642" w:type="dxa"/>
          </w:tcPr>
          <w:p w14:paraId="308D92D4" w14:textId="77777777" w:rsidR="006A414B" w:rsidRPr="00DA1F1E" w:rsidRDefault="006A414B" w:rsidP="005954B1">
            <w:pPr>
              <w:jc w:val="right"/>
              <w:rPr>
                <w:b/>
                <w:lang w:val="en-US" w:eastAsia="en-AU"/>
              </w:rPr>
            </w:pPr>
            <w:r>
              <w:rPr>
                <w:b/>
                <w:lang w:val="en-US" w:eastAsia="en-AU"/>
              </w:rPr>
              <w:t>$000</w:t>
            </w:r>
          </w:p>
        </w:tc>
        <w:tc>
          <w:tcPr>
            <w:tcW w:w="1821" w:type="dxa"/>
          </w:tcPr>
          <w:p w14:paraId="4246A363" w14:textId="77777777" w:rsidR="006A414B" w:rsidRPr="00DA1F1E" w:rsidRDefault="006A414B" w:rsidP="005954B1">
            <w:pPr>
              <w:jc w:val="right"/>
              <w:rPr>
                <w:b/>
                <w:lang w:val="en-US" w:eastAsia="en-AU"/>
              </w:rPr>
            </w:pPr>
            <w:r>
              <w:rPr>
                <w:b/>
                <w:lang w:val="en-US" w:eastAsia="en-AU"/>
              </w:rPr>
              <w:t>$000</w:t>
            </w:r>
          </w:p>
        </w:tc>
      </w:tr>
      <w:tr w:rsidR="006A414B" w14:paraId="6DDC80E7" w14:textId="77777777" w:rsidTr="005954B1">
        <w:tc>
          <w:tcPr>
            <w:tcW w:w="4957" w:type="dxa"/>
            <w:vAlign w:val="center"/>
          </w:tcPr>
          <w:p w14:paraId="5A499DCE" w14:textId="69569751" w:rsidR="006A414B" w:rsidRPr="00DA1F1E" w:rsidRDefault="006A414B" w:rsidP="005954B1">
            <w:pPr>
              <w:rPr>
                <w:b/>
                <w:lang w:val="en-US" w:eastAsia="en-AU"/>
              </w:rPr>
            </w:pPr>
            <w:r>
              <w:rPr>
                <w:b/>
                <w:lang w:val="en-US" w:eastAsia="en-AU"/>
              </w:rPr>
              <w:t>CASH FLOWS FROM OPERATING ACTIVITIES</w:t>
            </w:r>
          </w:p>
        </w:tc>
        <w:tc>
          <w:tcPr>
            <w:tcW w:w="1559" w:type="dxa"/>
          </w:tcPr>
          <w:p w14:paraId="5537C113" w14:textId="77777777" w:rsidR="006A414B" w:rsidRDefault="006A414B" w:rsidP="005954B1">
            <w:pPr>
              <w:rPr>
                <w:lang w:val="en-US" w:eastAsia="en-AU"/>
              </w:rPr>
            </w:pPr>
          </w:p>
        </w:tc>
        <w:tc>
          <w:tcPr>
            <w:tcW w:w="1276" w:type="dxa"/>
          </w:tcPr>
          <w:p w14:paraId="56F6DC8E" w14:textId="77777777" w:rsidR="006A414B" w:rsidRDefault="006A414B" w:rsidP="005954B1">
            <w:pPr>
              <w:rPr>
                <w:lang w:val="en-US" w:eastAsia="en-AU"/>
              </w:rPr>
            </w:pPr>
          </w:p>
        </w:tc>
        <w:tc>
          <w:tcPr>
            <w:tcW w:w="1275" w:type="dxa"/>
          </w:tcPr>
          <w:p w14:paraId="57780794" w14:textId="77777777" w:rsidR="006A414B" w:rsidRDefault="006A414B" w:rsidP="005954B1">
            <w:pPr>
              <w:rPr>
                <w:lang w:val="en-US" w:eastAsia="en-AU"/>
              </w:rPr>
            </w:pPr>
          </w:p>
        </w:tc>
        <w:tc>
          <w:tcPr>
            <w:tcW w:w="1418" w:type="dxa"/>
          </w:tcPr>
          <w:p w14:paraId="32C7AA5C" w14:textId="77777777" w:rsidR="006A414B" w:rsidRDefault="006A414B" w:rsidP="005954B1">
            <w:pPr>
              <w:rPr>
                <w:lang w:val="en-US" w:eastAsia="en-AU"/>
              </w:rPr>
            </w:pPr>
          </w:p>
        </w:tc>
        <w:tc>
          <w:tcPr>
            <w:tcW w:w="1642" w:type="dxa"/>
          </w:tcPr>
          <w:p w14:paraId="30DF4CFC" w14:textId="77777777" w:rsidR="006A414B" w:rsidRDefault="006A414B" w:rsidP="005954B1">
            <w:pPr>
              <w:rPr>
                <w:lang w:val="en-US" w:eastAsia="en-AU"/>
              </w:rPr>
            </w:pPr>
          </w:p>
        </w:tc>
        <w:tc>
          <w:tcPr>
            <w:tcW w:w="1821" w:type="dxa"/>
          </w:tcPr>
          <w:p w14:paraId="019936EB" w14:textId="77777777" w:rsidR="006A414B" w:rsidRDefault="006A414B" w:rsidP="005954B1">
            <w:pPr>
              <w:rPr>
                <w:lang w:val="en-US" w:eastAsia="en-AU"/>
              </w:rPr>
            </w:pPr>
          </w:p>
        </w:tc>
      </w:tr>
      <w:tr w:rsidR="006A414B" w14:paraId="67A95E1D" w14:textId="77777777" w:rsidTr="005954B1">
        <w:tc>
          <w:tcPr>
            <w:tcW w:w="4957" w:type="dxa"/>
            <w:vAlign w:val="center"/>
          </w:tcPr>
          <w:p w14:paraId="3F4A0C37" w14:textId="39F7FAE2" w:rsidR="006A414B" w:rsidRPr="006A414B" w:rsidRDefault="006A414B" w:rsidP="005954B1">
            <w:pPr>
              <w:rPr>
                <w:b/>
                <w:lang w:val="en-US" w:eastAsia="en-AU"/>
              </w:rPr>
            </w:pPr>
            <w:r>
              <w:rPr>
                <w:b/>
                <w:lang w:val="en-US" w:eastAsia="en-AU"/>
              </w:rPr>
              <w:t>Receipts</w:t>
            </w:r>
          </w:p>
        </w:tc>
        <w:tc>
          <w:tcPr>
            <w:tcW w:w="1559" w:type="dxa"/>
          </w:tcPr>
          <w:p w14:paraId="16C36762" w14:textId="77777777" w:rsidR="006A414B" w:rsidRDefault="006A414B" w:rsidP="005954B1">
            <w:pPr>
              <w:rPr>
                <w:lang w:val="en-US" w:eastAsia="en-AU"/>
              </w:rPr>
            </w:pPr>
          </w:p>
        </w:tc>
        <w:tc>
          <w:tcPr>
            <w:tcW w:w="1276" w:type="dxa"/>
            <w:vAlign w:val="bottom"/>
          </w:tcPr>
          <w:p w14:paraId="6161E66D" w14:textId="48810D61" w:rsidR="006A414B" w:rsidRDefault="006A414B" w:rsidP="006A414B">
            <w:pPr>
              <w:jc w:val="right"/>
              <w:rPr>
                <w:lang w:val="en-US" w:eastAsia="en-AU"/>
              </w:rPr>
            </w:pPr>
          </w:p>
        </w:tc>
        <w:tc>
          <w:tcPr>
            <w:tcW w:w="1275" w:type="dxa"/>
            <w:vAlign w:val="bottom"/>
          </w:tcPr>
          <w:p w14:paraId="03D1DCE9" w14:textId="4E6D0C63" w:rsidR="006A414B" w:rsidRDefault="006A414B" w:rsidP="006A414B">
            <w:pPr>
              <w:jc w:val="right"/>
              <w:rPr>
                <w:lang w:val="en-US" w:eastAsia="en-AU"/>
              </w:rPr>
            </w:pPr>
          </w:p>
        </w:tc>
        <w:tc>
          <w:tcPr>
            <w:tcW w:w="1418" w:type="dxa"/>
            <w:vAlign w:val="bottom"/>
          </w:tcPr>
          <w:p w14:paraId="25148D0B" w14:textId="630B9557" w:rsidR="006A414B" w:rsidRDefault="006A414B" w:rsidP="006A414B">
            <w:pPr>
              <w:jc w:val="right"/>
              <w:rPr>
                <w:lang w:val="en-US" w:eastAsia="en-AU"/>
              </w:rPr>
            </w:pPr>
          </w:p>
        </w:tc>
        <w:tc>
          <w:tcPr>
            <w:tcW w:w="1642" w:type="dxa"/>
            <w:vAlign w:val="bottom"/>
          </w:tcPr>
          <w:p w14:paraId="2073B3E4" w14:textId="22604A35" w:rsidR="006A414B" w:rsidRDefault="006A414B" w:rsidP="006A414B">
            <w:pPr>
              <w:jc w:val="right"/>
              <w:rPr>
                <w:lang w:val="en-US" w:eastAsia="en-AU"/>
              </w:rPr>
            </w:pPr>
          </w:p>
        </w:tc>
        <w:tc>
          <w:tcPr>
            <w:tcW w:w="1821" w:type="dxa"/>
            <w:vAlign w:val="bottom"/>
          </w:tcPr>
          <w:p w14:paraId="11C903F4" w14:textId="3565EDCB" w:rsidR="006A414B" w:rsidRDefault="006A414B" w:rsidP="006A414B">
            <w:pPr>
              <w:jc w:val="right"/>
              <w:rPr>
                <w:lang w:val="en-US" w:eastAsia="en-AU"/>
              </w:rPr>
            </w:pPr>
          </w:p>
        </w:tc>
      </w:tr>
      <w:tr w:rsidR="006A414B" w14:paraId="2B61A1EB" w14:textId="77777777" w:rsidTr="005954B1">
        <w:tc>
          <w:tcPr>
            <w:tcW w:w="4957" w:type="dxa"/>
            <w:vAlign w:val="center"/>
          </w:tcPr>
          <w:p w14:paraId="33ACC11A" w14:textId="4C03AAA0" w:rsidR="006A414B" w:rsidRDefault="006A414B" w:rsidP="006A414B">
            <w:pPr>
              <w:rPr>
                <w:b/>
                <w:lang w:val="en-US" w:eastAsia="en-AU"/>
              </w:rPr>
            </w:pPr>
            <w:r>
              <w:t>Supplementation Fund receipts</w:t>
            </w:r>
          </w:p>
        </w:tc>
        <w:tc>
          <w:tcPr>
            <w:tcW w:w="1559" w:type="dxa"/>
          </w:tcPr>
          <w:p w14:paraId="0578C06A" w14:textId="77777777" w:rsidR="006A414B" w:rsidRDefault="006A414B" w:rsidP="006A414B">
            <w:pPr>
              <w:rPr>
                <w:lang w:val="en-US" w:eastAsia="en-AU"/>
              </w:rPr>
            </w:pPr>
          </w:p>
        </w:tc>
        <w:tc>
          <w:tcPr>
            <w:tcW w:w="1276" w:type="dxa"/>
          </w:tcPr>
          <w:p w14:paraId="047A5E4E" w14:textId="21FF8799" w:rsidR="006A414B" w:rsidRDefault="006A414B" w:rsidP="006A414B">
            <w:pPr>
              <w:jc w:val="right"/>
              <w:rPr>
                <w:lang w:val="en-US" w:eastAsia="en-AU"/>
              </w:rPr>
            </w:pPr>
            <w:r w:rsidRPr="00B17A37">
              <w:t xml:space="preserve"> -   </w:t>
            </w:r>
          </w:p>
        </w:tc>
        <w:tc>
          <w:tcPr>
            <w:tcW w:w="1275" w:type="dxa"/>
          </w:tcPr>
          <w:p w14:paraId="658087DD" w14:textId="6CF43E63" w:rsidR="006A414B" w:rsidRDefault="006A414B" w:rsidP="006A414B">
            <w:pPr>
              <w:jc w:val="right"/>
              <w:rPr>
                <w:lang w:val="en-US" w:eastAsia="en-AU"/>
              </w:rPr>
            </w:pPr>
            <w:r w:rsidRPr="00C12FF7">
              <w:t xml:space="preserve"> 1 </w:t>
            </w:r>
          </w:p>
        </w:tc>
        <w:tc>
          <w:tcPr>
            <w:tcW w:w="1418" w:type="dxa"/>
          </w:tcPr>
          <w:p w14:paraId="0EE9059A" w14:textId="305BB9DA" w:rsidR="006A414B" w:rsidRDefault="006A414B" w:rsidP="006A414B">
            <w:pPr>
              <w:jc w:val="right"/>
              <w:rPr>
                <w:lang w:val="en-US" w:eastAsia="en-AU"/>
              </w:rPr>
            </w:pPr>
            <w:r w:rsidRPr="00A94802">
              <w:t xml:space="preserve"> 120 </w:t>
            </w:r>
          </w:p>
        </w:tc>
        <w:tc>
          <w:tcPr>
            <w:tcW w:w="1642" w:type="dxa"/>
          </w:tcPr>
          <w:p w14:paraId="1C889008" w14:textId="179C0EA5" w:rsidR="006A414B" w:rsidRDefault="006A414B" w:rsidP="006A414B">
            <w:pPr>
              <w:jc w:val="right"/>
              <w:rPr>
                <w:lang w:val="en-US" w:eastAsia="en-AU"/>
              </w:rPr>
            </w:pPr>
            <w:r w:rsidRPr="001305DF">
              <w:t xml:space="preserve"> (1)</w:t>
            </w:r>
          </w:p>
        </w:tc>
        <w:tc>
          <w:tcPr>
            <w:tcW w:w="1821" w:type="dxa"/>
          </w:tcPr>
          <w:p w14:paraId="3E0A4764" w14:textId="354BEF64" w:rsidR="006A414B" w:rsidRDefault="006A414B" w:rsidP="006A414B">
            <w:pPr>
              <w:jc w:val="right"/>
              <w:rPr>
                <w:lang w:val="en-US" w:eastAsia="en-AU"/>
              </w:rPr>
            </w:pPr>
            <w:r w:rsidRPr="00181E33">
              <w:t xml:space="preserve"> (119)</w:t>
            </w:r>
          </w:p>
        </w:tc>
      </w:tr>
      <w:tr w:rsidR="006A414B" w14:paraId="3213FECD" w14:textId="77777777" w:rsidTr="005954B1">
        <w:tc>
          <w:tcPr>
            <w:tcW w:w="4957" w:type="dxa"/>
            <w:vAlign w:val="center"/>
          </w:tcPr>
          <w:p w14:paraId="4A4DC9A4" w14:textId="43B58A20" w:rsidR="006A414B" w:rsidRDefault="006A414B" w:rsidP="006A414B">
            <w:pPr>
              <w:rPr>
                <w:b/>
                <w:lang w:val="en-US" w:eastAsia="en-AU"/>
              </w:rPr>
            </w:pPr>
            <w:r>
              <w:t>Insurer contributions</w:t>
            </w:r>
          </w:p>
        </w:tc>
        <w:tc>
          <w:tcPr>
            <w:tcW w:w="1559" w:type="dxa"/>
          </w:tcPr>
          <w:p w14:paraId="253D7F15" w14:textId="77777777" w:rsidR="006A414B" w:rsidRDefault="006A414B" w:rsidP="006A414B">
            <w:pPr>
              <w:rPr>
                <w:lang w:val="en-US" w:eastAsia="en-AU"/>
              </w:rPr>
            </w:pPr>
          </w:p>
        </w:tc>
        <w:tc>
          <w:tcPr>
            <w:tcW w:w="1276" w:type="dxa"/>
          </w:tcPr>
          <w:p w14:paraId="43410EB0" w14:textId="6301CDD9" w:rsidR="006A414B" w:rsidRDefault="006A414B" w:rsidP="006A414B">
            <w:pPr>
              <w:jc w:val="right"/>
              <w:rPr>
                <w:lang w:val="en-US" w:eastAsia="en-AU"/>
              </w:rPr>
            </w:pPr>
            <w:r w:rsidRPr="00B17A37">
              <w:t xml:space="preserve"> 19,883 </w:t>
            </w:r>
          </w:p>
        </w:tc>
        <w:tc>
          <w:tcPr>
            <w:tcW w:w="1275" w:type="dxa"/>
          </w:tcPr>
          <w:p w14:paraId="31DD4969" w14:textId="710A46F6" w:rsidR="006A414B" w:rsidRDefault="006A414B" w:rsidP="006A414B">
            <w:pPr>
              <w:jc w:val="right"/>
              <w:rPr>
                <w:lang w:val="en-US" w:eastAsia="en-AU"/>
              </w:rPr>
            </w:pPr>
            <w:r w:rsidRPr="00C12FF7">
              <w:t xml:space="preserve"> 19,883 </w:t>
            </w:r>
          </w:p>
        </w:tc>
        <w:tc>
          <w:tcPr>
            <w:tcW w:w="1418" w:type="dxa"/>
          </w:tcPr>
          <w:p w14:paraId="115601F6" w14:textId="49F5B9E2" w:rsidR="006A414B" w:rsidRDefault="006A414B" w:rsidP="006A414B">
            <w:pPr>
              <w:jc w:val="right"/>
              <w:rPr>
                <w:lang w:val="en-US" w:eastAsia="en-AU"/>
              </w:rPr>
            </w:pPr>
            <w:r w:rsidRPr="00A94802">
              <w:t xml:space="preserve"> 19,945 </w:t>
            </w:r>
          </w:p>
        </w:tc>
        <w:tc>
          <w:tcPr>
            <w:tcW w:w="1642" w:type="dxa"/>
          </w:tcPr>
          <w:p w14:paraId="2B95F26A" w14:textId="58EA8D15" w:rsidR="006A414B" w:rsidRDefault="006A414B" w:rsidP="006A414B">
            <w:pPr>
              <w:jc w:val="right"/>
              <w:rPr>
                <w:lang w:val="en-US" w:eastAsia="en-AU"/>
              </w:rPr>
            </w:pPr>
            <w:r w:rsidRPr="001305DF">
              <w:t xml:space="preserve"> -   </w:t>
            </w:r>
          </w:p>
        </w:tc>
        <w:tc>
          <w:tcPr>
            <w:tcW w:w="1821" w:type="dxa"/>
          </w:tcPr>
          <w:p w14:paraId="3281A141" w14:textId="3D2B904B" w:rsidR="006A414B" w:rsidRDefault="006A414B" w:rsidP="006A414B">
            <w:pPr>
              <w:jc w:val="right"/>
              <w:rPr>
                <w:lang w:val="en-US" w:eastAsia="en-AU"/>
              </w:rPr>
            </w:pPr>
            <w:r w:rsidRPr="00181E33">
              <w:t xml:space="preserve"> (62)</w:t>
            </w:r>
          </w:p>
        </w:tc>
      </w:tr>
      <w:tr w:rsidR="006A414B" w14:paraId="140A8BB3" w14:textId="77777777" w:rsidTr="005954B1">
        <w:tc>
          <w:tcPr>
            <w:tcW w:w="4957" w:type="dxa"/>
            <w:vAlign w:val="center"/>
          </w:tcPr>
          <w:p w14:paraId="056215E2" w14:textId="2680CAD6" w:rsidR="006A414B" w:rsidRDefault="006A414B" w:rsidP="006A414B">
            <w:pPr>
              <w:rPr>
                <w:b/>
                <w:lang w:val="en-US" w:eastAsia="en-AU"/>
              </w:rPr>
            </w:pPr>
            <w:r>
              <w:t>Provision of services</w:t>
            </w:r>
          </w:p>
        </w:tc>
        <w:tc>
          <w:tcPr>
            <w:tcW w:w="1559" w:type="dxa"/>
          </w:tcPr>
          <w:p w14:paraId="1EEE3BCC" w14:textId="77777777" w:rsidR="006A414B" w:rsidRDefault="006A414B" w:rsidP="006A414B">
            <w:pPr>
              <w:rPr>
                <w:lang w:val="en-US" w:eastAsia="en-AU"/>
              </w:rPr>
            </w:pPr>
          </w:p>
        </w:tc>
        <w:tc>
          <w:tcPr>
            <w:tcW w:w="1276" w:type="dxa"/>
          </w:tcPr>
          <w:p w14:paraId="3478B988" w14:textId="5742F2CB" w:rsidR="006A414B" w:rsidRDefault="006A414B" w:rsidP="006A414B">
            <w:pPr>
              <w:jc w:val="right"/>
              <w:rPr>
                <w:lang w:val="en-US" w:eastAsia="en-AU"/>
              </w:rPr>
            </w:pPr>
            <w:r w:rsidRPr="00B17A37">
              <w:t xml:space="preserve"> 14 </w:t>
            </w:r>
          </w:p>
        </w:tc>
        <w:tc>
          <w:tcPr>
            <w:tcW w:w="1275" w:type="dxa"/>
          </w:tcPr>
          <w:p w14:paraId="167267A2" w14:textId="325133E5" w:rsidR="006A414B" w:rsidRDefault="006A414B" w:rsidP="006A414B">
            <w:pPr>
              <w:jc w:val="right"/>
              <w:rPr>
                <w:lang w:val="en-US" w:eastAsia="en-AU"/>
              </w:rPr>
            </w:pPr>
            <w:r w:rsidRPr="00C12FF7">
              <w:t xml:space="preserve"> 8 </w:t>
            </w:r>
          </w:p>
        </w:tc>
        <w:tc>
          <w:tcPr>
            <w:tcW w:w="1418" w:type="dxa"/>
          </w:tcPr>
          <w:p w14:paraId="3DFE616E" w14:textId="72E8FD32" w:rsidR="006A414B" w:rsidRDefault="006A414B" w:rsidP="006A414B">
            <w:pPr>
              <w:jc w:val="right"/>
              <w:rPr>
                <w:lang w:val="en-US" w:eastAsia="en-AU"/>
              </w:rPr>
            </w:pPr>
            <w:r w:rsidRPr="00A94802">
              <w:t xml:space="preserve"> 9 </w:t>
            </w:r>
          </w:p>
        </w:tc>
        <w:tc>
          <w:tcPr>
            <w:tcW w:w="1642" w:type="dxa"/>
          </w:tcPr>
          <w:p w14:paraId="62EC9FE9" w14:textId="393340DC" w:rsidR="006A414B" w:rsidRDefault="006A414B" w:rsidP="006A414B">
            <w:pPr>
              <w:jc w:val="right"/>
              <w:rPr>
                <w:lang w:val="en-US" w:eastAsia="en-AU"/>
              </w:rPr>
            </w:pPr>
            <w:r w:rsidRPr="001305DF">
              <w:t xml:space="preserve"> 6 </w:t>
            </w:r>
          </w:p>
        </w:tc>
        <w:tc>
          <w:tcPr>
            <w:tcW w:w="1821" w:type="dxa"/>
          </w:tcPr>
          <w:p w14:paraId="2ABF9D84" w14:textId="4B4B533B" w:rsidR="006A414B" w:rsidRDefault="006A414B" w:rsidP="006A414B">
            <w:pPr>
              <w:jc w:val="right"/>
              <w:rPr>
                <w:lang w:val="en-US" w:eastAsia="en-AU"/>
              </w:rPr>
            </w:pPr>
            <w:r w:rsidRPr="00181E33">
              <w:t xml:space="preserve"> (1)</w:t>
            </w:r>
          </w:p>
        </w:tc>
      </w:tr>
      <w:tr w:rsidR="006A414B" w14:paraId="43FD93E4" w14:textId="77777777" w:rsidTr="005954B1">
        <w:tc>
          <w:tcPr>
            <w:tcW w:w="4957" w:type="dxa"/>
            <w:vAlign w:val="center"/>
          </w:tcPr>
          <w:p w14:paraId="78B7BF13" w14:textId="35F24C15" w:rsidR="006A414B" w:rsidRDefault="006A414B" w:rsidP="006A414B">
            <w:pPr>
              <w:rPr>
                <w:b/>
                <w:lang w:val="en-US" w:eastAsia="en-AU"/>
              </w:rPr>
            </w:pPr>
            <w:r>
              <w:t>Interest received</w:t>
            </w:r>
          </w:p>
        </w:tc>
        <w:tc>
          <w:tcPr>
            <w:tcW w:w="1559" w:type="dxa"/>
          </w:tcPr>
          <w:p w14:paraId="3C2A37D6" w14:textId="77777777" w:rsidR="006A414B" w:rsidRDefault="006A414B" w:rsidP="006A414B">
            <w:pPr>
              <w:rPr>
                <w:lang w:val="en-US" w:eastAsia="en-AU"/>
              </w:rPr>
            </w:pPr>
          </w:p>
        </w:tc>
        <w:tc>
          <w:tcPr>
            <w:tcW w:w="1276" w:type="dxa"/>
          </w:tcPr>
          <w:p w14:paraId="3AACD101" w14:textId="3E694457" w:rsidR="006A414B" w:rsidRDefault="006A414B" w:rsidP="006A414B">
            <w:pPr>
              <w:jc w:val="right"/>
              <w:rPr>
                <w:lang w:val="en-US" w:eastAsia="en-AU"/>
              </w:rPr>
            </w:pPr>
            <w:r w:rsidRPr="00B17A37">
              <w:t xml:space="preserve"> 2,411 </w:t>
            </w:r>
          </w:p>
        </w:tc>
        <w:tc>
          <w:tcPr>
            <w:tcW w:w="1275" w:type="dxa"/>
          </w:tcPr>
          <w:p w14:paraId="12DAD90D" w14:textId="70409AA6" w:rsidR="006A414B" w:rsidRDefault="006A414B" w:rsidP="006A414B">
            <w:pPr>
              <w:jc w:val="right"/>
              <w:rPr>
                <w:lang w:val="en-US" w:eastAsia="en-AU"/>
              </w:rPr>
            </w:pPr>
            <w:r w:rsidRPr="00C12FF7">
              <w:t xml:space="preserve"> 2,202 </w:t>
            </w:r>
          </w:p>
        </w:tc>
        <w:tc>
          <w:tcPr>
            <w:tcW w:w="1418" w:type="dxa"/>
          </w:tcPr>
          <w:p w14:paraId="70C57859" w14:textId="6F466F28" w:rsidR="006A414B" w:rsidRDefault="006A414B" w:rsidP="006A414B">
            <w:pPr>
              <w:jc w:val="right"/>
              <w:rPr>
                <w:lang w:val="en-US" w:eastAsia="en-AU"/>
              </w:rPr>
            </w:pPr>
            <w:r w:rsidRPr="00A94802">
              <w:t xml:space="preserve"> 2,446 </w:t>
            </w:r>
          </w:p>
        </w:tc>
        <w:tc>
          <w:tcPr>
            <w:tcW w:w="1642" w:type="dxa"/>
          </w:tcPr>
          <w:p w14:paraId="62A6EA1D" w14:textId="7E4C16C7" w:rsidR="006A414B" w:rsidRDefault="006A414B" w:rsidP="006A414B">
            <w:pPr>
              <w:jc w:val="right"/>
              <w:rPr>
                <w:lang w:val="en-US" w:eastAsia="en-AU"/>
              </w:rPr>
            </w:pPr>
            <w:r w:rsidRPr="001305DF">
              <w:t xml:space="preserve"> 209 </w:t>
            </w:r>
          </w:p>
        </w:tc>
        <w:tc>
          <w:tcPr>
            <w:tcW w:w="1821" w:type="dxa"/>
          </w:tcPr>
          <w:p w14:paraId="38703713" w14:textId="23C4CAF0" w:rsidR="006A414B" w:rsidRDefault="006A414B" w:rsidP="006A414B">
            <w:pPr>
              <w:jc w:val="right"/>
              <w:rPr>
                <w:lang w:val="en-US" w:eastAsia="en-AU"/>
              </w:rPr>
            </w:pPr>
            <w:r w:rsidRPr="00181E33">
              <w:t xml:space="preserve"> (244)</w:t>
            </w:r>
          </w:p>
        </w:tc>
      </w:tr>
      <w:tr w:rsidR="006A414B" w14:paraId="79A9E8C4" w14:textId="77777777" w:rsidTr="005954B1">
        <w:tc>
          <w:tcPr>
            <w:tcW w:w="4957" w:type="dxa"/>
            <w:vAlign w:val="center"/>
          </w:tcPr>
          <w:p w14:paraId="4F09A8AA" w14:textId="2B5DA164" w:rsidR="006A414B" w:rsidRDefault="006A414B" w:rsidP="006A414B">
            <w:pPr>
              <w:rPr>
                <w:b/>
                <w:lang w:val="en-US" w:eastAsia="en-AU"/>
              </w:rPr>
            </w:pPr>
            <w:r>
              <w:t>GST receipts on sales</w:t>
            </w:r>
          </w:p>
        </w:tc>
        <w:tc>
          <w:tcPr>
            <w:tcW w:w="1559" w:type="dxa"/>
          </w:tcPr>
          <w:p w14:paraId="40986A6F" w14:textId="77777777" w:rsidR="006A414B" w:rsidRDefault="006A414B" w:rsidP="006A414B">
            <w:pPr>
              <w:rPr>
                <w:lang w:val="en-US" w:eastAsia="en-AU"/>
              </w:rPr>
            </w:pPr>
          </w:p>
        </w:tc>
        <w:tc>
          <w:tcPr>
            <w:tcW w:w="1276" w:type="dxa"/>
          </w:tcPr>
          <w:p w14:paraId="3237F4A6" w14:textId="676F9B57" w:rsidR="006A414B" w:rsidRDefault="006A414B" w:rsidP="006A414B">
            <w:pPr>
              <w:jc w:val="right"/>
              <w:rPr>
                <w:lang w:val="en-US" w:eastAsia="en-AU"/>
              </w:rPr>
            </w:pPr>
            <w:r w:rsidRPr="00B17A37">
              <w:t xml:space="preserve"> -   </w:t>
            </w:r>
          </w:p>
        </w:tc>
        <w:tc>
          <w:tcPr>
            <w:tcW w:w="1275" w:type="dxa"/>
          </w:tcPr>
          <w:p w14:paraId="27B1535B" w14:textId="7979D6ED" w:rsidR="006A414B" w:rsidRDefault="006A414B" w:rsidP="006A414B">
            <w:pPr>
              <w:jc w:val="right"/>
              <w:rPr>
                <w:lang w:val="en-US" w:eastAsia="en-AU"/>
              </w:rPr>
            </w:pPr>
            <w:r w:rsidRPr="00C12FF7">
              <w:t xml:space="preserve"> 74 </w:t>
            </w:r>
          </w:p>
        </w:tc>
        <w:tc>
          <w:tcPr>
            <w:tcW w:w="1418" w:type="dxa"/>
          </w:tcPr>
          <w:p w14:paraId="58D795BC" w14:textId="7C234571" w:rsidR="006A414B" w:rsidRDefault="006A414B" w:rsidP="006A414B">
            <w:pPr>
              <w:jc w:val="right"/>
              <w:rPr>
                <w:lang w:val="en-US" w:eastAsia="en-AU"/>
              </w:rPr>
            </w:pPr>
            <w:r w:rsidRPr="00A94802">
              <w:t xml:space="preserve"> 27 </w:t>
            </w:r>
          </w:p>
        </w:tc>
        <w:tc>
          <w:tcPr>
            <w:tcW w:w="1642" w:type="dxa"/>
          </w:tcPr>
          <w:p w14:paraId="619838AB" w14:textId="4812CED9" w:rsidR="006A414B" w:rsidRDefault="006A414B" w:rsidP="006A414B">
            <w:pPr>
              <w:jc w:val="right"/>
              <w:rPr>
                <w:lang w:val="en-US" w:eastAsia="en-AU"/>
              </w:rPr>
            </w:pPr>
            <w:r w:rsidRPr="001305DF">
              <w:t xml:space="preserve"> (74)</w:t>
            </w:r>
          </w:p>
        </w:tc>
        <w:tc>
          <w:tcPr>
            <w:tcW w:w="1821" w:type="dxa"/>
          </w:tcPr>
          <w:p w14:paraId="27C2DD20" w14:textId="4FAA1E1F" w:rsidR="006A414B" w:rsidRDefault="006A414B" w:rsidP="006A414B">
            <w:pPr>
              <w:jc w:val="right"/>
              <w:rPr>
                <w:lang w:val="en-US" w:eastAsia="en-AU"/>
              </w:rPr>
            </w:pPr>
            <w:r w:rsidRPr="00181E33">
              <w:t xml:space="preserve"> 47 </w:t>
            </w:r>
          </w:p>
        </w:tc>
      </w:tr>
      <w:tr w:rsidR="006A414B" w14:paraId="2B89956B" w14:textId="77777777" w:rsidTr="005954B1">
        <w:tc>
          <w:tcPr>
            <w:tcW w:w="4957" w:type="dxa"/>
            <w:vAlign w:val="center"/>
          </w:tcPr>
          <w:p w14:paraId="5E126CF0" w14:textId="4205320D" w:rsidR="006A414B" w:rsidRDefault="006A414B" w:rsidP="006A414B">
            <w:pPr>
              <w:rPr>
                <w:b/>
                <w:lang w:val="en-US" w:eastAsia="en-AU"/>
              </w:rPr>
            </w:pPr>
            <w:r>
              <w:t>GST receipts from taxation authority</w:t>
            </w:r>
          </w:p>
        </w:tc>
        <w:tc>
          <w:tcPr>
            <w:tcW w:w="1559" w:type="dxa"/>
          </w:tcPr>
          <w:p w14:paraId="03EA1280" w14:textId="77777777" w:rsidR="006A414B" w:rsidRDefault="006A414B" w:rsidP="006A414B">
            <w:pPr>
              <w:rPr>
                <w:lang w:val="en-US" w:eastAsia="en-AU"/>
              </w:rPr>
            </w:pPr>
          </w:p>
        </w:tc>
        <w:tc>
          <w:tcPr>
            <w:tcW w:w="1276" w:type="dxa"/>
          </w:tcPr>
          <w:p w14:paraId="45D46DC6" w14:textId="3FA73B5C" w:rsidR="006A414B" w:rsidRDefault="006A414B" w:rsidP="006A414B">
            <w:pPr>
              <w:jc w:val="right"/>
              <w:rPr>
                <w:lang w:val="en-US" w:eastAsia="en-AU"/>
              </w:rPr>
            </w:pPr>
            <w:r w:rsidRPr="00B17A37">
              <w:t xml:space="preserve"> -   </w:t>
            </w:r>
          </w:p>
        </w:tc>
        <w:tc>
          <w:tcPr>
            <w:tcW w:w="1275" w:type="dxa"/>
          </w:tcPr>
          <w:p w14:paraId="01842464" w14:textId="52372F6B" w:rsidR="006A414B" w:rsidRDefault="006A414B" w:rsidP="006A414B">
            <w:pPr>
              <w:jc w:val="right"/>
              <w:rPr>
                <w:lang w:val="en-US" w:eastAsia="en-AU"/>
              </w:rPr>
            </w:pPr>
            <w:r w:rsidRPr="00C12FF7">
              <w:t xml:space="preserve"> 327 </w:t>
            </w:r>
          </w:p>
        </w:tc>
        <w:tc>
          <w:tcPr>
            <w:tcW w:w="1418" w:type="dxa"/>
          </w:tcPr>
          <w:p w14:paraId="4574D38A" w14:textId="702C0040" w:rsidR="006A414B" w:rsidRDefault="006A414B" w:rsidP="006A414B">
            <w:pPr>
              <w:jc w:val="right"/>
              <w:rPr>
                <w:lang w:val="en-US" w:eastAsia="en-AU"/>
              </w:rPr>
            </w:pPr>
            <w:r w:rsidRPr="00A94802">
              <w:t xml:space="preserve"> 380 </w:t>
            </w:r>
          </w:p>
        </w:tc>
        <w:tc>
          <w:tcPr>
            <w:tcW w:w="1642" w:type="dxa"/>
          </w:tcPr>
          <w:p w14:paraId="2DE42C5A" w14:textId="14962CBB" w:rsidR="006A414B" w:rsidRDefault="006A414B" w:rsidP="006A414B">
            <w:pPr>
              <w:jc w:val="right"/>
              <w:rPr>
                <w:lang w:val="en-US" w:eastAsia="en-AU"/>
              </w:rPr>
            </w:pPr>
            <w:r w:rsidRPr="001305DF">
              <w:t xml:space="preserve"> (327)</w:t>
            </w:r>
          </w:p>
        </w:tc>
        <w:tc>
          <w:tcPr>
            <w:tcW w:w="1821" w:type="dxa"/>
          </w:tcPr>
          <w:p w14:paraId="2586481F" w14:textId="4C52694C" w:rsidR="006A414B" w:rsidRDefault="006A414B" w:rsidP="006A414B">
            <w:pPr>
              <w:jc w:val="right"/>
              <w:rPr>
                <w:lang w:val="en-US" w:eastAsia="en-AU"/>
              </w:rPr>
            </w:pPr>
            <w:r w:rsidRPr="00181E33">
              <w:t xml:space="preserve"> (53)</w:t>
            </w:r>
          </w:p>
        </w:tc>
      </w:tr>
      <w:tr w:rsidR="006A414B" w14:paraId="517D8A7F" w14:textId="77777777" w:rsidTr="005954B1">
        <w:tc>
          <w:tcPr>
            <w:tcW w:w="4957" w:type="dxa"/>
            <w:vAlign w:val="center"/>
          </w:tcPr>
          <w:p w14:paraId="3D00F37D" w14:textId="5C5DE374" w:rsidR="006A414B" w:rsidRDefault="006A414B" w:rsidP="006A414B">
            <w:pPr>
              <w:rPr>
                <w:b/>
                <w:lang w:val="en-US" w:eastAsia="en-AU"/>
              </w:rPr>
            </w:pPr>
            <w:r>
              <w:t>Other receipts</w:t>
            </w:r>
          </w:p>
        </w:tc>
        <w:tc>
          <w:tcPr>
            <w:tcW w:w="1559" w:type="dxa"/>
          </w:tcPr>
          <w:p w14:paraId="6889DC3F" w14:textId="18EBC4F7" w:rsidR="006A414B" w:rsidRPr="006A414B" w:rsidRDefault="006A414B" w:rsidP="006A414B">
            <w:pPr>
              <w:jc w:val="center"/>
              <w:rPr>
                <w:b/>
                <w:lang w:val="en-US" w:eastAsia="en-AU"/>
              </w:rPr>
            </w:pPr>
            <w:r>
              <w:rPr>
                <w:b/>
                <w:lang w:val="en-US" w:eastAsia="en-AU"/>
              </w:rPr>
              <w:t>5</w:t>
            </w:r>
          </w:p>
        </w:tc>
        <w:tc>
          <w:tcPr>
            <w:tcW w:w="1276" w:type="dxa"/>
          </w:tcPr>
          <w:p w14:paraId="0BD354ED" w14:textId="0D9D21B3" w:rsidR="006A414B" w:rsidRDefault="006A414B" w:rsidP="006A414B">
            <w:pPr>
              <w:jc w:val="right"/>
              <w:rPr>
                <w:lang w:val="en-US" w:eastAsia="en-AU"/>
              </w:rPr>
            </w:pPr>
            <w:r w:rsidRPr="00B17A37">
              <w:t xml:space="preserve"> 1,511 </w:t>
            </w:r>
          </w:p>
        </w:tc>
        <w:tc>
          <w:tcPr>
            <w:tcW w:w="1275" w:type="dxa"/>
          </w:tcPr>
          <w:p w14:paraId="456DBB20" w14:textId="2A22F650" w:rsidR="006A414B" w:rsidRDefault="006A414B" w:rsidP="006A414B">
            <w:pPr>
              <w:jc w:val="right"/>
              <w:rPr>
                <w:lang w:val="en-US" w:eastAsia="en-AU"/>
              </w:rPr>
            </w:pPr>
            <w:r w:rsidRPr="00C12FF7">
              <w:t xml:space="preserve"> 1,003 </w:t>
            </w:r>
          </w:p>
        </w:tc>
        <w:tc>
          <w:tcPr>
            <w:tcW w:w="1418" w:type="dxa"/>
          </w:tcPr>
          <w:p w14:paraId="1DB088DA" w14:textId="63128F5C" w:rsidR="006A414B" w:rsidRDefault="006A414B" w:rsidP="006A414B">
            <w:pPr>
              <w:jc w:val="right"/>
              <w:rPr>
                <w:lang w:val="en-US" w:eastAsia="en-AU"/>
              </w:rPr>
            </w:pPr>
            <w:r w:rsidRPr="00A94802">
              <w:t xml:space="preserve"> 813 </w:t>
            </w:r>
          </w:p>
        </w:tc>
        <w:tc>
          <w:tcPr>
            <w:tcW w:w="1642" w:type="dxa"/>
          </w:tcPr>
          <w:p w14:paraId="187EDEF3" w14:textId="603EC9DD" w:rsidR="006A414B" w:rsidRDefault="006A414B" w:rsidP="006A414B">
            <w:pPr>
              <w:jc w:val="right"/>
              <w:rPr>
                <w:lang w:val="en-US" w:eastAsia="en-AU"/>
              </w:rPr>
            </w:pPr>
            <w:r w:rsidRPr="001305DF">
              <w:t xml:space="preserve"> 508 </w:t>
            </w:r>
          </w:p>
        </w:tc>
        <w:tc>
          <w:tcPr>
            <w:tcW w:w="1821" w:type="dxa"/>
          </w:tcPr>
          <w:p w14:paraId="563BDC41" w14:textId="109E60E1" w:rsidR="006A414B" w:rsidRDefault="006A414B" w:rsidP="006A414B">
            <w:pPr>
              <w:jc w:val="right"/>
              <w:rPr>
                <w:lang w:val="en-US" w:eastAsia="en-AU"/>
              </w:rPr>
            </w:pPr>
            <w:r w:rsidRPr="00181E33">
              <w:t xml:space="preserve"> 190 </w:t>
            </w:r>
          </w:p>
        </w:tc>
      </w:tr>
      <w:tr w:rsidR="006A414B" w14:paraId="3CBAB902" w14:textId="77777777" w:rsidTr="005954B1">
        <w:tc>
          <w:tcPr>
            <w:tcW w:w="4957" w:type="dxa"/>
            <w:vAlign w:val="center"/>
          </w:tcPr>
          <w:p w14:paraId="32B4B45D" w14:textId="62586874" w:rsidR="006A414B" w:rsidRPr="006A414B" w:rsidRDefault="006A414B" w:rsidP="006A414B">
            <w:pPr>
              <w:rPr>
                <w:b/>
              </w:rPr>
            </w:pPr>
            <w:r>
              <w:rPr>
                <w:b/>
              </w:rPr>
              <w:t>Payments</w:t>
            </w:r>
          </w:p>
        </w:tc>
        <w:tc>
          <w:tcPr>
            <w:tcW w:w="1559" w:type="dxa"/>
          </w:tcPr>
          <w:p w14:paraId="59782BC0" w14:textId="77777777" w:rsidR="006A414B" w:rsidRDefault="006A414B" w:rsidP="006A414B">
            <w:pPr>
              <w:jc w:val="center"/>
              <w:rPr>
                <w:b/>
                <w:lang w:val="en-US" w:eastAsia="en-AU"/>
              </w:rPr>
            </w:pPr>
          </w:p>
        </w:tc>
        <w:tc>
          <w:tcPr>
            <w:tcW w:w="1276" w:type="dxa"/>
          </w:tcPr>
          <w:p w14:paraId="72334807" w14:textId="77777777" w:rsidR="006A414B" w:rsidRPr="00B17A37" w:rsidRDefault="006A414B" w:rsidP="006A414B">
            <w:pPr>
              <w:jc w:val="right"/>
            </w:pPr>
          </w:p>
        </w:tc>
        <w:tc>
          <w:tcPr>
            <w:tcW w:w="1275" w:type="dxa"/>
          </w:tcPr>
          <w:p w14:paraId="345F283C" w14:textId="77777777" w:rsidR="006A414B" w:rsidRPr="00C12FF7" w:rsidRDefault="006A414B" w:rsidP="006A414B">
            <w:pPr>
              <w:jc w:val="right"/>
            </w:pPr>
          </w:p>
        </w:tc>
        <w:tc>
          <w:tcPr>
            <w:tcW w:w="1418" w:type="dxa"/>
          </w:tcPr>
          <w:p w14:paraId="41974AA8" w14:textId="77777777" w:rsidR="006A414B" w:rsidRPr="00A94802" w:rsidRDefault="006A414B" w:rsidP="006A414B">
            <w:pPr>
              <w:jc w:val="right"/>
            </w:pPr>
          </w:p>
        </w:tc>
        <w:tc>
          <w:tcPr>
            <w:tcW w:w="1642" w:type="dxa"/>
          </w:tcPr>
          <w:p w14:paraId="6417E619" w14:textId="77777777" w:rsidR="006A414B" w:rsidRPr="001305DF" w:rsidRDefault="006A414B" w:rsidP="006A414B">
            <w:pPr>
              <w:jc w:val="right"/>
            </w:pPr>
          </w:p>
        </w:tc>
        <w:tc>
          <w:tcPr>
            <w:tcW w:w="1821" w:type="dxa"/>
          </w:tcPr>
          <w:p w14:paraId="03E32979" w14:textId="77777777" w:rsidR="006A414B" w:rsidRPr="00181E33" w:rsidRDefault="006A414B" w:rsidP="006A414B">
            <w:pPr>
              <w:jc w:val="right"/>
            </w:pPr>
          </w:p>
        </w:tc>
      </w:tr>
      <w:tr w:rsidR="006A414B" w14:paraId="5A3C6067" w14:textId="77777777" w:rsidTr="005954B1">
        <w:tc>
          <w:tcPr>
            <w:tcW w:w="4957" w:type="dxa"/>
          </w:tcPr>
          <w:p w14:paraId="601E1A7D" w14:textId="690F0152" w:rsidR="006A414B" w:rsidRDefault="006A414B" w:rsidP="006A414B">
            <w:pPr>
              <w:rPr>
                <w:b/>
              </w:rPr>
            </w:pPr>
            <w:r w:rsidRPr="00153BE1">
              <w:t>Workers' Compensation claim payments</w:t>
            </w:r>
          </w:p>
        </w:tc>
        <w:tc>
          <w:tcPr>
            <w:tcW w:w="1559" w:type="dxa"/>
          </w:tcPr>
          <w:p w14:paraId="7DEB182E" w14:textId="0D0D20B9" w:rsidR="006A414B" w:rsidRPr="006A414B" w:rsidRDefault="006A414B" w:rsidP="006A414B">
            <w:pPr>
              <w:jc w:val="center"/>
              <w:rPr>
                <w:b/>
                <w:lang w:val="en-US" w:eastAsia="en-AU"/>
              </w:rPr>
            </w:pPr>
            <w:r w:rsidRPr="006A414B">
              <w:rPr>
                <w:b/>
              </w:rPr>
              <w:t>6,D</w:t>
            </w:r>
          </w:p>
        </w:tc>
        <w:tc>
          <w:tcPr>
            <w:tcW w:w="1276" w:type="dxa"/>
          </w:tcPr>
          <w:p w14:paraId="3F0B96B2" w14:textId="4EC3D5F0" w:rsidR="006A414B" w:rsidRPr="00B17A37" w:rsidRDefault="006A414B" w:rsidP="006A414B">
            <w:pPr>
              <w:jc w:val="right"/>
            </w:pPr>
            <w:r w:rsidRPr="003218DF">
              <w:t xml:space="preserve"> (1,788)</w:t>
            </w:r>
          </w:p>
        </w:tc>
        <w:tc>
          <w:tcPr>
            <w:tcW w:w="1275" w:type="dxa"/>
          </w:tcPr>
          <w:p w14:paraId="3AA0F96A" w14:textId="74FB483B" w:rsidR="006A414B" w:rsidRPr="00C12FF7" w:rsidRDefault="006A414B" w:rsidP="006A414B">
            <w:pPr>
              <w:jc w:val="right"/>
            </w:pPr>
            <w:r w:rsidRPr="005C28C2">
              <w:t xml:space="preserve"> (1,104)</w:t>
            </w:r>
          </w:p>
        </w:tc>
        <w:tc>
          <w:tcPr>
            <w:tcW w:w="1418" w:type="dxa"/>
          </w:tcPr>
          <w:p w14:paraId="4C8D2DAD" w14:textId="7B2EBA04" w:rsidR="006A414B" w:rsidRPr="00A94802" w:rsidRDefault="006A414B" w:rsidP="006A414B">
            <w:pPr>
              <w:jc w:val="right"/>
            </w:pPr>
            <w:r w:rsidRPr="004D1748">
              <w:t xml:space="preserve"> (1,760)</w:t>
            </w:r>
          </w:p>
        </w:tc>
        <w:tc>
          <w:tcPr>
            <w:tcW w:w="1642" w:type="dxa"/>
          </w:tcPr>
          <w:p w14:paraId="5F1E1B57" w14:textId="2D0A58C1" w:rsidR="006A414B" w:rsidRPr="001305DF" w:rsidRDefault="006A414B" w:rsidP="006A414B">
            <w:pPr>
              <w:jc w:val="right"/>
            </w:pPr>
            <w:r w:rsidRPr="00933D6D">
              <w:t xml:space="preserve"> (684)</w:t>
            </w:r>
          </w:p>
        </w:tc>
        <w:tc>
          <w:tcPr>
            <w:tcW w:w="1821" w:type="dxa"/>
          </w:tcPr>
          <w:p w14:paraId="210BBC1D" w14:textId="5A8FFF92" w:rsidR="006A414B" w:rsidRPr="00181E33" w:rsidRDefault="006A414B" w:rsidP="006A414B">
            <w:pPr>
              <w:jc w:val="right"/>
            </w:pPr>
            <w:r w:rsidRPr="002D2E9F">
              <w:t xml:space="preserve"> 656 </w:t>
            </w:r>
          </w:p>
        </w:tc>
      </w:tr>
      <w:tr w:rsidR="006A414B" w14:paraId="65687BD2" w14:textId="77777777" w:rsidTr="005954B1">
        <w:tc>
          <w:tcPr>
            <w:tcW w:w="4957" w:type="dxa"/>
          </w:tcPr>
          <w:p w14:paraId="36F30F9D" w14:textId="7FB29FB8" w:rsidR="006A414B" w:rsidRDefault="006A414B" w:rsidP="006A414B">
            <w:pPr>
              <w:rPr>
                <w:b/>
              </w:rPr>
            </w:pPr>
            <w:r w:rsidRPr="00153BE1">
              <w:t>Employee benefits</w:t>
            </w:r>
          </w:p>
        </w:tc>
        <w:tc>
          <w:tcPr>
            <w:tcW w:w="1559" w:type="dxa"/>
          </w:tcPr>
          <w:p w14:paraId="25AAD526" w14:textId="4BACFF6C" w:rsidR="006A414B" w:rsidRPr="006A414B" w:rsidRDefault="006A414B" w:rsidP="006A414B">
            <w:pPr>
              <w:jc w:val="center"/>
              <w:rPr>
                <w:b/>
                <w:lang w:val="en-US" w:eastAsia="en-AU"/>
              </w:rPr>
            </w:pPr>
            <w:r w:rsidRPr="006A414B">
              <w:rPr>
                <w:b/>
              </w:rPr>
              <w:t>7</w:t>
            </w:r>
          </w:p>
        </w:tc>
        <w:tc>
          <w:tcPr>
            <w:tcW w:w="1276" w:type="dxa"/>
          </w:tcPr>
          <w:p w14:paraId="25BFE7DA" w14:textId="49F34A4E" w:rsidR="006A414B" w:rsidRPr="00B17A37" w:rsidRDefault="006A414B" w:rsidP="006A414B">
            <w:pPr>
              <w:jc w:val="right"/>
            </w:pPr>
            <w:r w:rsidRPr="003218DF">
              <w:t xml:space="preserve"> (15,861)</w:t>
            </w:r>
          </w:p>
        </w:tc>
        <w:tc>
          <w:tcPr>
            <w:tcW w:w="1275" w:type="dxa"/>
          </w:tcPr>
          <w:p w14:paraId="4E2E4FE4" w14:textId="670EF8D1" w:rsidR="006A414B" w:rsidRPr="00C12FF7" w:rsidRDefault="006A414B" w:rsidP="006A414B">
            <w:pPr>
              <w:jc w:val="right"/>
            </w:pPr>
            <w:r w:rsidRPr="005C28C2">
              <w:t xml:space="preserve"> (14,786)</w:t>
            </w:r>
          </w:p>
        </w:tc>
        <w:tc>
          <w:tcPr>
            <w:tcW w:w="1418" w:type="dxa"/>
          </w:tcPr>
          <w:p w14:paraId="61BBB26C" w14:textId="4AA32476" w:rsidR="006A414B" w:rsidRPr="00A94802" w:rsidRDefault="006A414B" w:rsidP="006A414B">
            <w:pPr>
              <w:jc w:val="right"/>
            </w:pPr>
            <w:r w:rsidRPr="004D1748">
              <w:t xml:space="preserve"> (14,906)</w:t>
            </w:r>
          </w:p>
        </w:tc>
        <w:tc>
          <w:tcPr>
            <w:tcW w:w="1642" w:type="dxa"/>
          </w:tcPr>
          <w:p w14:paraId="78B8B5D8" w14:textId="00FB9E7D" w:rsidR="006A414B" w:rsidRPr="001305DF" w:rsidRDefault="006A414B" w:rsidP="006A414B">
            <w:pPr>
              <w:jc w:val="right"/>
            </w:pPr>
            <w:r w:rsidRPr="00933D6D">
              <w:t xml:space="preserve"> (1,075)</w:t>
            </w:r>
          </w:p>
        </w:tc>
        <w:tc>
          <w:tcPr>
            <w:tcW w:w="1821" w:type="dxa"/>
          </w:tcPr>
          <w:p w14:paraId="61250CCA" w14:textId="614C75C7" w:rsidR="006A414B" w:rsidRPr="00181E33" w:rsidRDefault="006A414B" w:rsidP="006A414B">
            <w:pPr>
              <w:jc w:val="right"/>
            </w:pPr>
            <w:r w:rsidRPr="002D2E9F">
              <w:t xml:space="preserve"> 120 </w:t>
            </w:r>
          </w:p>
        </w:tc>
      </w:tr>
      <w:tr w:rsidR="006A414B" w14:paraId="54F23F13" w14:textId="77777777" w:rsidTr="005954B1">
        <w:tc>
          <w:tcPr>
            <w:tcW w:w="4957" w:type="dxa"/>
          </w:tcPr>
          <w:p w14:paraId="39360A2C" w14:textId="02A65C7E" w:rsidR="006A414B" w:rsidRDefault="006A414B" w:rsidP="006A414B">
            <w:pPr>
              <w:rPr>
                <w:b/>
              </w:rPr>
            </w:pPr>
            <w:r w:rsidRPr="00153BE1">
              <w:t>Supplies and services</w:t>
            </w:r>
          </w:p>
        </w:tc>
        <w:tc>
          <w:tcPr>
            <w:tcW w:w="1559" w:type="dxa"/>
          </w:tcPr>
          <w:p w14:paraId="6931000A" w14:textId="77777777" w:rsidR="006A414B" w:rsidRDefault="006A414B" w:rsidP="006A414B">
            <w:pPr>
              <w:jc w:val="center"/>
              <w:rPr>
                <w:b/>
                <w:lang w:val="en-US" w:eastAsia="en-AU"/>
              </w:rPr>
            </w:pPr>
          </w:p>
        </w:tc>
        <w:tc>
          <w:tcPr>
            <w:tcW w:w="1276" w:type="dxa"/>
          </w:tcPr>
          <w:p w14:paraId="17DB7978" w14:textId="15765E51" w:rsidR="006A414B" w:rsidRPr="00B17A37" w:rsidRDefault="006A414B" w:rsidP="006A414B">
            <w:pPr>
              <w:jc w:val="right"/>
            </w:pPr>
            <w:r w:rsidRPr="003218DF">
              <w:t xml:space="preserve"> (3,200)</w:t>
            </w:r>
          </w:p>
        </w:tc>
        <w:tc>
          <w:tcPr>
            <w:tcW w:w="1275" w:type="dxa"/>
          </w:tcPr>
          <w:p w14:paraId="59CFB168" w14:textId="446C4DA8" w:rsidR="006A414B" w:rsidRPr="00C12FF7" w:rsidRDefault="006A414B" w:rsidP="006A414B">
            <w:pPr>
              <w:jc w:val="right"/>
            </w:pPr>
            <w:r w:rsidRPr="005C28C2">
              <w:t xml:space="preserve"> (2,875)</w:t>
            </w:r>
          </w:p>
        </w:tc>
        <w:tc>
          <w:tcPr>
            <w:tcW w:w="1418" w:type="dxa"/>
          </w:tcPr>
          <w:p w14:paraId="0FD5C132" w14:textId="6FBAAA31" w:rsidR="006A414B" w:rsidRPr="00A94802" w:rsidRDefault="006A414B" w:rsidP="006A414B">
            <w:pPr>
              <w:jc w:val="right"/>
            </w:pPr>
            <w:r w:rsidRPr="004D1748">
              <w:t xml:space="preserve"> (2,865)</w:t>
            </w:r>
          </w:p>
        </w:tc>
        <w:tc>
          <w:tcPr>
            <w:tcW w:w="1642" w:type="dxa"/>
          </w:tcPr>
          <w:p w14:paraId="1661498C" w14:textId="4FFBC1A1" w:rsidR="006A414B" w:rsidRPr="001305DF" w:rsidRDefault="006A414B" w:rsidP="006A414B">
            <w:pPr>
              <w:jc w:val="right"/>
            </w:pPr>
            <w:r w:rsidRPr="00933D6D">
              <w:t xml:space="preserve"> (325)</w:t>
            </w:r>
          </w:p>
        </w:tc>
        <w:tc>
          <w:tcPr>
            <w:tcW w:w="1821" w:type="dxa"/>
          </w:tcPr>
          <w:p w14:paraId="2D4F440C" w14:textId="4D4F4928" w:rsidR="006A414B" w:rsidRPr="00181E33" w:rsidRDefault="006A414B" w:rsidP="006A414B">
            <w:pPr>
              <w:jc w:val="right"/>
            </w:pPr>
            <w:r w:rsidRPr="002D2E9F">
              <w:t xml:space="preserve"> (10)</w:t>
            </w:r>
          </w:p>
        </w:tc>
      </w:tr>
      <w:tr w:rsidR="006A414B" w14:paraId="1EC1FBAC" w14:textId="77777777" w:rsidTr="005954B1">
        <w:tc>
          <w:tcPr>
            <w:tcW w:w="4957" w:type="dxa"/>
          </w:tcPr>
          <w:p w14:paraId="5AD4EE6C" w14:textId="433710FC" w:rsidR="006A414B" w:rsidRDefault="006A414B" w:rsidP="006A414B">
            <w:pPr>
              <w:rPr>
                <w:b/>
              </w:rPr>
            </w:pPr>
            <w:r w:rsidRPr="00153BE1">
              <w:t>Accommodation</w:t>
            </w:r>
          </w:p>
        </w:tc>
        <w:tc>
          <w:tcPr>
            <w:tcW w:w="1559" w:type="dxa"/>
          </w:tcPr>
          <w:p w14:paraId="35CB8BF6" w14:textId="77777777" w:rsidR="006A414B" w:rsidRDefault="006A414B" w:rsidP="006A414B">
            <w:pPr>
              <w:jc w:val="center"/>
              <w:rPr>
                <w:b/>
                <w:lang w:val="en-US" w:eastAsia="en-AU"/>
              </w:rPr>
            </w:pPr>
          </w:p>
        </w:tc>
        <w:tc>
          <w:tcPr>
            <w:tcW w:w="1276" w:type="dxa"/>
          </w:tcPr>
          <w:p w14:paraId="5CC53754" w14:textId="790D03F1" w:rsidR="006A414B" w:rsidRPr="00B17A37" w:rsidRDefault="006A414B" w:rsidP="006A414B">
            <w:pPr>
              <w:jc w:val="right"/>
            </w:pPr>
            <w:r w:rsidRPr="003218DF">
              <w:t xml:space="preserve"> (617)</w:t>
            </w:r>
          </w:p>
        </w:tc>
        <w:tc>
          <w:tcPr>
            <w:tcW w:w="1275" w:type="dxa"/>
          </w:tcPr>
          <w:p w14:paraId="14E87EFD" w14:textId="09EBF6CF" w:rsidR="006A414B" w:rsidRPr="00C12FF7" w:rsidRDefault="006A414B" w:rsidP="006A414B">
            <w:pPr>
              <w:jc w:val="right"/>
            </w:pPr>
            <w:r w:rsidRPr="005C28C2">
              <w:t xml:space="preserve"> (641)</w:t>
            </w:r>
          </w:p>
        </w:tc>
        <w:tc>
          <w:tcPr>
            <w:tcW w:w="1418" w:type="dxa"/>
          </w:tcPr>
          <w:p w14:paraId="365C71D9" w14:textId="67200625" w:rsidR="006A414B" w:rsidRPr="00A94802" w:rsidRDefault="006A414B" w:rsidP="006A414B">
            <w:pPr>
              <w:jc w:val="right"/>
            </w:pPr>
            <w:r w:rsidRPr="004D1748">
              <w:t xml:space="preserve"> (661)</w:t>
            </w:r>
          </w:p>
        </w:tc>
        <w:tc>
          <w:tcPr>
            <w:tcW w:w="1642" w:type="dxa"/>
          </w:tcPr>
          <w:p w14:paraId="138865AE" w14:textId="08401B61" w:rsidR="006A414B" w:rsidRPr="001305DF" w:rsidRDefault="006A414B" w:rsidP="006A414B">
            <w:pPr>
              <w:jc w:val="right"/>
            </w:pPr>
            <w:r w:rsidRPr="00933D6D">
              <w:t xml:space="preserve"> 24 </w:t>
            </w:r>
          </w:p>
        </w:tc>
        <w:tc>
          <w:tcPr>
            <w:tcW w:w="1821" w:type="dxa"/>
          </w:tcPr>
          <w:p w14:paraId="72B18180" w14:textId="75B652A7" w:rsidR="006A414B" w:rsidRPr="00181E33" w:rsidRDefault="006A414B" w:rsidP="006A414B">
            <w:pPr>
              <w:jc w:val="right"/>
            </w:pPr>
            <w:r w:rsidRPr="002D2E9F">
              <w:t xml:space="preserve"> 20 </w:t>
            </w:r>
          </w:p>
        </w:tc>
      </w:tr>
      <w:tr w:rsidR="006A414B" w14:paraId="5EF61180" w14:textId="77777777" w:rsidTr="00FD7E02">
        <w:tc>
          <w:tcPr>
            <w:tcW w:w="4957" w:type="dxa"/>
            <w:vAlign w:val="center"/>
          </w:tcPr>
          <w:p w14:paraId="283C9592" w14:textId="32936AC4" w:rsidR="006A414B" w:rsidRDefault="006A414B" w:rsidP="00FD7E02">
            <w:pPr>
              <w:rPr>
                <w:b/>
              </w:rPr>
            </w:pPr>
            <w:r w:rsidRPr="00153BE1">
              <w:t>Grants and subsidies</w:t>
            </w:r>
          </w:p>
        </w:tc>
        <w:tc>
          <w:tcPr>
            <w:tcW w:w="1559" w:type="dxa"/>
          </w:tcPr>
          <w:p w14:paraId="3742B8BD" w14:textId="77777777" w:rsidR="006A414B" w:rsidRDefault="006A414B" w:rsidP="006A414B">
            <w:pPr>
              <w:jc w:val="center"/>
              <w:rPr>
                <w:b/>
                <w:lang w:val="en-US" w:eastAsia="en-AU"/>
              </w:rPr>
            </w:pPr>
          </w:p>
        </w:tc>
        <w:tc>
          <w:tcPr>
            <w:tcW w:w="1276" w:type="dxa"/>
          </w:tcPr>
          <w:p w14:paraId="15B60091" w14:textId="035D2F70" w:rsidR="006A414B" w:rsidRPr="00B17A37" w:rsidRDefault="006A414B" w:rsidP="006A414B">
            <w:pPr>
              <w:jc w:val="right"/>
            </w:pPr>
            <w:r w:rsidRPr="003218DF">
              <w:t xml:space="preserve"> (50)</w:t>
            </w:r>
          </w:p>
        </w:tc>
        <w:tc>
          <w:tcPr>
            <w:tcW w:w="1275" w:type="dxa"/>
          </w:tcPr>
          <w:p w14:paraId="02408B01" w14:textId="3C680F55" w:rsidR="006A414B" w:rsidRPr="00C12FF7" w:rsidRDefault="006A414B" w:rsidP="006A414B">
            <w:pPr>
              <w:jc w:val="right"/>
            </w:pPr>
            <w:r w:rsidRPr="005C28C2">
              <w:t xml:space="preserve"> (50)</w:t>
            </w:r>
          </w:p>
        </w:tc>
        <w:tc>
          <w:tcPr>
            <w:tcW w:w="1418" w:type="dxa"/>
          </w:tcPr>
          <w:p w14:paraId="01214E0E" w14:textId="5298AC75" w:rsidR="006A414B" w:rsidRPr="00A94802" w:rsidRDefault="006A414B" w:rsidP="006A414B">
            <w:pPr>
              <w:jc w:val="right"/>
            </w:pPr>
            <w:r w:rsidRPr="004D1748">
              <w:t xml:space="preserve"> (50)</w:t>
            </w:r>
          </w:p>
        </w:tc>
        <w:tc>
          <w:tcPr>
            <w:tcW w:w="1642" w:type="dxa"/>
          </w:tcPr>
          <w:p w14:paraId="75BC1466" w14:textId="1E6707AC" w:rsidR="006A414B" w:rsidRPr="001305DF" w:rsidRDefault="006A414B" w:rsidP="006A414B">
            <w:pPr>
              <w:jc w:val="right"/>
            </w:pPr>
            <w:r w:rsidRPr="00933D6D">
              <w:t xml:space="preserve"> -   </w:t>
            </w:r>
          </w:p>
        </w:tc>
        <w:tc>
          <w:tcPr>
            <w:tcW w:w="1821" w:type="dxa"/>
          </w:tcPr>
          <w:p w14:paraId="4B678F6C" w14:textId="6E8DC9AD" w:rsidR="006A414B" w:rsidRPr="00181E33" w:rsidRDefault="006A414B" w:rsidP="006A414B">
            <w:pPr>
              <w:jc w:val="right"/>
            </w:pPr>
            <w:r w:rsidRPr="002D2E9F">
              <w:t xml:space="preserve"> -   </w:t>
            </w:r>
          </w:p>
        </w:tc>
      </w:tr>
      <w:tr w:rsidR="006A414B" w14:paraId="768A6D45" w14:textId="77777777" w:rsidTr="00FD7E02">
        <w:tc>
          <w:tcPr>
            <w:tcW w:w="4957" w:type="dxa"/>
            <w:vAlign w:val="center"/>
          </w:tcPr>
          <w:p w14:paraId="2CEFA9E9" w14:textId="5C73BC2A" w:rsidR="006A414B" w:rsidRDefault="006A414B" w:rsidP="00FD7E02">
            <w:pPr>
              <w:rPr>
                <w:b/>
              </w:rPr>
            </w:pPr>
            <w:r w:rsidRPr="00153BE1">
              <w:t>GST payments on purchases</w:t>
            </w:r>
          </w:p>
        </w:tc>
        <w:tc>
          <w:tcPr>
            <w:tcW w:w="1559" w:type="dxa"/>
          </w:tcPr>
          <w:p w14:paraId="01561B41" w14:textId="77777777" w:rsidR="006A414B" w:rsidRDefault="006A414B" w:rsidP="006A414B">
            <w:pPr>
              <w:jc w:val="center"/>
              <w:rPr>
                <w:b/>
                <w:lang w:val="en-US" w:eastAsia="en-AU"/>
              </w:rPr>
            </w:pPr>
          </w:p>
        </w:tc>
        <w:tc>
          <w:tcPr>
            <w:tcW w:w="1276" w:type="dxa"/>
          </w:tcPr>
          <w:p w14:paraId="5F602FCA" w14:textId="28F18AF8" w:rsidR="006A414B" w:rsidRPr="00B17A37" w:rsidRDefault="006A414B" w:rsidP="006A414B">
            <w:pPr>
              <w:jc w:val="right"/>
            </w:pPr>
            <w:r w:rsidRPr="003218DF">
              <w:t xml:space="preserve"> -   </w:t>
            </w:r>
          </w:p>
        </w:tc>
        <w:tc>
          <w:tcPr>
            <w:tcW w:w="1275" w:type="dxa"/>
          </w:tcPr>
          <w:p w14:paraId="08165029" w14:textId="7F210931" w:rsidR="006A414B" w:rsidRPr="00C12FF7" w:rsidRDefault="006A414B" w:rsidP="006A414B">
            <w:pPr>
              <w:jc w:val="right"/>
            </w:pPr>
            <w:r w:rsidRPr="005C28C2">
              <w:t xml:space="preserve"> (406)</w:t>
            </w:r>
          </w:p>
        </w:tc>
        <w:tc>
          <w:tcPr>
            <w:tcW w:w="1418" w:type="dxa"/>
          </w:tcPr>
          <w:p w14:paraId="5B0DEE37" w14:textId="461CD760" w:rsidR="006A414B" w:rsidRPr="00A94802" w:rsidRDefault="006A414B" w:rsidP="006A414B">
            <w:pPr>
              <w:jc w:val="right"/>
            </w:pPr>
            <w:r w:rsidRPr="004D1748">
              <w:t xml:space="preserve"> (404)</w:t>
            </w:r>
          </w:p>
        </w:tc>
        <w:tc>
          <w:tcPr>
            <w:tcW w:w="1642" w:type="dxa"/>
          </w:tcPr>
          <w:p w14:paraId="40788C19" w14:textId="719E0422" w:rsidR="006A414B" w:rsidRPr="001305DF" w:rsidRDefault="006A414B" w:rsidP="006A414B">
            <w:pPr>
              <w:jc w:val="right"/>
            </w:pPr>
            <w:r w:rsidRPr="00933D6D">
              <w:t xml:space="preserve"> 406 </w:t>
            </w:r>
          </w:p>
        </w:tc>
        <w:tc>
          <w:tcPr>
            <w:tcW w:w="1821" w:type="dxa"/>
          </w:tcPr>
          <w:p w14:paraId="6BA365EF" w14:textId="507ED92C" w:rsidR="006A414B" w:rsidRPr="00181E33" w:rsidRDefault="006A414B" w:rsidP="006A414B">
            <w:pPr>
              <w:jc w:val="right"/>
            </w:pPr>
            <w:r w:rsidRPr="002D2E9F">
              <w:t xml:space="preserve"> (2)</w:t>
            </w:r>
          </w:p>
        </w:tc>
      </w:tr>
      <w:tr w:rsidR="006A414B" w14:paraId="49FA0897" w14:textId="77777777" w:rsidTr="005954B1">
        <w:tc>
          <w:tcPr>
            <w:tcW w:w="4957" w:type="dxa"/>
            <w:vAlign w:val="center"/>
          </w:tcPr>
          <w:p w14:paraId="48BD9ED5" w14:textId="5F0684BA" w:rsidR="006A414B" w:rsidRDefault="006A414B" w:rsidP="00FD7E02">
            <w:pPr>
              <w:rPr>
                <w:b/>
              </w:rPr>
            </w:pPr>
            <w:r w:rsidRPr="00153BE1">
              <w:t>Other payments</w:t>
            </w:r>
          </w:p>
        </w:tc>
        <w:tc>
          <w:tcPr>
            <w:tcW w:w="1559" w:type="dxa"/>
          </w:tcPr>
          <w:p w14:paraId="2D832F0A" w14:textId="46CF9E23" w:rsidR="006A414B" w:rsidRDefault="006A414B" w:rsidP="006A414B">
            <w:pPr>
              <w:jc w:val="center"/>
              <w:rPr>
                <w:b/>
                <w:lang w:val="en-US" w:eastAsia="en-AU"/>
              </w:rPr>
            </w:pPr>
            <w:r>
              <w:rPr>
                <w:b/>
                <w:lang w:val="en-US" w:eastAsia="en-AU"/>
              </w:rPr>
              <w:t>8</w:t>
            </w:r>
          </w:p>
        </w:tc>
        <w:tc>
          <w:tcPr>
            <w:tcW w:w="1276" w:type="dxa"/>
            <w:tcBorders>
              <w:bottom w:val="single" w:sz="4" w:space="0" w:color="auto"/>
            </w:tcBorders>
          </w:tcPr>
          <w:p w14:paraId="1CB06E6C" w14:textId="556D172C" w:rsidR="006A414B" w:rsidRPr="00B17A37" w:rsidRDefault="006A414B" w:rsidP="006A414B">
            <w:pPr>
              <w:jc w:val="right"/>
            </w:pPr>
            <w:r w:rsidRPr="003218DF">
              <w:t xml:space="preserve"> (2,156)</w:t>
            </w:r>
          </w:p>
        </w:tc>
        <w:tc>
          <w:tcPr>
            <w:tcW w:w="1275" w:type="dxa"/>
            <w:tcBorders>
              <w:bottom w:val="single" w:sz="4" w:space="0" w:color="auto"/>
            </w:tcBorders>
          </w:tcPr>
          <w:p w14:paraId="3788EC44" w14:textId="316A8A6C" w:rsidR="006A414B" w:rsidRPr="00C12FF7" w:rsidRDefault="006A414B" w:rsidP="006A414B">
            <w:pPr>
              <w:jc w:val="right"/>
            </w:pPr>
            <w:r w:rsidRPr="005C28C2">
              <w:t xml:space="preserve"> (1,081)</w:t>
            </w:r>
          </w:p>
        </w:tc>
        <w:tc>
          <w:tcPr>
            <w:tcW w:w="1418" w:type="dxa"/>
            <w:tcBorders>
              <w:bottom w:val="single" w:sz="4" w:space="0" w:color="auto"/>
            </w:tcBorders>
          </w:tcPr>
          <w:p w14:paraId="1ADCCE0A" w14:textId="5B7F53AB" w:rsidR="006A414B" w:rsidRPr="00A94802" w:rsidRDefault="006A414B" w:rsidP="006A414B">
            <w:pPr>
              <w:jc w:val="right"/>
            </w:pPr>
            <w:r w:rsidRPr="004D1748">
              <w:t xml:space="preserve"> (1,045)</w:t>
            </w:r>
          </w:p>
        </w:tc>
        <w:tc>
          <w:tcPr>
            <w:tcW w:w="1642" w:type="dxa"/>
            <w:tcBorders>
              <w:bottom w:val="single" w:sz="4" w:space="0" w:color="auto"/>
            </w:tcBorders>
          </w:tcPr>
          <w:p w14:paraId="23D9073D" w14:textId="56118476" w:rsidR="006A414B" w:rsidRPr="001305DF" w:rsidRDefault="006A414B" w:rsidP="006A414B">
            <w:pPr>
              <w:jc w:val="right"/>
            </w:pPr>
            <w:r w:rsidRPr="00933D6D">
              <w:t xml:space="preserve"> (1,075)</w:t>
            </w:r>
          </w:p>
        </w:tc>
        <w:tc>
          <w:tcPr>
            <w:tcW w:w="1821" w:type="dxa"/>
            <w:tcBorders>
              <w:bottom w:val="single" w:sz="4" w:space="0" w:color="auto"/>
            </w:tcBorders>
          </w:tcPr>
          <w:p w14:paraId="57F76C13" w14:textId="2D5E5968" w:rsidR="006A414B" w:rsidRPr="00181E33" w:rsidRDefault="006A414B" w:rsidP="006A414B">
            <w:pPr>
              <w:jc w:val="right"/>
            </w:pPr>
            <w:r w:rsidRPr="002D2E9F">
              <w:t xml:space="preserve"> (36)</w:t>
            </w:r>
          </w:p>
        </w:tc>
      </w:tr>
      <w:tr w:rsidR="006A414B" w14:paraId="027CE66C" w14:textId="77777777" w:rsidTr="005954B1">
        <w:tc>
          <w:tcPr>
            <w:tcW w:w="4957" w:type="dxa"/>
            <w:vAlign w:val="center"/>
          </w:tcPr>
          <w:p w14:paraId="3C727B77" w14:textId="181EBBE0" w:rsidR="006A414B" w:rsidRPr="006A414B" w:rsidRDefault="006A414B" w:rsidP="00FD7E02">
            <w:pPr>
              <w:rPr>
                <w:b/>
              </w:rPr>
            </w:pPr>
            <w:r w:rsidRPr="006A414B">
              <w:rPr>
                <w:b/>
              </w:rPr>
              <w:t>Net cash provided by operating activities</w:t>
            </w:r>
          </w:p>
        </w:tc>
        <w:tc>
          <w:tcPr>
            <w:tcW w:w="1559" w:type="dxa"/>
          </w:tcPr>
          <w:p w14:paraId="0EF76531" w14:textId="77777777" w:rsidR="006A414B" w:rsidRDefault="006A414B" w:rsidP="006A414B">
            <w:pPr>
              <w:jc w:val="center"/>
              <w:rPr>
                <w:b/>
                <w:lang w:val="en-US" w:eastAsia="en-AU"/>
              </w:rPr>
            </w:pPr>
          </w:p>
        </w:tc>
        <w:tc>
          <w:tcPr>
            <w:tcW w:w="1276" w:type="dxa"/>
            <w:tcBorders>
              <w:top w:val="single" w:sz="4" w:space="0" w:color="auto"/>
              <w:bottom w:val="single" w:sz="4" w:space="0" w:color="auto"/>
            </w:tcBorders>
          </w:tcPr>
          <w:p w14:paraId="43F1BDED" w14:textId="551ECCF9" w:rsidR="006A414B" w:rsidRPr="006A414B" w:rsidRDefault="006A414B" w:rsidP="006A414B">
            <w:pPr>
              <w:jc w:val="right"/>
              <w:rPr>
                <w:b/>
              </w:rPr>
            </w:pPr>
            <w:r w:rsidRPr="006A414B">
              <w:rPr>
                <w:b/>
              </w:rPr>
              <w:t xml:space="preserve"> 147 </w:t>
            </w:r>
          </w:p>
        </w:tc>
        <w:tc>
          <w:tcPr>
            <w:tcW w:w="1275" w:type="dxa"/>
            <w:tcBorders>
              <w:top w:val="single" w:sz="4" w:space="0" w:color="auto"/>
              <w:bottom w:val="single" w:sz="4" w:space="0" w:color="auto"/>
            </w:tcBorders>
          </w:tcPr>
          <w:p w14:paraId="2C0FFE9F" w14:textId="5F4D212E" w:rsidR="006A414B" w:rsidRPr="006A414B" w:rsidRDefault="006A414B" w:rsidP="006A414B">
            <w:pPr>
              <w:jc w:val="right"/>
              <w:rPr>
                <w:b/>
              </w:rPr>
            </w:pPr>
            <w:r w:rsidRPr="006A414B">
              <w:rPr>
                <w:b/>
              </w:rPr>
              <w:t xml:space="preserve"> 2,555 </w:t>
            </w:r>
          </w:p>
        </w:tc>
        <w:tc>
          <w:tcPr>
            <w:tcW w:w="1418" w:type="dxa"/>
            <w:tcBorders>
              <w:top w:val="single" w:sz="4" w:space="0" w:color="auto"/>
              <w:bottom w:val="single" w:sz="4" w:space="0" w:color="auto"/>
            </w:tcBorders>
          </w:tcPr>
          <w:p w14:paraId="7CA7E536" w14:textId="3EB9A023" w:rsidR="006A414B" w:rsidRPr="006A414B" w:rsidRDefault="006A414B" w:rsidP="006A414B">
            <w:pPr>
              <w:jc w:val="right"/>
              <w:rPr>
                <w:b/>
              </w:rPr>
            </w:pPr>
            <w:r w:rsidRPr="006A414B">
              <w:rPr>
                <w:b/>
              </w:rPr>
              <w:t xml:space="preserve"> 2,049 </w:t>
            </w:r>
          </w:p>
        </w:tc>
        <w:tc>
          <w:tcPr>
            <w:tcW w:w="1642" w:type="dxa"/>
            <w:tcBorders>
              <w:top w:val="single" w:sz="4" w:space="0" w:color="auto"/>
              <w:bottom w:val="single" w:sz="4" w:space="0" w:color="auto"/>
            </w:tcBorders>
          </w:tcPr>
          <w:p w14:paraId="50114572" w14:textId="7913834C" w:rsidR="006A414B" w:rsidRPr="006A414B" w:rsidRDefault="006A414B" w:rsidP="006A414B">
            <w:pPr>
              <w:jc w:val="right"/>
              <w:rPr>
                <w:b/>
              </w:rPr>
            </w:pPr>
            <w:r w:rsidRPr="006A414B">
              <w:rPr>
                <w:b/>
              </w:rPr>
              <w:t xml:space="preserve"> (2,408)</w:t>
            </w:r>
          </w:p>
        </w:tc>
        <w:tc>
          <w:tcPr>
            <w:tcW w:w="1821" w:type="dxa"/>
            <w:tcBorders>
              <w:top w:val="single" w:sz="4" w:space="0" w:color="auto"/>
              <w:bottom w:val="single" w:sz="4" w:space="0" w:color="auto"/>
            </w:tcBorders>
          </w:tcPr>
          <w:p w14:paraId="41A217EE" w14:textId="1798BE41" w:rsidR="006A414B" w:rsidRPr="006A414B" w:rsidRDefault="006A414B" w:rsidP="006A414B">
            <w:pPr>
              <w:jc w:val="right"/>
              <w:rPr>
                <w:b/>
              </w:rPr>
            </w:pPr>
            <w:r w:rsidRPr="006A414B">
              <w:rPr>
                <w:b/>
              </w:rPr>
              <w:t xml:space="preserve"> 506 </w:t>
            </w:r>
          </w:p>
        </w:tc>
      </w:tr>
      <w:tr w:rsidR="006A414B" w14:paraId="6B02F49E" w14:textId="77777777" w:rsidTr="005954B1">
        <w:tc>
          <w:tcPr>
            <w:tcW w:w="4957" w:type="dxa"/>
            <w:vAlign w:val="center"/>
          </w:tcPr>
          <w:p w14:paraId="1EB9B17F" w14:textId="76C4027D" w:rsidR="006A414B" w:rsidRPr="00FD7E02" w:rsidRDefault="00FD7E02" w:rsidP="00FD7E02">
            <w:pPr>
              <w:rPr>
                <w:b/>
              </w:rPr>
            </w:pPr>
            <w:r>
              <w:rPr>
                <w:b/>
              </w:rPr>
              <w:t>CASH FLOW FROM INVESTING ACTIVITIES</w:t>
            </w:r>
          </w:p>
        </w:tc>
        <w:tc>
          <w:tcPr>
            <w:tcW w:w="1559" w:type="dxa"/>
          </w:tcPr>
          <w:p w14:paraId="54DB2A1B" w14:textId="77777777" w:rsidR="006A414B" w:rsidRDefault="006A414B" w:rsidP="006A414B">
            <w:pPr>
              <w:jc w:val="center"/>
              <w:rPr>
                <w:b/>
                <w:lang w:val="en-US" w:eastAsia="en-AU"/>
              </w:rPr>
            </w:pPr>
          </w:p>
        </w:tc>
        <w:tc>
          <w:tcPr>
            <w:tcW w:w="1276" w:type="dxa"/>
            <w:tcBorders>
              <w:top w:val="single" w:sz="4" w:space="0" w:color="auto"/>
            </w:tcBorders>
          </w:tcPr>
          <w:p w14:paraId="76EB26E5" w14:textId="77777777" w:rsidR="006A414B" w:rsidRPr="006A414B" w:rsidRDefault="006A414B" w:rsidP="006A414B">
            <w:pPr>
              <w:jc w:val="right"/>
              <w:rPr>
                <w:b/>
              </w:rPr>
            </w:pPr>
          </w:p>
        </w:tc>
        <w:tc>
          <w:tcPr>
            <w:tcW w:w="1275" w:type="dxa"/>
            <w:tcBorders>
              <w:top w:val="single" w:sz="4" w:space="0" w:color="auto"/>
            </w:tcBorders>
          </w:tcPr>
          <w:p w14:paraId="36401E45" w14:textId="77777777" w:rsidR="006A414B" w:rsidRPr="006A414B" w:rsidRDefault="006A414B" w:rsidP="006A414B">
            <w:pPr>
              <w:jc w:val="right"/>
              <w:rPr>
                <w:b/>
              </w:rPr>
            </w:pPr>
          </w:p>
        </w:tc>
        <w:tc>
          <w:tcPr>
            <w:tcW w:w="1418" w:type="dxa"/>
            <w:tcBorders>
              <w:top w:val="single" w:sz="4" w:space="0" w:color="auto"/>
            </w:tcBorders>
          </w:tcPr>
          <w:p w14:paraId="54D6194D" w14:textId="77777777" w:rsidR="006A414B" w:rsidRPr="006A414B" w:rsidRDefault="006A414B" w:rsidP="006A414B">
            <w:pPr>
              <w:jc w:val="right"/>
              <w:rPr>
                <w:b/>
              </w:rPr>
            </w:pPr>
          </w:p>
        </w:tc>
        <w:tc>
          <w:tcPr>
            <w:tcW w:w="1642" w:type="dxa"/>
            <w:tcBorders>
              <w:top w:val="single" w:sz="4" w:space="0" w:color="auto"/>
            </w:tcBorders>
          </w:tcPr>
          <w:p w14:paraId="34958FD1" w14:textId="77777777" w:rsidR="006A414B" w:rsidRPr="006A414B" w:rsidRDefault="006A414B" w:rsidP="006A414B">
            <w:pPr>
              <w:jc w:val="right"/>
              <w:rPr>
                <w:b/>
              </w:rPr>
            </w:pPr>
          </w:p>
        </w:tc>
        <w:tc>
          <w:tcPr>
            <w:tcW w:w="1821" w:type="dxa"/>
            <w:tcBorders>
              <w:top w:val="single" w:sz="4" w:space="0" w:color="auto"/>
            </w:tcBorders>
          </w:tcPr>
          <w:p w14:paraId="68BB0D87" w14:textId="77777777" w:rsidR="006A414B" w:rsidRPr="006A414B" w:rsidRDefault="006A414B" w:rsidP="006A414B">
            <w:pPr>
              <w:jc w:val="right"/>
              <w:rPr>
                <w:b/>
              </w:rPr>
            </w:pPr>
          </w:p>
        </w:tc>
      </w:tr>
      <w:tr w:rsidR="00FD7E02" w14:paraId="6D4EA0B2" w14:textId="77777777" w:rsidTr="00FD7E02">
        <w:tc>
          <w:tcPr>
            <w:tcW w:w="4957" w:type="dxa"/>
            <w:vAlign w:val="center"/>
          </w:tcPr>
          <w:p w14:paraId="7765192B" w14:textId="60434624" w:rsidR="00FD7E02" w:rsidRPr="00FD7E02" w:rsidRDefault="00FD7E02" w:rsidP="00FD7E02">
            <w:pPr>
              <w:rPr>
                <w:b/>
              </w:rPr>
            </w:pPr>
            <w:r w:rsidRPr="00FD7E02">
              <w:rPr>
                <w:b/>
              </w:rPr>
              <w:t>Receipts</w:t>
            </w:r>
          </w:p>
        </w:tc>
        <w:tc>
          <w:tcPr>
            <w:tcW w:w="1559" w:type="dxa"/>
          </w:tcPr>
          <w:p w14:paraId="7C837B5B" w14:textId="77777777" w:rsidR="00FD7E02" w:rsidRDefault="00FD7E02" w:rsidP="00FD7E02">
            <w:pPr>
              <w:jc w:val="center"/>
              <w:rPr>
                <w:b/>
                <w:lang w:val="en-US" w:eastAsia="en-AU"/>
              </w:rPr>
            </w:pPr>
          </w:p>
        </w:tc>
        <w:tc>
          <w:tcPr>
            <w:tcW w:w="1276" w:type="dxa"/>
          </w:tcPr>
          <w:p w14:paraId="5B205242" w14:textId="77777777" w:rsidR="00FD7E02" w:rsidRPr="006A414B" w:rsidRDefault="00FD7E02" w:rsidP="00FD7E02">
            <w:pPr>
              <w:jc w:val="right"/>
              <w:rPr>
                <w:b/>
              </w:rPr>
            </w:pPr>
          </w:p>
        </w:tc>
        <w:tc>
          <w:tcPr>
            <w:tcW w:w="1275" w:type="dxa"/>
          </w:tcPr>
          <w:p w14:paraId="0200A617" w14:textId="77777777" w:rsidR="00FD7E02" w:rsidRPr="006A414B" w:rsidRDefault="00FD7E02" w:rsidP="00FD7E02">
            <w:pPr>
              <w:jc w:val="right"/>
              <w:rPr>
                <w:b/>
              </w:rPr>
            </w:pPr>
          </w:p>
        </w:tc>
        <w:tc>
          <w:tcPr>
            <w:tcW w:w="1418" w:type="dxa"/>
          </w:tcPr>
          <w:p w14:paraId="6DF07A59" w14:textId="77777777" w:rsidR="00FD7E02" w:rsidRPr="006A414B" w:rsidRDefault="00FD7E02" w:rsidP="00FD7E02">
            <w:pPr>
              <w:jc w:val="right"/>
              <w:rPr>
                <w:b/>
              </w:rPr>
            </w:pPr>
          </w:p>
        </w:tc>
        <w:tc>
          <w:tcPr>
            <w:tcW w:w="1642" w:type="dxa"/>
          </w:tcPr>
          <w:p w14:paraId="3D9298CD" w14:textId="77777777" w:rsidR="00FD7E02" w:rsidRPr="006A414B" w:rsidRDefault="00FD7E02" w:rsidP="00FD7E02">
            <w:pPr>
              <w:jc w:val="right"/>
              <w:rPr>
                <w:b/>
              </w:rPr>
            </w:pPr>
          </w:p>
        </w:tc>
        <w:tc>
          <w:tcPr>
            <w:tcW w:w="1821" w:type="dxa"/>
          </w:tcPr>
          <w:p w14:paraId="3BFCD39A" w14:textId="77777777" w:rsidR="00FD7E02" w:rsidRPr="006A414B" w:rsidRDefault="00FD7E02" w:rsidP="00FD7E02">
            <w:pPr>
              <w:jc w:val="right"/>
              <w:rPr>
                <w:b/>
              </w:rPr>
            </w:pPr>
          </w:p>
        </w:tc>
      </w:tr>
      <w:tr w:rsidR="00FD7E02" w14:paraId="2DFA711F" w14:textId="77777777" w:rsidTr="00FD7E02">
        <w:tc>
          <w:tcPr>
            <w:tcW w:w="4957" w:type="dxa"/>
            <w:vAlign w:val="center"/>
          </w:tcPr>
          <w:p w14:paraId="700EABBF" w14:textId="0FE6BDEE" w:rsidR="00FD7E02" w:rsidRDefault="00FD7E02" w:rsidP="00FD7E02">
            <w:r>
              <w:t>Proceeds from sale of non-current physical assets</w:t>
            </w:r>
          </w:p>
        </w:tc>
        <w:tc>
          <w:tcPr>
            <w:tcW w:w="1559" w:type="dxa"/>
          </w:tcPr>
          <w:p w14:paraId="7DDFBF7C" w14:textId="77777777" w:rsidR="00FD7E02" w:rsidRDefault="00FD7E02" w:rsidP="00FD7E02">
            <w:pPr>
              <w:jc w:val="center"/>
              <w:rPr>
                <w:b/>
                <w:lang w:val="en-US" w:eastAsia="en-AU"/>
              </w:rPr>
            </w:pPr>
          </w:p>
        </w:tc>
        <w:tc>
          <w:tcPr>
            <w:tcW w:w="1276" w:type="dxa"/>
          </w:tcPr>
          <w:p w14:paraId="0BC1F70E" w14:textId="5F6203E9" w:rsidR="00FD7E02" w:rsidRPr="006A414B" w:rsidRDefault="00FD7E02" w:rsidP="00FD7E02">
            <w:pPr>
              <w:jc w:val="right"/>
              <w:rPr>
                <w:b/>
              </w:rPr>
            </w:pPr>
            <w:r w:rsidRPr="00775D7A">
              <w:t xml:space="preserve"> -   </w:t>
            </w:r>
          </w:p>
        </w:tc>
        <w:tc>
          <w:tcPr>
            <w:tcW w:w="1275" w:type="dxa"/>
          </w:tcPr>
          <w:p w14:paraId="2B2F8311" w14:textId="4E3CE453" w:rsidR="00FD7E02" w:rsidRPr="006A414B" w:rsidRDefault="00FD7E02" w:rsidP="00FD7E02">
            <w:pPr>
              <w:jc w:val="right"/>
              <w:rPr>
                <w:b/>
              </w:rPr>
            </w:pPr>
            <w:r w:rsidRPr="00775D7A">
              <w:t xml:space="preserve"> -   </w:t>
            </w:r>
          </w:p>
        </w:tc>
        <w:tc>
          <w:tcPr>
            <w:tcW w:w="1418" w:type="dxa"/>
          </w:tcPr>
          <w:p w14:paraId="58C3F8BE" w14:textId="11102676" w:rsidR="00FD7E02" w:rsidRPr="006A414B" w:rsidRDefault="00FD7E02" w:rsidP="00FD7E02">
            <w:pPr>
              <w:jc w:val="right"/>
              <w:rPr>
                <w:b/>
              </w:rPr>
            </w:pPr>
            <w:r w:rsidRPr="00775D7A">
              <w:t xml:space="preserve"> 86 </w:t>
            </w:r>
          </w:p>
        </w:tc>
        <w:tc>
          <w:tcPr>
            <w:tcW w:w="1642" w:type="dxa"/>
          </w:tcPr>
          <w:p w14:paraId="712A7B7E" w14:textId="33A03C55" w:rsidR="00FD7E02" w:rsidRPr="006A414B" w:rsidRDefault="00FD7E02" w:rsidP="00FD7E02">
            <w:pPr>
              <w:jc w:val="right"/>
              <w:rPr>
                <w:b/>
              </w:rPr>
            </w:pPr>
            <w:r w:rsidRPr="00775D7A">
              <w:t xml:space="preserve"> -   </w:t>
            </w:r>
          </w:p>
        </w:tc>
        <w:tc>
          <w:tcPr>
            <w:tcW w:w="1821" w:type="dxa"/>
          </w:tcPr>
          <w:p w14:paraId="05D09540" w14:textId="25375CF3" w:rsidR="00FD7E02" w:rsidRPr="006A414B" w:rsidRDefault="00FD7E02" w:rsidP="00FD7E02">
            <w:pPr>
              <w:jc w:val="right"/>
              <w:rPr>
                <w:b/>
              </w:rPr>
            </w:pPr>
            <w:r w:rsidRPr="00775D7A">
              <w:t xml:space="preserve"> (86)</w:t>
            </w:r>
          </w:p>
        </w:tc>
      </w:tr>
      <w:tr w:rsidR="00FD7E02" w14:paraId="24F11F9A" w14:textId="77777777" w:rsidTr="00FD7E02">
        <w:tc>
          <w:tcPr>
            <w:tcW w:w="4957" w:type="dxa"/>
            <w:vAlign w:val="center"/>
          </w:tcPr>
          <w:p w14:paraId="5731FBB6" w14:textId="51560D7E" w:rsidR="00FD7E02" w:rsidRPr="00FD7E02" w:rsidRDefault="00FD7E02" w:rsidP="00FD7E02">
            <w:pPr>
              <w:rPr>
                <w:b/>
              </w:rPr>
            </w:pPr>
            <w:r>
              <w:rPr>
                <w:b/>
              </w:rPr>
              <w:t>Payments</w:t>
            </w:r>
          </w:p>
        </w:tc>
        <w:tc>
          <w:tcPr>
            <w:tcW w:w="1559" w:type="dxa"/>
          </w:tcPr>
          <w:p w14:paraId="339247EA" w14:textId="77777777" w:rsidR="00FD7E02" w:rsidRDefault="00FD7E02" w:rsidP="00FD7E02">
            <w:pPr>
              <w:jc w:val="center"/>
              <w:rPr>
                <w:b/>
                <w:lang w:val="en-US" w:eastAsia="en-AU"/>
              </w:rPr>
            </w:pPr>
          </w:p>
        </w:tc>
        <w:tc>
          <w:tcPr>
            <w:tcW w:w="1276" w:type="dxa"/>
          </w:tcPr>
          <w:p w14:paraId="0DDDAAD6" w14:textId="77777777" w:rsidR="00FD7E02" w:rsidRPr="00775D7A" w:rsidRDefault="00FD7E02" w:rsidP="00FD7E02">
            <w:pPr>
              <w:jc w:val="right"/>
            </w:pPr>
          </w:p>
        </w:tc>
        <w:tc>
          <w:tcPr>
            <w:tcW w:w="1275" w:type="dxa"/>
          </w:tcPr>
          <w:p w14:paraId="0BEF8A85" w14:textId="77777777" w:rsidR="00FD7E02" w:rsidRPr="00775D7A" w:rsidRDefault="00FD7E02" w:rsidP="00FD7E02">
            <w:pPr>
              <w:jc w:val="right"/>
            </w:pPr>
          </w:p>
        </w:tc>
        <w:tc>
          <w:tcPr>
            <w:tcW w:w="1418" w:type="dxa"/>
          </w:tcPr>
          <w:p w14:paraId="7FA1BB52" w14:textId="77777777" w:rsidR="00FD7E02" w:rsidRPr="00775D7A" w:rsidRDefault="00FD7E02" w:rsidP="00FD7E02">
            <w:pPr>
              <w:jc w:val="right"/>
            </w:pPr>
          </w:p>
        </w:tc>
        <w:tc>
          <w:tcPr>
            <w:tcW w:w="1642" w:type="dxa"/>
          </w:tcPr>
          <w:p w14:paraId="7A9C4307" w14:textId="77777777" w:rsidR="00FD7E02" w:rsidRPr="00775D7A" w:rsidRDefault="00FD7E02" w:rsidP="00FD7E02">
            <w:pPr>
              <w:jc w:val="right"/>
            </w:pPr>
          </w:p>
        </w:tc>
        <w:tc>
          <w:tcPr>
            <w:tcW w:w="1821" w:type="dxa"/>
          </w:tcPr>
          <w:p w14:paraId="57C468B0" w14:textId="77777777" w:rsidR="00FD7E02" w:rsidRPr="00775D7A" w:rsidRDefault="00FD7E02" w:rsidP="00FD7E02">
            <w:pPr>
              <w:jc w:val="right"/>
            </w:pPr>
          </w:p>
        </w:tc>
      </w:tr>
      <w:tr w:rsidR="00FD7E02" w14:paraId="756A7499" w14:textId="77777777" w:rsidTr="00FD7E02">
        <w:tc>
          <w:tcPr>
            <w:tcW w:w="4957" w:type="dxa"/>
            <w:vAlign w:val="center"/>
          </w:tcPr>
          <w:p w14:paraId="592BC5DE" w14:textId="40D82086" w:rsidR="00FD7E02" w:rsidRDefault="00FD7E02" w:rsidP="00FD7E02">
            <w:pPr>
              <w:rPr>
                <w:b/>
              </w:rPr>
            </w:pPr>
            <w:r w:rsidRPr="008D74A3">
              <w:t>Purchase of non-current physical assets</w:t>
            </w:r>
          </w:p>
        </w:tc>
        <w:tc>
          <w:tcPr>
            <w:tcW w:w="1559" w:type="dxa"/>
          </w:tcPr>
          <w:p w14:paraId="7F52CB35" w14:textId="77777777" w:rsidR="00FD7E02" w:rsidRDefault="00FD7E02" w:rsidP="00FD7E02">
            <w:pPr>
              <w:jc w:val="center"/>
              <w:rPr>
                <w:b/>
                <w:lang w:val="en-US" w:eastAsia="en-AU"/>
              </w:rPr>
            </w:pPr>
          </w:p>
        </w:tc>
        <w:tc>
          <w:tcPr>
            <w:tcW w:w="1276" w:type="dxa"/>
          </w:tcPr>
          <w:p w14:paraId="264AB03C" w14:textId="29681A57" w:rsidR="00FD7E02" w:rsidRPr="00775D7A" w:rsidRDefault="00FD7E02" w:rsidP="00FD7E02">
            <w:pPr>
              <w:jc w:val="right"/>
            </w:pPr>
            <w:r w:rsidRPr="0036649F">
              <w:t xml:space="preserve"> (676)</w:t>
            </w:r>
          </w:p>
        </w:tc>
        <w:tc>
          <w:tcPr>
            <w:tcW w:w="1275" w:type="dxa"/>
          </w:tcPr>
          <w:p w14:paraId="1A57AA91" w14:textId="19C73A66" w:rsidR="00FD7E02" w:rsidRPr="00775D7A" w:rsidRDefault="00FD7E02" w:rsidP="00FD7E02">
            <w:pPr>
              <w:jc w:val="right"/>
            </w:pPr>
            <w:r w:rsidRPr="0036649F">
              <w:t xml:space="preserve"> (600)</w:t>
            </w:r>
          </w:p>
        </w:tc>
        <w:tc>
          <w:tcPr>
            <w:tcW w:w="1418" w:type="dxa"/>
          </w:tcPr>
          <w:p w14:paraId="30373C11" w14:textId="0B1816C7" w:rsidR="00FD7E02" w:rsidRPr="00775D7A" w:rsidRDefault="00FD7E02" w:rsidP="00FD7E02">
            <w:pPr>
              <w:jc w:val="right"/>
            </w:pPr>
            <w:r w:rsidRPr="0036649F">
              <w:t xml:space="preserve"> (628)</w:t>
            </w:r>
          </w:p>
        </w:tc>
        <w:tc>
          <w:tcPr>
            <w:tcW w:w="1642" w:type="dxa"/>
          </w:tcPr>
          <w:p w14:paraId="52082547" w14:textId="362E7ADA" w:rsidR="00FD7E02" w:rsidRPr="00775D7A" w:rsidRDefault="00FD7E02" w:rsidP="00FD7E02">
            <w:pPr>
              <w:jc w:val="right"/>
            </w:pPr>
            <w:r w:rsidRPr="0036649F">
              <w:t xml:space="preserve"> (76)</w:t>
            </w:r>
          </w:p>
        </w:tc>
        <w:tc>
          <w:tcPr>
            <w:tcW w:w="1821" w:type="dxa"/>
          </w:tcPr>
          <w:p w14:paraId="1D8AEB1D" w14:textId="302BDDA1" w:rsidR="00FD7E02" w:rsidRPr="00775D7A" w:rsidRDefault="00FD7E02" w:rsidP="00FD7E02">
            <w:pPr>
              <w:jc w:val="right"/>
            </w:pPr>
            <w:r w:rsidRPr="0036649F">
              <w:t xml:space="preserve"> 28 </w:t>
            </w:r>
          </w:p>
        </w:tc>
      </w:tr>
      <w:tr w:rsidR="00FD7E02" w14:paraId="1E103C75" w14:textId="77777777" w:rsidTr="005954B1">
        <w:tc>
          <w:tcPr>
            <w:tcW w:w="4957" w:type="dxa"/>
            <w:vAlign w:val="center"/>
          </w:tcPr>
          <w:p w14:paraId="45ECDF9D" w14:textId="3E647FD5" w:rsidR="00FD7E02" w:rsidRDefault="00FD7E02" w:rsidP="00FD7E02">
            <w:pPr>
              <w:rPr>
                <w:b/>
              </w:rPr>
            </w:pPr>
            <w:r w:rsidRPr="008D74A3">
              <w:t>Investments in term deposits</w:t>
            </w:r>
          </w:p>
        </w:tc>
        <w:tc>
          <w:tcPr>
            <w:tcW w:w="1559" w:type="dxa"/>
          </w:tcPr>
          <w:p w14:paraId="2B4B5DBB" w14:textId="105291BC" w:rsidR="00FD7E02" w:rsidRDefault="00FD7E02" w:rsidP="00FD7E02">
            <w:pPr>
              <w:jc w:val="center"/>
              <w:rPr>
                <w:b/>
                <w:lang w:val="en-US" w:eastAsia="en-AU"/>
              </w:rPr>
            </w:pPr>
            <w:r>
              <w:rPr>
                <w:b/>
                <w:lang w:val="en-US" w:eastAsia="en-AU"/>
              </w:rPr>
              <w:t>9,E</w:t>
            </w:r>
          </w:p>
        </w:tc>
        <w:tc>
          <w:tcPr>
            <w:tcW w:w="1276" w:type="dxa"/>
            <w:tcBorders>
              <w:bottom w:val="single" w:sz="4" w:space="0" w:color="auto"/>
            </w:tcBorders>
          </w:tcPr>
          <w:p w14:paraId="0557A4A8" w14:textId="1DE23A90" w:rsidR="00FD7E02" w:rsidRPr="00775D7A" w:rsidRDefault="00FD7E02" w:rsidP="00FD7E02">
            <w:pPr>
              <w:jc w:val="right"/>
            </w:pPr>
            <w:r w:rsidRPr="0036649F">
              <w:t xml:space="preserve"> -   </w:t>
            </w:r>
          </w:p>
        </w:tc>
        <w:tc>
          <w:tcPr>
            <w:tcW w:w="1275" w:type="dxa"/>
            <w:tcBorders>
              <w:bottom w:val="single" w:sz="4" w:space="0" w:color="auto"/>
            </w:tcBorders>
          </w:tcPr>
          <w:p w14:paraId="0E546CB8" w14:textId="0AED6E52" w:rsidR="00FD7E02" w:rsidRPr="00775D7A" w:rsidRDefault="00FD7E02" w:rsidP="00FD7E02">
            <w:pPr>
              <w:jc w:val="right"/>
            </w:pPr>
            <w:r w:rsidRPr="0036649F">
              <w:t xml:space="preserve"> (3,495)</w:t>
            </w:r>
          </w:p>
        </w:tc>
        <w:tc>
          <w:tcPr>
            <w:tcW w:w="1418" w:type="dxa"/>
            <w:tcBorders>
              <w:bottom w:val="single" w:sz="4" w:space="0" w:color="auto"/>
            </w:tcBorders>
          </w:tcPr>
          <w:p w14:paraId="57DB7E59" w14:textId="51AE089E" w:rsidR="00FD7E02" w:rsidRPr="00775D7A" w:rsidRDefault="00FD7E02" w:rsidP="00FD7E02">
            <w:pPr>
              <w:jc w:val="right"/>
            </w:pPr>
            <w:r w:rsidRPr="0036649F">
              <w:t xml:space="preserve"> (6,144)</w:t>
            </w:r>
          </w:p>
        </w:tc>
        <w:tc>
          <w:tcPr>
            <w:tcW w:w="1642" w:type="dxa"/>
            <w:tcBorders>
              <w:bottom w:val="single" w:sz="4" w:space="0" w:color="auto"/>
            </w:tcBorders>
          </w:tcPr>
          <w:p w14:paraId="1A8AFC51" w14:textId="1C8D8485" w:rsidR="00FD7E02" w:rsidRPr="00775D7A" w:rsidRDefault="00FD7E02" w:rsidP="00FD7E02">
            <w:pPr>
              <w:jc w:val="right"/>
            </w:pPr>
            <w:r w:rsidRPr="0036649F">
              <w:t xml:space="preserve"> 3,495 </w:t>
            </w:r>
          </w:p>
        </w:tc>
        <w:tc>
          <w:tcPr>
            <w:tcW w:w="1821" w:type="dxa"/>
            <w:tcBorders>
              <w:bottom w:val="single" w:sz="4" w:space="0" w:color="auto"/>
            </w:tcBorders>
          </w:tcPr>
          <w:p w14:paraId="60FE7D0D" w14:textId="7C21A41A" w:rsidR="00FD7E02" w:rsidRPr="00775D7A" w:rsidRDefault="00FD7E02" w:rsidP="00FD7E02">
            <w:pPr>
              <w:jc w:val="right"/>
            </w:pPr>
            <w:r w:rsidRPr="0036649F">
              <w:t xml:space="preserve"> 2,649 </w:t>
            </w:r>
          </w:p>
        </w:tc>
      </w:tr>
      <w:tr w:rsidR="00FD7E02" w14:paraId="5A4FEF47" w14:textId="77777777" w:rsidTr="005954B1">
        <w:tc>
          <w:tcPr>
            <w:tcW w:w="4957" w:type="dxa"/>
            <w:vAlign w:val="center"/>
          </w:tcPr>
          <w:p w14:paraId="1C46CC4C" w14:textId="3088EF56" w:rsidR="00FD7E02" w:rsidRPr="00FD7E02" w:rsidRDefault="00FD7E02" w:rsidP="00FD7E02">
            <w:pPr>
              <w:rPr>
                <w:b/>
              </w:rPr>
            </w:pPr>
            <w:r w:rsidRPr="00FD7E02">
              <w:rPr>
                <w:b/>
              </w:rPr>
              <w:t>Net cash used in investing activities</w:t>
            </w:r>
          </w:p>
        </w:tc>
        <w:tc>
          <w:tcPr>
            <w:tcW w:w="1559" w:type="dxa"/>
          </w:tcPr>
          <w:p w14:paraId="631837E1" w14:textId="77777777" w:rsidR="00FD7E02" w:rsidRDefault="00FD7E02" w:rsidP="00FD7E02">
            <w:pPr>
              <w:jc w:val="center"/>
              <w:rPr>
                <w:b/>
                <w:lang w:val="en-US" w:eastAsia="en-AU"/>
              </w:rPr>
            </w:pPr>
          </w:p>
        </w:tc>
        <w:tc>
          <w:tcPr>
            <w:tcW w:w="1276" w:type="dxa"/>
            <w:tcBorders>
              <w:top w:val="single" w:sz="4" w:space="0" w:color="auto"/>
              <w:bottom w:val="single" w:sz="4" w:space="0" w:color="auto"/>
            </w:tcBorders>
            <w:vAlign w:val="bottom"/>
          </w:tcPr>
          <w:p w14:paraId="33249C63" w14:textId="71869593" w:rsidR="00FD7E02" w:rsidRPr="00FD7E02" w:rsidRDefault="00FD7E02" w:rsidP="00FD7E02">
            <w:pPr>
              <w:jc w:val="right"/>
              <w:rPr>
                <w:b/>
              </w:rPr>
            </w:pPr>
            <w:r w:rsidRPr="00FD7E02">
              <w:rPr>
                <w:b/>
              </w:rPr>
              <w:t xml:space="preserve">        (676)</w:t>
            </w:r>
          </w:p>
        </w:tc>
        <w:tc>
          <w:tcPr>
            <w:tcW w:w="1275" w:type="dxa"/>
            <w:tcBorders>
              <w:top w:val="single" w:sz="4" w:space="0" w:color="auto"/>
              <w:bottom w:val="single" w:sz="4" w:space="0" w:color="auto"/>
            </w:tcBorders>
            <w:vAlign w:val="bottom"/>
          </w:tcPr>
          <w:p w14:paraId="1E906027" w14:textId="53250D8E" w:rsidR="00FD7E02" w:rsidRPr="00FD7E02" w:rsidRDefault="00FD7E02" w:rsidP="00FD7E02">
            <w:pPr>
              <w:jc w:val="right"/>
              <w:rPr>
                <w:b/>
              </w:rPr>
            </w:pPr>
            <w:r w:rsidRPr="00FD7E02">
              <w:rPr>
                <w:b/>
              </w:rPr>
              <w:t xml:space="preserve">       (4,095)</w:t>
            </w:r>
          </w:p>
        </w:tc>
        <w:tc>
          <w:tcPr>
            <w:tcW w:w="1418" w:type="dxa"/>
            <w:tcBorders>
              <w:top w:val="single" w:sz="4" w:space="0" w:color="auto"/>
              <w:bottom w:val="single" w:sz="4" w:space="0" w:color="auto"/>
            </w:tcBorders>
            <w:vAlign w:val="bottom"/>
          </w:tcPr>
          <w:p w14:paraId="23C57802" w14:textId="4F85E2D1" w:rsidR="00FD7E02" w:rsidRPr="00FD7E02" w:rsidRDefault="00FD7E02" w:rsidP="00FD7E02">
            <w:pPr>
              <w:jc w:val="right"/>
              <w:rPr>
                <w:b/>
              </w:rPr>
            </w:pPr>
            <w:r w:rsidRPr="00FD7E02">
              <w:rPr>
                <w:b/>
              </w:rPr>
              <w:t xml:space="preserve">      (6,686)</w:t>
            </w:r>
          </w:p>
        </w:tc>
        <w:tc>
          <w:tcPr>
            <w:tcW w:w="1642" w:type="dxa"/>
            <w:tcBorders>
              <w:top w:val="single" w:sz="4" w:space="0" w:color="auto"/>
              <w:bottom w:val="single" w:sz="4" w:space="0" w:color="auto"/>
            </w:tcBorders>
            <w:vAlign w:val="bottom"/>
          </w:tcPr>
          <w:p w14:paraId="6999B546" w14:textId="5E5B4AC9" w:rsidR="00FD7E02" w:rsidRPr="00FD7E02" w:rsidRDefault="00FD7E02" w:rsidP="00FD7E02">
            <w:pPr>
              <w:jc w:val="right"/>
              <w:rPr>
                <w:b/>
              </w:rPr>
            </w:pPr>
            <w:r w:rsidRPr="00FD7E02">
              <w:rPr>
                <w:b/>
              </w:rPr>
              <w:t xml:space="preserve">           3,419 </w:t>
            </w:r>
          </w:p>
        </w:tc>
        <w:tc>
          <w:tcPr>
            <w:tcW w:w="1821" w:type="dxa"/>
            <w:tcBorders>
              <w:top w:val="single" w:sz="4" w:space="0" w:color="auto"/>
              <w:bottom w:val="single" w:sz="4" w:space="0" w:color="auto"/>
            </w:tcBorders>
            <w:vAlign w:val="bottom"/>
          </w:tcPr>
          <w:p w14:paraId="48CC2262" w14:textId="6F50D935" w:rsidR="00FD7E02" w:rsidRPr="00FD7E02" w:rsidRDefault="00FD7E02" w:rsidP="00FD7E02">
            <w:pPr>
              <w:jc w:val="right"/>
              <w:rPr>
                <w:b/>
              </w:rPr>
            </w:pPr>
            <w:r w:rsidRPr="00FD7E02">
              <w:rPr>
                <w:b/>
              </w:rPr>
              <w:t xml:space="preserve">                  2,591 </w:t>
            </w:r>
          </w:p>
        </w:tc>
      </w:tr>
      <w:tr w:rsidR="00FD7E02" w14:paraId="02D0BFA2" w14:textId="77777777" w:rsidTr="005954B1">
        <w:tc>
          <w:tcPr>
            <w:tcW w:w="4957" w:type="dxa"/>
            <w:vAlign w:val="center"/>
          </w:tcPr>
          <w:p w14:paraId="4B0E493B" w14:textId="1D545756" w:rsidR="00FD7E02" w:rsidRPr="00FD7E02" w:rsidRDefault="00FD7E02" w:rsidP="00FD7E02">
            <w:pPr>
              <w:rPr>
                <w:b/>
              </w:rPr>
            </w:pPr>
            <w:r>
              <w:rPr>
                <w:b/>
              </w:rPr>
              <w:t>Net increase/(decrease) in cash and cash equivalents</w:t>
            </w:r>
          </w:p>
        </w:tc>
        <w:tc>
          <w:tcPr>
            <w:tcW w:w="1559" w:type="dxa"/>
          </w:tcPr>
          <w:p w14:paraId="7E1C3FA3" w14:textId="77777777" w:rsidR="00FD7E02" w:rsidRDefault="00FD7E02" w:rsidP="00FD7E02">
            <w:pPr>
              <w:jc w:val="center"/>
              <w:rPr>
                <w:b/>
                <w:lang w:val="en-US" w:eastAsia="en-AU"/>
              </w:rPr>
            </w:pPr>
          </w:p>
        </w:tc>
        <w:tc>
          <w:tcPr>
            <w:tcW w:w="1276" w:type="dxa"/>
            <w:tcBorders>
              <w:top w:val="single" w:sz="4" w:space="0" w:color="auto"/>
            </w:tcBorders>
            <w:vAlign w:val="bottom"/>
          </w:tcPr>
          <w:p w14:paraId="1CC23CF0" w14:textId="4110F15C" w:rsidR="00FD7E02" w:rsidRPr="00FD7E02" w:rsidRDefault="00FD7E02" w:rsidP="00FD7E02">
            <w:pPr>
              <w:jc w:val="right"/>
              <w:rPr>
                <w:b/>
              </w:rPr>
            </w:pPr>
            <w:r w:rsidRPr="00FD7E02">
              <w:rPr>
                <w:b/>
              </w:rPr>
              <w:t xml:space="preserve">        (529)</w:t>
            </w:r>
          </w:p>
        </w:tc>
        <w:tc>
          <w:tcPr>
            <w:tcW w:w="1275" w:type="dxa"/>
            <w:tcBorders>
              <w:top w:val="single" w:sz="4" w:space="0" w:color="auto"/>
            </w:tcBorders>
            <w:vAlign w:val="bottom"/>
          </w:tcPr>
          <w:p w14:paraId="62A88C3E" w14:textId="4208340C" w:rsidR="00FD7E02" w:rsidRPr="00FD7E02" w:rsidRDefault="00FD7E02" w:rsidP="00FD7E02">
            <w:pPr>
              <w:jc w:val="right"/>
              <w:rPr>
                <w:b/>
              </w:rPr>
            </w:pPr>
            <w:r w:rsidRPr="00FD7E02">
              <w:rPr>
                <w:b/>
              </w:rPr>
              <w:t xml:space="preserve">       (1,540)</w:t>
            </w:r>
          </w:p>
        </w:tc>
        <w:tc>
          <w:tcPr>
            <w:tcW w:w="1418" w:type="dxa"/>
            <w:tcBorders>
              <w:top w:val="single" w:sz="4" w:space="0" w:color="auto"/>
            </w:tcBorders>
            <w:vAlign w:val="bottom"/>
          </w:tcPr>
          <w:p w14:paraId="7719042E" w14:textId="4FC17571" w:rsidR="00FD7E02" w:rsidRPr="00FD7E02" w:rsidRDefault="00FD7E02" w:rsidP="00FD7E02">
            <w:pPr>
              <w:jc w:val="right"/>
              <w:rPr>
                <w:b/>
              </w:rPr>
            </w:pPr>
            <w:r w:rsidRPr="00FD7E02">
              <w:rPr>
                <w:b/>
              </w:rPr>
              <w:t xml:space="preserve">      (4,637)</w:t>
            </w:r>
          </w:p>
        </w:tc>
        <w:tc>
          <w:tcPr>
            <w:tcW w:w="1642" w:type="dxa"/>
            <w:tcBorders>
              <w:top w:val="single" w:sz="4" w:space="0" w:color="auto"/>
            </w:tcBorders>
            <w:vAlign w:val="bottom"/>
          </w:tcPr>
          <w:p w14:paraId="15C25ADD" w14:textId="4BC35C06" w:rsidR="00FD7E02" w:rsidRPr="00FD7E02" w:rsidRDefault="00FD7E02" w:rsidP="00FD7E02">
            <w:pPr>
              <w:jc w:val="right"/>
              <w:rPr>
                <w:b/>
              </w:rPr>
            </w:pPr>
            <w:r w:rsidRPr="00FD7E02">
              <w:rPr>
                <w:b/>
              </w:rPr>
              <w:t xml:space="preserve">           1,011 </w:t>
            </w:r>
          </w:p>
        </w:tc>
        <w:tc>
          <w:tcPr>
            <w:tcW w:w="1821" w:type="dxa"/>
            <w:tcBorders>
              <w:top w:val="single" w:sz="4" w:space="0" w:color="auto"/>
            </w:tcBorders>
            <w:vAlign w:val="bottom"/>
          </w:tcPr>
          <w:p w14:paraId="5C249764" w14:textId="20AE2235" w:rsidR="00FD7E02" w:rsidRPr="00FD7E02" w:rsidRDefault="00FD7E02" w:rsidP="00FD7E02">
            <w:pPr>
              <w:jc w:val="right"/>
              <w:rPr>
                <w:b/>
              </w:rPr>
            </w:pPr>
            <w:r w:rsidRPr="00FD7E02">
              <w:rPr>
                <w:b/>
              </w:rPr>
              <w:t xml:space="preserve">                  3,097 </w:t>
            </w:r>
          </w:p>
        </w:tc>
      </w:tr>
      <w:tr w:rsidR="00FD7E02" w14:paraId="29F2A4D4" w14:textId="77777777" w:rsidTr="005954B1">
        <w:tc>
          <w:tcPr>
            <w:tcW w:w="4957" w:type="dxa"/>
            <w:vAlign w:val="bottom"/>
          </w:tcPr>
          <w:p w14:paraId="50327DF1" w14:textId="0304AC86" w:rsidR="00FD7E02" w:rsidRDefault="00FD7E02" w:rsidP="00FD7E02">
            <w:pPr>
              <w:rPr>
                <w:b/>
              </w:rPr>
            </w:pPr>
            <w:r>
              <w:t>Cash and cash equivalents at the beginning of the period</w:t>
            </w:r>
          </w:p>
        </w:tc>
        <w:tc>
          <w:tcPr>
            <w:tcW w:w="1559" w:type="dxa"/>
          </w:tcPr>
          <w:p w14:paraId="3C16790B" w14:textId="77777777" w:rsidR="00FD7E02" w:rsidRDefault="00FD7E02" w:rsidP="00FD7E02">
            <w:pPr>
              <w:jc w:val="center"/>
              <w:rPr>
                <w:b/>
                <w:lang w:val="en-US" w:eastAsia="en-AU"/>
              </w:rPr>
            </w:pPr>
          </w:p>
        </w:tc>
        <w:tc>
          <w:tcPr>
            <w:tcW w:w="1276" w:type="dxa"/>
            <w:tcBorders>
              <w:bottom w:val="single" w:sz="4" w:space="0" w:color="auto"/>
            </w:tcBorders>
            <w:vAlign w:val="bottom"/>
          </w:tcPr>
          <w:p w14:paraId="452E6374" w14:textId="45CF994C" w:rsidR="00FD7E02" w:rsidRPr="00FD7E02" w:rsidRDefault="00FD7E02" w:rsidP="00FD7E02">
            <w:pPr>
              <w:jc w:val="right"/>
              <w:rPr>
                <w:b/>
              </w:rPr>
            </w:pPr>
            <w:r>
              <w:t xml:space="preserve">    91,533 </w:t>
            </w:r>
          </w:p>
        </w:tc>
        <w:tc>
          <w:tcPr>
            <w:tcW w:w="1275" w:type="dxa"/>
            <w:tcBorders>
              <w:bottom w:val="single" w:sz="4" w:space="0" w:color="auto"/>
            </w:tcBorders>
            <w:vAlign w:val="bottom"/>
          </w:tcPr>
          <w:p w14:paraId="1FAA256C" w14:textId="4838E2DC" w:rsidR="00FD7E02" w:rsidRPr="00FD7E02" w:rsidRDefault="00FD7E02" w:rsidP="00FD7E02">
            <w:pPr>
              <w:jc w:val="right"/>
              <w:rPr>
                <w:b/>
              </w:rPr>
            </w:pPr>
            <w:r>
              <w:t xml:space="preserve">      96,322 </w:t>
            </w:r>
          </w:p>
        </w:tc>
        <w:tc>
          <w:tcPr>
            <w:tcW w:w="1418" w:type="dxa"/>
            <w:tcBorders>
              <w:bottom w:val="single" w:sz="4" w:space="0" w:color="auto"/>
            </w:tcBorders>
            <w:vAlign w:val="bottom"/>
          </w:tcPr>
          <w:p w14:paraId="5D6A5043" w14:textId="4963DB20" w:rsidR="00FD7E02" w:rsidRPr="00FD7E02" w:rsidRDefault="00FD7E02" w:rsidP="00FD7E02">
            <w:pPr>
              <w:jc w:val="right"/>
              <w:rPr>
                <w:b/>
              </w:rPr>
            </w:pPr>
            <w:r>
              <w:t xml:space="preserve">   100,959 </w:t>
            </w:r>
          </w:p>
        </w:tc>
        <w:tc>
          <w:tcPr>
            <w:tcW w:w="1642" w:type="dxa"/>
            <w:tcBorders>
              <w:bottom w:val="single" w:sz="4" w:space="0" w:color="auto"/>
            </w:tcBorders>
            <w:vAlign w:val="bottom"/>
          </w:tcPr>
          <w:p w14:paraId="529604BD" w14:textId="16DA463A" w:rsidR="00FD7E02" w:rsidRPr="00FD7E02" w:rsidRDefault="00FD7E02" w:rsidP="00FD7E02">
            <w:pPr>
              <w:jc w:val="right"/>
              <w:rPr>
                <w:b/>
              </w:rPr>
            </w:pPr>
            <w:r>
              <w:t xml:space="preserve">          (4,789)</w:t>
            </w:r>
          </w:p>
        </w:tc>
        <w:tc>
          <w:tcPr>
            <w:tcW w:w="1821" w:type="dxa"/>
            <w:tcBorders>
              <w:bottom w:val="single" w:sz="4" w:space="0" w:color="auto"/>
            </w:tcBorders>
            <w:vAlign w:val="bottom"/>
          </w:tcPr>
          <w:p w14:paraId="60409DCD" w14:textId="6A6CBA24" w:rsidR="00FD7E02" w:rsidRPr="00FD7E02" w:rsidRDefault="00FD7E02" w:rsidP="00FD7E02">
            <w:pPr>
              <w:jc w:val="right"/>
              <w:rPr>
                <w:b/>
              </w:rPr>
            </w:pPr>
            <w:r>
              <w:t xml:space="preserve">                 (4,637)</w:t>
            </w:r>
          </w:p>
        </w:tc>
      </w:tr>
      <w:tr w:rsidR="005954B1" w14:paraId="650E797A" w14:textId="77777777" w:rsidTr="005954B1">
        <w:tc>
          <w:tcPr>
            <w:tcW w:w="4957" w:type="dxa"/>
            <w:vAlign w:val="bottom"/>
          </w:tcPr>
          <w:p w14:paraId="6D5D9FF9" w14:textId="77777777" w:rsidR="005954B1" w:rsidRDefault="005954B1" w:rsidP="00FD7E02"/>
        </w:tc>
        <w:tc>
          <w:tcPr>
            <w:tcW w:w="1559" w:type="dxa"/>
          </w:tcPr>
          <w:p w14:paraId="3BCF1695" w14:textId="77777777" w:rsidR="005954B1" w:rsidRDefault="005954B1" w:rsidP="00FD7E02">
            <w:pPr>
              <w:jc w:val="center"/>
              <w:rPr>
                <w:b/>
                <w:lang w:val="en-US" w:eastAsia="en-AU"/>
              </w:rPr>
            </w:pPr>
          </w:p>
        </w:tc>
        <w:tc>
          <w:tcPr>
            <w:tcW w:w="1276" w:type="dxa"/>
            <w:tcBorders>
              <w:top w:val="single" w:sz="4" w:space="0" w:color="auto"/>
            </w:tcBorders>
            <w:vAlign w:val="bottom"/>
          </w:tcPr>
          <w:p w14:paraId="12A2272D" w14:textId="77777777" w:rsidR="005954B1" w:rsidRDefault="005954B1" w:rsidP="00FD7E02">
            <w:pPr>
              <w:jc w:val="right"/>
            </w:pPr>
          </w:p>
        </w:tc>
        <w:tc>
          <w:tcPr>
            <w:tcW w:w="1275" w:type="dxa"/>
            <w:tcBorders>
              <w:top w:val="single" w:sz="4" w:space="0" w:color="auto"/>
            </w:tcBorders>
            <w:vAlign w:val="bottom"/>
          </w:tcPr>
          <w:p w14:paraId="71C5A30A" w14:textId="77777777" w:rsidR="005954B1" w:rsidRDefault="005954B1" w:rsidP="00FD7E02">
            <w:pPr>
              <w:jc w:val="right"/>
            </w:pPr>
          </w:p>
        </w:tc>
        <w:tc>
          <w:tcPr>
            <w:tcW w:w="1418" w:type="dxa"/>
            <w:tcBorders>
              <w:top w:val="single" w:sz="4" w:space="0" w:color="auto"/>
            </w:tcBorders>
            <w:vAlign w:val="bottom"/>
          </w:tcPr>
          <w:p w14:paraId="460CB197" w14:textId="77777777" w:rsidR="005954B1" w:rsidRDefault="005954B1" w:rsidP="00FD7E02">
            <w:pPr>
              <w:jc w:val="right"/>
            </w:pPr>
          </w:p>
        </w:tc>
        <w:tc>
          <w:tcPr>
            <w:tcW w:w="1642" w:type="dxa"/>
            <w:tcBorders>
              <w:top w:val="single" w:sz="4" w:space="0" w:color="auto"/>
            </w:tcBorders>
            <w:vAlign w:val="bottom"/>
          </w:tcPr>
          <w:p w14:paraId="7005CA8A" w14:textId="77777777" w:rsidR="005954B1" w:rsidRDefault="005954B1" w:rsidP="00FD7E02">
            <w:pPr>
              <w:jc w:val="right"/>
            </w:pPr>
          </w:p>
        </w:tc>
        <w:tc>
          <w:tcPr>
            <w:tcW w:w="1821" w:type="dxa"/>
            <w:tcBorders>
              <w:top w:val="single" w:sz="4" w:space="0" w:color="auto"/>
            </w:tcBorders>
            <w:vAlign w:val="bottom"/>
          </w:tcPr>
          <w:p w14:paraId="2938046C" w14:textId="77777777" w:rsidR="005954B1" w:rsidRDefault="005954B1" w:rsidP="00FD7E02">
            <w:pPr>
              <w:jc w:val="right"/>
            </w:pPr>
          </w:p>
        </w:tc>
      </w:tr>
      <w:tr w:rsidR="00FD7E02" w14:paraId="5E8E2B97" w14:textId="77777777" w:rsidTr="005954B1">
        <w:tc>
          <w:tcPr>
            <w:tcW w:w="4957" w:type="dxa"/>
            <w:vAlign w:val="bottom"/>
          </w:tcPr>
          <w:p w14:paraId="478FF210" w14:textId="3E345597" w:rsidR="00FD7E02" w:rsidRDefault="005954B1" w:rsidP="00FD7E02">
            <w:pPr>
              <w:rPr>
                <w:b/>
              </w:rPr>
            </w:pPr>
            <w:r>
              <w:rPr>
                <w:b/>
                <w:bCs/>
              </w:rPr>
              <w:br/>
            </w:r>
            <w:r w:rsidR="00FD7E02">
              <w:rPr>
                <w:b/>
                <w:bCs/>
              </w:rPr>
              <w:t>Cash and cash equivalent at the end of the period</w:t>
            </w:r>
          </w:p>
        </w:tc>
        <w:tc>
          <w:tcPr>
            <w:tcW w:w="1559" w:type="dxa"/>
          </w:tcPr>
          <w:p w14:paraId="78461B1D" w14:textId="77777777" w:rsidR="00FD7E02" w:rsidRDefault="00FD7E02" w:rsidP="00FD7E02">
            <w:pPr>
              <w:jc w:val="center"/>
              <w:rPr>
                <w:b/>
                <w:lang w:val="en-US" w:eastAsia="en-AU"/>
              </w:rPr>
            </w:pPr>
          </w:p>
        </w:tc>
        <w:tc>
          <w:tcPr>
            <w:tcW w:w="1276" w:type="dxa"/>
            <w:tcBorders>
              <w:top w:val="single" w:sz="4" w:space="0" w:color="auto"/>
              <w:bottom w:val="double" w:sz="4" w:space="0" w:color="auto"/>
            </w:tcBorders>
            <w:vAlign w:val="bottom"/>
          </w:tcPr>
          <w:p w14:paraId="348B166E" w14:textId="6EDCA164" w:rsidR="00FD7E02" w:rsidRPr="00FD7E02" w:rsidRDefault="00FD7E02" w:rsidP="00FD7E02">
            <w:pPr>
              <w:jc w:val="right"/>
              <w:rPr>
                <w:b/>
              </w:rPr>
            </w:pPr>
            <w:r>
              <w:rPr>
                <w:b/>
                <w:bCs/>
              </w:rPr>
              <w:t xml:space="preserve">    91,004 </w:t>
            </w:r>
          </w:p>
        </w:tc>
        <w:tc>
          <w:tcPr>
            <w:tcW w:w="1275" w:type="dxa"/>
            <w:tcBorders>
              <w:top w:val="single" w:sz="4" w:space="0" w:color="auto"/>
              <w:bottom w:val="double" w:sz="4" w:space="0" w:color="auto"/>
            </w:tcBorders>
            <w:vAlign w:val="bottom"/>
          </w:tcPr>
          <w:p w14:paraId="56E84D35" w14:textId="212879FB" w:rsidR="00FD7E02" w:rsidRPr="00FD7E02" w:rsidRDefault="00FD7E02" w:rsidP="00FD7E02">
            <w:pPr>
              <w:jc w:val="right"/>
              <w:rPr>
                <w:b/>
              </w:rPr>
            </w:pPr>
            <w:r>
              <w:rPr>
                <w:b/>
                <w:bCs/>
              </w:rPr>
              <w:t xml:space="preserve">      94,782 </w:t>
            </w:r>
          </w:p>
        </w:tc>
        <w:tc>
          <w:tcPr>
            <w:tcW w:w="1418" w:type="dxa"/>
            <w:tcBorders>
              <w:top w:val="single" w:sz="4" w:space="0" w:color="auto"/>
              <w:bottom w:val="double" w:sz="4" w:space="0" w:color="auto"/>
            </w:tcBorders>
            <w:vAlign w:val="bottom"/>
          </w:tcPr>
          <w:p w14:paraId="28E6BC87" w14:textId="28DC6761" w:rsidR="00FD7E02" w:rsidRPr="00FD7E02" w:rsidRDefault="00FD7E02" w:rsidP="00FD7E02">
            <w:pPr>
              <w:jc w:val="right"/>
              <w:rPr>
                <w:b/>
              </w:rPr>
            </w:pPr>
            <w:r>
              <w:rPr>
                <w:b/>
                <w:bCs/>
              </w:rPr>
              <w:t xml:space="preserve">     96,322 </w:t>
            </w:r>
          </w:p>
        </w:tc>
        <w:tc>
          <w:tcPr>
            <w:tcW w:w="1642" w:type="dxa"/>
            <w:tcBorders>
              <w:top w:val="single" w:sz="4" w:space="0" w:color="auto"/>
              <w:bottom w:val="double" w:sz="4" w:space="0" w:color="auto"/>
            </w:tcBorders>
            <w:vAlign w:val="bottom"/>
          </w:tcPr>
          <w:p w14:paraId="36DB4B74" w14:textId="2A76BBDF" w:rsidR="00FD7E02" w:rsidRPr="00FD7E02" w:rsidRDefault="00FD7E02" w:rsidP="00FD7E02">
            <w:pPr>
              <w:jc w:val="right"/>
              <w:rPr>
                <w:b/>
              </w:rPr>
            </w:pPr>
            <w:r>
              <w:rPr>
                <w:b/>
                <w:bCs/>
              </w:rPr>
              <w:t xml:space="preserve">          (3,778)</w:t>
            </w:r>
          </w:p>
        </w:tc>
        <w:tc>
          <w:tcPr>
            <w:tcW w:w="1821" w:type="dxa"/>
            <w:tcBorders>
              <w:top w:val="single" w:sz="4" w:space="0" w:color="auto"/>
              <w:bottom w:val="double" w:sz="4" w:space="0" w:color="auto"/>
            </w:tcBorders>
            <w:vAlign w:val="bottom"/>
          </w:tcPr>
          <w:p w14:paraId="15EA74C3" w14:textId="2812265E" w:rsidR="00FD7E02" w:rsidRPr="00FD7E02" w:rsidRDefault="00FD7E02" w:rsidP="00FD7E02">
            <w:pPr>
              <w:jc w:val="right"/>
              <w:rPr>
                <w:b/>
              </w:rPr>
            </w:pPr>
            <w:r>
              <w:rPr>
                <w:b/>
                <w:bCs/>
              </w:rPr>
              <w:t xml:space="preserve">                 (1,540)</w:t>
            </w:r>
          </w:p>
        </w:tc>
      </w:tr>
      <w:tr w:rsidR="005954B1" w14:paraId="3A83F85A" w14:textId="77777777" w:rsidTr="005954B1">
        <w:tc>
          <w:tcPr>
            <w:tcW w:w="4957" w:type="dxa"/>
            <w:vAlign w:val="bottom"/>
          </w:tcPr>
          <w:p w14:paraId="448A021B" w14:textId="77777777" w:rsidR="005954B1" w:rsidRDefault="005954B1" w:rsidP="00FD7E02">
            <w:pPr>
              <w:rPr>
                <w:b/>
                <w:bCs/>
              </w:rPr>
            </w:pPr>
          </w:p>
        </w:tc>
        <w:tc>
          <w:tcPr>
            <w:tcW w:w="1559" w:type="dxa"/>
          </w:tcPr>
          <w:p w14:paraId="7D7F9C33" w14:textId="77777777" w:rsidR="005954B1" w:rsidRDefault="005954B1" w:rsidP="00FD7E02">
            <w:pPr>
              <w:jc w:val="center"/>
              <w:rPr>
                <w:b/>
                <w:lang w:val="en-US" w:eastAsia="en-AU"/>
              </w:rPr>
            </w:pPr>
          </w:p>
        </w:tc>
        <w:tc>
          <w:tcPr>
            <w:tcW w:w="1276" w:type="dxa"/>
            <w:tcBorders>
              <w:top w:val="double" w:sz="4" w:space="0" w:color="auto"/>
            </w:tcBorders>
            <w:vAlign w:val="bottom"/>
          </w:tcPr>
          <w:p w14:paraId="23983AED" w14:textId="77777777" w:rsidR="005954B1" w:rsidRDefault="005954B1" w:rsidP="00FD7E02">
            <w:pPr>
              <w:jc w:val="right"/>
              <w:rPr>
                <w:b/>
                <w:bCs/>
              </w:rPr>
            </w:pPr>
          </w:p>
        </w:tc>
        <w:tc>
          <w:tcPr>
            <w:tcW w:w="1275" w:type="dxa"/>
            <w:tcBorders>
              <w:top w:val="double" w:sz="4" w:space="0" w:color="auto"/>
            </w:tcBorders>
            <w:vAlign w:val="bottom"/>
          </w:tcPr>
          <w:p w14:paraId="22196D3E" w14:textId="77777777" w:rsidR="005954B1" w:rsidRDefault="005954B1" w:rsidP="00FD7E02">
            <w:pPr>
              <w:jc w:val="right"/>
              <w:rPr>
                <w:b/>
                <w:bCs/>
              </w:rPr>
            </w:pPr>
          </w:p>
        </w:tc>
        <w:tc>
          <w:tcPr>
            <w:tcW w:w="1418" w:type="dxa"/>
            <w:tcBorders>
              <w:top w:val="double" w:sz="4" w:space="0" w:color="auto"/>
            </w:tcBorders>
            <w:vAlign w:val="bottom"/>
          </w:tcPr>
          <w:p w14:paraId="4480A084" w14:textId="77777777" w:rsidR="005954B1" w:rsidRDefault="005954B1" w:rsidP="00FD7E02">
            <w:pPr>
              <w:jc w:val="right"/>
              <w:rPr>
                <w:b/>
                <w:bCs/>
              </w:rPr>
            </w:pPr>
          </w:p>
        </w:tc>
        <w:tc>
          <w:tcPr>
            <w:tcW w:w="1642" w:type="dxa"/>
            <w:tcBorders>
              <w:top w:val="double" w:sz="4" w:space="0" w:color="auto"/>
            </w:tcBorders>
            <w:vAlign w:val="bottom"/>
          </w:tcPr>
          <w:p w14:paraId="159ABC40" w14:textId="77777777" w:rsidR="005954B1" w:rsidRDefault="005954B1" w:rsidP="00FD7E02">
            <w:pPr>
              <w:jc w:val="right"/>
              <w:rPr>
                <w:b/>
                <w:bCs/>
              </w:rPr>
            </w:pPr>
          </w:p>
        </w:tc>
        <w:tc>
          <w:tcPr>
            <w:tcW w:w="1821" w:type="dxa"/>
            <w:tcBorders>
              <w:top w:val="double" w:sz="4" w:space="0" w:color="auto"/>
            </w:tcBorders>
            <w:vAlign w:val="bottom"/>
          </w:tcPr>
          <w:p w14:paraId="6C34A3FC" w14:textId="77777777" w:rsidR="005954B1" w:rsidRDefault="005954B1" w:rsidP="00FD7E02">
            <w:pPr>
              <w:jc w:val="right"/>
              <w:rPr>
                <w:b/>
                <w:bCs/>
              </w:rPr>
            </w:pPr>
          </w:p>
        </w:tc>
      </w:tr>
    </w:tbl>
    <w:p w14:paraId="00D99BD4" w14:textId="283E3631" w:rsidR="00B02F18" w:rsidRDefault="005954B1" w:rsidP="00B02F18">
      <w:pPr>
        <w:keepLines w:val="0"/>
        <w:spacing w:after="0" w:line="240" w:lineRule="auto"/>
        <w:rPr>
          <w:b/>
          <w:lang w:val="en-US" w:eastAsia="en-AU"/>
        </w:rPr>
      </w:pPr>
      <w:r>
        <w:rPr>
          <w:b/>
          <w:lang w:val="en-US" w:eastAsia="en-AU"/>
        </w:rPr>
        <w:br/>
      </w:r>
      <w:r>
        <w:rPr>
          <w:b/>
          <w:lang w:val="en-US" w:eastAsia="en-AU"/>
        </w:rPr>
        <w:br/>
      </w:r>
      <w:r w:rsidRPr="005954B1">
        <w:rPr>
          <w:b/>
          <w:lang w:val="en-US" w:eastAsia="en-AU"/>
        </w:rPr>
        <w:t>Major Estimate and Actual (2018) Variance Narratives</w:t>
      </w:r>
    </w:p>
    <w:p w14:paraId="75B1B7A9" w14:textId="77777777" w:rsidR="005954B1" w:rsidRDefault="005954B1" w:rsidP="00B02F18">
      <w:pPr>
        <w:keepLines w:val="0"/>
        <w:spacing w:after="0" w:line="240" w:lineRule="auto"/>
        <w:rPr>
          <w:b/>
          <w:lang w:val="en-US" w:eastAsia="en-AU"/>
        </w:rPr>
      </w:pPr>
    </w:p>
    <w:p w14:paraId="4F40DA23" w14:textId="0AE96559" w:rsidR="005954B1" w:rsidRPr="005954B1" w:rsidRDefault="005954B1" w:rsidP="005954B1">
      <w:pPr>
        <w:rPr>
          <w:lang w:val="en-US" w:eastAsia="en-AU"/>
        </w:rPr>
      </w:pPr>
      <w:r w:rsidRPr="005954B1">
        <w:rPr>
          <w:lang w:val="en-US" w:eastAsia="en-AU"/>
        </w:rPr>
        <w:t>5)  Other receipts are $508K (33.6%) under budget estimates due to lower than expected unin</w:t>
      </w:r>
      <w:r>
        <w:rPr>
          <w:lang w:val="en-US" w:eastAsia="en-AU"/>
        </w:rPr>
        <w:t>sured recoveries received.</w:t>
      </w:r>
    </w:p>
    <w:p w14:paraId="05FD4B75" w14:textId="0B753823" w:rsidR="005954B1" w:rsidRPr="005954B1" w:rsidRDefault="005954B1" w:rsidP="005954B1">
      <w:pPr>
        <w:rPr>
          <w:lang w:val="en-US" w:eastAsia="en-AU"/>
        </w:rPr>
      </w:pPr>
      <w:r w:rsidRPr="005954B1">
        <w:rPr>
          <w:lang w:val="en-US" w:eastAsia="en-AU"/>
        </w:rPr>
        <w:t>6)  Workers' Compensation claim payments are $684K (38.3%) under budget estimates due to lower than expected workers compensation claims receive</w:t>
      </w:r>
      <w:r>
        <w:rPr>
          <w:lang w:val="en-US" w:eastAsia="en-AU"/>
        </w:rPr>
        <w:t>d for the Supplementation Fund.</w:t>
      </w:r>
      <w:r w:rsidRPr="005954B1">
        <w:rPr>
          <w:lang w:val="en-US" w:eastAsia="en-AU"/>
        </w:rPr>
        <w:tab/>
      </w:r>
      <w:r w:rsidRPr="005954B1">
        <w:rPr>
          <w:lang w:val="en-US" w:eastAsia="en-AU"/>
        </w:rPr>
        <w:tab/>
      </w:r>
      <w:r w:rsidRPr="005954B1">
        <w:rPr>
          <w:lang w:val="en-US" w:eastAsia="en-AU"/>
        </w:rPr>
        <w:tab/>
      </w:r>
      <w:r w:rsidRPr="005954B1">
        <w:rPr>
          <w:lang w:val="en-US" w:eastAsia="en-AU"/>
        </w:rPr>
        <w:tab/>
      </w:r>
      <w:r w:rsidRPr="005954B1">
        <w:rPr>
          <w:lang w:val="en-US" w:eastAsia="en-AU"/>
        </w:rPr>
        <w:tab/>
      </w:r>
    </w:p>
    <w:p w14:paraId="614479B4" w14:textId="69F7A1B7" w:rsidR="005954B1" w:rsidRPr="005954B1" w:rsidRDefault="005954B1" w:rsidP="005954B1">
      <w:pPr>
        <w:rPr>
          <w:lang w:val="en-US" w:eastAsia="en-AU"/>
        </w:rPr>
      </w:pPr>
      <w:r w:rsidRPr="005954B1">
        <w:rPr>
          <w:lang w:val="en-US" w:eastAsia="en-AU"/>
        </w:rPr>
        <w:t xml:space="preserve">7)  Employee benefits are $1.075 million (6.8%) under budget estimates due to a number of senior vacancies </w:t>
      </w:r>
      <w:r>
        <w:rPr>
          <w:lang w:val="en-US" w:eastAsia="en-AU"/>
        </w:rPr>
        <w:t>across the agency.</w:t>
      </w:r>
      <w:r>
        <w:rPr>
          <w:lang w:val="en-US" w:eastAsia="en-AU"/>
        </w:rPr>
        <w:tab/>
      </w:r>
    </w:p>
    <w:p w14:paraId="1AFDE30E" w14:textId="1A1513AF" w:rsidR="005954B1" w:rsidRPr="005954B1" w:rsidRDefault="005954B1" w:rsidP="005954B1">
      <w:pPr>
        <w:rPr>
          <w:lang w:val="en-US" w:eastAsia="en-AU"/>
        </w:rPr>
      </w:pPr>
      <w:r w:rsidRPr="005954B1">
        <w:rPr>
          <w:lang w:val="en-US" w:eastAsia="en-AU"/>
        </w:rPr>
        <w:t>8)  Other payments are $1.075 million (49.9%) under budget estimates due to lower than expected workers compensation claim pay</w:t>
      </w:r>
      <w:r>
        <w:rPr>
          <w:lang w:val="en-US" w:eastAsia="en-AU"/>
        </w:rPr>
        <w:t>ments for uninsured workers.</w:t>
      </w:r>
      <w:r>
        <w:rPr>
          <w:lang w:val="en-US" w:eastAsia="en-AU"/>
        </w:rPr>
        <w:tab/>
      </w:r>
      <w:r w:rsidRPr="005954B1">
        <w:rPr>
          <w:lang w:val="en-US" w:eastAsia="en-AU"/>
        </w:rPr>
        <w:tab/>
      </w:r>
      <w:r w:rsidRPr="005954B1">
        <w:rPr>
          <w:lang w:val="en-US" w:eastAsia="en-AU"/>
        </w:rPr>
        <w:tab/>
      </w:r>
    </w:p>
    <w:p w14:paraId="3EB5D057" w14:textId="77777777" w:rsidR="001C14F7" w:rsidRDefault="005954B1" w:rsidP="005954B1">
      <w:pPr>
        <w:rPr>
          <w:lang w:val="en-US" w:eastAsia="en-AU"/>
        </w:rPr>
      </w:pPr>
      <w:r w:rsidRPr="005954B1">
        <w:rPr>
          <w:lang w:val="en-US" w:eastAsia="en-AU"/>
        </w:rPr>
        <w:t>9)  Investments in term deposits of $3.495 million (100%) are not incl</w:t>
      </w:r>
      <w:r>
        <w:rPr>
          <w:lang w:val="en-US" w:eastAsia="en-AU"/>
        </w:rPr>
        <w:t>uded in the budget.</w:t>
      </w:r>
      <w:r>
        <w:rPr>
          <w:lang w:val="en-US" w:eastAsia="en-AU"/>
        </w:rPr>
        <w:tab/>
      </w:r>
    </w:p>
    <w:p w14:paraId="6EB24D3C" w14:textId="70514B27" w:rsidR="005954B1" w:rsidRPr="001C14F7" w:rsidRDefault="001C14F7" w:rsidP="005954B1">
      <w:pPr>
        <w:rPr>
          <w:lang w:val="en-US" w:eastAsia="en-AU"/>
        </w:rPr>
      </w:pPr>
      <w:r>
        <w:rPr>
          <w:b/>
          <w:lang w:val="en-US" w:eastAsia="en-AU"/>
        </w:rPr>
        <w:br/>
      </w:r>
      <w:r>
        <w:rPr>
          <w:b/>
          <w:lang w:val="en-US" w:eastAsia="en-AU"/>
        </w:rPr>
        <w:br/>
      </w:r>
      <w:r w:rsidR="005954B1" w:rsidRPr="005954B1">
        <w:rPr>
          <w:b/>
          <w:lang w:val="en-US" w:eastAsia="en-AU"/>
        </w:rPr>
        <w:t>Major Actual (2018) and Comparative (2017) Variance Narratives</w:t>
      </w:r>
    </w:p>
    <w:p w14:paraId="5D354CF5" w14:textId="4AC6BBBF" w:rsidR="005954B1" w:rsidRPr="005954B1" w:rsidRDefault="005954B1" w:rsidP="005954B1">
      <w:pPr>
        <w:rPr>
          <w:lang w:val="en-US" w:eastAsia="en-AU"/>
        </w:rPr>
      </w:pPr>
      <w:r w:rsidRPr="005954B1">
        <w:rPr>
          <w:lang w:val="en-US" w:eastAsia="en-AU"/>
        </w:rPr>
        <w:t>D)  Workers' Compensation claim payments have decreased by $656K (37.3%) due to lower than expected workers compensation</w:t>
      </w:r>
      <w:r>
        <w:rPr>
          <w:lang w:val="en-US" w:eastAsia="en-AU"/>
        </w:rPr>
        <w:t xml:space="preserve"> </w:t>
      </w:r>
      <w:r w:rsidRPr="005954B1">
        <w:rPr>
          <w:lang w:val="en-US" w:eastAsia="en-AU"/>
        </w:rPr>
        <w:t xml:space="preserve">claims received </w:t>
      </w:r>
      <w:r>
        <w:rPr>
          <w:lang w:val="en-US" w:eastAsia="en-AU"/>
        </w:rPr>
        <w:t>for the Supplementation Fund.</w:t>
      </w:r>
      <w:r w:rsidRPr="005954B1">
        <w:rPr>
          <w:lang w:val="en-US" w:eastAsia="en-AU"/>
        </w:rPr>
        <w:tab/>
      </w:r>
      <w:r w:rsidRPr="005954B1">
        <w:rPr>
          <w:lang w:val="en-US" w:eastAsia="en-AU"/>
        </w:rPr>
        <w:tab/>
      </w:r>
      <w:r w:rsidRPr="005954B1">
        <w:rPr>
          <w:lang w:val="en-US" w:eastAsia="en-AU"/>
        </w:rPr>
        <w:tab/>
      </w:r>
      <w:r w:rsidRPr="005954B1">
        <w:rPr>
          <w:lang w:val="en-US" w:eastAsia="en-AU"/>
        </w:rPr>
        <w:tab/>
      </w:r>
    </w:p>
    <w:p w14:paraId="06F5B278" w14:textId="77777777" w:rsidR="009D498A" w:rsidRDefault="005954B1" w:rsidP="005954B1">
      <w:pPr>
        <w:rPr>
          <w:lang w:val="en-US" w:eastAsia="en-AU"/>
        </w:rPr>
        <w:sectPr w:rsidR="009D498A" w:rsidSect="00DA1F1E">
          <w:pgSz w:w="16838" w:h="11906" w:orient="landscape" w:code="9"/>
          <w:pgMar w:top="1440" w:right="1440" w:bottom="1440" w:left="1440" w:header="709" w:footer="0" w:gutter="0"/>
          <w:cols w:space="708"/>
          <w:titlePg/>
          <w:docGrid w:linePitch="360"/>
        </w:sectPr>
      </w:pPr>
      <w:r w:rsidRPr="005954B1">
        <w:rPr>
          <w:lang w:val="en-US" w:eastAsia="en-AU"/>
        </w:rPr>
        <w:t>E)  Investment in term deposits have decreased by $2.649 million (100%) due to timing differences in term deposits investment strategy.</w:t>
      </w:r>
      <w:r w:rsidRPr="005954B1">
        <w:rPr>
          <w:lang w:val="en-US" w:eastAsia="en-AU"/>
        </w:rPr>
        <w:tab/>
      </w:r>
      <w:r w:rsidRPr="005954B1">
        <w:rPr>
          <w:lang w:val="en-US" w:eastAsia="en-AU"/>
        </w:rPr>
        <w:tab/>
      </w:r>
    </w:p>
    <w:p w14:paraId="41ABE8A9" w14:textId="2BB2E286" w:rsidR="005954B1" w:rsidRPr="005954B1" w:rsidRDefault="009D498A" w:rsidP="005954B1">
      <w:pPr>
        <w:rPr>
          <w:lang w:val="en-US" w:eastAsia="en-AU"/>
        </w:rPr>
      </w:pPr>
      <w:r>
        <w:rPr>
          <w:noProof/>
          <w:lang w:eastAsia="en-AU"/>
        </w:rPr>
        <w:drawing>
          <wp:anchor distT="0" distB="0" distL="114300" distR="114300" simplePos="0" relativeHeight="251668480" behindDoc="1" locked="0" layoutInCell="1" allowOverlap="1" wp14:anchorId="1C2E5633" wp14:editId="4AA97821">
            <wp:simplePos x="0" y="0"/>
            <wp:positionH relativeFrom="margin">
              <wp:posOffset>-1001395</wp:posOffset>
            </wp:positionH>
            <wp:positionV relativeFrom="margin">
              <wp:posOffset>-240632</wp:posOffset>
            </wp:positionV>
            <wp:extent cx="7729220" cy="10932160"/>
            <wp:effectExtent l="0" t="0" r="5080" b="2540"/>
            <wp:wrapSquare wrapText="bothSides"/>
            <wp:docPr id="6" name="Picture 6" descr="This is the back page of the Annual Report. It's a picture taken at Elizabeth Quay in Perth. " title="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 cover.jpg"/>
                    <pic:cNvPicPr/>
                  </pic:nvPicPr>
                  <pic:blipFill>
                    <a:blip r:embed="rId43">
                      <a:extLst>
                        <a:ext uri="{28A0092B-C50C-407E-A947-70E740481C1C}">
                          <a14:useLocalDpi xmlns:a14="http://schemas.microsoft.com/office/drawing/2010/main" val="0"/>
                        </a:ext>
                      </a:extLst>
                    </a:blip>
                    <a:stretch>
                      <a:fillRect/>
                    </a:stretch>
                  </pic:blipFill>
                  <pic:spPr>
                    <a:xfrm>
                      <a:off x="0" y="0"/>
                      <a:ext cx="7729220" cy="10932160"/>
                    </a:xfrm>
                    <a:prstGeom prst="rect">
                      <a:avLst/>
                    </a:prstGeom>
                  </pic:spPr>
                </pic:pic>
              </a:graphicData>
            </a:graphic>
            <wp14:sizeRelH relativeFrom="page">
              <wp14:pctWidth>0</wp14:pctWidth>
            </wp14:sizeRelH>
            <wp14:sizeRelV relativeFrom="page">
              <wp14:pctHeight>0</wp14:pctHeight>
            </wp14:sizeRelV>
          </wp:anchor>
        </w:drawing>
      </w:r>
      <w:r w:rsidR="005954B1" w:rsidRPr="005954B1">
        <w:rPr>
          <w:lang w:val="en-US" w:eastAsia="en-AU"/>
        </w:rPr>
        <w:tab/>
      </w:r>
      <w:r w:rsidR="005954B1" w:rsidRPr="005954B1">
        <w:rPr>
          <w:lang w:val="en-US" w:eastAsia="en-AU"/>
        </w:rPr>
        <w:tab/>
      </w:r>
      <w:r w:rsidR="005954B1" w:rsidRPr="005954B1">
        <w:rPr>
          <w:lang w:val="en-US" w:eastAsia="en-AU"/>
        </w:rPr>
        <w:tab/>
      </w:r>
      <w:r w:rsidR="005954B1" w:rsidRPr="005954B1">
        <w:rPr>
          <w:lang w:val="en-US" w:eastAsia="en-AU"/>
        </w:rPr>
        <w:tab/>
      </w:r>
    </w:p>
    <w:sectPr w:rsidR="005954B1" w:rsidRPr="005954B1" w:rsidSect="009D498A">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2E7BC" w14:textId="77777777" w:rsidR="00026273" w:rsidRDefault="00026273" w:rsidP="00852CCA">
      <w:pPr>
        <w:spacing w:after="0" w:line="240" w:lineRule="auto"/>
      </w:pPr>
      <w:r>
        <w:separator/>
      </w:r>
    </w:p>
  </w:endnote>
  <w:endnote w:type="continuationSeparator" w:id="0">
    <w:p w14:paraId="325D400C" w14:textId="77777777" w:rsidR="00026273" w:rsidRDefault="00026273" w:rsidP="0085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Black">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E4744" w14:textId="77777777" w:rsidR="008121F9" w:rsidRDefault="008121F9">
    <w:pPr>
      <w:pStyle w:val="Footer"/>
    </w:pPr>
  </w:p>
  <w:p w14:paraId="4990AE48" w14:textId="77777777" w:rsidR="008121F9" w:rsidRDefault="008121F9"/>
  <w:p w14:paraId="4E7ACAEF" w14:textId="77777777" w:rsidR="008121F9" w:rsidRDefault="008121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73473962"/>
      <w:docPartObj>
        <w:docPartGallery w:val="Page Numbers (Bottom of Page)"/>
        <w:docPartUnique/>
      </w:docPartObj>
    </w:sdtPr>
    <w:sdtEndPr>
      <w:rPr>
        <w:noProof/>
      </w:rPr>
    </w:sdtEndPr>
    <w:sdtContent>
      <w:p w14:paraId="09EC4B7E" w14:textId="5A3CF0C6" w:rsidR="008121F9" w:rsidRDefault="008121F9">
        <w:pPr>
          <w:pStyle w:val="Footer"/>
          <w:jc w:val="right"/>
        </w:pPr>
        <w:r>
          <w:rPr>
            <w:noProof w:val="0"/>
          </w:rPr>
          <w:fldChar w:fldCharType="begin"/>
        </w:r>
        <w:r>
          <w:instrText xml:space="preserve"> PAGE   \* MERGEFORMAT </w:instrText>
        </w:r>
        <w:r>
          <w:rPr>
            <w:noProof w:val="0"/>
          </w:rPr>
          <w:fldChar w:fldCharType="separate"/>
        </w:r>
        <w:r w:rsidR="0029111E">
          <w:t>114</w:t>
        </w:r>
        <w:r>
          <w:fldChar w:fldCharType="end"/>
        </w:r>
      </w:p>
    </w:sdtContent>
  </w:sdt>
  <w:p w14:paraId="136CC7B7" w14:textId="02F4F1C9" w:rsidR="008121F9" w:rsidRPr="00746341" w:rsidRDefault="008121F9" w:rsidP="00FE39B5">
    <w:pPr>
      <w:pStyle w:val="Footer"/>
      <w:tabs>
        <w:tab w:val="left" w:pos="1275"/>
        <w:tab w:val="right" w:pos="8837"/>
      </w:tabs>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04497277"/>
      <w:docPartObj>
        <w:docPartGallery w:val="Page Numbers (Bottom of Page)"/>
        <w:docPartUnique/>
      </w:docPartObj>
    </w:sdtPr>
    <w:sdtEndPr>
      <w:rPr>
        <w:noProof/>
      </w:rPr>
    </w:sdtEndPr>
    <w:sdtContent>
      <w:p w14:paraId="68E85A20" w14:textId="1E7F3BFF" w:rsidR="008121F9" w:rsidRDefault="008121F9">
        <w:pPr>
          <w:pStyle w:val="Footer"/>
          <w:jc w:val="right"/>
        </w:pPr>
        <w:r>
          <w:rPr>
            <w:noProof w:val="0"/>
          </w:rPr>
          <w:fldChar w:fldCharType="begin"/>
        </w:r>
        <w:r>
          <w:instrText xml:space="preserve"> PAGE   \* MERGEFORMAT </w:instrText>
        </w:r>
        <w:r>
          <w:rPr>
            <w:noProof w:val="0"/>
          </w:rPr>
          <w:fldChar w:fldCharType="separate"/>
        </w:r>
        <w:r w:rsidR="0029111E">
          <w:t>149</w:t>
        </w:r>
        <w:r>
          <w:fldChar w:fldCharType="end"/>
        </w:r>
      </w:p>
    </w:sdtContent>
  </w:sdt>
  <w:p w14:paraId="50F8BC1D" w14:textId="77777777" w:rsidR="008121F9" w:rsidRDefault="008121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881045"/>
      <w:docPartObj>
        <w:docPartGallery w:val="Page Numbers (Bottom of Page)"/>
        <w:docPartUnique/>
      </w:docPartObj>
    </w:sdtPr>
    <w:sdtEndPr/>
    <w:sdtContent>
      <w:p w14:paraId="6133DDD8" w14:textId="77777777" w:rsidR="008121F9" w:rsidRDefault="008121F9">
        <w:pPr>
          <w:pStyle w:val="Footer"/>
          <w:jc w:val="center"/>
        </w:pPr>
        <w:r>
          <w:rPr>
            <w:noProof w:val="0"/>
          </w:rPr>
          <w:fldChar w:fldCharType="begin"/>
        </w:r>
        <w:r>
          <w:instrText xml:space="preserve"> PAGE   \* MERGEFORMAT </w:instrText>
        </w:r>
        <w:r>
          <w:rPr>
            <w:noProof w:val="0"/>
          </w:rPr>
          <w:fldChar w:fldCharType="separate"/>
        </w:r>
        <w:r w:rsidR="0029111E">
          <w:t>163</w:t>
        </w:r>
        <w:r>
          <w:fldChar w:fldCharType="end"/>
        </w:r>
      </w:p>
    </w:sdtContent>
  </w:sdt>
  <w:p w14:paraId="1DD2825C" w14:textId="47C8B2C1" w:rsidR="008121F9" w:rsidRDefault="008121F9" w:rsidP="00E21EB5">
    <w:pPr>
      <w:pStyle w:val="Footer"/>
      <w:tabs>
        <w:tab w:val="left" w:pos="7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79868" w14:textId="77777777" w:rsidR="00026273" w:rsidRDefault="00026273" w:rsidP="00852CCA">
      <w:pPr>
        <w:spacing w:after="0" w:line="240" w:lineRule="auto"/>
      </w:pPr>
      <w:r>
        <w:separator/>
      </w:r>
    </w:p>
  </w:footnote>
  <w:footnote w:type="continuationSeparator" w:id="0">
    <w:p w14:paraId="745EC354" w14:textId="77777777" w:rsidR="00026273" w:rsidRDefault="00026273" w:rsidP="00852CCA">
      <w:pPr>
        <w:spacing w:after="0" w:line="240" w:lineRule="auto"/>
      </w:pPr>
      <w:r>
        <w:continuationSeparator/>
      </w:r>
    </w:p>
  </w:footnote>
  <w:footnote w:id="1">
    <w:p w14:paraId="5EAA27E1" w14:textId="77777777" w:rsidR="008121F9" w:rsidRPr="0004523C" w:rsidRDefault="008121F9" w:rsidP="00AD0CE9">
      <w:pPr>
        <w:pStyle w:val="FootnoteText"/>
      </w:pPr>
      <w:r>
        <w:rPr>
          <w:rStyle w:val="FootnoteReference"/>
        </w:rPr>
        <w:footnoteRef/>
      </w:r>
      <w:r>
        <w:t xml:space="preserve"> Efficiency indicators have not been adjusted for inflation.</w:t>
      </w:r>
    </w:p>
  </w:footnote>
  <w:footnote w:id="2">
    <w:p w14:paraId="50925A3B" w14:textId="77777777" w:rsidR="008121F9" w:rsidRPr="00954ADA" w:rsidRDefault="008121F9" w:rsidP="00654D3C">
      <w:pPr>
        <w:pStyle w:val="FootnoteText"/>
      </w:pPr>
      <w:r>
        <w:rPr>
          <w:rStyle w:val="FootnoteReference"/>
        </w:rPr>
        <w:footnoteRef/>
      </w:r>
      <w:r>
        <w:t xml:space="preserve"> </w:t>
      </w:r>
      <w:r w:rsidRPr="00F0181D">
        <w:t>The figures quoted are those available at the time of setting the target</w:t>
      </w:r>
      <w:r>
        <w:t xml:space="preserve"> in April 2017. The number of insured claims per year is based on the insurer received date and excludes asbestos and industrial disease, journey and invalid claims. The number of claims may vary from those previously published for some years due to delays in claim reports to WorkCover WA from insurers.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61D6" w14:textId="77777777" w:rsidR="008121F9" w:rsidRPr="00504FAF" w:rsidRDefault="008121F9" w:rsidP="00504FAF">
    <w:pPr>
      <w:pStyle w:val="Header"/>
      <w:tabs>
        <w:tab w:val="center" w:pos="4513"/>
        <w:tab w:val="right" w:pos="9026"/>
      </w:tabs>
      <w:jc w:val="left"/>
      <w:rPr>
        <w:b/>
        <w:color w:val="3E5D57" w:themeColor="text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A319" w14:textId="77777777" w:rsidR="008121F9" w:rsidRDefault="008121F9" w:rsidP="00152F8F">
    <w:pPr>
      <w:pStyle w:val="Header"/>
      <w:tabs>
        <w:tab w:val="left" w:pos="2070"/>
        <w:tab w:val="right" w:pos="9026"/>
      </w:tabs>
      <w:jc w:val="left"/>
    </w:pPr>
    <w:r>
      <w:rPr>
        <w:b/>
        <w:color w:val="86731E" w:themeColor="text1"/>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062E" w14:textId="21EEB41E" w:rsidR="008121F9" w:rsidRPr="00506A7F" w:rsidRDefault="008121F9" w:rsidP="00506A7F">
    <w:pPr>
      <w:pStyle w:val="Header"/>
    </w:pPr>
    <w:r w:rsidRPr="00095931">
      <w:rPr>
        <w:b/>
        <w:color w:val="86731E" w:themeColor="text1"/>
        <w:sz w:val="24"/>
        <w:szCs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1297E" w14:textId="0FB8ECDA" w:rsidR="008121F9" w:rsidRPr="007F4BCC" w:rsidRDefault="008121F9" w:rsidP="00CD3AB0">
    <w:pPr>
      <w:pStyle w:val="Header"/>
      <w:rPr>
        <w:color w:val="auto"/>
      </w:rPr>
    </w:pPr>
    <w:r w:rsidRPr="00095931">
      <w:rPr>
        <w:b/>
        <w:color w:val="86731E" w:themeColor="text1"/>
        <w:sz w:val="24"/>
        <w:szCs w:val="24"/>
      </w:rPr>
      <w:tab/>
    </w:r>
  </w:p>
  <w:p w14:paraId="2F119227" w14:textId="77777777" w:rsidR="008121F9" w:rsidRDefault="008121F9" w:rsidP="00A450F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BAD0" w14:textId="77777777" w:rsidR="008121F9" w:rsidRDefault="008121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46D8F"/>
    <w:multiLevelType w:val="hybridMultilevel"/>
    <w:tmpl w:val="7F24FC6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A1A2D0B"/>
    <w:multiLevelType w:val="hybridMultilevel"/>
    <w:tmpl w:val="09AA3A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9236A3"/>
    <w:multiLevelType w:val="hybridMultilevel"/>
    <w:tmpl w:val="BADC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17641"/>
    <w:multiLevelType w:val="hybridMultilevel"/>
    <w:tmpl w:val="933AA2A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 w15:restartNumberingAfterBreak="0">
    <w:nsid w:val="0F18324E"/>
    <w:multiLevelType w:val="hybridMultilevel"/>
    <w:tmpl w:val="A3BA876C"/>
    <w:lvl w:ilvl="0" w:tplc="29700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CC352B"/>
    <w:multiLevelType w:val="hybridMultilevel"/>
    <w:tmpl w:val="477CD0C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 w15:restartNumberingAfterBreak="0">
    <w:nsid w:val="12FB62C6"/>
    <w:multiLevelType w:val="hybridMultilevel"/>
    <w:tmpl w:val="4600EA0E"/>
    <w:lvl w:ilvl="0" w:tplc="C846ACBC">
      <w:start w:val="1"/>
      <w:numFmt w:val="decimal"/>
      <w:lvlText w:val="%1."/>
      <w:lvlJc w:val="left"/>
      <w:pPr>
        <w:ind w:left="1440" w:hanging="360"/>
      </w:pPr>
      <w:rPr>
        <w:rFonts w:ascii="Arial Bold" w:hAnsi="Arial Bold" w:cs="Arial" w:hint="default"/>
        <w:b/>
        <w:bCs/>
        <w:i w:val="0"/>
        <w:iCs w:val="0"/>
        <w:sz w:val="20"/>
        <w:szCs w:val="24"/>
      </w:rPr>
    </w:lvl>
    <w:lvl w:ilvl="1" w:tplc="16FE9184" w:tentative="1">
      <w:start w:val="1"/>
      <w:numFmt w:val="lowerLetter"/>
      <w:lvlText w:val="%2."/>
      <w:lvlJc w:val="left"/>
      <w:pPr>
        <w:ind w:left="2160" w:hanging="360"/>
      </w:pPr>
    </w:lvl>
    <w:lvl w:ilvl="2" w:tplc="F554345C" w:tentative="1">
      <w:start w:val="1"/>
      <w:numFmt w:val="lowerRoman"/>
      <w:lvlText w:val="%3."/>
      <w:lvlJc w:val="right"/>
      <w:pPr>
        <w:ind w:left="2880" w:hanging="180"/>
      </w:pPr>
    </w:lvl>
    <w:lvl w:ilvl="3" w:tplc="F7C84738" w:tentative="1">
      <w:start w:val="1"/>
      <w:numFmt w:val="decimal"/>
      <w:lvlText w:val="%4."/>
      <w:lvlJc w:val="left"/>
      <w:pPr>
        <w:ind w:left="3600" w:hanging="360"/>
      </w:pPr>
    </w:lvl>
    <w:lvl w:ilvl="4" w:tplc="8C260030" w:tentative="1">
      <w:start w:val="1"/>
      <w:numFmt w:val="lowerLetter"/>
      <w:lvlText w:val="%5."/>
      <w:lvlJc w:val="left"/>
      <w:pPr>
        <w:ind w:left="4320" w:hanging="360"/>
      </w:pPr>
    </w:lvl>
    <w:lvl w:ilvl="5" w:tplc="9B64E480" w:tentative="1">
      <w:start w:val="1"/>
      <w:numFmt w:val="lowerRoman"/>
      <w:lvlText w:val="%6."/>
      <w:lvlJc w:val="right"/>
      <w:pPr>
        <w:ind w:left="5040" w:hanging="180"/>
      </w:pPr>
    </w:lvl>
    <w:lvl w:ilvl="6" w:tplc="BB448FBC" w:tentative="1">
      <w:start w:val="1"/>
      <w:numFmt w:val="decimal"/>
      <w:lvlText w:val="%7."/>
      <w:lvlJc w:val="left"/>
      <w:pPr>
        <w:ind w:left="5760" w:hanging="360"/>
      </w:pPr>
    </w:lvl>
    <w:lvl w:ilvl="7" w:tplc="91DE876E" w:tentative="1">
      <w:start w:val="1"/>
      <w:numFmt w:val="lowerLetter"/>
      <w:lvlText w:val="%8."/>
      <w:lvlJc w:val="left"/>
      <w:pPr>
        <w:ind w:left="6480" w:hanging="360"/>
      </w:pPr>
    </w:lvl>
    <w:lvl w:ilvl="8" w:tplc="13E21984" w:tentative="1">
      <w:start w:val="1"/>
      <w:numFmt w:val="lowerRoman"/>
      <w:lvlText w:val="%9."/>
      <w:lvlJc w:val="right"/>
      <w:pPr>
        <w:ind w:left="7200" w:hanging="180"/>
      </w:pPr>
    </w:lvl>
  </w:abstractNum>
  <w:abstractNum w:abstractNumId="7" w15:restartNumberingAfterBreak="0">
    <w:nsid w:val="14787CA4"/>
    <w:multiLevelType w:val="hybridMultilevel"/>
    <w:tmpl w:val="D9BEC86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 w15:restartNumberingAfterBreak="0">
    <w:nsid w:val="14D31024"/>
    <w:multiLevelType w:val="hybridMultilevel"/>
    <w:tmpl w:val="F410A72E"/>
    <w:lvl w:ilvl="0" w:tplc="71F061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F10C7"/>
    <w:multiLevelType w:val="hybridMultilevel"/>
    <w:tmpl w:val="A44EEE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990F02"/>
    <w:multiLevelType w:val="hybridMultilevel"/>
    <w:tmpl w:val="AB0EABF0"/>
    <w:lvl w:ilvl="0" w:tplc="C618419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783379"/>
    <w:multiLevelType w:val="hybridMultilevel"/>
    <w:tmpl w:val="C4A2F28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1A42162D"/>
    <w:multiLevelType w:val="multilevel"/>
    <w:tmpl w:val="AC2E0AFA"/>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C42468"/>
    <w:multiLevelType w:val="hybridMultilevel"/>
    <w:tmpl w:val="A72CF02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1DEA50E0"/>
    <w:multiLevelType w:val="hybridMultilevel"/>
    <w:tmpl w:val="533E0748"/>
    <w:lvl w:ilvl="0" w:tplc="7F708D7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762DCD"/>
    <w:multiLevelType w:val="hybridMultilevel"/>
    <w:tmpl w:val="B280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21A29"/>
    <w:multiLevelType w:val="hybridMultilevel"/>
    <w:tmpl w:val="803E2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F21BD"/>
    <w:multiLevelType w:val="multilevel"/>
    <w:tmpl w:val="9B58250A"/>
    <w:lvl w:ilvl="0">
      <w:start w:val="1"/>
      <w:numFmt w:val="decimal"/>
      <w:lvlText w:val="%1."/>
      <w:lvlJc w:val="left"/>
      <w:pPr>
        <w:ind w:left="964" w:hanging="510"/>
      </w:pPr>
      <w:rPr>
        <w:rFonts w:ascii="Arial" w:hAnsi="Arial" w:cs="Arial" w:hint="default"/>
        <w:color w:val="auto"/>
        <w:sz w:val="24"/>
        <w:szCs w:val="24"/>
      </w:rPr>
    </w:lvl>
    <w:lvl w:ilvl="1">
      <w:start w:val="1"/>
      <w:numFmt w:val="decimal"/>
      <w:pStyle w:val="NumberedListLevel2"/>
      <w:lvlText w:val="%1.%2."/>
      <w:lvlJc w:val="left"/>
      <w:pPr>
        <w:ind w:left="1418" w:hanging="510"/>
      </w:pPr>
      <w:rPr>
        <w:rFonts w:ascii="Verdana" w:hAnsi="Verdana" w:cs="Times New Roman" w:hint="default"/>
        <w:sz w:val="20"/>
      </w:rPr>
    </w:lvl>
    <w:lvl w:ilvl="2">
      <w:start w:val="1"/>
      <w:numFmt w:val="decimal"/>
      <w:pStyle w:val="NumberedListLevel3"/>
      <w:lvlText w:val="%1.%2.%3."/>
      <w:lvlJc w:val="left"/>
      <w:pPr>
        <w:ind w:left="2098" w:hanging="736"/>
      </w:pPr>
      <w:rPr>
        <w:rFonts w:ascii="Verdana" w:hAnsi="Verdana" w:cs="Times New Roman" w:hint="default"/>
        <w:sz w:val="20"/>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18" w15:restartNumberingAfterBreak="0">
    <w:nsid w:val="2C365D19"/>
    <w:multiLevelType w:val="hybridMultilevel"/>
    <w:tmpl w:val="0FF6AF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2F2F48B2"/>
    <w:multiLevelType w:val="hybridMultilevel"/>
    <w:tmpl w:val="2FD68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342631"/>
    <w:multiLevelType w:val="hybridMultilevel"/>
    <w:tmpl w:val="A306C14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2F43668D"/>
    <w:multiLevelType w:val="hybridMultilevel"/>
    <w:tmpl w:val="1E02A6E2"/>
    <w:lvl w:ilvl="0" w:tplc="6D280ED6">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CE06B7"/>
    <w:multiLevelType w:val="hybridMultilevel"/>
    <w:tmpl w:val="F6BC20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81B1C2F"/>
    <w:multiLevelType w:val="hybridMultilevel"/>
    <w:tmpl w:val="03F29E36"/>
    <w:lvl w:ilvl="0" w:tplc="E3C205F0">
      <w:start w:val="12"/>
      <w:numFmt w:val="bullet"/>
      <w:pStyle w:val="BulletListLevel2"/>
      <w:lvlText w:val="-"/>
      <w:lvlJc w:val="left"/>
      <w:pPr>
        <w:ind w:left="1304" w:hanging="34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3B3470E1"/>
    <w:multiLevelType w:val="hybridMultilevel"/>
    <w:tmpl w:val="69D8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3461FA"/>
    <w:multiLevelType w:val="hybridMultilevel"/>
    <w:tmpl w:val="DF94B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280FB8"/>
    <w:multiLevelType w:val="hybridMultilevel"/>
    <w:tmpl w:val="81D2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641BC7"/>
    <w:multiLevelType w:val="hybridMultilevel"/>
    <w:tmpl w:val="969A1864"/>
    <w:lvl w:ilvl="0" w:tplc="7F708D7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945ADF"/>
    <w:multiLevelType w:val="multilevel"/>
    <w:tmpl w:val="46800F04"/>
    <w:lvl w:ilvl="0">
      <w:start w:val="1"/>
      <w:numFmt w:val="decimal"/>
      <w:pStyle w:val="WCHeading1"/>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WCHeading2"/>
      <w:lvlText w:val="%1.%2"/>
      <w:lvlJc w:val="left"/>
      <w:pPr>
        <w:tabs>
          <w:tab w:val="num" w:pos="0"/>
        </w:tabs>
      </w:pPr>
      <w:rPr>
        <w:rFonts w:ascii="Century Gothic" w:hAnsi="Century Gothic" w:cs="Times New Roman" w:hint="default"/>
        <w:b/>
        <w:i/>
        <w:sz w:val="24"/>
      </w:rPr>
    </w:lvl>
    <w:lvl w:ilvl="2">
      <w:start w:val="1"/>
      <w:numFmt w:val="decimal"/>
      <w:pStyle w:val="WCHeading3"/>
      <w:lvlText w:val="%1.%2.%3"/>
      <w:lvlJc w:val="left"/>
      <w:pPr>
        <w:tabs>
          <w:tab w:val="num" w:pos="0"/>
        </w:tabs>
      </w:pPr>
      <w:rPr>
        <w:rFonts w:ascii="Century Gothic" w:hAnsi="Century Gothic" w:cs="Times New Roman" w:hint="default"/>
        <w:b w:val="0"/>
        <w:i/>
        <w:sz w:val="24"/>
      </w:rPr>
    </w:lvl>
    <w:lvl w:ilvl="3">
      <w:start w:val="1"/>
      <w:numFmt w:val="lowerLetter"/>
      <w:pStyle w:val="WCHeading4"/>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29" w15:restartNumberingAfterBreak="0">
    <w:nsid w:val="4B7044EA"/>
    <w:multiLevelType w:val="hybridMultilevel"/>
    <w:tmpl w:val="CD02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BC4036"/>
    <w:multiLevelType w:val="hybridMultilevel"/>
    <w:tmpl w:val="F81CFAD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1" w15:restartNumberingAfterBreak="0">
    <w:nsid w:val="4C7A3658"/>
    <w:multiLevelType w:val="hybridMultilevel"/>
    <w:tmpl w:val="40708DF6"/>
    <w:lvl w:ilvl="0" w:tplc="8904C0C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A475EB"/>
    <w:multiLevelType w:val="hybridMultilevel"/>
    <w:tmpl w:val="098C9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4F19C1"/>
    <w:multiLevelType w:val="hybridMultilevel"/>
    <w:tmpl w:val="8F74D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FA413E"/>
    <w:multiLevelType w:val="hybridMultilevel"/>
    <w:tmpl w:val="408E174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5" w15:restartNumberingAfterBreak="0">
    <w:nsid w:val="59014571"/>
    <w:multiLevelType w:val="multilevel"/>
    <w:tmpl w:val="1564F75C"/>
    <w:lvl w:ilvl="0">
      <w:start w:val="1"/>
      <w:numFmt w:val="decimal"/>
      <w:pStyle w:val="Heading1"/>
      <w:lvlText w:val="%1."/>
      <w:lvlJc w:val="left"/>
      <w:pPr>
        <w:tabs>
          <w:tab w:val="num" w:pos="0"/>
        </w:tabs>
      </w:pPr>
      <w:rPr>
        <w:rFonts w:ascii="Verdana" w:hAnsi="Verdana" w:cs="Times New Roman" w:hint="default"/>
        <w:b/>
        <w:i w:val="0"/>
        <w:color w:val="86731E" w:themeColor="text1"/>
        <w:sz w:val="24"/>
      </w:rPr>
    </w:lvl>
    <w:lvl w:ilvl="1">
      <w:start w:val="1"/>
      <w:numFmt w:val="decimal"/>
      <w:pStyle w:val="Heading2"/>
      <w:lvlText w:val="%1.%2"/>
      <w:lvlJc w:val="left"/>
      <w:pPr>
        <w:tabs>
          <w:tab w:val="num" w:pos="0"/>
        </w:tabs>
      </w:pPr>
      <w:rPr>
        <w:rFonts w:ascii="Verdana" w:hAnsi="Verdana" w:cs="Times New Roman" w:hint="default"/>
        <w:b/>
        <w:i w:val="0"/>
        <w:color w:val="3E5D57" w:themeColor="text2"/>
        <w:sz w:val="20"/>
      </w:rPr>
    </w:lvl>
    <w:lvl w:ilvl="2">
      <w:start w:val="1"/>
      <w:numFmt w:val="decimal"/>
      <w:pStyle w:val="Heading3"/>
      <w:lvlText w:val="%1.%2.%3"/>
      <w:lvlJc w:val="left"/>
      <w:pPr>
        <w:tabs>
          <w:tab w:val="num" w:pos="142"/>
        </w:tabs>
        <w:ind w:left="369" w:hanging="227"/>
      </w:pPr>
      <w:rPr>
        <w:rFonts w:ascii="Verdana" w:hAnsi="Verdana" w:cs="Times New Roman" w:hint="default"/>
        <w:b/>
        <w:i w:val="0"/>
        <w:color w:val="1F2E2B" w:themeColor="text2" w:themeShade="80"/>
        <w:sz w:val="20"/>
      </w:rPr>
    </w:lvl>
    <w:lvl w:ilvl="3">
      <w:start w:val="1"/>
      <w:numFmt w:val="lowerLetter"/>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36" w15:restartNumberingAfterBreak="0">
    <w:nsid w:val="59C82555"/>
    <w:multiLevelType w:val="multilevel"/>
    <w:tmpl w:val="BA1C47AA"/>
    <w:lvl w:ilvl="0">
      <w:start w:val="1"/>
      <w:numFmt w:val="bullet"/>
      <w:pStyle w:val="BulletListLevel1"/>
      <w:lvlText w:val=""/>
      <w:lvlJc w:val="left"/>
      <w:pPr>
        <w:ind w:left="510" w:hanging="510"/>
      </w:pPr>
      <w:rPr>
        <w:rFonts w:ascii="Symbol" w:hAnsi="Symbol" w:hint="default"/>
        <w:color w:val="auto"/>
      </w:rPr>
    </w:lvl>
    <w:lvl w:ilvl="1">
      <w:start w:val="1"/>
      <w:numFmt w:val="bullet"/>
      <w:lvlText w:val="o"/>
      <w:lvlJc w:val="left"/>
      <w:pPr>
        <w:ind w:left="1418" w:hanging="510"/>
      </w:pPr>
      <w:rPr>
        <w:rFonts w:ascii="Courier New" w:hAnsi="Courier New" w:hint="default"/>
      </w:rPr>
    </w:lvl>
    <w:lvl w:ilvl="2">
      <w:start w:val="1"/>
      <w:numFmt w:val="decimal"/>
      <w:lvlText w:val="%1.%2.%3."/>
      <w:lvlJc w:val="left"/>
      <w:pPr>
        <w:ind w:left="1872" w:hanging="510"/>
      </w:pPr>
      <w:rPr>
        <w:rFonts w:cs="Times New Roman" w:hint="default"/>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37" w15:restartNumberingAfterBreak="0">
    <w:nsid w:val="5C2E2C89"/>
    <w:multiLevelType w:val="hybridMultilevel"/>
    <w:tmpl w:val="795C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CF2CBE"/>
    <w:multiLevelType w:val="hybridMultilevel"/>
    <w:tmpl w:val="54BAF72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622A30B7"/>
    <w:multiLevelType w:val="multilevel"/>
    <w:tmpl w:val="30F202BA"/>
    <w:lvl w:ilvl="0">
      <w:start w:val="1"/>
      <w:numFmt w:val="decimal"/>
      <w:pStyle w:val="Normal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2883B66"/>
    <w:multiLevelType w:val="hybridMultilevel"/>
    <w:tmpl w:val="F7865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78723E"/>
    <w:multiLevelType w:val="hybridMultilevel"/>
    <w:tmpl w:val="08202E9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2" w15:restartNumberingAfterBreak="0">
    <w:nsid w:val="66A04C64"/>
    <w:multiLevelType w:val="hybridMultilevel"/>
    <w:tmpl w:val="E0BABBF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3" w15:restartNumberingAfterBreak="0">
    <w:nsid w:val="67B54BE5"/>
    <w:multiLevelType w:val="hybridMultilevel"/>
    <w:tmpl w:val="93ACB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9C02E0"/>
    <w:multiLevelType w:val="hybridMultilevel"/>
    <w:tmpl w:val="39C0D32C"/>
    <w:lvl w:ilvl="0" w:tplc="94ECC4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9BE6E0F"/>
    <w:multiLevelType w:val="hybridMultilevel"/>
    <w:tmpl w:val="E9A057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6" w15:restartNumberingAfterBreak="0">
    <w:nsid w:val="6A016EC2"/>
    <w:multiLevelType w:val="hybridMultilevel"/>
    <w:tmpl w:val="9ED0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42368D"/>
    <w:multiLevelType w:val="hybridMultilevel"/>
    <w:tmpl w:val="6DFE3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8A6B30"/>
    <w:multiLevelType w:val="hybridMultilevel"/>
    <w:tmpl w:val="396C4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E61A3D"/>
    <w:multiLevelType w:val="hybridMultilevel"/>
    <w:tmpl w:val="9DFC7D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6CFC4EF2"/>
    <w:multiLevelType w:val="hybridMultilevel"/>
    <w:tmpl w:val="D4EAC04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1" w15:restartNumberingAfterBreak="0">
    <w:nsid w:val="6DF0627D"/>
    <w:multiLevelType w:val="hybridMultilevel"/>
    <w:tmpl w:val="21D40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E434691"/>
    <w:multiLevelType w:val="multilevel"/>
    <w:tmpl w:val="23327E2C"/>
    <w:lvl w:ilvl="0">
      <w:start w:val="1"/>
      <w:numFmt w:val="decimal"/>
      <w:lvlText w:val="%1."/>
      <w:lvlJc w:val="left"/>
      <w:pPr>
        <w:ind w:left="737" w:hanging="510"/>
      </w:pPr>
      <w:rPr>
        <w:rFonts w:hint="default"/>
      </w:rPr>
    </w:lvl>
    <w:lvl w:ilvl="1">
      <w:start w:val="1"/>
      <w:numFmt w:val="decimal"/>
      <w:isLgl/>
      <w:lvlText w:val="%1.%2"/>
      <w:lvlJc w:val="left"/>
      <w:pPr>
        <w:ind w:left="947" w:hanging="720"/>
      </w:pPr>
      <w:rPr>
        <w:rFonts w:hint="default"/>
      </w:rPr>
    </w:lvl>
    <w:lvl w:ilvl="2">
      <w:start w:val="1"/>
      <w:numFmt w:val="decimal"/>
      <w:isLgl/>
      <w:lvlText w:val="%1.%2.%3"/>
      <w:lvlJc w:val="left"/>
      <w:pPr>
        <w:ind w:left="947" w:hanging="720"/>
      </w:pPr>
      <w:rPr>
        <w:rFonts w:hint="default"/>
      </w:rPr>
    </w:lvl>
    <w:lvl w:ilvl="3">
      <w:start w:val="1"/>
      <w:numFmt w:val="decimal"/>
      <w:isLgl/>
      <w:lvlText w:val="%1.%2.%3.%4"/>
      <w:lvlJc w:val="left"/>
      <w:pPr>
        <w:ind w:left="1307" w:hanging="1080"/>
      </w:pPr>
      <w:rPr>
        <w:rFonts w:hint="default"/>
      </w:rPr>
    </w:lvl>
    <w:lvl w:ilvl="4">
      <w:start w:val="1"/>
      <w:numFmt w:val="decimal"/>
      <w:isLgl/>
      <w:lvlText w:val="%1.%2.%3.%4.%5"/>
      <w:lvlJc w:val="left"/>
      <w:pPr>
        <w:ind w:left="1667" w:hanging="1440"/>
      </w:pPr>
      <w:rPr>
        <w:rFonts w:hint="default"/>
      </w:rPr>
    </w:lvl>
    <w:lvl w:ilvl="5">
      <w:start w:val="1"/>
      <w:numFmt w:val="decimal"/>
      <w:isLgl/>
      <w:lvlText w:val="%1.%2.%3.%4.%5.%6"/>
      <w:lvlJc w:val="left"/>
      <w:pPr>
        <w:ind w:left="1667" w:hanging="1440"/>
      </w:pPr>
      <w:rPr>
        <w:rFonts w:hint="default"/>
      </w:rPr>
    </w:lvl>
    <w:lvl w:ilvl="6">
      <w:start w:val="1"/>
      <w:numFmt w:val="decimal"/>
      <w:isLgl/>
      <w:lvlText w:val="%1.%2.%3.%4.%5.%6.%7"/>
      <w:lvlJc w:val="left"/>
      <w:pPr>
        <w:ind w:left="2027" w:hanging="1800"/>
      </w:pPr>
      <w:rPr>
        <w:rFonts w:hint="default"/>
      </w:rPr>
    </w:lvl>
    <w:lvl w:ilvl="7">
      <w:start w:val="1"/>
      <w:numFmt w:val="decimal"/>
      <w:isLgl/>
      <w:lvlText w:val="%1.%2.%3.%4.%5.%6.%7.%8"/>
      <w:lvlJc w:val="left"/>
      <w:pPr>
        <w:ind w:left="2387" w:hanging="2160"/>
      </w:pPr>
      <w:rPr>
        <w:rFonts w:hint="default"/>
      </w:rPr>
    </w:lvl>
    <w:lvl w:ilvl="8">
      <w:start w:val="1"/>
      <w:numFmt w:val="decimal"/>
      <w:isLgl/>
      <w:lvlText w:val="%1.%2.%3.%4.%5.%6.%7.%8.%9"/>
      <w:lvlJc w:val="left"/>
      <w:pPr>
        <w:ind w:left="2747" w:hanging="2520"/>
      </w:pPr>
      <w:rPr>
        <w:rFonts w:hint="default"/>
      </w:rPr>
    </w:lvl>
  </w:abstractNum>
  <w:abstractNum w:abstractNumId="53" w15:restartNumberingAfterBreak="0">
    <w:nsid w:val="6ECC5750"/>
    <w:multiLevelType w:val="hybridMultilevel"/>
    <w:tmpl w:val="CA188570"/>
    <w:lvl w:ilvl="0" w:tplc="7F708D7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2C833A3"/>
    <w:multiLevelType w:val="hybridMultilevel"/>
    <w:tmpl w:val="677ED006"/>
    <w:lvl w:ilvl="0" w:tplc="7F708D76">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8F040A"/>
    <w:multiLevelType w:val="hybridMultilevel"/>
    <w:tmpl w:val="4B0A3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A6783D"/>
    <w:multiLevelType w:val="hybridMultilevel"/>
    <w:tmpl w:val="07CE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3C0B32"/>
    <w:multiLevelType w:val="hybridMultilevel"/>
    <w:tmpl w:val="6F32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3F48E8"/>
    <w:multiLevelType w:val="multilevel"/>
    <w:tmpl w:val="57B2AEB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bullet"/>
      <w:pStyle w:val="BulletListLevel3"/>
      <w:lvlText w:val="o"/>
      <w:lvlJc w:val="left"/>
      <w:pPr>
        <w:ind w:left="1871" w:hanging="510"/>
      </w:pPr>
      <w:rPr>
        <w:rFonts w:ascii="Courier New" w:hAnsi="Courier New" w:hint="default"/>
        <w:spacing w:val="-6"/>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35"/>
  </w:num>
  <w:num w:numId="2">
    <w:abstractNumId w:val="17"/>
  </w:num>
  <w:num w:numId="3">
    <w:abstractNumId w:val="36"/>
  </w:num>
  <w:num w:numId="4">
    <w:abstractNumId w:val="23"/>
  </w:num>
  <w:num w:numId="5">
    <w:abstractNumId w:val="58"/>
  </w:num>
  <w:num w:numId="6">
    <w:abstractNumId w:val="2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29"/>
  </w:num>
  <w:num w:numId="11">
    <w:abstractNumId w:val="32"/>
  </w:num>
  <w:num w:numId="12">
    <w:abstractNumId w:val="37"/>
  </w:num>
  <w:num w:numId="13">
    <w:abstractNumId w:val="51"/>
  </w:num>
  <w:num w:numId="14">
    <w:abstractNumId w:val="55"/>
  </w:num>
  <w:num w:numId="15">
    <w:abstractNumId w:val="24"/>
  </w:num>
  <w:num w:numId="16">
    <w:abstractNumId w:val="19"/>
  </w:num>
  <w:num w:numId="17">
    <w:abstractNumId w:val="48"/>
  </w:num>
  <w:num w:numId="18">
    <w:abstractNumId w:val="56"/>
  </w:num>
  <w:num w:numId="19">
    <w:abstractNumId w:val="15"/>
  </w:num>
  <w:num w:numId="20">
    <w:abstractNumId w:val="57"/>
  </w:num>
  <w:num w:numId="21">
    <w:abstractNumId w:val="38"/>
  </w:num>
  <w:num w:numId="22">
    <w:abstractNumId w:val="41"/>
  </w:num>
  <w:num w:numId="23">
    <w:abstractNumId w:val="20"/>
  </w:num>
  <w:num w:numId="24">
    <w:abstractNumId w:val="16"/>
  </w:num>
  <w:num w:numId="25">
    <w:abstractNumId w:val="45"/>
  </w:num>
  <w:num w:numId="26">
    <w:abstractNumId w:val="0"/>
  </w:num>
  <w:num w:numId="27">
    <w:abstractNumId w:val="42"/>
  </w:num>
  <w:num w:numId="28">
    <w:abstractNumId w:val="34"/>
  </w:num>
  <w:num w:numId="29">
    <w:abstractNumId w:val="30"/>
  </w:num>
  <w:num w:numId="30">
    <w:abstractNumId w:val="46"/>
  </w:num>
  <w:num w:numId="31">
    <w:abstractNumId w:val="13"/>
  </w:num>
  <w:num w:numId="32">
    <w:abstractNumId w:val="3"/>
  </w:num>
  <w:num w:numId="33">
    <w:abstractNumId w:val="50"/>
  </w:num>
  <w:num w:numId="34">
    <w:abstractNumId w:val="7"/>
  </w:num>
  <w:num w:numId="35">
    <w:abstractNumId w:val="5"/>
  </w:num>
  <w:num w:numId="36">
    <w:abstractNumId w:val="11"/>
  </w:num>
  <w:num w:numId="37">
    <w:abstractNumId w:val="39"/>
  </w:num>
  <w:num w:numId="38">
    <w:abstractNumId w:val="25"/>
  </w:num>
  <w:num w:numId="39">
    <w:abstractNumId w:val="47"/>
  </w:num>
  <w:num w:numId="40">
    <w:abstractNumId w:val="1"/>
  </w:num>
  <w:num w:numId="41">
    <w:abstractNumId w:val="40"/>
  </w:num>
  <w:num w:numId="42">
    <w:abstractNumId w:val="49"/>
  </w:num>
  <w:num w:numId="43">
    <w:abstractNumId w:val="33"/>
  </w:num>
  <w:num w:numId="44">
    <w:abstractNumId w:val="2"/>
  </w:num>
  <w:num w:numId="45">
    <w:abstractNumId w:val="18"/>
  </w:num>
  <w:num w:numId="46">
    <w:abstractNumId w:val="21"/>
  </w:num>
  <w:num w:numId="47">
    <w:abstractNumId w:val="12"/>
  </w:num>
  <w:num w:numId="48">
    <w:abstractNumId w:val="6"/>
  </w:num>
  <w:num w:numId="49">
    <w:abstractNumId w:val="43"/>
  </w:num>
  <w:num w:numId="50">
    <w:abstractNumId w:val="52"/>
  </w:num>
  <w:num w:numId="51">
    <w:abstractNumId w:val="31"/>
  </w:num>
  <w:num w:numId="52">
    <w:abstractNumId w:val="26"/>
  </w:num>
  <w:num w:numId="53">
    <w:abstractNumId w:val="8"/>
  </w:num>
  <w:num w:numId="54">
    <w:abstractNumId w:val="4"/>
  </w:num>
  <w:num w:numId="55">
    <w:abstractNumId w:val="44"/>
  </w:num>
  <w:num w:numId="56">
    <w:abstractNumId w:val="14"/>
  </w:num>
  <w:num w:numId="57">
    <w:abstractNumId w:val="53"/>
  </w:num>
  <w:num w:numId="58">
    <w:abstractNumId w:val="54"/>
  </w:num>
  <w:num w:numId="59">
    <w:abstractNumId w:val="10"/>
  </w:num>
  <w:num w:numId="60">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4DA"/>
    <w:rsid w:val="00000160"/>
    <w:rsid w:val="000003A1"/>
    <w:rsid w:val="000003E6"/>
    <w:rsid w:val="0000055D"/>
    <w:rsid w:val="00001884"/>
    <w:rsid w:val="0000191E"/>
    <w:rsid w:val="0000192A"/>
    <w:rsid w:val="00001AD1"/>
    <w:rsid w:val="00001E13"/>
    <w:rsid w:val="00001FE6"/>
    <w:rsid w:val="000025A7"/>
    <w:rsid w:val="00002741"/>
    <w:rsid w:val="0000279D"/>
    <w:rsid w:val="00002860"/>
    <w:rsid w:val="00002A09"/>
    <w:rsid w:val="00002A1F"/>
    <w:rsid w:val="0000334C"/>
    <w:rsid w:val="000034FC"/>
    <w:rsid w:val="0000407A"/>
    <w:rsid w:val="0000413D"/>
    <w:rsid w:val="000041A3"/>
    <w:rsid w:val="00004852"/>
    <w:rsid w:val="000048FA"/>
    <w:rsid w:val="00004A81"/>
    <w:rsid w:val="000050ED"/>
    <w:rsid w:val="00005476"/>
    <w:rsid w:val="00005620"/>
    <w:rsid w:val="000062B3"/>
    <w:rsid w:val="0000651D"/>
    <w:rsid w:val="00006692"/>
    <w:rsid w:val="00006831"/>
    <w:rsid w:val="0000699B"/>
    <w:rsid w:val="000069AC"/>
    <w:rsid w:val="00006DB8"/>
    <w:rsid w:val="0000700F"/>
    <w:rsid w:val="000073B8"/>
    <w:rsid w:val="00007A19"/>
    <w:rsid w:val="0001004E"/>
    <w:rsid w:val="00010578"/>
    <w:rsid w:val="00010657"/>
    <w:rsid w:val="0001068D"/>
    <w:rsid w:val="00010A14"/>
    <w:rsid w:val="00010A7E"/>
    <w:rsid w:val="00011020"/>
    <w:rsid w:val="00011319"/>
    <w:rsid w:val="00011446"/>
    <w:rsid w:val="000119A8"/>
    <w:rsid w:val="00011B8D"/>
    <w:rsid w:val="00012082"/>
    <w:rsid w:val="00012161"/>
    <w:rsid w:val="00012177"/>
    <w:rsid w:val="0001316E"/>
    <w:rsid w:val="00013BA6"/>
    <w:rsid w:val="00014BD3"/>
    <w:rsid w:val="00014C95"/>
    <w:rsid w:val="00014FD7"/>
    <w:rsid w:val="000151BE"/>
    <w:rsid w:val="00015430"/>
    <w:rsid w:val="0001558C"/>
    <w:rsid w:val="0001568C"/>
    <w:rsid w:val="00015939"/>
    <w:rsid w:val="00015B83"/>
    <w:rsid w:val="000161DB"/>
    <w:rsid w:val="000162DB"/>
    <w:rsid w:val="00016353"/>
    <w:rsid w:val="0001636F"/>
    <w:rsid w:val="000164CB"/>
    <w:rsid w:val="000167F4"/>
    <w:rsid w:val="00017348"/>
    <w:rsid w:val="000174E0"/>
    <w:rsid w:val="000202C2"/>
    <w:rsid w:val="000202E6"/>
    <w:rsid w:val="000203FE"/>
    <w:rsid w:val="00020C75"/>
    <w:rsid w:val="00020E0E"/>
    <w:rsid w:val="00021389"/>
    <w:rsid w:val="000216E4"/>
    <w:rsid w:val="00021BF4"/>
    <w:rsid w:val="00021EE0"/>
    <w:rsid w:val="00021F45"/>
    <w:rsid w:val="00021F81"/>
    <w:rsid w:val="0002200A"/>
    <w:rsid w:val="000221B4"/>
    <w:rsid w:val="000228E8"/>
    <w:rsid w:val="00022F2D"/>
    <w:rsid w:val="00023A68"/>
    <w:rsid w:val="00023BFD"/>
    <w:rsid w:val="00023F8D"/>
    <w:rsid w:val="00023FDC"/>
    <w:rsid w:val="000241FA"/>
    <w:rsid w:val="000243F1"/>
    <w:rsid w:val="00024550"/>
    <w:rsid w:val="000245F9"/>
    <w:rsid w:val="00024724"/>
    <w:rsid w:val="000247B4"/>
    <w:rsid w:val="000247D1"/>
    <w:rsid w:val="0002494D"/>
    <w:rsid w:val="00024979"/>
    <w:rsid w:val="00024AE7"/>
    <w:rsid w:val="00024B99"/>
    <w:rsid w:val="00024C89"/>
    <w:rsid w:val="0002501D"/>
    <w:rsid w:val="00025207"/>
    <w:rsid w:val="000252CF"/>
    <w:rsid w:val="00025405"/>
    <w:rsid w:val="000257D5"/>
    <w:rsid w:val="00025B33"/>
    <w:rsid w:val="00025DD4"/>
    <w:rsid w:val="00025ED5"/>
    <w:rsid w:val="00025FA8"/>
    <w:rsid w:val="00026273"/>
    <w:rsid w:val="000262F8"/>
    <w:rsid w:val="00026727"/>
    <w:rsid w:val="00026A6F"/>
    <w:rsid w:val="0002798C"/>
    <w:rsid w:val="00027BF4"/>
    <w:rsid w:val="00027CA3"/>
    <w:rsid w:val="00027E8D"/>
    <w:rsid w:val="00027EA1"/>
    <w:rsid w:val="00030029"/>
    <w:rsid w:val="000303C9"/>
    <w:rsid w:val="00030428"/>
    <w:rsid w:val="000305B7"/>
    <w:rsid w:val="000306C5"/>
    <w:rsid w:val="00030953"/>
    <w:rsid w:val="00031077"/>
    <w:rsid w:val="000315DA"/>
    <w:rsid w:val="00031F9B"/>
    <w:rsid w:val="000320FD"/>
    <w:rsid w:val="000325C4"/>
    <w:rsid w:val="000325C8"/>
    <w:rsid w:val="000327F4"/>
    <w:rsid w:val="000329FB"/>
    <w:rsid w:val="00032BB1"/>
    <w:rsid w:val="00032E8B"/>
    <w:rsid w:val="00032EDA"/>
    <w:rsid w:val="00032FB9"/>
    <w:rsid w:val="000333EA"/>
    <w:rsid w:val="0003350C"/>
    <w:rsid w:val="000335C2"/>
    <w:rsid w:val="00033615"/>
    <w:rsid w:val="000336A6"/>
    <w:rsid w:val="0003370D"/>
    <w:rsid w:val="00033A45"/>
    <w:rsid w:val="00033BCB"/>
    <w:rsid w:val="00033D2E"/>
    <w:rsid w:val="00033DDA"/>
    <w:rsid w:val="000340E9"/>
    <w:rsid w:val="00034184"/>
    <w:rsid w:val="00034707"/>
    <w:rsid w:val="000348BA"/>
    <w:rsid w:val="00034A6B"/>
    <w:rsid w:val="00034A7F"/>
    <w:rsid w:val="00034A9D"/>
    <w:rsid w:val="00034B16"/>
    <w:rsid w:val="00034C33"/>
    <w:rsid w:val="00034F05"/>
    <w:rsid w:val="00035352"/>
    <w:rsid w:val="00035677"/>
    <w:rsid w:val="000356F2"/>
    <w:rsid w:val="00035A19"/>
    <w:rsid w:val="00035D74"/>
    <w:rsid w:val="00035F85"/>
    <w:rsid w:val="000360DE"/>
    <w:rsid w:val="000360E8"/>
    <w:rsid w:val="00036793"/>
    <w:rsid w:val="00036847"/>
    <w:rsid w:val="00036B39"/>
    <w:rsid w:val="00036F03"/>
    <w:rsid w:val="00036F4B"/>
    <w:rsid w:val="00037266"/>
    <w:rsid w:val="0003731F"/>
    <w:rsid w:val="00037D5E"/>
    <w:rsid w:val="00037FA0"/>
    <w:rsid w:val="000405A4"/>
    <w:rsid w:val="00040741"/>
    <w:rsid w:val="0004074C"/>
    <w:rsid w:val="0004106E"/>
    <w:rsid w:val="0004107A"/>
    <w:rsid w:val="000418A8"/>
    <w:rsid w:val="00042538"/>
    <w:rsid w:val="000425CD"/>
    <w:rsid w:val="0004287E"/>
    <w:rsid w:val="00042C08"/>
    <w:rsid w:val="00042C2F"/>
    <w:rsid w:val="0004338E"/>
    <w:rsid w:val="000434ED"/>
    <w:rsid w:val="00043514"/>
    <w:rsid w:val="000439BA"/>
    <w:rsid w:val="00043D43"/>
    <w:rsid w:val="000442FC"/>
    <w:rsid w:val="000448CA"/>
    <w:rsid w:val="0004490A"/>
    <w:rsid w:val="000459E7"/>
    <w:rsid w:val="00045E59"/>
    <w:rsid w:val="00045FEA"/>
    <w:rsid w:val="0004706F"/>
    <w:rsid w:val="000470CE"/>
    <w:rsid w:val="00047624"/>
    <w:rsid w:val="00047718"/>
    <w:rsid w:val="000478A7"/>
    <w:rsid w:val="000503B7"/>
    <w:rsid w:val="00050685"/>
    <w:rsid w:val="00050BE9"/>
    <w:rsid w:val="00050BF6"/>
    <w:rsid w:val="00051442"/>
    <w:rsid w:val="000514DE"/>
    <w:rsid w:val="00052234"/>
    <w:rsid w:val="000524E8"/>
    <w:rsid w:val="0005254B"/>
    <w:rsid w:val="00052669"/>
    <w:rsid w:val="000526DB"/>
    <w:rsid w:val="0005273A"/>
    <w:rsid w:val="00052A8F"/>
    <w:rsid w:val="00052B46"/>
    <w:rsid w:val="00052EA8"/>
    <w:rsid w:val="00053112"/>
    <w:rsid w:val="00053164"/>
    <w:rsid w:val="00053331"/>
    <w:rsid w:val="0005349A"/>
    <w:rsid w:val="0005357E"/>
    <w:rsid w:val="000535A0"/>
    <w:rsid w:val="000535D7"/>
    <w:rsid w:val="000539A9"/>
    <w:rsid w:val="00053DD5"/>
    <w:rsid w:val="0005429E"/>
    <w:rsid w:val="00054C48"/>
    <w:rsid w:val="00054D23"/>
    <w:rsid w:val="00054DD4"/>
    <w:rsid w:val="00054EEE"/>
    <w:rsid w:val="000551D3"/>
    <w:rsid w:val="00055237"/>
    <w:rsid w:val="000552F3"/>
    <w:rsid w:val="0005537E"/>
    <w:rsid w:val="000557E0"/>
    <w:rsid w:val="00055BC5"/>
    <w:rsid w:val="00055CE0"/>
    <w:rsid w:val="00056396"/>
    <w:rsid w:val="000566A8"/>
    <w:rsid w:val="000566F9"/>
    <w:rsid w:val="00057B57"/>
    <w:rsid w:val="00057C18"/>
    <w:rsid w:val="00057C59"/>
    <w:rsid w:val="00057C68"/>
    <w:rsid w:val="00057D91"/>
    <w:rsid w:val="000600E2"/>
    <w:rsid w:val="000603B0"/>
    <w:rsid w:val="000606BB"/>
    <w:rsid w:val="000608D9"/>
    <w:rsid w:val="00060B58"/>
    <w:rsid w:val="00060C9C"/>
    <w:rsid w:val="00060FD9"/>
    <w:rsid w:val="000615BB"/>
    <w:rsid w:val="00061670"/>
    <w:rsid w:val="000618D7"/>
    <w:rsid w:val="00061FA2"/>
    <w:rsid w:val="000622CC"/>
    <w:rsid w:val="000624D6"/>
    <w:rsid w:val="000628A5"/>
    <w:rsid w:val="00062962"/>
    <w:rsid w:val="0006298B"/>
    <w:rsid w:val="00063097"/>
    <w:rsid w:val="0006344E"/>
    <w:rsid w:val="00063763"/>
    <w:rsid w:val="00063834"/>
    <w:rsid w:val="00063A03"/>
    <w:rsid w:val="0006400E"/>
    <w:rsid w:val="0006404F"/>
    <w:rsid w:val="000643BE"/>
    <w:rsid w:val="0006449E"/>
    <w:rsid w:val="0006467E"/>
    <w:rsid w:val="000649F1"/>
    <w:rsid w:val="00064CA6"/>
    <w:rsid w:val="00064CE7"/>
    <w:rsid w:val="00064F70"/>
    <w:rsid w:val="00065588"/>
    <w:rsid w:val="00065772"/>
    <w:rsid w:val="00065BE7"/>
    <w:rsid w:val="00065CBF"/>
    <w:rsid w:val="000661A3"/>
    <w:rsid w:val="0006645A"/>
    <w:rsid w:val="000666B9"/>
    <w:rsid w:val="000666DB"/>
    <w:rsid w:val="000668BF"/>
    <w:rsid w:val="00066917"/>
    <w:rsid w:val="00066960"/>
    <w:rsid w:val="00066BD7"/>
    <w:rsid w:val="00066D3A"/>
    <w:rsid w:val="00066D3C"/>
    <w:rsid w:val="00066EEC"/>
    <w:rsid w:val="00066F45"/>
    <w:rsid w:val="00067078"/>
    <w:rsid w:val="0006797E"/>
    <w:rsid w:val="00067D58"/>
    <w:rsid w:val="000700A5"/>
    <w:rsid w:val="00070289"/>
    <w:rsid w:val="000704F8"/>
    <w:rsid w:val="0007058C"/>
    <w:rsid w:val="00070624"/>
    <w:rsid w:val="0007062F"/>
    <w:rsid w:val="0007071E"/>
    <w:rsid w:val="00070C1C"/>
    <w:rsid w:val="00070E47"/>
    <w:rsid w:val="00071585"/>
    <w:rsid w:val="0007257C"/>
    <w:rsid w:val="00072E0C"/>
    <w:rsid w:val="00073100"/>
    <w:rsid w:val="00073AB9"/>
    <w:rsid w:val="00073DD7"/>
    <w:rsid w:val="00074072"/>
    <w:rsid w:val="00074103"/>
    <w:rsid w:val="000741C7"/>
    <w:rsid w:val="0007426B"/>
    <w:rsid w:val="000744F5"/>
    <w:rsid w:val="00074535"/>
    <w:rsid w:val="00074633"/>
    <w:rsid w:val="000747D6"/>
    <w:rsid w:val="00074850"/>
    <w:rsid w:val="00074D92"/>
    <w:rsid w:val="00074DAB"/>
    <w:rsid w:val="00074FF4"/>
    <w:rsid w:val="00075058"/>
    <w:rsid w:val="00075106"/>
    <w:rsid w:val="00075213"/>
    <w:rsid w:val="00075351"/>
    <w:rsid w:val="000754A5"/>
    <w:rsid w:val="000754A9"/>
    <w:rsid w:val="00075636"/>
    <w:rsid w:val="00075A5C"/>
    <w:rsid w:val="00075E31"/>
    <w:rsid w:val="000766C2"/>
    <w:rsid w:val="00076C8C"/>
    <w:rsid w:val="00076DEE"/>
    <w:rsid w:val="00076F16"/>
    <w:rsid w:val="00077078"/>
    <w:rsid w:val="00077166"/>
    <w:rsid w:val="00077196"/>
    <w:rsid w:val="00077D55"/>
    <w:rsid w:val="00077DB5"/>
    <w:rsid w:val="00080355"/>
    <w:rsid w:val="000809C7"/>
    <w:rsid w:val="00080BD8"/>
    <w:rsid w:val="00080C54"/>
    <w:rsid w:val="0008102E"/>
    <w:rsid w:val="000810B4"/>
    <w:rsid w:val="0008122E"/>
    <w:rsid w:val="000812D9"/>
    <w:rsid w:val="000812DB"/>
    <w:rsid w:val="00081413"/>
    <w:rsid w:val="0008171C"/>
    <w:rsid w:val="0008192D"/>
    <w:rsid w:val="00081DAD"/>
    <w:rsid w:val="00081DEE"/>
    <w:rsid w:val="00082CC8"/>
    <w:rsid w:val="00082D85"/>
    <w:rsid w:val="0008320A"/>
    <w:rsid w:val="000836D3"/>
    <w:rsid w:val="00083B04"/>
    <w:rsid w:val="00083BAE"/>
    <w:rsid w:val="0008421E"/>
    <w:rsid w:val="000842CE"/>
    <w:rsid w:val="00084763"/>
    <w:rsid w:val="000847F4"/>
    <w:rsid w:val="000847FD"/>
    <w:rsid w:val="00084838"/>
    <w:rsid w:val="00085045"/>
    <w:rsid w:val="000850C9"/>
    <w:rsid w:val="000856D7"/>
    <w:rsid w:val="00085A3D"/>
    <w:rsid w:val="00085A7C"/>
    <w:rsid w:val="00086063"/>
    <w:rsid w:val="00086196"/>
    <w:rsid w:val="0008641D"/>
    <w:rsid w:val="000867C7"/>
    <w:rsid w:val="0008684E"/>
    <w:rsid w:val="000872A6"/>
    <w:rsid w:val="00087411"/>
    <w:rsid w:val="00087515"/>
    <w:rsid w:val="0008753A"/>
    <w:rsid w:val="00087828"/>
    <w:rsid w:val="0008797E"/>
    <w:rsid w:val="00087D34"/>
    <w:rsid w:val="00087DBE"/>
    <w:rsid w:val="00087FD7"/>
    <w:rsid w:val="00090381"/>
    <w:rsid w:val="000903AF"/>
    <w:rsid w:val="000904DB"/>
    <w:rsid w:val="00090947"/>
    <w:rsid w:val="00090C2D"/>
    <w:rsid w:val="00090F58"/>
    <w:rsid w:val="00091630"/>
    <w:rsid w:val="00091C53"/>
    <w:rsid w:val="00092288"/>
    <w:rsid w:val="00092313"/>
    <w:rsid w:val="00092634"/>
    <w:rsid w:val="00092807"/>
    <w:rsid w:val="000928F6"/>
    <w:rsid w:val="00092A70"/>
    <w:rsid w:val="00092B0E"/>
    <w:rsid w:val="00092CFD"/>
    <w:rsid w:val="00092E88"/>
    <w:rsid w:val="00093114"/>
    <w:rsid w:val="00093920"/>
    <w:rsid w:val="00094026"/>
    <w:rsid w:val="000941E5"/>
    <w:rsid w:val="00094612"/>
    <w:rsid w:val="00094804"/>
    <w:rsid w:val="000948F6"/>
    <w:rsid w:val="0009495B"/>
    <w:rsid w:val="00094B9A"/>
    <w:rsid w:val="00094BA4"/>
    <w:rsid w:val="00094D11"/>
    <w:rsid w:val="00094DCB"/>
    <w:rsid w:val="00095889"/>
    <w:rsid w:val="00095931"/>
    <w:rsid w:val="00095AEB"/>
    <w:rsid w:val="000961F5"/>
    <w:rsid w:val="0009632D"/>
    <w:rsid w:val="0009639C"/>
    <w:rsid w:val="000966F9"/>
    <w:rsid w:val="00096E7B"/>
    <w:rsid w:val="00097105"/>
    <w:rsid w:val="00097610"/>
    <w:rsid w:val="000977D0"/>
    <w:rsid w:val="00097C00"/>
    <w:rsid w:val="00097C62"/>
    <w:rsid w:val="00097C65"/>
    <w:rsid w:val="00097CB9"/>
    <w:rsid w:val="000A01A0"/>
    <w:rsid w:val="000A02D7"/>
    <w:rsid w:val="000A02DF"/>
    <w:rsid w:val="000A06A8"/>
    <w:rsid w:val="000A0A0E"/>
    <w:rsid w:val="000A0D4E"/>
    <w:rsid w:val="000A0D9A"/>
    <w:rsid w:val="000A10AE"/>
    <w:rsid w:val="000A1824"/>
    <w:rsid w:val="000A1939"/>
    <w:rsid w:val="000A194A"/>
    <w:rsid w:val="000A1A2D"/>
    <w:rsid w:val="000A227C"/>
    <w:rsid w:val="000A2525"/>
    <w:rsid w:val="000A31B9"/>
    <w:rsid w:val="000A3895"/>
    <w:rsid w:val="000A39A7"/>
    <w:rsid w:val="000A3A93"/>
    <w:rsid w:val="000A3C29"/>
    <w:rsid w:val="000A4112"/>
    <w:rsid w:val="000A46C0"/>
    <w:rsid w:val="000A4749"/>
    <w:rsid w:val="000A4A3B"/>
    <w:rsid w:val="000A4AAD"/>
    <w:rsid w:val="000A4C86"/>
    <w:rsid w:val="000A52E1"/>
    <w:rsid w:val="000A5B33"/>
    <w:rsid w:val="000A5BB7"/>
    <w:rsid w:val="000A5BCC"/>
    <w:rsid w:val="000A5C41"/>
    <w:rsid w:val="000A5C7B"/>
    <w:rsid w:val="000A62D5"/>
    <w:rsid w:val="000A63E4"/>
    <w:rsid w:val="000A658A"/>
    <w:rsid w:val="000A6CA6"/>
    <w:rsid w:val="000A6DEF"/>
    <w:rsid w:val="000A7016"/>
    <w:rsid w:val="000A72E5"/>
    <w:rsid w:val="000A79D5"/>
    <w:rsid w:val="000A7F93"/>
    <w:rsid w:val="000B0A9C"/>
    <w:rsid w:val="000B0D80"/>
    <w:rsid w:val="000B13E6"/>
    <w:rsid w:val="000B1613"/>
    <w:rsid w:val="000B1B45"/>
    <w:rsid w:val="000B1C4F"/>
    <w:rsid w:val="000B1E9C"/>
    <w:rsid w:val="000B2051"/>
    <w:rsid w:val="000B208F"/>
    <w:rsid w:val="000B22F9"/>
    <w:rsid w:val="000B26EE"/>
    <w:rsid w:val="000B2884"/>
    <w:rsid w:val="000B2B67"/>
    <w:rsid w:val="000B2FB7"/>
    <w:rsid w:val="000B30A0"/>
    <w:rsid w:val="000B32AF"/>
    <w:rsid w:val="000B3656"/>
    <w:rsid w:val="000B38F1"/>
    <w:rsid w:val="000B3B8B"/>
    <w:rsid w:val="000B3CD6"/>
    <w:rsid w:val="000B3F5B"/>
    <w:rsid w:val="000B44C4"/>
    <w:rsid w:val="000B4AC6"/>
    <w:rsid w:val="000B4B47"/>
    <w:rsid w:val="000B4CDC"/>
    <w:rsid w:val="000B4E3E"/>
    <w:rsid w:val="000B4F4A"/>
    <w:rsid w:val="000B5525"/>
    <w:rsid w:val="000B56D7"/>
    <w:rsid w:val="000B59AF"/>
    <w:rsid w:val="000B5BDE"/>
    <w:rsid w:val="000B5EB8"/>
    <w:rsid w:val="000B5EC1"/>
    <w:rsid w:val="000B69C2"/>
    <w:rsid w:val="000B6A14"/>
    <w:rsid w:val="000B6EA4"/>
    <w:rsid w:val="000B700A"/>
    <w:rsid w:val="000B7454"/>
    <w:rsid w:val="000B752F"/>
    <w:rsid w:val="000B7DC7"/>
    <w:rsid w:val="000C061F"/>
    <w:rsid w:val="000C0853"/>
    <w:rsid w:val="000C0A64"/>
    <w:rsid w:val="000C0E1B"/>
    <w:rsid w:val="000C0F52"/>
    <w:rsid w:val="000C0F78"/>
    <w:rsid w:val="000C0FC1"/>
    <w:rsid w:val="000C13CD"/>
    <w:rsid w:val="000C18BF"/>
    <w:rsid w:val="000C1C88"/>
    <w:rsid w:val="000C2278"/>
    <w:rsid w:val="000C27E1"/>
    <w:rsid w:val="000C28E2"/>
    <w:rsid w:val="000C2E5D"/>
    <w:rsid w:val="000C2F2A"/>
    <w:rsid w:val="000C32C6"/>
    <w:rsid w:val="000C344C"/>
    <w:rsid w:val="000C3693"/>
    <w:rsid w:val="000C389A"/>
    <w:rsid w:val="000C3AF9"/>
    <w:rsid w:val="000C4113"/>
    <w:rsid w:val="000C4384"/>
    <w:rsid w:val="000C442E"/>
    <w:rsid w:val="000C456A"/>
    <w:rsid w:val="000C4B84"/>
    <w:rsid w:val="000C4D7E"/>
    <w:rsid w:val="000C5388"/>
    <w:rsid w:val="000C5445"/>
    <w:rsid w:val="000C558E"/>
    <w:rsid w:val="000C5741"/>
    <w:rsid w:val="000C5A71"/>
    <w:rsid w:val="000C5C83"/>
    <w:rsid w:val="000C6335"/>
    <w:rsid w:val="000C6649"/>
    <w:rsid w:val="000C6C3F"/>
    <w:rsid w:val="000C6EDF"/>
    <w:rsid w:val="000C70D3"/>
    <w:rsid w:val="000C7124"/>
    <w:rsid w:val="000C7940"/>
    <w:rsid w:val="000C7A59"/>
    <w:rsid w:val="000C7D5B"/>
    <w:rsid w:val="000C7F64"/>
    <w:rsid w:val="000C7FF2"/>
    <w:rsid w:val="000D0467"/>
    <w:rsid w:val="000D067D"/>
    <w:rsid w:val="000D06F2"/>
    <w:rsid w:val="000D0763"/>
    <w:rsid w:val="000D07F5"/>
    <w:rsid w:val="000D0913"/>
    <w:rsid w:val="000D0950"/>
    <w:rsid w:val="000D09D0"/>
    <w:rsid w:val="000D0C3C"/>
    <w:rsid w:val="000D0D01"/>
    <w:rsid w:val="000D0F50"/>
    <w:rsid w:val="000D11BA"/>
    <w:rsid w:val="000D1333"/>
    <w:rsid w:val="000D144E"/>
    <w:rsid w:val="000D1F7E"/>
    <w:rsid w:val="000D2453"/>
    <w:rsid w:val="000D288E"/>
    <w:rsid w:val="000D2A7B"/>
    <w:rsid w:val="000D2BDA"/>
    <w:rsid w:val="000D31E3"/>
    <w:rsid w:val="000D3D25"/>
    <w:rsid w:val="000D3E3B"/>
    <w:rsid w:val="000D416D"/>
    <w:rsid w:val="000D4218"/>
    <w:rsid w:val="000D433B"/>
    <w:rsid w:val="000D47BF"/>
    <w:rsid w:val="000D47F3"/>
    <w:rsid w:val="000D481D"/>
    <w:rsid w:val="000D4858"/>
    <w:rsid w:val="000D4B1A"/>
    <w:rsid w:val="000D4B94"/>
    <w:rsid w:val="000D4BD7"/>
    <w:rsid w:val="000D5196"/>
    <w:rsid w:val="000D58A3"/>
    <w:rsid w:val="000D5F29"/>
    <w:rsid w:val="000D64C3"/>
    <w:rsid w:val="000D6FEF"/>
    <w:rsid w:val="000D77DA"/>
    <w:rsid w:val="000D79A4"/>
    <w:rsid w:val="000D7B80"/>
    <w:rsid w:val="000D7F46"/>
    <w:rsid w:val="000E0109"/>
    <w:rsid w:val="000E02EB"/>
    <w:rsid w:val="000E054D"/>
    <w:rsid w:val="000E117F"/>
    <w:rsid w:val="000E11A8"/>
    <w:rsid w:val="000E177F"/>
    <w:rsid w:val="000E179D"/>
    <w:rsid w:val="000E1BB0"/>
    <w:rsid w:val="000E21A1"/>
    <w:rsid w:val="000E22CA"/>
    <w:rsid w:val="000E2383"/>
    <w:rsid w:val="000E24A0"/>
    <w:rsid w:val="000E24DD"/>
    <w:rsid w:val="000E253D"/>
    <w:rsid w:val="000E2637"/>
    <w:rsid w:val="000E2986"/>
    <w:rsid w:val="000E2A1F"/>
    <w:rsid w:val="000E2DB0"/>
    <w:rsid w:val="000E2E0A"/>
    <w:rsid w:val="000E2F34"/>
    <w:rsid w:val="000E2FAF"/>
    <w:rsid w:val="000E2FB3"/>
    <w:rsid w:val="000E3068"/>
    <w:rsid w:val="000E307C"/>
    <w:rsid w:val="000E317F"/>
    <w:rsid w:val="000E3263"/>
    <w:rsid w:val="000E37CD"/>
    <w:rsid w:val="000E3C29"/>
    <w:rsid w:val="000E3C66"/>
    <w:rsid w:val="000E43CD"/>
    <w:rsid w:val="000E455A"/>
    <w:rsid w:val="000E4C66"/>
    <w:rsid w:val="000E4D24"/>
    <w:rsid w:val="000E5AA2"/>
    <w:rsid w:val="000E5B58"/>
    <w:rsid w:val="000E61B1"/>
    <w:rsid w:val="000E62CA"/>
    <w:rsid w:val="000E62DA"/>
    <w:rsid w:val="000E6343"/>
    <w:rsid w:val="000E6359"/>
    <w:rsid w:val="000E6A39"/>
    <w:rsid w:val="000E74CC"/>
    <w:rsid w:val="000E750B"/>
    <w:rsid w:val="000E760F"/>
    <w:rsid w:val="000E76A5"/>
    <w:rsid w:val="000E7B74"/>
    <w:rsid w:val="000E7C1B"/>
    <w:rsid w:val="000E7E06"/>
    <w:rsid w:val="000E7FBC"/>
    <w:rsid w:val="000F0325"/>
    <w:rsid w:val="000F189E"/>
    <w:rsid w:val="000F1AB5"/>
    <w:rsid w:val="000F2082"/>
    <w:rsid w:val="000F2D50"/>
    <w:rsid w:val="000F30E2"/>
    <w:rsid w:val="000F3761"/>
    <w:rsid w:val="000F378B"/>
    <w:rsid w:val="000F3854"/>
    <w:rsid w:val="000F3883"/>
    <w:rsid w:val="000F3BF6"/>
    <w:rsid w:val="000F4729"/>
    <w:rsid w:val="000F47DE"/>
    <w:rsid w:val="000F53F5"/>
    <w:rsid w:val="000F567E"/>
    <w:rsid w:val="000F578B"/>
    <w:rsid w:val="000F595E"/>
    <w:rsid w:val="000F59FA"/>
    <w:rsid w:val="000F5CCF"/>
    <w:rsid w:val="000F5F21"/>
    <w:rsid w:val="000F6072"/>
    <w:rsid w:val="000F62FC"/>
    <w:rsid w:val="000F64A0"/>
    <w:rsid w:val="000F6588"/>
    <w:rsid w:val="000F67D5"/>
    <w:rsid w:val="000F6A1C"/>
    <w:rsid w:val="000F6BC5"/>
    <w:rsid w:val="000F6D70"/>
    <w:rsid w:val="000F6FA5"/>
    <w:rsid w:val="000F718A"/>
    <w:rsid w:val="000F75AD"/>
    <w:rsid w:val="000F773C"/>
    <w:rsid w:val="000F7784"/>
    <w:rsid w:val="000F7B84"/>
    <w:rsid w:val="001008D0"/>
    <w:rsid w:val="00100CFC"/>
    <w:rsid w:val="00100D5B"/>
    <w:rsid w:val="00100E16"/>
    <w:rsid w:val="00100FE4"/>
    <w:rsid w:val="00101235"/>
    <w:rsid w:val="001014A5"/>
    <w:rsid w:val="001014E9"/>
    <w:rsid w:val="00101F61"/>
    <w:rsid w:val="00102023"/>
    <w:rsid w:val="00102392"/>
    <w:rsid w:val="0010263B"/>
    <w:rsid w:val="0010292A"/>
    <w:rsid w:val="00102E68"/>
    <w:rsid w:val="0010326C"/>
    <w:rsid w:val="00103570"/>
    <w:rsid w:val="0010396A"/>
    <w:rsid w:val="00103CFE"/>
    <w:rsid w:val="00103DA7"/>
    <w:rsid w:val="00103E77"/>
    <w:rsid w:val="00103EA1"/>
    <w:rsid w:val="00103F80"/>
    <w:rsid w:val="00104106"/>
    <w:rsid w:val="001043B9"/>
    <w:rsid w:val="00104470"/>
    <w:rsid w:val="00104633"/>
    <w:rsid w:val="0010469F"/>
    <w:rsid w:val="00104918"/>
    <w:rsid w:val="00104E7D"/>
    <w:rsid w:val="00104F3E"/>
    <w:rsid w:val="00105318"/>
    <w:rsid w:val="0010547C"/>
    <w:rsid w:val="001054FE"/>
    <w:rsid w:val="0010575B"/>
    <w:rsid w:val="0010597D"/>
    <w:rsid w:val="00105D1D"/>
    <w:rsid w:val="0010693F"/>
    <w:rsid w:val="00106A0F"/>
    <w:rsid w:val="00106C46"/>
    <w:rsid w:val="00106C86"/>
    <w:rsid w:val="00106CC1"/>
    <w:rsid w:val="00106F49"/>
    <w:rsid w:val="00106FA2"/>
    <w:rsid w:val="00106FD6"/>
    <w:rsid w:val="00107165"/>
    <w:rsid w:val="00107303"/>
    <w:rsid w:val="00107BD9"/>
    <w:rsid w:val="00107D56"/>
    <w:rsid w:val="00110551"/>
    <w:rsid w:val="001105F3"/>
    <w:rsid w:val="001106B3"/>
    <w:rsid w:val="00111144"/>
    <w:rsid w:val="00112305"/>
    <w:rsid w:val="00112C90"/>
    <w:rsid w:val="0011363A"/>
    <w:rsid w:val="00113672"/>
    <w:rsid w:val="00113843"/>
    <w:rsid w:val="00113989"/>
    <w:rsid w:val="001139EF"/>
    <w:rsid w:val="00113A48"/>
    <w:rsid w:val="00113C21"/>
    <w:rsid w:val="00113D25"/>
    <w:rsid w:val="001144BF"/>
    <w:rsid w:val="0011480C"/>
    <w:rsid w:val="00114923"/>
    <w:rsid w:val="00114D74"/>
    <w:rsid w:val="001155B6"/>
    <w:rsid w:val="001155FE"/>
    <w:rsid w:val="00115724"/>
    <w:rsid w:val="00115A41"/>
    <w:rsid w:val="00115CCB"/>
    <w:rsid w:val="0011630F"/>
    <w:rsid w:val="00116438"/>
    <w:rsid w:val="001164F3"/>
    <w:rsid w:val="00116797"/>
    <w:rsid w:val="00116808"/>
    <w:rsid w:val="00116E85"/>
    <w:rsid w:val="00116FF4"/>
    <w:rsid w:val="0011725B"/>
    <w:rsid w:val="001172EC"/>
    <w:rsid w:val="00117527"/>
    <w:rsid w:val="001178A8"/>
    <w:rsid w:val="00117C61"/>
    <w:rsid w:val="00117E2D"/>
    <w:rsid w:val="00117E71"/>
    <w:rsid w:val="00120050"/>
    <w:rsid w:val="00120432"/>
    <w:rsid w:val="001204AF"/>
    <w:rsid w:val="001206ED"/>
    <w:rsid w:val="001209EE"/>
    <w:rsid w:val="00121076"/>
    <w:rsid w:val="00121504"/>
    <w:rsid w:val="00121571"/>
    <w:rsid w:val="00121966"/>
    <w:rsid w:val="001219BA"/>
    <w:rsid w:val="00121B9A"/>
    <w:rsid w:val="0012268D"/>
    <w:rsid w:val="00122B38"/>
    <w:rsid w:val="00122E88"/>
    <w:rsid w:val="001230C5"/>
    <w:rsid w:val="00123154"/>
    <w:rsid w:val="00123486"/>
    <w:rsid w:val="0012349B"/>
    <w:rsid w:val="00123705"/>
    <w:rsid w:val="0012373A"/>
    <w:rsid w:val="00123CDB"/>
    <w:rsid w:val="00123DB3"/>
    <w:rsid w:val="00123F56"/>
    <w:rsid w:val="00124106"/>
    <w:rsid w:val="0012427D"/>
    <w:rsid w:val="001248E0"/>
    <w:rsid w:val="001249C0"/>
    <w:rsid w:val="001250C6"/>
    <w:rsid w:val="001252DA"/>
    <w:rsid w:val="0012534F"/>
    <w:rsid w:val="00125596"/>
    <w:rsid w:val="00125F60"/>
    <w:rsid w:val="0012619F"/>
    <w:rsid w:val="001262BF"/>
    <w:rsid w:val="001263D4"/>
    <w:rsid w:val="001265C3"/>
    <w:rsid w:val="00126C45"/>
    <w:rsid w:val="00126D02"/>
    <w:rsid w:val="00126FF4"/>
    <w:rsid w:val="001270BC"/>
    <w:rsid w:val="00127960"/>
    <w:rsid w:val="00127B4C"/>
    <w:rsid w:val="00127C5C"/>
    <w:rsid w:val="00127D1C"/>
    <w:rsid w:val="001300E2"/>
    <w:rsid w:val="00130230"/>
    <w:rsid w:val="00130534"/>
    <w:rsid w:val="001305D9"/>
    <w:rsid w:val="0013060A"/>
    <w:rsid w:val="0013064C"/>
    <w:rsid w:val="00130711"/>
    <w:rsid w:val="001310AC"/>
    <w:rsid w:val="001310C1"/>
    <w:rsid w:val="001311D7"/>
    <w:rsid w:val="001319EE"/>
    <w:rsid w:val="00131C7C"/>
    <w:rsid w:val="00132191"/>
    <w:rsid w:val="00132308"/>
    <w:rsid w:val="001324B2"/>
    <w:rsid w:val="0013266C"/>
    <w:rsid w:val="00132A5B"/>
    <w:rsid w:val="00132A91"/>
    <w:rsid w:val="00132C84"/>
    <w:rsid w:val="00132F7D"/>
    <w:rsid w:val="001331F1"/>
    <w:rsid w:val="0013356B"/>
    <w:rsid w:val="00133A49"/>
    <w:rsid w:val="00133B76"/>
    <w:rsid w:val="00133C89"/>
    <w:rsid w:val="00133F2E"/>
    <w:rsid w:val="001340E5"/>
    <w:rsid w:val="001340F4"/>
    <w:rsid w:val="00134187"/>
    <w:rsid w:val="001345C9"/>
    <w:rsid w:val="00134A68"/>
    <w:rsid w:val="00134C85"/>
    <w:rsid w:val="00134ED8"/>
    <w:rsid w:val="00134F08"/>
    <w:rsid w:val="00134F4B"/>
    <w:rsid w:val="001352FB"/>
    <w:rsid w:val="001353D2"/>
    <w:rsid w:val="00135853"/>
    <w:rsid w:val="00135A25"/>
    <w:rsid w:val="00135D33"/>
    <w:rsid w:val="00136285"/>
    <w:rsid w:val="0013641D"/>
    <w:rsid w:val="001368BD"/>
    <w:rsid w:val="001369E3"/>
    <w:rsid w:val="00136AD1"/>
    <w:rsid w:val="0013703A"/>
    <w:rsid w:val="00137392"/>
    <w:rsid w:val="001376CC"/>
    <w:rsid w:val="001379B2"/>
    <w:rsid w:val="00137BAA"/>
    <w:rsid w:val="00137E36"/>
    <w:rsid w:val="00137F47"/>
    <w:rsid w:val="001400B4"/>
    <w:rsid w:val="00140CA6"/>
    <w:rsid w:val="00140CE4"/>
    <w:rsid w:val="00140E9C"/>
    <w:rsid w:val="001414BD"/>
    <w:rsid w:val="00141797"/>
    <w:rsid w:val="001417B3"/>
    <w:rsid w:val="0014183F"/>
    <w:rsid w:val="00141B83"/>
    <w:rsid w:val="00141FD8"/>
    <w:rsid w:val="00142259"/>
    <w:rsid w:val="001422CA"/>
    <w:rsid w:val="00142B9C"/>
    <w:rsid w:val="0014324E"/>
    <w:rsid w:val="00143301"/>
    <w:rsid w:val="00143898"/>
    <w:rsid w:val="00143B40"/>
    <w:rsid w:val="00143EDC"/>
    <w:rsid w:val="00143EEF"/>
    <w:rsid w:val="00143F4B"/>
    <w:rsid w:val="001443D0"/>
    <w:rsid w:val="001444A6"/>
    <w:rsid w:val="00144760"/>
    <w:rsid w:val="00145466"/>
    <w:rsid w:val="0014553D"/>
    <w:rsid w:val="001456C7"/>
    <w:rsid w:val="001456CF"/>
    <w:rsid w:val="0014572D"/>
    <w:rsid w:val="0014577D"/>
    <w:rsid w:val="00146297"/>
    <w:rsid w:val="00146331"/>
    <w:rsid w:val="001463D7"/>
    <w:rsid w:val="0014684D"/>
    <w:rsid w:val="00147103"/>
    <w:rsid w:val="00147146"/>
    <w:rsid w:val="0014755D"/>
    <w:rsid w:val="00147928"/>
    <w:rsid w:val="00147D5A"/>
    <w:rsid w:val="00147D89"/>
    <w:rsid w:val="00150040"/>
    <w:rsid w:val="00150090"/>
    <w:rsid w:val="001501C4"/>
    <w:rsid w:val="00150610"/>
    <w:rsid w:val="00150931"/>
    <w:rsid w:val="00150B8D"/>
    <w:rsid w:val="00150CB2"/>
    <w:rsid w:val="001511D2"/>
    <w:rsid w:val="0015126A"/>
    <w:rsid w:val="0015160B"/>
    <w:rsid w:val="00151E2E"/>
    <w:rsid w:val="00151EAE"/>
    <w:rsid w:val="00152628"/>
    <w:rsid w:val="0015273D"/>
    <w:rsid w:val="00152B41"/>
    <w:rsid w:val="00152DD9"/>
    <w:rsid w:val="00152F8F"/>
    <w:rsid w:val="001534EE"/>
    <w:rsid w:val="00153761"/>
    <w:rsid w:val="001538E6"/>
    <w:rsid w:val="00153B54"/>
    <w:rsid w:val="00153C5D"/>
    <w:rsid w:val="00153CFB"/>
    <w:rsid w:val="00154131"/>
    <w:rsid w:val="00154255"/>
    <w:rsid w:val="0015433D"/>
    <w:rsid w:val="001544B3"/>
    <w:rsid w:val="0015465A"/>
    <w:rsid w:val="00154807"/>
    <w:rsid w:val="00154CF1"/>
    <w:rsid w:val="001551C8"/>
    <w:rsid w:val="0015521B"/>
    <w:rsid w:val="00155231"/>
    <w:rsid w:val="0015538C"/>
    <w:rsid w:val="00155548"/>
    <w:rsid w:val="00155A5F"/>
    <w:rsid w:val="00155D94"/>
    <w:rsid w:val="0015626A"/>
    <w:rsid w:val="001565D7"/>
    <w:rsid w:val="001567A2"/>
    <w:rsid w:val="00156C60"/>
    <w:rsid w:val="00156F1F"/>
    <w:rsid w:val="001570C3"/>
    <w:rsid w:val="001573A3"/>
    <w:rsid w:val="00157A7C"/>
    <w:rsid w:val="00157B61"/>
    <w:rsid w:val="00157F87"/>
    <w:rsid w:val="0016008C"/>
    <w:rsid w:val="0016012B"/>
    <w:rsid w:val="001610E9"/>
    <w:rsid w:val="0016171C"/>
    <w:rsid w:val="00161A8D"/>
    <w:rsid w:val="0016202B"/>
    <w:rsid w:val="00162910"/>
    <w:rsid w:val="00162B5B"/>
    <w:rsid w:val="00163284"/>
    <w:rsid w:val="001634A8"/>
    <w:rsid w:val="0016422D"/>
    <w:rsid w:val="00164894"/>
    <w:rsid w:val="0016495E"/>
    <w:rsid w:val="00164C9D"/>
    <w:rsid w:val="00164D92"/>
    <w:rsid w:val="001651CE"/>
    <w:rsid w:val="001652D5"/>
    <w:rsid w:val="00165322"/>
    <w:rsid w:val="00165359"/>
    <w:rsid w:val="001654FB"/>
    <w:rsid w:val="001655AC"/>
    <w:rsid w:val="00165AFE"/>
    <w:rsid w:val="00165F42"/>
    <w:rsid w:val="001661A0"/>
    <w:rsid w:val="0016647A"/>
    <w:rsid w:val="00166572"/>
    <w:rsid w:val="00166658"/>
    <w:rsid w:val="00166867"/>
    <w:rsid w:val="00166F72"/>
    <w:rsid w:val="001673D1"/>
    <w:rsid w:val="001676C2"/>
    <w:rsid w:val="001679C3"/>
    <w:rsid w:val="0017000A"/>
    <w:rsid w:val="0017017E"/>
    <w:rsid w:val="0017020B"/>
    <w:rsid w:val="00170367"/>
    <w:rsid w:val="001704D0"/>
    <w:rsid w:val="001705B9"/>
    <w:rsid w:val="0017061D"/>
    <w:rsid w:val="00170634"/>
    <w:rsid w:val="001707FB"/>
    <w:rsid w:val="00170BD6"/>
    <w:rsid w:val="00170EF4"/>
    <w:rsid w:val="00171005"/>
    <w:rsid w:val="0017106B"/>
    <w:rsid w:val="00171726"/>
    <w:rsid w:val="00171DBA"/>
    <w:rsid w:val="00172767"/>
    <w:rsid w:val="001727C0"/>
    <w:rsid w:val="001727CB"/>
    <w:rsid w:val="00172B8B"/>
    <w:rsid w:val="00172BDB"/>
    <w:rsid w:val="00172DFB"/>
    <w:rsid w:val="00172F59"/>
    <w:rsid w:val="0017304E"/>
    <w:rsid w:val="0017383F"/>
    <w:rsid w:val="0017393E"/>
    <w:rsid w:val="001741CB"/>
    <w:rsid w:val="00174572"/>
    <w:rsid w:val="0017470D"/>
    <w:rsid w:val="001748B8"/>
    <w:rsid w:val="00174BF3"/>
    <w:rsid w:val="00174DED"/>
    <w:rsid w:val="001753BB"/>
    <w:rsid w:val="001754BB"/>
    <w:rsid w:val="001758A6"/>
    <w:rsid w:val="001759F4"/>
    <w:rsid w:val="00175ADA"/>
    <w:rsid w:val="00175F36"/>
    <w:rsid w:val="00175FFF"/>
    <w:rsid w:val="001760A8"/>
    <w:rsid w:val="001762D6"/>
    <w:rsid w:val="00176B2D"/>
    <w:rsid w:val="00176B93"/>
    <w:rsid w:val="00176DC6"/>
    <w:rsid w:val="00176EF1"/>
    <w:rsid w:val="00177559"/>
    <w:rsid w:val="001776DB"/>
    <w:rsid w:val="00177B6A"/>
    <w:rsid w:val="00177C2E"/>
    <w:rsid w:val="0018005D"/>
    <w:rsid w:val="001802F2"/>
    <w:rsid w:val="001806A9"/>
    <w:rsid w:val="0018076F"/>
    <w:rsid w:val="00180852"/>
    <w:rsid w:val="00180891"/>
    <w:rsid w:val="00180C0F"/>
    <w:rsid w:val="00180DE3"/>
    <w:rsid w:val="00180F0B"/>
    <w:rsid w:val="001811CD"/>
    <w:rsid w:val="001812E8"/>
    <w:rsid w:val="001815A6"/>
    <w:rsid w:val="0018168A"/>
    <w:rsid w:val="0018179A"/>
    <w:rsid w:val="00181C34"/>
    <w:rsid w:val="00181D53"/>
    <w:rsid w:val="00181EDE"/>
    <w:rsid w:val="0018203C"/>
    <w:rsid w:val="00182117"/>
    <w:rsid w:val="00182237"/>
    <w:rsid w:val="0018225D"/>
    <w:rsid w:val="00182660"/>
    <w:rsid w:val="001827C6"/>
    <w:rsid w:val="001827D4"/>
    <w:rsid w:val="001827F3"/>
    <w:rsid w:val="00182836"/>
    <w:rsid w:val="00182A74"/>
    <w:rsid w:val="00182AA9"/>
    <w:rsid w:val="00182C84"/>
    <w:rsid w:val="00182D52"/>
    <w:rsid w:val="00182E6B"/>
    <w:rsid w:val="00182E95"/>
    <w:rsid w:val="00183515"/>
    <w:rsid w:val="00183663"/>
    <w:rsid w:val="00183BC4"/>
    <w:rsid w:val="0018416D"/>
    <w:rsid w:val="00184206"/>
    <w:rsid w:val="001844E8"/>
    <w:rsid w:val="00184DF0"/>
    <w:rsid w:val="00184FC7"/>
    <w:rsid w:val="00185B70"/>
    <w:rsid w:val="00185CFE"/>
    <w:rsid w:val="0018620C"/>
    <w:rsid w:val="00186544"/>
    <w:rsid w:val="00186866"/>
    <w:rsid w:val="00186931"/>
    <w:rsid w:val="00187625"/>
    <w:rsid w:val="0018772E"/>
    <w:rsid w:val="001877D5"/>
    <w:rsid w:val="00187ADF"/>
    <w:rsid w:val="00187BBE"/>
    <w:rsid w:val="00187E63"/>
    <w:rsid w:val="0019017E"/>
    <w:rsid w:val="00190502"/>
    <w:rsid w:val="00190A11"/>
    <w:rsid w:val="00190C24"/>
    <w:rsid w:val="00190EAD"/>
    <w:rsid w:val="0019100D"/>
    <w:rsid w:val="00191086"/>
    <w:rsid w:val="001910A5"/>
    <w:rsid w:val="001911A4"/>
    <w:rsid w:val="001916CE"/>
    <w:rsid w:val="00191781"/>
    <w:rsid w:val="001918D2"/>
    <w:rsid w:val="00191E23"/>
    <w:rsid w:val="00191E83"/>
    <w:rsid w:val="0019251D"/>
    <w:rsid w:val="00192562"/>
    <w:rsid w:val="00192AA2"/>
    <w:rsid w:val="00192D8D"/>
    <w:rsid w:val="00192EB6"/>
    <w:rsid w:val="0019307E"/>
    <w:rsid w:val="0019344E"/>
    <w:rsid w:val="00193E91"/>
    <w:rsid w:val="00194101"/>
    <w:rsid w:val="00194119"/>
    <w:rsid w:val="001943AC"/>
    <w:rsid w:val="001944D6"/>
    <w:rsid w:val="001945AB"/>
    <w:rsid w:val="00194AEC"/>
    <w:rsid w:val="00195485"/>
    <w:rsid w:val="00195561"/>
    <w:rsid w:val="00195A0F"/>
    <w:rsid w:val="00195B9A"/>
    <w:rsid w:val="00195C52"/>
    <w:rsid w:val="00195D42"/>
    <w:rsid w:val="00195DD8"/>
    <w:rsid w:val="00196528"/>
    <w:rsid w:val="0019674B"/>
    <w:rsid w:val="001967EB"/>
    <w:rsid w:val="00196A92"/>
    <w:rsid w:val="001975A5"/>
    <w:rsid w:val="00197619"/>
    <w:rsid w:val="00197C53"/>
    <w:rsid w:val="001A0227"/>
    <w:rsid w:val="001A0307"/>
    <w:rsid w:val="001A05DB"/>
    <w:rsid w:val="001A08A3"/>
    <w:rsid w:val="001A09F6"/>
    <w:rsid w:val="001A1830"/>
    <w:rsid w:val="001A1B40"/>
    <w:rsid w:val="001A1C9B"/>
    <w:rsid w:val="001A240C"/>
    <w:rsid w:val="001A246C"/>
    <w:rsid w:val="001A26F4"/>
    <w:rsid w:val="001A270E"/>
    <w:rsid w:val="001A27F1"/>
    <w:rsid w:val="001A2B42"/>
    <w:rsid w:val="001A2E4D"/>
    <w:rsid w:val="001A2EF7"/>
    <w:rsid w:val="001A30F8"/>
    <w:rsid w:val="001A3338"/>
    <w:rsid w:val="001A33A5"/>
    <w:rsid w:val="001A33EF"/>
    <w:rsid w:val="001A3DB7"/>
    <w:rsid w:val="001A424B"/>
    <w:rsid w:val="001A4830"/>
    <w:rsid w:val="001A4853"/>
    <w:rsid w:val="001A4B16"/>
    <w:rsid w:val="001A504D"/>
    <w:rsid w:val="001A51CF"/>
    <w:rsid w:val="001A5646"/>
    <w:rsid w:val="001A5DB7"/>
    <w:rsid w:val="001A6090"/>
    <w:rsid w:val="001A60A5"/>
    <w:rsid w:val="001A61B6"/>
    <w:rsid w:val="001A62AF"/>
    <w:rsid w:val="001A62E1"/>
    <w:rsid w:val="001A63D2"/>
    <w:rsid w:val="001A6635"/>
    <w:rsid w:val="001A66BB"/>
    <w:rsid w:val="001A74B0"/>
    <w:rsid w:val="001A7697"/>
    <w:rsid w:val="001A7AE3"/>
    <w:rsid w:val="001A7B2A"/>
    <w:rsid w:val="001B0366"/>
    <w:rsid w:val="001B0519"/>
    <w:rsid w:val="001B05EC"/>
    <w:rsid w:val="001B06FE"/>
    <w:rsid w:val="001B088E"/>
    <w:rsid w:val="001B0D84"/>
    <w:rsid w:val="001B1E4C"/>
    <w:rsid w:val="001B2250"/>
    <w:rsid w:val="001B24D4"/>
    <w:rsid w:val="001B2ABD"/>
    <w:rsid w:val="001B2D1E"/>
    <w:rsid w:val="001B2F25"/>
    <w:rsid w:val="001B2FD7"/>
    <w:rsid w:val="001B3057"/>
    <w:rsid w:val="001B30CA"/>
    <w:rsid w:val="001B31BB"/>
    <w:rsid w:val="001B346F"/>
    <w:rsid w:val="001B3486"/>
    <w:rsid w:val="001B35CC"/>
    <w:rsid w:val="001B375F"/>
    <w:rsid w:val="001B381A"/>
    <w:rsid w:val="001B3A14"/>
    <w:rsid w:val="001B3D8E"/>
    <w:rsid w:val="001B4068"/>
    <w:rsid w:val="001B411A"/>
    <w:rsid w:val="001B4122"/>
    <w:rsid w:val="001B41BA"/>
    <w:rsid w:val="001B447F"/>
    <w:rsid w:val="001B45B9"/>
    <w:rsid w:val="001B508D"/>
    <w:rsid w:val="001B52FD"/>
    <w:rsid w:val="001B5376"/>
    <w:rsid w:val="001B5680"/>
    <w:rsid w:val="001B568C"/>
    <w:rsid w:val="001B5B66"/>
    <w:rsid w:val="001B5EF5"/>
    <w:rsid w:val="001B680C"/>
    <w:rsid w:val="001B6B6C"/>
    <w:rsid w:val="001B6E70"/>
    <w:rsid w:val="001B70F1"/>
    <w:rsid w:val="001B7728"/>
    <w:rsid w:val="001B7879"/>
    <w:rsid w:val="001B7EB9"/>
    <w:rsid w:val="001B7ED1"/>
    <w:rsid w:val="001C0094"/>
    <w:rsid w:val="001C0112"/>
    <w:rsid w:val="001C089B"/>
    <w:rsid w:val="001C0928"/>
    <w:rsid w:val="001C0A3F"/>
    <w:rsid w:val="001C0B0C"/>
    <w:rsid w:val="001C0F53"/>
    <w:rsid w:val="001C134E"/>
    <w:rsid w:val="001C14F7"/>
    <w:rsid w:val="001C23D1"/>
    <w:rsid w:val="001C26B9"/>
    <w:rsid w:val="001C2F17"/>
    <w:rsid w:val="001C2F7E"/>
    <w:rsid w:val="001C3665"/>
    <w:rsid w:val="001C3824"/>
    <w:rsid w:val="001C3C31"/>
    <w:rsid w:val="001C3C71"/>
    <w:rsid w:val="001C3D55"/>
    <w:rsid w:val="001C3FE1"/>
    <w:rsid w:val="001C4182"/>
    <w:rsid w:val="001C4A27"/>
    <w:rsid w:val="001C4D0F"/>
    <w:rsid w:val="001C50DD"/>
    <w:rsid w:val="001C536C"/>
    <w:rsid w:val="001C56FF"/>
    <w:rsid w:val="001C5773"/>
    <w:rsid w:val="001C5A3C"/>
    <w:rsid w:val="001C6365"/>
    <w:rsid w:val="001C652B"/>
    <w:rsid w:val="001C65C5"/>
    <w:rsid w:val="001C6A10"/>
    <w:rsid w:val="001C6A48"/>
    <w:rsid w:val="001C6F71"/>
    <w:rsid w:val="001C70A9"/>
    <w:rsid w:val="001C7190"/>
    <w:rsid w:val="001C71CD"/>
    <w:rsid w:val="001C72A2"/>
    <w:rsid w:val="001C73E4"/>
    <w:rsid w:val="001C7CAB"/>
    <w:rsid w:val="001C7E40"/>
    <w:rsid w:val="001D016A"/>
    <w:rsid w:val="001D02FF"/>
    <w:rsid w:val="001D06A7"/>
    <w:rsid w:val="001D0E23"/>
    <w:rsid w:val="001D0F6E"/>
    <w:rsid w:val="001D108E"/>
    <w:rsid w:val="001D1713"/>
    <w:rsid w:val="001D1989"/>
    <w:rsid w:val="001D1DF5"/>
    <w:rsid w:val="001D1E3B"/>
    <w:rsid w:val="001D1E9B"/>
    <w:rsid w:val="001D2512"/>
    <w:rsid w:val="001D2BC9"/>
    <w:rsid w:val="001D2DAC"/>
    <w:rsid w:val="001D35D5"/>
    <w:rsid w:val="001D463D"/>
    <w:rsid w:val="001D4657"/>
    <w:rsid w:val="001D494F"/>
    <w:rsid w:val="001D4C0A"/>
    <w:rsid w:val="001D4E7F"/>
    <w:rsid w:val="001D5F60"/>
    <w:rsid w:val="001D6046"/>
    <w:rsid w:val="001D6911"/>
    <w:rsid w:val="001D6C4C"/>
    <w:rsid w:val="001D6CF0"/>
    <w:rsid w:val="001D6D3F"/>
    <w:rsid w:val="001D6E2A"/>
    <w:rsid w:val="001D70C5"/>
    <w:rsid w:val="001D7880"/>
    <w:rsid w:val="001E0B07"/>
    <w:rsid w:val="001E101C"/>
    <w:rsid w:val="001E12B5"/>
    <w:rsid w:val="001E12C3"/>
    <w:rsid w:val="001E1684"/>
    <w:rsid w:val="001E1CB5"/>
    <w:rsid w:val="001E2138"/>
    <w:rsid w:val="001E2215"/>
    <w:rsid w:val="001E2872"/>
    <w:rsid w:val="001E2A8A"/>
    <w:rsid w:val="001E2C77"/>
    <w:rsid w:val="001E2FFC"/>
    <w:rsid w:val="001E310B"/>
    <w:rsid w:val="001E3447"/>
    <w:rsid w:val="001E34E4"/>
    <w:rsid w:val="001E3699"/>
    <w:rsid w:val="001E3836"/>
    <w:rsid w:val="001E3857"/>
    <w:rsid w:val="001E3B80"/>
    <w:rsid w:val="001E3D88"/>
    <w:rsid w:val="001E3E8E"/>
    <w:rsid w:val="001E425B"/>
    <w:rsid w:val="001E48BA"/>
    <w:rsid w:val="001E4BA1"/>
    <w:rsid w:val="001E4C46"/>
    <w:rsid w:val="001E4CB1"/>
    <w:rsid w:val="001E4E36"/>
    <w:rsid w:val="001E4F15"/>
    <w:rsid w:val="001E4F69"/>
    <w:rsid w:val="001E57E8"/>
    <w:rsid w:val="001E5B0F"/>
    <w:rsid w:val="001E5CE0"/>
    <w:rsid w:val="001E5E45"/>
    <w:rsid w:val="001E5F9A"/>
    <w:rsid w:val="001E64B1"/>
    <w:rsid w:val="001E69D9"/>
    <w:rsid w:val="001E6EC8"/>
    <w:rsid w:val="001E70F6"/>
    <w:rsid w:val="001E747C"/>
    <w:rsid w:val="001E769A"/>
    <w:rsid w:val="001E77C8"/>
    <w:rsid w:val="001E785F"/>
    <w:rsid w:val="001E7CA1"/>
    <w:rsid w:val="001E7D08"/>
    <w:rsid w:val="001E7FF1"/>
    <w:rsid w:val="001F057B"/>
    <w:rsid w:val="001F06B2"/>
    <w:rsid w:val="001F08A7"/>
    <w:rsid w:val="001F091D"/>
    <w:rsid w:val="001F09DF"/>
    <w:rsid w:val="001F1060"/>
    <w:rsid w:val="001F115D"/>
    <w:rsid w:val="001F17B2"/>
    <w:rsid w:val="001F1E27"/>
    <w:rsid w:val="001F1FB7"/>
    <w:rsid w:val="001F21B3"/>
    <w:rsid w:val="001F21FC"/>
    <w:rsid w:val="001F2277"/>
    <w:rsid w:val="001F2348"/>
    <w:rsid w:val="001F2655"/>
    <w:rsid w:val="001F29B7"/>
    <w:rsid w:val="001F2A92"/>
    <w:rsid w:val="001F2EE5"/>
    <w:rsid w:val="001F3489"/>
    <w:rsid w:val="001F3AD9"/>
    <w:rsid w:val="001F3B87"/>
    <w:rsid w:val="001F3F45"/>
    <w:rsid w:val="001F481C"/>
    <w:rsid w:val="001F51A2"/>
    <w:rsid w:val="001F5538"/>
    <w:rsid w:val="001F5849"/>
    <w:rsid w:val="001F5919"/>
    <w:rsid w:val="001F5D8D"/>
    <w:rsid w:val="001F5DEC"/>
    <w:rsid w:val="001F612E"/>
    <w:rsid w:val="001F6445"/>
    <w:rsid w:val="001F6700"/>
    <w:rsid w:val="001F6A80"/>
    <w:rsid w:val="001F6AF6"/>
    <w:rsid w:val="001F6E95"/>
    <w:rsid w:val="001F6F23"/>
    <w:rsid w:val="001F74D0"/>
    <w:rsid w:val="001F77D0"/>
    <w:rsid w:val="001F7DD9"/>
    <w:rsid w:val="002001BD"/>
    <w:rsid w:val="0020051D"/>
    <w:rsid w:val="002005B7"/>
    <w:rsid w:val="002008E6"/>
    <w:rsid w:val="00200A61"/>
    <w:rsid w:val="00200F9E"/>
    <w:rsid w:val="0020103D"/>
    <w:rsid w:val="002010B7"/>
    <w:rsid w:val="0020177B"/>
    <w:rsid w:val="002019AF"/>
    <w:rsid w:val="00201AF5"/>
    <w:rsid w:val="00201B0B"/>
    <w:rsid w:val="00201CE2"/>
    <w:rsid w:val="00201CF6"/>
    <w:rsid w:val="00201DDA"/>
    <w:rsid w:val="00202285"/>
    <w:rsid w:val="002022A6"/>
    <w:rsid w:val="0020267B"/>
    <w:rsid w:val="002027BB"/>
    <w:rsid w:val="00202E69"/>
    <w:rsid w:val="00203027"/>
    <w:rsid w:val="00203164"/>
    <w:rsid w:val="002033A9"/>
    <w:rsid w:val="00203804"/>
    <w:rsid w:val="002038B4"/>
    <w:rsid w:val="00203E3D"/>
    <w:rsid w:val="00203FDC"/>
    <w:rsid w:val="002045AE"/>
    <w:rsid w:val="00204717"/>
    <w:rsid w:val="00204B99"/>
    <w:rsid w:val="002050D9"/>
    <w:rsid w:val="002054B8"/>
    <w:rsid w:val="0020555E"/>
    <w:rsid w:val="00205B9C"/>
    <w:rsid w:val="0020608C"/>
    <w:rsid w:val="00206224"/>
    <w:rsid w:val="002062B3"/>
    <w:rsid w:val="002065B1"/>
    <w:rsid w:val="002065C9"/>
    <w:rsid w:val="00206802"/>
    <w:rsid w:val="00206AC6"/>
    <w:rsid w:val="0020727C"/>
    <w:rsid w:val="002077EA"/>
    <w:rsid w:val="002078CC"/>
    <w:rsid w:val="00207AA0"/>
    <w:rsid w:val="00207C2B"/>
    <w:rsid w:val="00207CF5"/>
    <w:rsid w:val="00207DA0"/>
    <w:rsid w:val="00207E9B"/>
    <w:rsid w:val="00210341"/>
    <w:rsid w:val="0021040A"/>
    <w:rsid w:val="0021069B"/>
    <w:rsid w:val="002108D2"/>
    <w:rsid w:val="002112A2"/>
    <w:rsid w:val="00211854"/>
    <w:rsid w:val="002118A8"/>
    <w:rsid w:val="00212773"/>
    <w:rsid w:val="00212788"/>
    <w:rsid w:val="002127D1"/>
    <w:rsid w:val="002128FF"/>
    <w:rsid w:val="00212B09"/>
    <w:rsid w:val="00212E09"/>
    <w:rsid w:val="00213027"/>
    <w:rsid w:val="0021326E"/>
    <w:rsid w:val="00213514"/>
    <w:rsid w:val="0021382E"/>
    <w:rsid w:val="002138EB"/>
    <w:rsid w:val="00213AB1"/>
    <w:rsid w:val="00213B49"/>
    <w:rsid w:val="002142E1"/>
    <w:rsid w:val="00214519"/>
    <w:rsid w:val="00214B02"/>
    <w:rsid w:val="00214E5D"/>
    <w:rsid w:val="00214FDD"/>
    <w:rsid w:val="0021538F"/>
    <w:rsid w:val="00216120"/>
    <w:rsid w:val="0021621E"/>
    <w:rsid w:val="002162D8"/>
    <w:rsid w:val="00216739"/>
    <w:rsid w:val="0021692A"/>
    <w:rsid w:val="002169C2"/>
    <w:rsid w:val="00216B12"/>
    <w:rsid w:val="00216CB8"/>
    <w:rsid w:val="00217684"/>
    <w:rsid w:val="002179BC"/>
    <w:rsid w:val="00217ADE"/>
    <w:rsid w:val="00217C5E"/>
    <w:rsid w:val="00220036"/>
    <w:rsid w:val="002204F5"/>
    <w:rsid w:val="002205DC"/>
    <w:rsid w:val="0022110D"/>
    <w:rsid w:val="0022116B"/>
    <w:rsid w:val="00221973"/>
    <w:rsid w:val="00221B57"/>
    <w:rsid w:val="00221B5C"/>
    <w:rsid w:val="00221C34"/>
    <w:rsid w:val="0022202A"/>
    <w:rsid w:val="002223B8"/>
    <w:rsid w:val="002225E6"/>
    <w:rsid w:val="00222893"/>
    <w:rsid w:val="00222B01"/>
    <w:rsid w:val="00222DD3"/>
    <w:rsid w:val="00222DFC"/>
    <w:rsid w:val="00222F5F"/>
    <w:rsid w:val="00223137"/>
    <w:rsid w:val="002235BD"/>
    <w:rsid w:val="00223968"/>
    <w:rsid w:val="00223C3F"/>
    <w:rsid w:val="00223E18"/>
    <w:rsid w:val="00223F12"/>
    <w:rsid w:val="0022429D"/>
    <w:rsid w:val="00224489"/>
    <w:rsid w:val="00224545"/>
    <w:rsid w:val="002245A9"/>
    <w:rsid w:val="0022499A"/>
    <w:rsid w:val="00224CCD"/>
    <w:rsid w:val="00224DD5"/>
    <w:rsid w:val="00225025"/>
    <w:rsid w:val="002254AD"/>
    <w:rsid w:val="00225561"/>
    <w:rsid w:val="002259F2"/>
    <w:rsid w:val="00225D78"/>
    <w:rsid w:val="0022632B"/>
    <w:rsid w:val="002265C8"/>
    <w:rsid w:val="00226A42"/>
    <w:rsid w:val="00226A81"/>
    <w:rsid w:val="00226E37"/>
    <w:rsid w:val="00227037"/>
    <w:rsid w:val="00227089"/>
    <w:rsid w:val="002270AE"/>
    <w:rsid w:val="00227F5F"/>
    <w:rsid w:val="00230274"/>
    <w:rsid w:val="00230433"/>
    <w:rsid w:val="00230EA4"/>
    <w:rsid w:val="00230FE9"/>
    <w:rsid w:val="002313AC"/>
    <w:rsid w:val="002314C4"/>
    <w:rsid w:val="00231DEE"/>
    <w:rsid w:val="00231E26"/>
    <w:rsid w:val="0023233D"/>
    <w:rsid w:val="0023244C"/>
    <w:rsid w:val="00233228"/>
    <w:rsid w:val="00233400"/>
    <w:rsid w:val="002334A2"/>
    <w:rsid w:val="00233657"/>
    <w:rsid w:val="00233C85"/>
    <w:rsid w:val="00233DA3"/>
    <w:rsid w:val="00233DA5"/>
    <w:rsid w:val="002342B1"/>
    <w:rsid w:val="00234638"/>
    <w:rsid w:val="0023487A"/>
    <w:rsid w:val="0023517A"/>
    <w:rsid w:val="00235497"/>
    <w:rsid w:val="00235B12"/>
    <w:rsid w:val="00235FCB"/>
    <w:rsid w:val="0023622E"/>
    <w:rsid w:val="00236C0E"/>
    <w:rsid w:val="00236F5B"/>
    <w:rsid w:val="00237100"/>
    <w:rsid w:val="002378AE"/>
    <w:rsid w:val="00237A6C"/>
    <w:rsid w:val="00237AA1"/>
    <w:rsid w:val="00237E29"/>
    <w:rsid w:val="00237E41"/>
    <w:rsid w:val="002400FD"/>
    <w:rsid w:val="00240459"/>
    <w:rsid w:val="0024067B"/>
    <w:rsid w:val="0024126B"/>
    <w:rsid w:val="00241775"/>
    <w:rsid w:val="00241C01"/>
    <w:rsid w:val="00242529"/>
    <w:rsid w:val="0024262D"/>
    <w:rsid w:val="00242680"/>
    <w:rsid w:val="002427E2"/>
    <w:rsid w:val="0024286F"/>
    <w:rsid w:val="002428B4"/>
    <w:rsid w:val="00242B55"/>
    <w:rsid w:val="00242CA4"/>
    <w:rsid w:val="00242D92"/>
    <w:rsid w:val="00242E80"/>
    <w:rsid w:val="00243137"/>
    <w:rsid w:val="00243173"/>
    <w:rsid w:val="0024336F"/>
    <w:rsid w:val="00243451"/>
    <w:rsid w:val="002437D6"/>
    <w:rsid w:val="00243997"/>
    <w:rsid w:val="00243E79"/>
    <w:rsid w:val="002442D6"/>
    <w:rsid w:val="002443F1"/>
    <w:rsid w:val="00244550"/>
    <w:rsid w:val="00244725"/>
    <w:rsid w:val="00244825"/>
    <w:rsid w:val="0024484E"/>
    <w:rsid w:val="00244D47"/>
    <w:rsid w:val="002452CA"/>
    <w:rsid w:val="00245969"/>
    <w:rsid w:val="002459CC"/>
    <w:rsid w:val="00245A72"/>
    <w:rsid w:val="00245D87"/>
    <w:rsid w:val="00245E80"/>
    <w:rsid w:val="00245FF5"/>
    <w:rsid w:val="002462D7"/>
    <w:rsid w:val="00246C26"/>
    <w:rsid w:val="00246DA0"/>
    <w:rsid w:val="00246E28"/>
    <w:rsid w:val="00246EA7"/>
    <w:rsid w:val="00247199"/>
    <w:rsid w:val="002476D1"/>
    <w:rsid w:val="002478DF"/>
    <w:rsid w:val="00247C87"/>
    <w:rsid w:val="00247E81"/>
    <w:rsid w:val="00250CB1"/>
    <w:rsid w:val="00250DD4"/>
    <w:rsid w:val="00250F15"/>
    <w:rsid w:val="002511DA"/>
    <w:rsid w:val="00251226"/>
    <w:rsid w:val="00251337"/>
    <w:rsid w:val="00251CF7"/>
    <w:rsid w:val="00251D76"/>
    <w:rsid w:val="002523F9"/>
    <w:rsid w:val="0025290D"/>
    <w:rsid w:val="00252B09"/>
    <w:rsid w:val="00252B33"/>
    <w:rsid w:val="00252DB9"/>
    <w:rsid w:val="00252FA3"/>
    <w:rsid w:val="00253145"/>
    <w:rsid w:val="00253C54"/>
    <w:rsid w:val="00253DD2"/>
    <w:rsid w:val="00253FE1"/>
    <w:rsid w:val="00254740"/>
    <w:rsid w:val="00254778"/>
    <w:rsid w:val="00254845"/>
    <w:rsid w:val="00254B8C"/>
    <w:rsid w:val="00254BC8"/>
    <w:rsid w:val="00254C5F"/>
    <w:rsid w:val="00254F16"/>
    <w:rsid w:val="00254F53"/>
    <w:rsid w:val="002552AC"/>
    <w:rsid w:val="0025530C"/>
    <w:rsid w:val="0025537E"/>
    <w:rsid w:val="00255380"/>
    <w:rsid w:val="00255692"/>
    <w:rsid w:val="00255739"/>
    <w:rsid w:val="00255A63"/>
    <w:rsid w:val="00255A76"/>
    <w:rsid w:val="00255ACE"/>
    <w:rsid w:val="00255DE6"/>
    <w:rsid w:val="00255E31"/>
    <w:rsid w:val="00255F22"/>
    <w:rsid w:val="002560A6"/>
    <w:rsid w:val="00256369"/>
    <w:rsid w:val="0025648F"/>
    <w:rsid w:val="002564D6"/>
    <w:rsid w:val="002565C5"/>
    <w:rsid w:val="002566E0"/>
    <w:rsid w:val="00256813"/>
    <w:rsid w:val="00256DC5"/>
    <w:rsid w:val="00256DDF"/>
    <w:rsid w:val="00256FD9"/>
    <w:rsid w:val="002570C6"/>
    <w:rsid w:val="002571B8"/>
    <w:rsid w:val="00257300"/>
    <w:rsid w:val="00257508"/>
    <w:rsid w:val="00257C1D"/>
    <w:rsid w:val="00257EA8"/>
    <w:rsid w:val="00257F28"/>
    <w:rsid w:val="00257F60"/>
    <w:rsid w:val="002600B5"/>
    <w:rsid w:val="00260960"/>
    <w:rsid w:val="002609BD"/>
    <w:rsid w:val="00260AEC"/>
    <w:rsid w:val="00260F35"/>
    <w:rsid w:val="0026102C"/>
    <w:rsid w:val="00261280"/>
    <w:rsid w:val="00261408"/>
    <w:rsid w:val="002618B8"/>
    <w:rsid w:val="002618FA"/>
    <w:rsid w:val="00261E9E"/>
    <w:rsid w:val="00262004"/>
    <w:rsid w:val="00262873"/>
    <w:rsid w:val="00262BE9"/>
    <w:rsid w:val="0026315B"/>
    <w:rsid w:val="0026316D"/>
    <w:rsid w:val="0026361A"/>
    <w:rsid w:val="00263665"/>
    <w:rsid w:val="00263AB7"/>
    <w:rsid w:val="00263B8F"/>
    <w:rsid w:val="002644B0"/>
    <w:rsid w:val="00264713"/>
    <w:rsid w:val="002652D4"/>
    <w:rsid w:val="002655BC"/>
    <w:rsid w:val="002657C3"/>
    <w:rsid w:val="00265B66"/>
    <w:rsid w:val="00265DC7"/>
    <w:rsid w:val="00265E47"/>
    <w:rsid w:val="00265E8D"/>
    <w:rsid w:val="00265EBB"/>
    <w:rsid w:val="00265EBD"/>
    <w:rsid w:val="0026611A"/>
    <w:rsid w:val="00266148"/>
    <w:rsid w:val="002664CE"/>
    <w:rsid w:val="0026650E"/>
    <w:rsid w:val="0026669B"/>
    <w:rsid w:val="002667F0"/>
    <w:rsid w:val="00266CD7"/>
    <w:rsid w:val="00266F69"/>
    <w:rsid w:val="00267039"/>
    <w:rsid w:val="0026708B"/>
    <w:rsid w:val="0026718E"/>
    <w:rsid w:val="002674AB"/>
    <w:rsid w:val="00267894"/>
    <w:rsid w:val="00267CEE"/>
    <w:rsid w:val="00270306"/>
    <w:rsid w:val="00270ADD"/>
    <w:rsid w:val="00270C3B"/>
    <w:rsid w:val="00270F38"/>
    <w:rsid w:val="00271728"/>
    <w:rsid w:val="002718F1"/>
    <w:rsid w:val="002719E5"/>
    <w:rsid w:val="00271C47"/>
    <w:rsid w:val="00271CEC"/>
    <w:rsid w:val="00271FA8"/>
    <w:rsid w:val="00271FED"/>
    <w:rsid w:val="002727A5"/>
    <w:rsid w:val="002727FD"/>
    <w:rsid w:val="00272854"/>
    <w:rsid w:val="0027298E"/>
    <w:rsid w:val="00272A8B"/>
    <w:rsid w:val="00272B6E"/>
    <w:rsid w:val="00272ED4"/>
    <w:rsid w:val="00273148"/>
    <w:rsid w:val="002733F2"/>
    <w:rsid w:val="00273696"/>
    <w:rsid w:val="002736F7"/>
    <w:rsid w:val="002739D0"/>
    <w:rsid w:val="00273E36"/>
    <w:rsid w:val="00273F65"/>
    <w:rsid w:val="00273FDB"/>
    <w:rsid w:val="0027421E"/>
    <w:rsid w:val="002742A1"/>
    <w:rsid w:val="0027456B"/>
    <w:rsid w:val="00274883"/>
    <w:rsid w:val="002748EC"/>
    <w:rsid w:val="00274921"/>
    <w:rsid w:val="00274BDE"/>
    <w:rsid w:val="00274C0C"/>
    <w:rsid w:val="00274DA5"/>
    <w:rsid w:val="00274FB5"/>
    <w:rsid w:val="00275ABF"/>
    <w:rsid w:val="0027603B"/>
    <w:rsid w:val="00276ACB"/>
    <w:rsid w:val="00276B86"/>
    <w:rsid w:val="00276F72"/>
    <w:rsid w:val="00277825"/>
    <w:rsid w:val="002801EB"/>
    <w:rsid w:val="002803AA"/>
    <w:rsid w:val="0028068E"/>
    <w:rsid w:val="00280BC2"/>
    <w:rsid w:val="002818AA"/>
    <w:rsid w:val="002818FD"/>
    <w:rsid w:val="002822CD"/>
    <w:rsid w:val="00282A90"/>
    <w:rsid w:val="00282AA2"/>
    <w:rsid w:val="00282AB6"/>
    <w:rsid w:val="00282C3F"/>
    <w:rsid w:val="00282DFD"/>
    <w:rsid w:val="00282E4F"/>
    <w:rsid w:val="00282F35"/>
    <w:rsid w:val="00283204"/>
    <w:rsid w:val="00283330"/>
    <w:rsid w:val="0028345F"/>
    <w:rsid w:val="0028351D"/>
    <w:rsid w:val="002835AD"/>
    <w:rsid w:val="002835DA"/>
    <w:rsid w:val="00283841"/>
    <w:rsid w:val="00283F6C"/>
    <w:rsid w:val="002842D1"/>
    <w:rsid w:val="002848A7"/>
    <w:rsid w:val="00284C5F"/>
    <w:rsid w:val="00284F21"/>
    <w:rsid w:val="00284F2F"/>
    <w:rsid w:val="0028556B"/>
    <w:rsid w:val="00285667"/>
    <w:rsid w:val="00285694"/>
    <w:rsid w:val="00285830"/>
    <w:rsid w:val="00285965"/>
    <w:rsid w:val="00285E0B"/>
    <w:rsid w:val="00286855"/>
    <w:rsid w:val="00287321"/>
    <w:rsid w:val="002874CF"/>
    <w:rsid w:val="00287591"/>
    <w:rsid w:val="00287913"/>
    <w:rsid w:val="00287942"/>
    <w:rsid w:val="00287D98"/>
    <w:rsid w:val="00287DE8"/>
    <w:rsid w:val="00290DF0"/>
    <w:rsid w:val="00290F75"/>
    <w:rsid w:val="00291093"/>
    <w:rsid w:val="0029111E"/>
    <w:rsid w:val="002911D3"/>
    <w:rsid w:val="002911E0"/>
    <w:rsid w:val="00291618"/>
    <w:rsid w:val="0029198C"/>
    <w:rsid w:val="00291DA6"/>
    <w:rsid w:val="00291E16"/>
    <w:rsid w:val="00291EEE"/>
    <w:rsid w:val="002923D0"/>
    <w:rsid w:val="0029240E"/>
    <w:rsid w:val="002924E5"/>
    <w:rsid w:val="00292C9D"/>
    <w:rsid w:val="00292D6A"/>
    <w:rsid w:val="00293371"/>
    <w:rsid w:val="002935DF"/>
    <w:rsid w:val="00293D79"/>
    <w:rsid w:val="002943CB"/>
    <w:rsid w:val="0029446B"/>
    <w:rsid w:val="002944E4"/>
    <w:rsid w:val="00294748"/>
    <w:rsid w:val="00294C37"/>
    <w:rsid w:val="00294CDF"/>
    <w:rsid w:val="00295040"/>
    <w:rsid w:val="00295578"/>
    <w:rsid w:val="00295655"/>
    <w:rsid w:val="00295EE4"/>
    <w:rsid w:val="00296295"/>
    <w:rsid w:val="002962FD"/>
    <w:rsid w:val="00296632"/>
    <w:rsid w:val="0029680B"/>
    <w:rsid w:val="002968E9"/>
    <w:rsid w:val="00296CAA"/>
    <w:rsid w:val="00296CBF"/>
    <w:rsid w:val="00296DBF"/>
    <w:rsid w:val="00296F41"/>
    <w:rsid w:val="00297327"/>
    <w:rsid w:val="00297437"/>
    <w:rsid w:val="002974B3"/>
    <w:rsid w:val="002974D0"/>
    <w:rsid w:val="00297B46"/>
    <w:rsid w:val="002A0493"/>
    <w:rsid w:val="002A0575"/>
    <w:rsid w:val="002A0B43"/>
    <w:rsid w:val="002A0E1B"/>
    <w:rsid w:val="002A176B"/>
    <w:rsid w:val="002A17CE"/>
    <w:rsid w:val="002A1869"/>
    <w:rsid w:val="002A1AFF"/>
    <w:rsid w:val="002A1F65"/>
    <w:rsid w:val="002A2418"/>
    <w:rsid w:val="002A29F6"/>
    <w:rsid w:val="002A2F7C"/>
    <w:rsid w:val="002A2FA9"/>
    <w:rsid w:val="002A385E"/>
    <w:rsid w:val="002A38B0"/>
    <w:rsid w:val="002A39D7"/>
    <w:rsid w:val="002A39EF"/>
    <w:rsid w:val="002A3B08"/>
    <w:rsid w:val="002A3BDF"/>
    <w:rsid w:val="002A3C1F"/>
    <w:rsid w:val="002A45A4"/>
    <w:rsid w:val="002A4808"/>
    <w:rsid w:val="002A498F"/>
    <w:rsid w:val="002A4E4E"/>
    <w:rsid w:val="002A50C4"/>
    <w:rsid w:val="002A50EC"/>
    <w:rsid w:val="002A6196"/>
    <w:rsid w:val="002A63A7"/>
    <w:rsid w:val="002A679C"/>
    <w:rsid w:val="002A690C"/>
    <w:rsid w:val="002A6CFE"/>
    <w:rsid w:val="002A6E02"/>
    <w:rsid w:val="002A70FC"/>
    <w:rsid w:val="002A71A5"/>
    <w:rsid w:val="002A7687"/>
    <w:rsid w:val="002A7D1F"/>
    <w:rsid w:val="002A7D2D"/>
    <w:rsid w:val="002A7D34"/>
    <w:rsid w:val="002B0241"/>
    <w:rsid w:val="002B056A"/>
    <w:rsid w:val="002B059B"/>
    <w:rsid w:val="002B05B5"/>
    <w:rsid w:val="002B073A"/>
    <w:rsid w:val="002B0C93"/>
    <w:rsid w:val="002B0DBC"/>
    <w:rsid w:val="002B0E41"/>
    <w:rsid w:val="002B1121"/>
    <w:rsid w:val="002B14F7"/>
    <w:rsid w:val="002B151A"/>
    <w:rsid w:val="002B163C"/>
    <w:rsid w:val="002B1695"/>
    <w:rsid w:val="002B1B51"/>
    <w:rsid w:val="002B1BA5"/>
    <w:rsid w:val="002B2127"/>
    <w:rsid w:val="002B2640"/>
    <w:rsid w:val="002B26F3"/>
    <w:rsid w:val="002B2CF4"/>
    <w:rsid w:val="002B2D60"/>
    <w:rsid w:val="002B37AB"/>
    <w:rsid w:val="002B3A22"/>
    <w:rsid w:val="002B3B46"/>
    <w:rsid w:val="002B3B4A"/>
    <w:rsid w:val="002B43CC"/>
    <w:rsid w:val="002B4802"/>
    <w:rsid w:val="002B4805"/>
    <w:rsid w:val="002B4AC5"/>
    <w:rsid w:val="002B4B0E"/>
    <w:rsid w:val="002B4D12"/>
    <w:rsid w:val="002B52BC"/>
    <w:rsid w:val="002B54A9"/>
    <w:rsid w:val="002B5661"/>
    <w:rsid w:val="002B586C"/>
    <w:rsid w:val="002B5E74"/>
    <w:rsid w:val="002B5F5D"/>
    <w:rsid w:val="002B60E9"/>
    <w:rsid w:val="002B63A0"/>
    <w:rsid w:val="002B69BC"/>
    <w:rsid w:val="002B6AE4"/>
    <w:rsid w:val="002B6BBE"/>
    <w:rsid w:val="002B740F"/>
    <w:rsid w:val="002B742B"/>
    <w:rsid w:val="002B76C2"/>
    <w:rsid w:val="002B7750"/>
    <w:rsid w:val="002B79AC"/>
    <w:rsid w:val="002B7D91"/>
    <w:rsid w:val="002C008B"/>
    <w:rsid w:val="002C0147"/>
    <w:rsid w:val="002C0154"/>
    <w:rsid w:val="002C0418"/>
    <w:rsid w:val="002C041D"/>
    <w:rsid w:val="002C0750"/>
    <w:rsid w:val="002C0E00"/>
    <w:rsid w:val="002C1078"/>
    <w:rsid w:val="002C10DF"/>
    <w:rsid w:val="002C1150"/>
    <w:rsid w:val="002C15FE"/>
    <w:rsid w:val="002C17C3"/>
    <w:rsid w:val="002C1F2B"/>
    <w:rsid w:val="002C2058"/>
    <w:rsid w:val="002C2162"/>
    <w:rsid w:val="002C223B"/>
    <w:rsid w:val="002C24D3"/>
    <w:rsid w:val="002C3139"/>
    <w:rsid w:val="002C3275"/>
    <w:rsid w:val="002C33F4"/>
    <w:rsid w:val="002C352A"/>
    <w:rsid w:val="002C3F1F"/>
    <w:rsid w:val="002C47A4"/>
    <w:rsid w:val="002C4C8C"/>
    <w:rsid w:val="002C4DA9"/>
    <w:rsid w:val="002C4E0E"/>
    <w:rsid w:val="002C4EB5"/>
    <w:rsid w:val="002C5475"/>
    <w:rsid w:val="002C5644"/>
    <w:rsid w:val="002C5C8B"/>
    <w:rsid w:val="002C60DA"/>
    <w:rsid w:val="002C6864"/>
    <w:rsid w:val="002C6989"/>
    <w:rsid w:val="002C6BAB"/>
    <w:rsid w:val="002C6BEC"/>
    <w:rsid w:val="002C6FA0"/>
    <w:rsid w:val="002C70A6"/>
    <w:rsid w:val="002C7271"/>
    <w:rsid w:val="002C75AA"/>
    <w:rsid w:val="002C762F"/>
    <w:rsid w:val="002C7CCB"/>
    <w:rsid w:val="002C7EEC"/>
    <w:rsid w:val="002D0395"/>
    <w:rsid w:val="002D0521"/>
    <w:rsid w:val="002D0B3A"/>
    <w:rsid w:val="002D12AD"/>
    <w:rsid w:val="002D182E"/>
    <w:rsid w:val="002D18FF"/>
    <w:rsid w:val="002D1C2A"/>
    <w:rsid w:val="002D1CE6"/>
    <w:rsid w:val="002D1F0D"/>
    <w:rsid w:val="002D1F17"/>
    <w:rsid w:val="002D2632"/>
    <w:rsid w:val="002D28F7"/>
    <w:rsid w:val="002D29C4"/>
    <w:rsid w:val="002D35F8"/>
    <w:rsid w:val="002D3A6E"/>
    <w:rsid w:val="002D3FA6"/>
    <w:rsid w:val="002D4515"/>
    <w:rsid w:val="002D487A"/>
    <w:rsid w:val="002D491E"/>
    <w:rsid w:val="002D4AC9"/>
    <w:rsid w:val="002D51F8"/>
    <w:rsid w:val="002D5278"/>
    <w:rsid w:val="002D5738"/>
    <w:rsid w:val="002D5C3B"/>
    <w:rsid w:val="002D6567"/>
    <w:rsid w:val="002D678F"/>
    <w:rsid w:val="002D6A45"/>
    <w:rsid w:val="002D6B29"/>
    <w:rsid w:val="002D6B97"/>
    <w:rsid w:val="002D735F"/>
    <w:rsid w:val="002D73D2"/>
    <w:rsid w:val="002D7A7A"/>
    <w:rsid w:val="002E006D"/>
    <w:rsid w:val="002E016C"/>
    <w:rsid w:val="002E032E"/>
    <w:rsid w:val="002E0564"/>
    <w:rsid w:val="002E06E1"/>
    <w:rsid w:val="002E097A"/>
    <w:rsid w:val="002E0B58"/>
    <w:rsid w:val="002E0EB7"/>
    <w:rsid w:val="002E1583"/>
    <w:rsid w:val="002E1796"/>
    <w:rsid w:val="002E1CC5"/>
    <w:rsid w:val="002E1DFA"/>
    <w:rsid w:val="002E206E"/>
    <w:rsid w:val="002E2316"/>
    <w:rsid w:val="002E26FB"/>
    <w:rsid w:val="002E27DA"/>
    <w:rsid w:val="002E37B4"/>
    <w:rsid w:val="002E3897"/>
    <w:rsid w:val="002E3B6B"/>
    <w:rsid w:val="002E3E59"/>
    <w:rsid w:val="002E3EDD"/>
    <w:rsid w:val="002E4053"/>
    <w:rsid w:val="002E405E"/>
    <w:rsid w:val="002E4C53"/>
    <w:rsid w:val="002E55C3"/>
    <w:rsid w:val="002E5AA9"/>
    <w:rsid w:val="002E5C64"/>
    <w:rsid w:val="002E60D2"/>
    <w:rsid w:val="002E68C5"/>
    <w:rsid w:val="002E6A8C"/>
    <w:rsid w:val="002E724B"/>
    <w:rsid w:val="002E7282"/>
    <w:rsid w:val="002E7952"/>
    <w:rsid w:val="002E7B52"/>
    <w:rsid w:val="002F029C"/>
    <w:rsid w:val="002F02E1"/>
    <w:rsid w:val="002F04DC"/>
    <w:rsid w:val="002F053C"/>
    <w:rsid w:val="002F12D6"/>
    <w:rsid w:val="002F1725"/>
    <w:rsid w:val="002F1862"/>
    <w:rsid w:val="002F1A0F"/>
    <w:rsid w:val="002F1CC4"/>
    <w:rsid w:val="002F1DD7"/>
    <w:rsid w:val="002F2221"/>
    <w:rsid w:val="002F23BA"/>
    <w:rsid w:val="002F2482"/>
    <w:rsid w:val="002F2C00"/>
    <w:rsid w:val="002F30AF"/>
    <w:rsid w:val="002F32C8"/>
    <w:rsid w:val="002F347A"/>
    <w:rsid w:val="002F3741"/>
    <w:rsid w:val="002F3A2A"/>
    <w:rsid w:val="002F3B06"/>
    <w:rsid w:val="002F3E00"/>
    <w:rsid w:val="002F4A1F"/>
    <w:rsid w:val="002F4B2B"/>
    <w:rsid w:val="002F582E"/>
    <w:rsid w:val="002F5885"/>
    <w:rsid w:val="002F60D3"/>
    <w:rsid w:val="002F616C"/>
    <w:rsid w:val="002F6172"/>
    <w:rsid w:val="002F62E2"/>
    <w:rsid w:val="002F63E6"/>
    <w:rsid w:val="002F64B4"/>
    <w:rsid w:val="002F6908"/>
    <w:rsid w:val="002F69BD"/>
    <w:rsid w:val="002F6ED0"/>
    <w:rsid w:val="002F726F"/>
    <w:rsid w:val="002F743F"/>
    <w:rsid w:val="002F7455"/>
    <w:rsid w:val="002F74A4"/>
    <w:rsid w:val="002F7770"/>
    <w:rsid w:val="002F7974"/>
    <w:rsid w:val="00300099"/>
    <w:rsid w:val="00300480"/>
    <w:rsid w:val="003009EF"/>
    <w:rsid w:val="00300A55"/>
    <w:rsid w:val="00300B5F"/>
    <w:rsid w:val="00300FDF"/>
    <w:rsid w:val="003011EB"/>
    <w:rsid w:val="00301386"/>
    <w:rsid w:val="003014A3"/>
    <w:rsid w:val="003020CF"/>
    <w:rsid w:val="00302712"/>
    <w:rsid w:val="00302760"/>
    <w:rsid w:val="003028CE"/>
    <w:rsid w:val="0030322E"/>
    <w:rsid w:val="0030348F"/>
    <w:rsid w:val="00303897"/>
    <w:rsid w:val="00303F22"/>
    <w:rsid w:val="00304149"/>
    <w:rsid w:val="003042D2"/>
    <w:rsid w:val="00304C5F"/>
    <w:rsid w:val="00304C7E"/>
    <w:rsid w:val="00304F08"/>
    <w:rsid w:val="003050E6"/>
    <w:rsid w:val="0030547A"/>
    <w:rsid w:val="00305510"/>
    <w:rsid w:val="00305570"/>
    <w:rsid w:val="00305A56"/>
    <w:rsid w:val="00305AEE"/>
    <w:rsid w:val="00305B6C"/>
    <w:rsid w:val="00305C42"/>
    <w:rsid w:val="00305D0E"/>
    <w:rsid w:val="00305D47"/>
    <w:rsid w:val="00305F01"/>
    <w:rsid w:val="003060C9"/>
    <w:rsid w:val="003060E2"/>
    <w:rsid w:val="0030662B"/>
    <w:rsid w:val="00306903"/>
    <w:rsid w:val="00306A52"/>
    <w:rsid w:val="00306AB7"/>
    <w:rsid w:val="003071D2"/>
    <w:rsid w:val="003071E7"/>
    <w:rsid w:val="00307673"/>
    <w:rsid w:val="003076D9"/>
    <w:rsid w:val="0030787D"/>
    <w:rsid w:val="00307A35"/>
    <w:rsid w:val="00307B28"/>
    <w:rsid w:val="00307CD6"/>
    <w:rsid w:val="00307D58"/>
    <w:rsid w:val="00307EEE"/>
    <w:rsid w:val="00310386"/>
    <w:rsid w:val="00310613"/>
    <w:rsid w:val="003106C7"/>
    <w:rsid w:val="003107B4"/>
    <w:rsid w:val="00310C25"/>
    <w:rsid w:val="00310CD9"/>
    <w:rsid w:val="00310D8A"/>
    <w:rsid w:val="0031156D"/>
    <w:rsid w:val="00311C5C"/>
    <w:rsid w:val="00311D69"/>
    <w:rsid w:val="00311EB2"/>
    <w:rsid w:val="00311F1D"/>
    <w:rsid w:val="003124BE"/>
    <w:rsid w:val="0031297F"/>
    <w:rsid w:val="00312A7A"/>
    <w:rsid w:val="0031362D"/>
    <w:rsid w:val="0031382C"/>
    <w:rsid w:val="003139EE"/>
    <w:rsid w:val="00313CAA"/>
    <w:rsid w:val="00313CBD"/>
    <w:rsid w:val="00313FB8"/>
    <w:rsid w:val="003147F1"/>
    <w:rsid w:val="00314813"/>
    <w:rsid w:val="00314CBD"/>
    <w:rsid w:val="003150CD"/>
    <w:rsid w:val="0031528E"/>
    <w:rsid w:val="00315338"/>
    <w:rsid w:val="003160E9"/>
    <w:rsid w:val="0031626C"/>
    <w:rsid w:val="00316AD0"/>
    <w:rsid w:val="00316BDE"/>
    <w:rsid w:val="00316E3A"/>
    <w:rsid w:val="003177E4"/>
    <w:rsid w:val="00317ADD"/>
    <w:rsid w:val="00320786"/>
    <w:rsid w:val="00320D71"/>
    <w:rsid w:val="003211EE"/>
    <w:rsid w:val="00321322"/>
    <w:rsid w:val="0032180A"/>
    <w:rsid w:val="00321A0E"/>
    <w:rsid w:val="00321A6F"/>
    <w:rsid w:val="00321D9E"/>
    <w:rsid w:val="00322929"/>
    <w:rsid w:val="00322E07"/>
    <w:rsid w:val="00323641"/>
    <w:rsid w:val="00323799"/>
    <w:rsid w:val="00323836"/>
    <w:rsid w:val="0032386F"/>
    <w:rsid w:val="00323DE2"/>
    <w:rsid w:val="0032403E"/>
    <w:rsid w:val="003243D0"/>
    <w:rsid w:val="00324431"/>
    <w:rsid w:val="0032445F"/>
    <w:rsid w:val="0032474A"/>
    <w:rsid w:val="0032476E"/>
    <w:rsid w:val="0032493E"/>
    <w:rsid w:val="003249B6"/>
    <w:rsid w:val="00324CAC"/>
    <w:rsid w:val="00324E72"/>
    <w:rsid w:val="00324F56"/>
    <w:rsid w:val="003255FA"/>
    <w:rsid w:val="003256DE"/>
    <w:rsid w:val="003257A6"/>
    <w:rsid w:val="00325AC0"/>
    <w:rsid w:val="00325C3F"/>
    <w:rsid w:val="00326340"/>
    <w:rsid w:val="003265AA"/>
    <w:rsid w:val="003267A2"/>
    <w:rsid w:val="00326872"/>
    <w:rsid w:val="00326B5B"/>
    <w:rsid w:val="00326FD9"/>
    <w:rsid w:val="0032759B"/>
    <w:rsid w:val="003275DC"/>
    <w:rsid w:val="003276C1"/>
    <w:rsid w:val="0032784D"/>
    <w:rsid w:val="00327988"/>
    <w:rsid w:val="00327AA0"/>
    <w:rsid w:val="00327C0B"/>
    <w:rsid w:val="00327E1A"/>
    <w:rsid w:val="0033008F"/>
    <w:rsid w:val="00330624"/>
    <w:rsid w:val="003308D6"/>
    <w:rsid w:val="003308F0"/>
    <w:rsid w:val="003309A6"/>
    <w:rsid w:val="00330CFE"/>
    <w:rsid w:val="00330D76"/>
    <w:rsid w:val="0033103D"/>
    <w:rsid w:val="00331350"/>
    <w:rsid w:val="0033139E"/>
    <w:rsid w:val="003313C7"/>
    <w:rsid w:val="00331413"/>
    <w:rsid w:val="003314D4"/>
    <w:rsid w:val="00332547"/>
    <w:rsid w:val="00332B2B"/>
    <w:rsid w:val="00332C16"/>
    <w:rsid w:val="00333490"/>
    <w:rsid w:val="003334BA"/>
    <w:rsid w:val="0033360E"/>
    <w:rsid w:val="00333795"/>
    <w:rsid w:val="003338B8"/>
    <w:rsid w:val="003338F3"/>
    <w:rsid w:val="00333B21"/>
    <w:rsid w:val="00334670"/>
    <w:rsid w:val="003347A2"/>
    <w:rsid w:val="003349C2"/>
    <w:rsid w:val="00334E3F"/>
    <w:rsid w:val="00334F04"/>
    <w:rsid w:val="00334F46"/>
    <w:rsid w:val="0033526B"/>
    <w:rsid w:val="00335322"/>
    <w:rsid w:val="003353E7"/>
    <w:rsid w:val="003356A1"/>
    <w:rsid w:val="00335D5F"/>
    <w:rsid w:val="003362C6"/>
    <w:rsid w:val="00336BEC"/>
    <w:rsid w:val="003370CE"/>
    <w:rsid w:val="00337972"/>
    <w:rsid w:val="00337D5B"/>
    <w:rsid w:val="00337EAE"/>
    <w:rsid w:val="003405D7"/>
    <w:rsid w:val="00340768"/>
    <w:rsid w:val="00340837"/>
    <w:rsid w:val="00340E60"/>
    <w:rsid w:val="00340F6F"/>
    <w:rsid w:val="00341261"/>
    <w:rsid w:val="003412DD"/>
    <w:rsid w:val="00341837"/>
    <w:rsid w:val="003418CA"/>
    <w:rsid w:val="00341E08"/>
    <w:rsid w:val="00341F22"/>
    <w:rsid w:val="00342529"/>
    <w:rsid w:val="003425DE"/>
    <w:rsid w:val="00342789"/>
    <w:rsid w:val="00342998"/>
    <w:rsid w:val="00342B38"/>
    <w:rsid w:val="0034315F"/>
    <w:rsid w:val="003437A5"/>
    <w:rsid w:val="003438FF"/>
    <w:rsid w:val="00343E75"/>
    <w:rsid w:val="0034400B"/>
    <w:rsid w:val="0034411E"/>
    <w:rsid w:val="003441CA"/>
    <w:rsid w:val="0034427A"/>
    <w:rsid w:val="00344478"/>
    <w:rsid w:val="003446F4"/>
    <w:rsid w:val="003447A0"/>
    <w:rsid w:val="00344C79"/>
    <w:rsid w:val="00344CD0"/>
    <w:rsid w:val="00344E82"/>
    <w:rsid w:val="00345383"/>
    <w:rsid w:val="0034574C"/>
    <w:rsid w:val="003458C8"/>
    <w:rsid w:val="00345BE6"/>
    <w:rsid w:val="00345BF2"/>
    <w:rsid w:val="00345F30"/>
    <w:rsid w:val="00346433"/>
    <w:rsid w:val="00346660"/>
    <w:rsid w:val="00346C80"/>
    <w:rsid w:val="00346D60"/>
    <w:rsid w:val="00347389"/>
    <w:rsid w:val="00347802"/>
    <w:rsid w:val="00347AC7"/>
    <w:rsid w:val="00347B0B"/>
    <w:rsid w:val="00347B98"/>
    <w:rsid w:val="00347BA2"/>
    <w:rsid w:val="00347DF5"/>
    <w:rsid w:val="0035017A"/>
    <w:rsid w:val="003502E2"/>
    <w:rsid w:val="00350354"/>
    <w:rsid w:val="003506AB"/>
    <w:rsid w:val="0035087D"/>
    <w:rsid w:val="00350D72"/>
    <w:rsid w:val="00350DE6"/>
    <w:rsid w:val="003515BE"/>
    <w:rsid w:val="003517C5"/>
    <w:rsid w:val="00351920"/>
    <w:rsid w:val="00351941"/>
    <w:rsid w:val="00351AA2"/>
    <w:rsid w:val="00351CFC"/>
    <w:rsid w:val="0035243A"/>
    <w:rsid w:val="003541D7"/>
    <w:rsid w:val="003543E3"/>
    <w:rsid w:val="00354523"/>
    <w:rsid w:val="00354701"/>
    <w:rsid w:val="00354AC5"/>
    <w:rsid w:val="00354AEF"/>
    <w:rsid w:val="00354B59"/>
    <w:rsid w:val="00354BAF"/>
    <w:rsid w:val="00354F76"/>
    <w:rsid w:val="00354FA7"/>
    <w:rsid w:val="00355436"/>
    <w:rsid w:val="0035568B"/>
    <w:rsid w:val="00355782"/>
    <w:rsid w:val="003557C9"/>
    <w:rsid w:val="00355E9A"/>
    <w:rsid w:val="00355E9C"/>
    <w:rsid w:val="00355FE3"/>
    <w:rsid w:val="00355FF0"/>
    <w:rsid w:val="003561C0"/>
    <w:rsid w:val="0035621E"/>
    <w:rsid w:val="00356269"/>
    <w:rsid w:val="003562DE"/>
    <w:rsid w:val="003567AA"/>
    <w:rsid w:val="00356C78"/>
    <w:rsid w:val="00357EB8"/>
    <w:rsid w:val="00357EEF"/>
    <w:rsid w:val="00357FA1"/>
    <w:rsid w:val="00360539"/>
    <w:rsid w:val="00360793"/>
    <w:rsid w:val="00360AA1"/>
    <w:rsid w:val="00360D04"/>
    <w:rsid w:val="00360D1C"/>
    <w:rsid w:val="00361675"/>
    <w:rsid w:val="003617AC"/>
    <w:rsid w:val="003617C8"/>
    <w:rsid w:val="00361BC5"/>
    <w:rsid w:val="00361FC6"/>
    <w:rsid w:val="0036213E"/>
    <w:rsid w:val="00362B38"/>
    <w:rsid w:val="00362CE7"/>
    <w:rsid w:val="00362DB5"/>
    <w:rsid w:val="0036300F"/>
    <w:rsid w:val="003632E2"/>
    <w:rsid w:val="0036353D"/>
    <w:rsid w:val="003635D5"/>
    <w:rsid w:val="003635E4"/>
    <w:rsid w:val="00363B85"/>
    <w:rsid w:val="00363D97"/>
    <w:rsid w:val="00364995"/>
    <w:rsid w:val="00364D39"/>
    <w:rsid w:val="00364E02"/>
    <w:rsid w:val="003650BD"/>
    <w:rsid w:val="003653C1"/>
    <w:rsid w:val="00365865"/>
    <w:rsid w:val="003659DE"/>
    <w:rsid w:val="00365A9C"/>
    <w:rsid w:val="00365F50"/>
    <w:rsid w:val="0036623C"/>
    <w:rsid w:val="003666E6"/>
    <w:rsid w:val="003667C0"/>
    <w:rsid w:val="003668AD"/>
    <w:rsid w:val="003668DD"/>
    <w:rsid w:val="00366D92"/>
    <w:rsid w:val="0036702B"/>
    <w:rsid w:val="003674DD"/>
    <w:rsid w:val="00367621"/>
    <w:rsid w:val="003678F1"/>
    <w:rsid w:val="00367BDE"/>
    <w:rsid w:val="00367DB1"/>
    <w:rsid w:val="00370343"/>
    <w:rsid w:val="003706D2"/>
    <w:rsid w:val="00370747"/>
    <w:rsid w:val="00370BCD"/>
    <w:rsid w:val="00370C6E"/>
    <w:rsid w:val="003710BB"/>
    <w:rsid w:val="00371410"/>
    <w:rsid w:val="00371876"/>
    <w:rsid w:val="00371CCF"/>
    <w:rsid w:val="00371FCA"/>
    <w:rsid w:val="00372082"/>
    <w:rsid w:val="00372625"/>
    <w:rsid w:val="0037271B"/>
    <w:rsid w:val="00372734"/>
    <w:rsid w:val="003727E3"/>
    <w:rsid w:val="00372C39"/>
    <w:rsid w:val="00373912"/>
    <w:rsid w:val="00373984"/>
    <w:rsid w:val="00373D3D"/>
    <w:rsid w:val="00373F76"/>
    <w:rsid w:val="0037414E"/>
    <w:rsid w:val="00374451"/>
    <w:rsid w:val="00374540"/>
    <w:rsid w:val="00374742"/>
    <w:rsid w:val="0037505C"/>
    <w:rsid w:val="00375069"/>
    <w:rsid w:val="00375372"/>
    <w:rsid w:val="003755F5"/>
    <w:rsid w:val="00375A08"/>
    <w:rsid w:val="00375AD5"/>
    <w:rsid w:val="00375B8E"/>
    <w:rsid w:val="003760E0"/>
    <w:rsid w:val="003767E8"/>
    <w:rsid w:val="00376E69"/>
    <w:rsid w:val="003771DE"/>
    <w:rsid w:val="0037725B"/>
    <w:rsid w:val="00377386"/>
    <w:rsid w:val="003773D4"/>
    <w:rsid w:val="00377682"/>
    <w:rsid w:val="003778C5"/>
    <w:rsid w:val="003779B6"/>
    <w:rsid w:val="00377CAE"/>
    <w:rsid w:val="00377D1C"/>
    <w:rsid w:val="00377E4D"/>
    <w:rsid w:val="003803E0"/>
    <w:rsid w:val="00380843"/>
    <w:rsid w:val="00380C02"/>
    <w:rsid w:val="00380D7A"/>
    <w:rsid w:val="00380E70"/>
    <w:rsid w:val="00380EA3"/>
    <w:rsid w:val="00380F3C"/>
    <w:rsid w:val="00380F61"/>
    <w:rsid w:val="00381148"/>
    <w:rsid w:val="0038154A"/>
    <w:rsid w:val="00381B94"/>
    <w:rsid w:val="00381EE0"/>
    <w:rsid w:val="00382154"/>
    <w:rsid w:val="00382176"/>
    <w:rsid w:val="003821B5"/>
    <w:rsid w:val="003824CF"/>
    <w:rsid w:val="00382669"/>
    <w:rsid w:val="003826C8"/>
    <w:rsid w:val="0038293A"/>
    <w:rsid w:val="00383092"/>
    <w:rsid w:val="00383255"/>
    <w:rsid w:val="0038359E"/>
    <w:rsid w:val="0038370C"/>
    <w:rsid w:val="00383883"/>
    <w:rsid w:val="00383B81"/>
    <w:rsid w:val="00383DFE"/>
    <w:rsid w:val="00383F60"/>
    <w:rsid w:val="0038400A"/>
    <w:rsid w:val="003841A0"/>
    <w:rsid w:val="0038422F"/>
    <w:rsid w:val="0038455D"/>
    <w:rsid w:val="00384835"/>
    <w:rsid w:val="0038492A"/>
    <w:rsid w:val="00384BAF"/>
    <w:rsid w:val="00384DDD"/>
    <w:rsid w:val="003850A7"/>
    <w:rsid w:val="0038524C"/>
    <w:rsid w:val="0038525B"/>
    <w:rsid w:val="00385868"/>
    <w:rsid w:val="00385B78"/>
    <w:rsid w:val="00385C93"/>
    <w:rsid w:val="00385FE4"/>
    <w:rsid w:val="00386290"/>
    <w:rsid w:val="0038683C"/>
    <w:rsid w:val="003868C6"/>
    <w:rsid w:val="00386AC7"/>
    <w:rsid w:val="00386ED2"/>
    <w:rsid w:val="00386EF0"/>
    <w:rsid w:val="0038746A"/>
    <w:rsid w:val="00387578"/>
    <w:rsid w:val="003877A7"/>
    <w:rsid w:val="00387A6C"/>
    <w:rsid w:val="003903AE"/>
    <w:rsid w:val="00390570"/>
    <w:rsid w:val="00390840"/>
    <w:rsid w:val="00390B61"/>
    <w:rsid w:val="00390BF6"/>
    <w:rsid w:val="00390BFC"/>
    <w:rsid w:val="003910E9"/>
    <w:rsid w:val="0039119E"/>
    <w:rsid w:val="0039132D"/>
    <w:rsid w:val="00391419"/>
    <w:rsid w:val="003917EA"/>
    <w:rsid w:val="00391A11"/>
    <w:rsid w:val="00391FB9"/>
    <w:rsid w:val="00392568"/>
    <w:rsid w:val="00392BA9"/>
    <w:rsid w:val="00392D94"/>
    <w:rsid w:val="00392DBF"/>
    <w:rsid w:val="00392FA3"/>
    <w:rsid w:val="003930B7"/>
    <w:rsid w:val="00393362"/>
    <w:rsid w:val="003934A8"/>
    <w:rsid w:val="0039367A"/>
    <w:rsid w:val="00393B90"/>
    <w:rsid w:val="00393C34"/>
    <w:rsid w:val="00393D3A"/>
    <w:rsid w:val="003943DD"/>
    <w:rsid w:val="0039454C"/>
    <w:rsid w:val="003947DA"/>
    <w:rsid w:val="00394D62"/>
    <w:rsid w:val="00394E39"/>
    <w:rsid w:val="00394F3C"/>
    <w:rsid w:val="00394FF3"/>
    <w:rsid w:val="003951D5"/>
    <w:rsid w:val="003955CF"/>
    <w:rsid w:val="0039566D"/>
    <w:rsid w:val="00395701"/>
    <w:rsid w:val="0039577B"/>
    <w:rsid w:val="00395C04"/>
    <w:rsid w:val="00395E32"/>
    <w:rsid w:val="00396006"/>
    <w:rsid w:val="00396393"/>
    <w:rsid w:val="003964AB"/>
    <w:rsid w:val="003968E2"/>
    <w:rsid w:val="0039690F"/>
    <w:rsid w:val="00396B6F"/>
    <w:rsid w:val="00396CB3"/>
    <w:rsid w:val="00396CC0"/>
    <w:rsid w:val="003975F7"/>
    <w:rsid w:val="003976B4"/>
    <w:rsid w:val="003977BD"/>
    <w:rsid w:val="0039797F"/>
    <w:rsid w:val="00397E48"/>
    <w:rsid w:val="00397EE0"/>
    <w:rsid w:val="00397F72"/>
    <w:rsid w:val="003A017D"/>
    <w:rsid w:val="003A0184"/>
    <w:rsid w:val="003A08B5"/>
    <w:rsid w:val="003A16FE"/>
    <w:rsid w:val="003A1C0B"/>
    <w:rsid w:val="003A1CA5"/>
    <w:rsid w:val="003A2181"/>
    <w:rsid w:val="003A2393"/>
    <w:rsid w:val="003A2A13"/>
    <w:rsid w:val="003A3063"/>
    <w:rsid w:val="003A3559"/>
    <w:rsid w:val="003A37F7"/>
    <w:rsid w:val="003A3858"/>
    <w:rsid w:val="003A3861"/>
    <w:rsid w:val="003A3AD7"/>
    <w:rsid w:val="003A3C55"/>
    <w:rsid w:val="003A3E98"/>
    <w:rsid w:val="003A3FDB"/>
    <w:rsid w:val="003A4159"/>
    <w:rsid w:val="003A425F"/>
    <w:rsid w:val="003A4880"/>
    <w:rsid w:val="003A4A7A"/>
    <w:rsid w:val="003A4AAA"/>
    <w:rsid w:val="003A4DBE"/>
    <w:rsid w:val="003A4E87"/>
    <w:rsid w:val="003A4FD6"/>
    <w:rsid w:val="003A50B7"/>
    <w:rsid w:val="003A5161"/>
    <w:rsid w:val="003A51DE"/>
    <w:rsid w:val="003A5675"/>
    <w:rsid w:val="003A59A2"/>
    <w:rsid w:val="003A5A3D"/>
    <w:rsid w:val="003A5B04"/>
    <w:rsid w:val="003A5F11"/>
    <w:rsid w:val="003A6196"/>
    <w:rsid w:val="003A67E6"/>
    <w:rsid w:val="003A68AF"/>
    <w:rsid w:val="003A6D99"/>
    <w:rsid w:val="003A70E1"/>
    <w:rsid w:val="003B0067"/>
    <w:rsid w:val="003B0101"/>
    <w:rsid w:val="003B01D9"/>
    <w:rsid w:val="003B01DC"/>
    <w:rsid w:val="003B03CB"/>
    <w:rsid w:val="003B0B1C"/>
    <w:rsid w:val="003B0D01"/>
    <w:rsid w:val="003B134B"/>
    <w:rsid w:val="003B1609"/>
    <w:rsid w:val="003B198E"/>
    <w:rsid w:val="003B1F1E"/>
    <w:rsid w:val="003B1F3F"/>
    <w:rsid w:val="003B2069"/>
    <w:rsid w:val="003B2220"/>
    <w:rsid w:val="003B22ED"/>
    <w:rsid w:val="003B264B"/>
    <w:rsid w:val="003B289A"/>
    <w:rsid w:val="003B29C0"/>
    <w:rsid w:val="003B2DA4"/>
    <w:rsid w:val="003B2E71"/>
    <w:rsid w:val="003B34D4"/>
    <w:rsid w:val="003B371A"/>
    <w:rsid w:val="003B4344"/>
    <w:rsid w:val="003B491B"/>
    <w:rsid w:val="003B5788"/>
    <w:rsid w:val="003B66BF"/>
    <w:rsid w:val="003B67E6"/>
    <w:rsid w:val="003B6B43"/>
    <w:rsid w:val="003B6E54"/>
    <w:rsid w:val="003B6E6E"/>
    <w:rsid w:val="003B715B"/>
    <w:rsid w:val="003B793A"/>
    <w:rsid w:val="003B7E68"/>
    <w:rsid w:val="003C000F"/>
    <w:rsid w:val="003C0259"/>
    <w:rsid w:val="003C02E3"/>
    <w:rsid w:val="003C0A92"/>
    <w:rsid w:val="003C0C4C"/>
    <w:rsid w:val="003C0D28"/>
    <w:rsid w:val="003C1B4B"/>
    <w:rsid w:val="003C22A2"/>
    <w:rsid w:val="003C2788"/>
    <w:rsid w:val="003C2AD0"/>
    <w:rsid w:val="003C2CA9"/>
    <w:rsid w:val="003C2D82"/>
    <w:rsid w:val="003C33B2"/>
    <w:rsid w:val="003C34F8"/>
    <w:rsid w:val="003C3B32"/>
    <w:rsid w:val="003C3C97"/>
    <w:rsid w:val="003C3CA9"/>
    <w:rsid w:val="003C4499"/>
    <w:rsid w:val="003C494E"/>
    <w:rsid w:val="003C4B7E"/>
    <w:rsid w:val="003C4FC0"/>
    <w:rsid w:val="003C5B76"/>
    <w:rsid w:val="003C5BA3"/>
    <w:rsid w:val="003C5EE5"/>
    <w:rsid w:val="003C60EE"/>
    <w:rsid w:val="003C62A4"/>
    <w:rsid w:val="003C64AD"/>
    <w:rsid w:val="003C65E5"/>
    <w:rsid w:val="003C672E"/>
    <w:rsid w:val="003C685D"/>
    <w:rsid w:val="003C6970"/>
    <w:rsid w:val="003C6CBD"/>
    <w:rsid w:val="003C6DE3"/>
    <w:rsid w:val="003C6E97"/>
    <w:rsid w:val="003C6EB1"/>
    <w:rsid w:val="003C73A4"/>
    <w:rsid w:val="003C7423"/>
    <w:rsid w:val="003C74A8"/>
    <w:rsid w:val="003C74FB"/>
    <w:rsid w:val="003C75BF"/>
    <w:rsid w:val="003C7651"/>
    <w:rsid w:val="003C78EF"/>
    <w:rsid w:val="003C7AC5"/>
    <w:rsid w:val="003C7DE8"/>
    <w:rsid w:val="003C7E91"/>
    <w:rsid w:val="003D05AF"/>
    <w:rsid w:val="003D0910"/>
    <w:rsid w:val="003D0A80"/>
    <w:rsid w:val="003D0E83"/>
    <w:rsid w:val="003D10C1"/>
    <w:rsid w:val="003D136A"/>
    <w:rsid w:val="003D1473"/>
    <w:rsid w:val="003D1522"/>
    <w:rsid w:val="003D1B84"/>
    <w:rsid w:val="003D1CC9"/>
    <w:rsid w:val="003D1EC7"/>
    <w:rsid w:val="003D1FAB"/>
    <w:rsid w:val="003D21ED"/>
    <w:rsid w:val="003D23B0"/>
    <w:rsid w:val="003D259F"/>
    <w:rsid w:val="003D25F5"/>
    <w:rsid w:val="003D26A8"/>
    <w:rsid w:val="003D2F59"/>
    <w:rsid w:val="003D390D"/>
    <w:rsid w:val="003D4219"/>
    <w:rsid w:val="003D457B"/>
    <w:rsid w:val="003D49F7"/>
    <w:rsid w:val="003D4D39"/>
    <w:rsid w:val="003D4D74"/>
    <w:rsid w:val="003D4D92"/>
    <w:rsid w:val="003D4DF8"/>
    <w:rsid w:val="003D4E1F"/>
    <w:rsid w:val="003D4E68"/>
    <w:rsid w:val="003D4FEA"/>
    <w:rsid w:val="003D5001"/>
    <w:rsid w:val="003D5012"/>
    <w:rsid w:val="003D5028"/>
    <w:rsid w:val="003D539A"/>
    <w:rsid w:val="003D563C"/>
    <w:rsid w:val="003D5822"/>
    <w:rsid w:val="003D5F93"/>
    <w:rsid w:val="003D63D7"/>
    <w:rsid w:val="003D63E1"/>
    <w:rsid w:val="003D6F77"/>
    <w:rsid w:val="003D766E"/>
    <w:rsid w:val="003D77EA"/>
    <w:rsid w:val="003D7A00"/>
    <w:rsid w:val="003D7A37"/>
    <w:rsid w:val="003E009F"/>
    <w:rsid w:val="003E03EC"/>
    <w:rsid w:val="003E0AFE"/>
    <w:rsid w:val="003E0D1B"/>
    <w:rsid w:val="003E105B"/>
    <w:rsid w:val="003E1107"/>
    <w:rsid w:val="003E110B"/>
    <w:rsid w:val="003E187E"/>
    <w:rsid w:val="003E1A42"/>
    <w:rsid w:val="003E1B28"/>
    <w:rsid w:val="003E1D5E"/>
    <w:rsid w:val="003E1F6D"/>
    <w:rsid w:val="003E20AF"/>
    <w:rsid w:val="003E22C1"/>
    <w:rsid w:val="003E2420"/>
    <w:rsid w:val="003E2A11"/>
    <w:rsid w:val="003E2FE0"/>
    <w:rsid w:val="003E3099"/>
    <w:rsid w:val="003E315D"/>
    <w:rsid w:val="003E37D0"/>
    <w:rsid w:val="003E37D9"/>
    <w:rsid w:val="003E3A50"/>
    <w:rsid w:val="003E3FC6"/>
    <w:rsid w:val="003E3FCA"/>
    <w:rsid w:val="003E4373"/>
    <w:rsid w:val="003E51CE"/>
    <w:rsid w:val="003E5280"/>
    <w:rsid w:val="003E5367"/>
    <w:rsid w:val="003E589A"/>
    <w:rsid w:val="003E5B3C"/>
    <w:rsid w:val="003E5D45"/>
    <w:rsid w:val="003E5DAF"/>
    <w:rsid w:val="003E6100"/>
    <w:rsid w:val="003E668E"/>
    <w:rsid w:val="003E6748"/>
    <w:rsid w:val="003E6819"/>
    <w:rsid w:val="003E6F4A"/>
    <w:rsid w:val="003E71C9"/>
    <w:rsid w:val="003E749B"/>
    <w:rsid w:val="003E7B2A"/>
    <w:rsid w:val="003E7ED5"/>
    <w:rsid w:val="003F0243"/>
    <w:rsid w:val="003F0429"/>
    <w:rsid w:val="003F0AB0"/>
    <w:rsid w:val="003F1CDA"/>
    <w:rsid w:val="003F1D5A"/>
    <w:rsid w:val="003F1E75"/>
    <w:rsid w:val="003F1EA0"/>
    <w:rsid w:val="003F1FD2"/>
    <w:rsid w:val="003F21E4"/>
    <w:rsid w:val="003F2230"/>
    <w:rsid w:val="003F2990"/>
    <w:rsid w:val="003F2BA9"/>
    <w:rsid w:val="003F2F8C"/>
    <w:rsid w:val="003F2FB3"/>
    <w:rsid w:val="003F2FFC"/>
    <w:rsid w:val="003F3163"/>
    <w:rsid w:val="003F3350"/>
    <w:rsid w:val="003F336C"/>
    <w:rsid w:val="003F33FF"/>
    <w:rsid w:val="003F3512"/>
    <w:rsid w:val="003F375D"/>
    <w:rsid w:val="003F3A34"/>
    <w:rsid w:val="003F3D4E"/>
    <w:rsid w:val="003F40B4"/>
    <w:rsid w:val="003F43F2"/>
    <w:rsid w:val="003F453F"/>
    <w:rsid w:val="003F47A3"/>
    <w:rsid w:val="003F507F"/>
    <w:rsid w:val="003F5535"/>
    <w:rsid w:val="003F5693"/>
    <w:rsid w:val="003F58F8"/>
    <w:rsid w:val="003F59FD"/>
    <w:rsid w:val="003F5A9A"/>
    <w:rsid w:val="003F5AA9"/>
    <w:rsid w:val="003F5AEC"/>
    <w:rsid w:val="003F6369"/>
    <w:rsid w:val="003F6531"/>
    <w:rsid w:val="003F667A"/>
    <w:rsid w:val="003F72E6"/>
    <w:rsid w:val="003F783E"/>
    <w:rsid w:val="003F7A39"/>
    <w:rsid w:val="004000A3"/>
    <w:rsid w:val="004000E3"/>
    <w:rsid w:val="004001A8"/>
    <w:rsid w:val="00400534"/>
    <w:rsid w:val="004007BF"/>
    <w:rsid w:val="004008F3"/>
    <w:rsid w:val="0040092C"/>
    <w:rsid w:val="00400F81"/>
    <w:rsid w:val="00401112"/>
    <w:rsid w:val="00401510"/>
    <w:rsid w:val="00401710"/>
    <w:rsid w:val="0040197E"/>
    <w:rsid w:val="00401CE5"/>
    <w:rsid w:val="00401DDF"/>
    <w:rsid w:val="004020BA"/>
    <w:rsid w:val="00402298"/>
    <w:rsid w:val="00402527"/>
    <w:rsid w:val="00402D73"/>
    <w:rsid w:val="00402DA0"/>
    <w:rsid w:val="00402DB2"/>
    <w:rsid w:val="00402FB3"/>
    <w:rsid w:val="0040314D"/>
    <w:rsid w:val="004031B0"/>
    <w:rsid w:val="0040325D"/>
    <w:rsid w:val="0040368A"/>
    <w:rsid w:val="004039C4"/>
    <w:rsid w:val="00403C75"/>
    <w:rsid w:val="00403F57"/>
    <w:rsid w:val="0040432C"/>
    <w:rsid w:val="004044EB"/>
    <w:rsid w:val="00404A37"/>
    <w:rsid w:val="00404B80"/>
    <w:rsid w:val="00404F8F"/>
    <w:rsid w:val="004054B6"/>
    <w:rsid w:val="00405637"/>
    <w:rsid w:val="00405824"/>
    <w:rsid w:val="00405AA5"/>
    <w:rsid w:val="00405B29"/>
    <w:rsid w:val="0040770C"/>
    <w:rsid w:val="004077CD"/>
    <w:rsid w:val="00407975"/>
    <w:rsid w:val="00407AD3"/>
    <w:rsid w:val="00407F8B"/>
    <w:rsid w:val="00410959"/>
    <w:rsid w:val="00410969"/>
    <w:rsid w:val="004112AC"/>
    <w:rsid w:val="00411383"/>
    <w:rsid w:val="00411A9A"/>
    <w:rsid w:val="004120D9"/>
    <w:rsid w:val="0041273C"/>
    <w:rsid w:val="00412AD6"/>
    <w:rsid w:val="00412B95"/>
    <w:rsid w:val="00412C2D"/>
    <w:rsid w:val="00412E10"/>
    <w:rsid w:val="004135C6"/>
    <w:rsid w:val="00413736"/>
    <w:rsid w:val="004137AD"/>
    <w:rsid w:val="00413D32"/>
    <w:rsid w:val="004140C8"/>
    <w:rsid w:val="00414296"/>
    <w:rsid w:val="004142FC"/>
    <w:rsid w:val="00414347"/>
    <w:rsid w:val="00414670"/>
    <w:rsid w:val="00414857"/>
    <w:rsid w:val="00414903"/>
    <w:rsid w:val="00414EA8"/>
    <w:rsid w:val="0041524A"/>
    <w:rsid w:val="00415439"/>
    <w:rsid w:val="0041570E"/>
    <w:rsid w:val="004158C4"/>
    <w:rsid w:val="00415A39"/>
    <w:rsid w:val="00415BB5"/>
    <w:rsid w:val="00415DA8"/>
    <w:rsid w:val="00415F17"/>
    <w:rsid w:val="0041618E"/>
    <w:rsid w:val="0041621C"/>
    <w:rsid w:val="004162E2"/>
    <w:rsid w:val="004177C4"/>
    <w:rsid w:val="00417A0A"/>
    <w:rsid w:val="00417A4B"/>
    <w:rsid w:val="004201E1"/>
    <w:rsid w:val="0042021A"/>
    <w:rsid w:val="00420278"/>
    <w:rsid w:val="0042051B"/>
    <w:rsid w:val="00420A19"/>
    <w:rsid w:val="00420C44"/>
    <w:rsid w:val="0042135E"/>
    <w:rsid w:val="004217D9"/>
    <w:rsid w:val="00421991"/>
    <w:rsid w:val="00421A61"/>
    <w:rsid w:val="00421C11"/>
    <w:rsid w:val="00421C1C"/>
    <w:rsid w:val="00421CB1"/>
    <w:rsid w:val="00421E03"/>
    <w:rsid w:val="0042211C"/>
    <w:rsid w:val="00422634"/>
    <w:rsid w:val="0042263B"/>
    <w:rsid w:val="00422930"/>
    <w:rsid w:val="00422D50"/>
    <w:rsid w:val="00423069"/>
    <w:rsid w:val="00423337"/>
    <w:rsid w:val="004234A5"/>
    <w:rsid w:val="0042376D"/>
    <w:rsid w:val="00423913"/>
    <w:rsid w:val="00423F01"/>
    <w:rsid w:val="004242CF"/>
    <w:rsid w:val="0042494E"/>
    <w:rsid w:val="00424983"/>
    <w:rsid w:val="00424997"/>
    <w:rsid w:val="00424CDC"/>
    <w:rsid w:val="00424E56"/>
    <w:rsid w:val="0042566C"/>
    <w:rsid w:val="00425903"/>
    <w:rsid w:val="00425938"/>
    <w:rsid w:val="00425E2E"/>
    <w:rsid w:val="00426212"/>
    <w:rsid w:val="004262D5"/>
    <w:rsid w:val="0042633A"/>
    <w:rsid w:val="0042633B"/>
    <w:rsid w:val="0042643E"/>
    <w:rsid w:val="00426614"/>
    <w:rsid w:val="00426E3A"/>
    <w:rsid w:val="00426E3E"/>
    <w:rsid w:val="00427359"/>
    <w:rsid w:val="004274BF"/>
    <w:rsid w:val="004279BE"/>
    <w:rsid w:val="00427B5A"/>
    <w:rsid w:val="0043002A"/>
    <w:rsid w:val="004303A7"/>
    <w:rsid w:val="00430520"/>
    <w:rsid w:val="00430700"/>
    <w:rsid w:val="00430D51"/>
    <w:rsid w:val="00431122"/>
    <w:rsid w:val="004317A4"/>
    <w:rsid w:val="00431A6F"/>
    <w:rsid w:val="00431D44"/>
    <w:rsid w:val="00432474"/>
    <w:rsid w:val="0043249C"/>
    <w:rsid w:val="00432C0D"/>
    <w:rsid w:val="0043352B"/>
    <w:rsid w:val="00433557"/>
    <w:rsid w:val="00433AAD"/>
    <w:rsid w:val="00434021"/>
    <w:rsid w:val="00434140"/>
    <w:rsid w:val="00434457"/>
    <w:rsid w:val="004344C7"/>
    <w:rsid w:val="0043459F"/>
    <w:rsid w:val="004347DE"/>
    <w:rsid w:val="00434A28"/>
    <w:rsid w:val="00434B56"/>
    <w:rsid w:val="00434DE9"/>
    <w:rsid w:val="00435372"/>
    <w:rsid w:val="00435830"/>
    <w:rsid w:val="00436DFA"/>
    <w:rsid w:val="00437462"/>
    <w:rsid w:val="00437557"/>
    <w:rsid w:val="004401F3"/>
    <w:rsid w:val="00440646"/>
    <w:rsid w:val="004408CA"/>
    <w:rsid w:val="004408D8"/>
    <w:rsid w:val="00440D78"/>
    <w:rsid w:val="004412CB"/>
    <w:rsid w:val="004412D0"/>
    <w:rsid w:val="00441405"/>
    <w:rsid w:val="00441572"/>
    <w:rsid w:val="004421D7"/>
    <w:rsid w:val="00442354"/>
    <w:rsid w:val="004424FE"/>
    <w:rsid w:val="0044251E"/>
    <w:rsid w:val="004427AD"/>
    <w:rsid w:val="0044289C"/>
    <w:rsid w:val="00442A2A"/>
    <w:rsid w:val="0044332E"/>
    <w:rsid w:val="00443544"/>
    <w:rsid w:val="004435D9"/>
    <w:rsid w:val="00443C9E"/>
    <w:rsid w:val="00444008"/>
    <w:rsid w:val="00444444"/>
    <w:rsid w:val="00444570"/>
    <w:rsid w:val="0044471E"/>
    <w:rsid w:val="00444E80"/>
    <w:rsid w:val="00445017"/>
    <w:rsid w:val="0044514B"/>
    <w:rsid w:val="004451B5"/>
    <w:rsid w:val="0044550D"/>
    <w:rsid w:val="0044555B"/>
    <w:rsid w:val="00445D6D"/>
    <w:rsid w:val="00445FF7"/>
    <w:rsid w:val="00446994"/>
    <w:rsid w:val="00446B82"/>
    <w:rsid w:val="00446DD4"/>
    <w:rsid w:val="00446ECB"/>
    <w:rsid w:val="00446F56"/>
    <w:rsid w:val="00446FB1"/>
    <w:rsid w:val="004470B8"/>
    <w:rsid w:val="004475B9"/>
    <w:rsid w:val="004475BC"/>
    <w:rsid w:val="0044775F"/>
    <w:rsid w:val="004479BF"/>
    <w:rsid w:val="00447B94"/>
    <w:rsid w:val="00447CEF"/>
    <w:rsid w:val="00447E5C"/>
    <w:rsid w:val="00447F92"/>
    <w:rsid w:val="0045027E"/>
    <w:rsid w:val="00450921"/>
    <w:rsid w:val="00450A3E"/>
    <w:rsid w:val="00450CE2"/>
    <w:rsid w:val="00450FD7"/>
    <w:rsid w:val="004511A7"/>
    <w:rsid w:val="00451628"/>
    <w:rsid w:val="00451835"/>
    <w:rsid w:val="004518E7"/>
    <w:rsid w:val="00451B95"/>
    <w:rsid w:val="00451C27"/>
    <w:rsid w:val="00451D48"/>
    <w:rsid w:val="00451E5E"/>
    <w:rsid w:val="004520A4"/>
    <w:rsid w:val="004520B9"/>
    <w:rsid w:val="004523C8"/>
    <w:rsid w:val="00452625"/>
    <w:rsid w:val="0045326B"/>
    <w:rsid w:val="004536BA"/>
    <w:rsid w:val="0045370D"/>
    <w:rsid w:val="0045383D"/>
    <w:rsid w:val="00453D21"/>
    <w:rsid w:val="00454290"/>
    <w:rsid w:val="004542AB"/>
    <w:rsid w:val="00454545"/>
    <w:rsid w:val="00454A08"/>
    <w:rsid w:val="00454BBC"/>
    <w:rsid w:val="00454FB9"/>
    <w:rsid w:val="00454FF4"/>
    <w:rsid w:val="00455008"/>
    <w:rsid w:val="0045513B"/>
    <w:rsid w:val="0045535F"/>
    <w:rsid w:val="004553D9"/>
    <w:rsid w:val="00455687"/>
    <w:rsid w:val="00455BF9"/>
    <w:rsid w:val="00455CA5"/>
    <w:rsid w:val="00455D62"/>
    <w:rsid w:val="00455D7D"/>
    <w:rsid w:val="00456191"/>
    <w:rsid w:val="00456335"/>
    <w:rsid w:val="004564BF"/>
    <w:rsid w:val="00456676"/>
    <w:rsid w:val="004573F5"/>
    <w:rsid w:val="00457544"/>
    <w:rsid w:val="004576D0"/>
    <w:rsid w:val="00457C98"/>
    <w:rsid w:val="00457DAE"/>
    <w:rsid w:val="0046062D"/>
    <w:rsid w:val="004606A2"/>
    <w:rsid w:val="004606EF"/>
    <w:rsid w:val="00460894"/>
    <w:rsid w:val="0046106D"/>
    <w:rsid w:val="004610A1"/>
    <w:rsid w:val="004615BD"/>
    <w:rsid w:val="00461790"/>
    <w:rsid w:val="00461D28"/>
    <w:rsid w:val="00461F0E"/>
    <w:rsid w:val="00461F26"/>
    <w:rsid w:val="00462488"/>
    <w:rsid w:val="00462823"/>
    <w:rsid w:val="004628A8"/>
    <w:rsid w:val="00462BF4"/>
    <w:rsid w:val="00463391"/>
    <w:rsid w:val="004634DA"/>
    <w:rsid w:val="004639FE"/>
    <w:rsid w:val="00464057"/>
    <w:rsid w:val="004640D9"/>
    <w:rsid w:val="00464605"/>
    <w:rsid w:val="00464A25"/>
    <w:rsid w:val="00464A80"/>
    <w:rsid w:val="00464D0F"/>
    <w:rsid w:val="00465110"/>
    <w:rsid w:val="0046539E"/>
    <w:rsid w:val="00465748"/>
    <w:rsid w:val="00465B8E"/>
    <w:rsid w:val="00465BFE"/>
    <w:rsid w:val="00465F20"/>
    <w:rsid w:val="004666EC"/>
    <w:rsid w:val="0046684F"/>
    <w:rsid w:val="00466A34"/>
    <w:rsid w:val="00466B3F"/>
    <w:rsid w:val="00466C2E"/>
    <w:rsid w:val="00466E1C"/>
    <w:rsid w:val="00467353"/>
    <w:rsid w:val="00467489"/>
    <w:rsid w:val="00467812"/>
    <w:rsid w:val="00467AF4"/>
    <w:rsid w:val="0047009D"/>
    <w:rsid w:val="00470C85"/>
    <w:rsid w:val="00470DC2"/>
    <w:rsid w:val="00470DF0"/>
    <w:rsid w:val="00471105"/>
    <w:rsid w:val="004711E7"/>
    <w:rsid w:val="00471601"/>
    <w:rsid w:val="00471A32"/>
    <w:rsid w:val="00471DDA"/>
    <w:rsid w:val="00472D6E"/>
    <w:rsid w:val="00472F2A"/>
    <w:rsid w:val="004730F5"/>
    <w:rsid w:val="00473414"/>
    <w:rsid w:val="004740B5"/>
    <w:rsid w:val="0047436A"/>
    <w:rsid w:val="0047482C"/>
    <w:rsid w:val="004749A8"/>
    <w:rsid w:val="00474A3C"/>
    <w:rsid w:val="00474AA4"/>
    <w:rsid w:val="00474BA6"/>
    <w:rsid w:val="00474DAF"/>
    <w:rsid w:val="00475892"/>
    <w:rsid w:val="00475BF4"/>
    <w:rsid w:val="00475DA0"/>
    <w:rsid w:val="0047651F"/>
    <w:rsid w:val="00476B85"/>
    <w:rsid w:val="00477DEE"/>
    <w:rsid w:val="00477F6B"/>
    <w:rsid w:val="0048036E"/>
    <w:rsid w:val="00480420"/>
    <w:rsid w:val="004805B1"/>
    <w:rsid w:val="00480628"/>
    <w:rsid w:val="0048071E"/>
    <w:rsid w:val="004809D3"/>
    <w:rsid w:val="004812C3"/>
    <w:rsid w:val="00481315"/>
    <w:rsid w:val="004813DA"/>
    <w:rsid w:val="0048152F"/>
    <w:rsid w:val="004824EA"/>
    <w:rsid w:val="004826CF"/>
    <w:rsid w:val="00482990"/>
    <w:rsid w:val="004830EB"/>
    <w:rsid w:val="00483327"/>
    <w:rsid w:val="0048423D"/>
    <w:rsid w:val="00484288"/>
    <w:rsid w:val="004842B5"/>
    <w:rsid w:val="0048447B"/>
    <w:rsid w:val="0048474C"/>
    <w:rsid w:val="00484E89"/>
    <w:rsid w:val="00484F35"/>
    <w:rsid w:val="00485014"/>
    <w:rsid w:val="00485434"/>
    <w:rsid w:val="0048615D"/>
    <w:rsid w:val="0048626F"/>
    <w:rsid w:val="0048661D"/>
    <w:rsid w:val="00486775"/>
    <w:rsid w:val="00486DD0"/>
    <w:rsid w:val="00486EA2"/>
    <w:rsid w:val="00487381"/>
    <w:rsid w:val="00487490"/>
    <w:rsid w:val="00487568"/>
    <w:rsid w:val="004876FA"/>
    <w:rsid w:val="00487959"/>
    <w:rsid w:val="00487B91"/>
    <w:rsid w:val="00487E2A"/>
    <w:rsid w:val="0049003A"/>
    <w:rsid w:val="00490218"/>
    <w:rsid w:val="004904AF"/>
    <w:rsid w:val="00490804"/>
    <w:rsid w:val="00490ABC"/>
    <w:rsid w:val="00490C39"/>
    <w:rsid w:val="0049118A"/>
    <w:rsid w:val="0049229C"/>
    <w:rsid w:val="00492521"/>
    <w:rsid w:val="00492A0B"/>
    <w:rsid w:val="00492A0E"/>
    <w:rsid w:val="00492D67"/>
    <w:rsid w:val="004930C8"/>
    <w:rsid w:val="004930E9"/>
    <w:rsid w:val="004934CA"/>
    <w:rsid w:val="00493621"/>
    <w:rsid w:val="0049374B"/>
    <w:rsid w:val="004939DB"/>
    <w:rsid w:val="00494140"/>
    <w:rsid w:val="004946DA"/>
    <w:rsid w:val="00494BC2"/>
    <w:rsid w:val="00494D5C"/>
    <w:rsid w:val="00494DEA"/>
    <w:rsid w:val="0049528B"/>
    <w:rsid w:val="00495719"/>
    <w:rsid w:val="00495D17"/>
    <w:rsid w:val="00495FCC"/>
    <w:rsid w:val="0049660A"/>
    <w:rsid w:val="00496816"/>
    <w:rsid w:val="00496827"/>
    <w:rsid w:val="00496D66"/>
    <w:rsid w:val="00496FAE"/>
    <w:rsid w:val="00497427"/>
    <w:rsid w:val="004975B0"/>
    <w:rsid w:val="00497B00"/>
    <w:rsid w:val="00497BC4"/>
    <w:rsid w:val="00497CA0"/>
    <w:rsid w:val="004A00F9"/>
    <w:rsid w:val="004A018F"/>
    <w:rsid w:val="004A01AB"/>
    <w:rsid w:val="004A025E"/>
    <w:rsid w:val="004A0CAD"/>
    <w:rsid w:val="004A0FC1"/>
    <w:rsid w:val="004A16AF"/>
    <w:rsid w:val="004A2022"/>
    <w:rsid w:val="004A2323"/>
    <w:rsid w:val="004A2352"/>
    <w:rsid w:val="004A23DB"/>
    <w:rsid w:val="004A2499"/>
    <w:rsid w:val="004A2867"/>
    <w:rsid w:val="004A28CD"/>
    <w:rsid w:val="004A2B10"/>
    <w:rsid w:val="004A2E60"/>
    <w:rsid w:val="004A2EC0"/>
    <w:rsid w:val="004A3136"/>
    <w:rsid w:val="004A33C3"/>
    <w:rsid w:val="004A35B5"/>
    <w:rsid w:val="004A36A3"/>
    <w:rsid w:val="004A3909"/>
    <w:rsid w:val="004A3C8C"/>
    <w:rsid w:val="004A4D5D"/>
    <w:rsid w:val="004A505D"/>
    <w:rsid w:val="004A5661"/>
    <w:rsid w:val="004A5989"/>
    <w:rsid w:val="004A5C56"/>
    <w:rsid w:val="004A5F9F"/>
    <w:rsid w:val="004A671D"/>
    <w:rsid w:val="004A6807"/>
    <w:rsid w:val="004A69F4"/>
    <w:rsid w:val="004A6AC1"/>
    <w:rsid w:val="004A6BDD"/>
    <w:rsid w:val="004A6C98"/>
    <w:rsid w:val="004A6EE6"/>
    <w:rsid w:val="004A72E0"/>
    <w:rsid w:val="004A7586"/>
    <w:rsid w:val="004A7621"/>
    <w:rsid w:val="004A7756"/>
    <w:rsid w:val="004A77E4"/>
    <w:rsid w:val="004A7825"/>
    <w:rsid w:val="004A78EF"/>
    <w:rsid w:val="004A7C42"/>
    <w:rsid w:val="004A7F08"/>
    <w:rsid w:val="004B030E"/>
    <w:rsid w:val="004B036D"/>
    <w:rsid w:val="004B0383"/>
    <w:rsid w:val="004B0464"/>
    <w:rsid w:val="004B0821"/>
    <w:rsid w:val="004B1170"/>
    <w:rsid w:val="004B2097"/>
    <w:rsid w:val="004B24BA"/>
    <w:rsid w:val="004B2C18"/>
    <w:rsid w:val="004B2C31"/>
    <w:rsid w:val="004B2DF7"/>
    <w:rsid w:val="004B30EE"/>
    <w:rsid w:val="004B3D24"/>
    <w:rsid w:val="004B41D7"/>
    <w:rsid w:val="004B4D35"/>
    <w:rsid w:val="004B4F67"/>
    <w:rsid w:val="004B5432"/>
    <w:rsid w:val="004B5A7E"/>
    <w:rsid w:val="004B5D3B"/>
    <w:rsid w:val="004B5FE6"/>
    <w:rsid w:val="004B6904"/>
    <w:rsid w:val="004B6BAD"/>
    <w:rsid w:val="004B6C2F"/>
    <w:rsid w:val="004B71F1"/>
    <w:rsid w:val="004B79A6"/>
    <w:rsid w:val="004B7C82"/>
    <w:rsid w:val="004B7CBB"/>
    <w:rsid w:val="004C07C2"/>
    <w:rsid w:val="004C140C"/>
    <w:rsid w:val="004C144C"/>
    <w:rsid w:val="004C15B3"/>
    <w:rsid w:val="004C16D6"/>
    <w:rsid w:val="004C183C"/>
    <w:rsid w:val="004C1B7A"/>
    <w:rsid w:val="004C1BA9"/>
    <w:rsid w:val="004C1C1B"/>
    <w:rsid w:val="004C1C6F"/>
    <w:rsid w:val="004C1CF1"/>
    <w:rsid w:val="004C1EBE"/>
    <w:rsid w:val="004C1FB4"/>
    <w:rsid w:val="004C1FB5"/>
    <w:rsid w:val="004C211A"/>
    <w:rsid w:val="004C21B2"/>
    <w:rsid w:val="004C246A"/>
    <w:rsid w:val="004C2621"/>
    <w:rsid w:val="004C26D2"/>
    <w:rsid w:val="004C26D6"/>
    <w:rsid w:val="004C2BDA"/>
    <w:rsid w:val="004C32B8"/>
    <w:rsid w:val="004C3536"/>
    <w:rsid w:val="004C3688"/>
    <w:rsid w:val="004C38B1"/>
    <w:rsid w:val="004C3A54"/>
    <w:rsid w:val="004C3DC8"/>
    <w:rsid w:val="004C3E50"/>
    <w:rsid w:val="004C4341"/>
    <w:rsid w:val="004C4D73"/>
    <w:rsid w:val="004C535A"/>
    <w:rsid w:val="004C553F"/>
    <w:rsid w:val="004C574B"/>
    <w:rsid w:val="004C589F"/>
    <w:rsid w:val="004C592E"/>
    <w:rsid w:val="004C5AF9"/>
    <w:rsid w:val="004C6653"/>
    <w:rsid w:val="004C69B6"/>
    <w:rsid w:val="004C6BD0"/>
    <w:rsid w:val="004C6D25"/>
    <w:rsid w:val="004C7D96"/>
    <w:rsid w:val="004C7D9E"/>
    <w:rsid w:val="004D0269"/>
    <w:rsid w:val="004D03DF"/>
    <w:rsid w:val="004D0569"/>
    <w:rsid w:val="004D09AC"/>
    <w:rsid w:val="004D0D38"/>
    <w:rsid w:val="004D0D4D"/>
    <w:rsid w:val="004D1018"/>
    <w:rsid w:val="004D13D7"/>
    <w:rsid w:val="004D145E"/>
    <w:rsid w:val="004D1935"/>
    <w:rsid w:val="004D195C"/>
    <w:rsid w:val="004D1A05"/>
    <w:rsid w:val="004D1A18"/>
    <w:rsid w:val="004D1E1A"/>
    <w:rsid w:val="004D1E7E"/>
    <w:rsid w:val="004D1F7C"/>
    <w:rsid w:val="004D20BE"/>
    <w:rsid w:val="004D2348"/>
    <w:rsid w:val="004D28F5"/>
    <w:rsid w:val="004D2C1A"/>
    <w:rsid w:val="004D2D55"/>
    <w:rsid w:val="004D338D"/>
    <w:rsid w:val="004D3538"/>
    <w:rsid w:val="004D3B14"/>
    <w:rsid w:val="004D3D97"/>
    <w:rsid w:val="004D40C5"/>
    <w:rsid w:val="004D40CC"/>
    <w:rsid w:val="004D4216"/>
    <w:rsid w:val="004D44C3"/>
    <w:rsid w:val="004D4621"/>
    <w:rsid w:val="004D47AD"/>
    <w:rsid w:val="004D48FF"/>
    <w:rsid w:val="004D4CDC"/>
    <w:rsid w:val="004D4CFE"/>
    <w:rsid w:val="004D51ED"/>
    <w:rsid w:val="004D5253"/>
    <w:rsid w:val="004D55A8"/>
    <w:rsid w:val="004D5789"/>
    <w:rsid w:val="004D5ABE"/>
    <w:rsid w:val="004D65CB"/>
    <w:rsid w:val="004D6652"/>
    <w:rsid w:val="004D6D72"/>
    <w:rsid w:val="004D72B8"/>
    <w:rsid w:val="004D74C0"/>
    <w:rsid w:val="004D78C3"/>
    <w:rsid w:val="004E0092"/>
    <w:rsid w:val="004E02C3"/>
    <w:rsid w:val="004E03D0"/>
    <w:rsid w:val="004E053E"/>
    <w:rsid w:val="004E0771"/>
    <w:rsid w:val="004E0898"/>
    <w:rsid w:val="004E0A90"/>
    <w:rsid w:val="004E0AA0"/>
    <w:rsid w:val="004E0D49"/>
    <w:rsid w:val="004E13F2"/>
    <w:rsid w:val="004E1438"/>
    <w:rsid w:val="004E1BDE"/>
    <w:rsid w:val="004E1E97"/>
    <w:rsid w:val="004E1F0C"/>
    <w:rsid w:val="004E1F24"/>
    <w:rsid w:val="004E222C"/>
    <w:rsid w:val="004E224E"/>
    <w:rsid w:val="004E2554"/>
    <w:rsid w:val="004E269B"/>
    <w:rsid w:val="004E26AB"/>
    <w:rsid w:val="004E281A"/>
    <w:rsid w:val="004E2834"/>
    <w:rsid w:val="004E2853"/>
    <w:rsid w:val="004E2C09"/>
    <w:rsid w:val="004E2DAE"/>
    <w:rsid w:val="004E2E71"/>
    <w:rsid w:val="004E2FF5"/>
    <w:rsid w:val="004E33AB"/>
    <w:rsid w:val="004E3701"/>
    <w:rsid w:val="004E3822"/>
    <w:rsid w:val="004E3AAD"/>
    <w:rsid w:val="004E3BAF"/>
    <w:rsid w:val="004E3BD5"/>
    <w:rsid w:val="004E3FF7"/>
    <w:rsid w:val="004E43F5"/>
    <w:rsid w:val="004E48FD"/>
    <w:rsid w:val="004E4A18"/>
    <w:rsid w:val="004E4A30"/>
    <w:rsid w:val="004E4CB2"/>
    <w:rsid w:val="004E4F16"/>
    <w:rsid w:val="004E56C2"/>
    <w:rsid w:val="004E582C"/>
    <w:rsid w:val="004E597B"/>
    <w:rsid w:val="004E59EB"/>
    <w:rsid w:val="004E5A55"/>
    <w:rsid w:val="004E5DF3"/>
    <w:rsid w:val="004E6694"/>
    <w:rsid w:val="004E6698"/>
    <w:rsid w:val="004E687F"/>
    <w:rsid w:val="004E696E"/>
    <w:rsid w:val="004E6F10"/>
    <w:rsid w:val="004E700C"/>
    <w:rsid w:val="004E712C"/>
    <w:rsid w:val="004E7156"/>
    <w:rsid w:val="004E7C0F"/>
    <w:rsid w:val="004E7C1E"/>
    <w:rsid w:val="004F00AC"/>
    <w:rsid w:val="004F0ABB"/>
    <w:rsid w:val="004F0C31"/>
    <w:rsid w:val="004F0D84"/>
    <w:rsid w:val="004F15FA"/>
    <w:rsid w:val="004F1734"/>
    <w:rsid w:val="004F1A39"/>
    <w:rsid w:val="004F2368"/>
    <w:rsid w:val="004F2603"/>
    <w:rsid w:val="004F3526"/>
    <w:rsid w:val="004F37A2"/>
    <w:rsid w:val="004F3AD8"/>
    <w:rsid w:val="004F3B2F"/>
    <w:rsid w:val="004F3CAF"/>
    <w:rsid w:val="004F3FEB"/>
    <w:rsid w:val="004F44B3"/>
    <w:rsid w:val="004F4843"/>
    <w:rsid w:val="004F4CB6"/>
    <w:rsid w:val="004F4FA6"/>
    <w:rsid w:val="004F52A7"/>
    <w:rsid w:val="004F57B2"/>
    <w:rsid w:val="004F5F25"/>
    <w:rsid w:val="004F6320"/>
    <w:rsid w:val="004F65D7"/>
    <w:rsid w:val="004F6699"/>
    <w:rsid w:val="004F6877"/>
    <w:rsid w:val="004F7289"/>
    <w:rsid w:val="004F76EC"/>
    <w:rsid w:val="004F7944"/>
    <w:rsid w:val="004F79B0"/>
    <w:rsid w:val="004F7A05"/>
    <w:rsid w:val="004F7CE8"/>
    <w:rsid w:val="004F7F6D"/>
    <w:rsid w:val="005002E1"/>
    <w:rsid w:val="00500520"/>
    <w:rsid w:val="00500525"/>
    <w:rsid w:val="00500576"/>
    <w:rsid w:val="005005AC"/>
    <w:rsid w:val="00500981"/>
    <w:rsid w:val="00500FB5"/>
    <w:rsid w:val="0050106B"/>
    <w:rsid w:val="005011B4"/>
    <w:rsid w:val="00501257"/>
    <w:rsid w:val="00501726"/>
    <w:rsid w:val="0050196A"/>
    <w:rsid w:val="00502479"/>
    <w:rsid w:val="005027FD"/>
    <w:rsid w:val="00502A56"/>
    <w:rsid w:val="005037F7"/>
    <w:rsid w:val="00503810"/>
    <w:rsid w:val="005039F7"/>
    <w:rsid w:val="00503A07"/>
    <w:rsid w:val="0050432A"/>
    <w:rsid w:val="005045A7"/>
    <w:rsid w:val="005045C4"/>
    <w:rsid w:val="005047BF"/>
    <w:rsid w:val="00504EB4"/>
    <w:rsid w:val="00504FAF"/>
    <w:rsid w:val="00505141"/>
    <w:rsid w:val="00505810"/>
    <w:rsid w:val="00505820"/>
    <w:rsid w:val="0050668B"/>
    <w:rsid w:val="005066E7"/>
    <w:rsid w:val="00506A7F"/>
    <w:rsid w:val="0050712A"/>
    <w:rsid w:val="00507295"/>
    <w:rsid w:val="00507649"/>
    <w:rsid w:val="00507A44"/>
    <w:rsid w:val="00507D85"/>
    <w:rsid w:val="00507F27"/>
    <w:rsid w:val="00510B2B"/>
    <w:rsid w:val="00510CF1"/>
    <w:rsid w:val="00510DC0"/>
    <w:rsid w:val="00511441"/>
    <w:rsid w:val="0051146B"/>
    <w:rsid w:val="00511556"/>
    <w:rsid w:val="00511D0B"/>
    <w:rsid w:val="00511E4B"/>
    <w:rsid w:val="005120EE"/>
    <w:rsid w:val="0051219B"/>
    <w:rsid w:val="0051256A"/>
    <w:rsid w:val="00512833"/>
    <w:rsid w:val="0051288C"/>
    <w:rsid w:val="0051288E"/>
    <w:rsid w:val="0051296D"/>
    <w:rsid w:val="00512B31"/>
    <w:rsid w:val="00512E19"/>
    <w:rsid w:val="00513111"/>
    <w:rsid w:val="00513237"/>
    <w:rsid w:val="00513337"/>
    <w:rsid w:val="00513CA9"/>
    <w:rsid w:val="00513D55"/>
    <w:rsid w:val="00513DDF"/>
    <w:rsid w:val="00513E5A"/>
    <w:rsid w:val="00513F9A"/>
    <w:rsid w:val="00514000"/>
    <w:rsid w:val="005140F9"/>
    <w:rsid w:val="00514220"/>
    <w:rsid w:val="00514279"/>
    <w:rsid w:val="00514538"/>
    <w:rsid w:val="00514754"/>
    <w:rsid w:val="00514B48"/>
    <w:rsid w:val="00514C34"/>
    <w:rsid w:val="00514C46"/>
    <w:rsid w:val="00514CFE"/>
    <w:rsid w:val="00514E88"/>
    <w:rsid w:val="005152EE"/>
    <w:rsid w:val="00515876"/>
    <w:rsid w:val="005159A3"/>
    <w:rsid w:val="00515A79"/>
    <w:rsid w:val="00516112"/>
    <w:rsid w:val="00516382"/>
    <w:rsid w:val="00516777"/>
    <w:rsid w:val="00516A5B"/>
    <w:rsid w:val="00516BB9"/>
    <w:rsid w:val="00516D28"/>
    <w:rsid w:val="00516F12"/>
    <w:rsid w:val="005171D1"/>
    <w:rsid w:val="00517212"/>
    <w:rsid w:val="0051729A"/>
    <w:rsid w:val="005172CC"/>
    <w:rsid w:val="0051747D"/>
    <w:rsid w:val="00517A0C"/>
    <w:rsid w:val="0052016F"/>
    <w:rsid w:val="00520ACD"/>
    <w:rsid w:val="00520CCF"/>
    <w:rsid w:val="00521257"/>
    <w:rsid w:val="005215AA"/>
    <w:rsid w:val="005216AF"/>
    <w:rsid w:val="005216D2"/>
    <w:rsid w:val="00521DE3"/>
    <w:rsid w:val="00522089"/>
    <w:rsid w:val="00522289"/>
    <w:rsid w:val="00522402"/>
    <w:rsid w:val="005225AA"/>
    <w:rsid w:val="005226F8"/>
    <w:rsid w:val="0052282A"/>
    <w:rsid w:val="00522A9C"/>
    <w:rsid w:val="00522D62"/>
    <w:rsid w:val="005231C7"/>
    <w:rsid w:val="005235F2"/>
    <w:rsid w:val="0052399F"/>
    <w:rsid w:val="0052441C"/>
    <w:rsid w:val="00524C84"/>
    <w:rsid w:val="00524D3E"/>
    <w:rsid w:val="00525477"/>
    <w:rsid w:val="00525923"/>
    <w:rsid w:val="00525B5C"/>
    <w:rsid w:val="00525CD4"/>
    <w:rsid w:val="00525E04"/>
    <w:rsid w:val="00525FC7"/>
    <w:rsid w:val="00526079"/>
    <w:rsid w:val="0052672D"/>
    <w:rsid w:val="0052693D"/>
    <w:rsid w:val="00526B67"/>
    <w:rsid w:val="00527091"/>
    <w:rsid w:val="00527342"/>
    <w:rsid w:val="00527541"/>
    <w:rsid w:val="0052754B"/>
    <w:rsid w:val="005278DC"/>
    <w:rsid w:val="00527BC1"/>
    <w:rsid w:val="00527C1C"/>
    <w:rsid w:val="00527D33"/>
    <w:rsid w:val="0053006B"/>
    <w:rsid w:val="0053010C"/>
    <w:rsid w:val="005304BC"/>
    <w:rsid w:val="00530608"/>
    <w:rsid w:val="0053089B"/>
    <w:rsid w:val="005311CC"/>
    <w:rsid w:val="005314C6"/>
    <w:rsid w:val="00531756"/>
    <w:rsid w:val="00532A8C"/>
    <w:rsid w:val="00532CAE"/>
    <w:rsid w:val="00532CE2"/>
    <w:rsid w:val="00532F30"/>
    <w:rsid w:val="0053386F"/>
    <w:rsid w:val="005339C0"/>
    <w:rsid w:val="005339C4"/>
    <w:rsid w:val="00533C84"/>
    <w:rsid w:val="00533CB1"/>
    <w:rsid w:val="00533EA1"/>
    <w:rsid w:val="00533FD0"/>
    <w:rsid w:val="00534047"/>
    <w:rsid w:val="0053404A"/>
    <w:rsid w:val="005341A6"/>
    <w:rsid w:val="00534313"/>
    <w:rsid w:val="00534494"/>
    <w:rsid w:val="0053472C"/>
    <w:rsid w:val="00535041"/>
    <w:rsid w:val="00535740"/>
    <w:rsid w:val="005359D8"/>
    <w:rsid w:val="00535E11"/>
    <w:rsid w:val="00536830"/>
    <w:rsid w:val="00536850"/>
    <w:rsid w:val="00536EDB"/>
    <w:rsid w:val="00537101"/>
    <w:rsid w:val="00537156"/>
    <w:rsid w:val="005371C4"/>
    <w:rsid w:val="00537446"/>
    <w:rsid w:val="005374DB"/>
    <w:rsid w:val="005378AA"/>
    <w:rsid w:val="0053791D"/>
    <w:rsid w:val="005379B2"/>
    <w:rsid w:val="00537CEC"/>
    <w:rsid w:val="00537E41"/>
    <w:rsid w:val="00537F4B"/>
    <w:rsid w:val="0054011D"/>
    <w:rsid w:val="0054017F"/>
    <w:rsid w:val="00540430"/>
    <w:rsid w:val="005405C0"/>
    <w:rsid w:val="00540756"/>
    <w:rsid w:val="00540D9D"/>
    <w:rsid w:val="00540DDB"/>
    <w:rsid w:val="00540E80"/>
    <w:rsid w:val="00541118"/>
    <w:rsid w:val="00541600"/>
    <w:rsid w:val="0054198B"/>
    <w:rsid w:val="00541A05"/>
    <w:rsid w:val="00541AD4"/>
    <w:rsid w:val="00541AEF"/>
    <w:rsid w:val="00541D09"/>
    <w:rsid w:val="00542271"/>
    <w:rsid w:val="0054234D"/>
    <w:rsid w:val="00542510"/>
    <w:rsid w:val="00542A5C"/>
    <w:rsid w:val="00542F95"/>
    <w:rsid w:val="0054369D"/>
    <w:rsid w:val="005439B4"/>
    <w:rsid w:val="00543C58"/>
    <w:rsid w:val="00543E3C"/>
    <w:rsid w:val="00543F65"/>
    <w:rsid w:val="0054418A"/>
    <w:rsid w:val="005441BC"/>
    <w:rsid w:val="00544263"/>
    <w:rsid w:val="00544634"/>
    <w:rsid w:val="00544664"/>
    <w:rsid w:val="005446E8"/>
    <w:rsid w:val="00544887"/>
    <w:rsid w:val="00544D49"/>
    <w:rsid w:val="00544FDA"/>
    <w:rsid w:val="00545C60"/>
    <w:rsid w:val="00545E66"/>
    <w:rsid w:val="00546571"/>
    <w:rsid w:val="00546BE4"/>
    <w:rsid w:val="0054737A"/>
    <w:rsid w:val="00547BE3"/>
    <w:rsid w:val="00547CAA"/>
    <w:rsid w:val="00547CCD"/>
    <w:rsid w:val="005505D1"/>
    <w:rsid w:val="00550B21"/>
    <w:rsid w:val="00550E68"/>
    <w:rsid w:val="00550F2B"/>
    <w:rsid w:val="0055183C"/>
    <w:rsid w:val="00551840"/>
    <w:rsid w:val="00551D70"/>
    <w:rsid w:val="00551F3A"/>
    <w:rsid w:val="00552185"/>
    <w:rsid w:val="00552200"/>
    <w:rsid w:val="00552456"/>
    <w:rsid w:val="005524C6"/>
    <w:rsid w:val="005524E7"/>
    <w:rsid w:val="00552B4B"/>
    <w:rsid w:val="00552E75"/>
    <w:rsid w:val="00552F3D"/>
    <w:rsid w:val="00552FA4"/>
    <w:rsid w:val="00553134"/>
    <w:rsid w:val="00553209"/>
    <w:rsid w:val="00553CF2"/>
    <w:rsid w:val="00554040"/>
    <w:rsid w:val="0055413B"/>
    <w:rsid w:val="00554850"/>
    <w:rsid w:val="00554A43"/>
    <w:rsid w:val="00554DB8"/>
    <w:rsid w:val="00554E41"/>
    <w:rsid w:val="00554ECC"/>
    <w:rsid w:val="0055503F"/>
    <w:rsid w:val="0055513A"/>
    <w:rsid w:val="0055530D"/>
    <w:rsid w:val="0055569C"/>
    <w:rsid w:val="00555F11"/>
    <w:rsid w:val="00556908"/>
    <w:rsid w:val="00556953"/>
    <w:rsid w:val="0055697C"/>
    <w:rsid w:val="00556CB1"/>
    <w:rsid w:val="0055718A"/>
    <w:rsid w:val="00557701"/>
    <w:rsid w:val="0055790C"/>
    <w:rsid w:val="00557950"/>
    <w:rsid w:val="00557D5C"/>
    <w:rsid w:val="00557F8A"/>
    <w:rsid w:val="00560169"/>
    <w:rsid w:val="00560862"/>
    <w:rsid w:val="005611A3"/>
    <w:rsid w:val="005611E1"/>
    <w:rsid w:val="005615DF"/>
    <w:rsid w:val="005618C9"/>
    <w:rsid w:val="0056203C"/>
    <w:rsid w:val="0056293D"/>
    <w:rsid w:val="00562A30"/>
    <w:rsid w:val="00562FFF"/>
    <w:rsid w:val="00563185"/>
    <w:rsid w:val="00563250"/>
    <w:rsid w:val="0056333F"/>
    <w:rsid w:val="005634CB"/>
    <w:rsid w:val="005635C3"/>
    <w:rsid w:val="00563B54"/>
    <w:rsid w:val="00563C07"/>
    <w:rsid w:val="00564BF9"/>
    <w:rsid w:val="00564C46"/>
    <w:rsid w:val="005650B2"/>
    <w:rsid w:val="00565321"/>
    <w:rsid w:val="005655B2"/>
    <w:rsid w:val="0056579F"/>
    <w:rsid w:val="00565B4A"/>
    <w:rsid w:val="00565D7F"/>
    <w:rsid w:val="00565EBF"/>
    <w:rsid w:val="00566079"/>
    <w:rsid w:val="00566129"/>
    <w:rsid w:val="0056613F"/>
    <w:rsid w:val="005661B6"/>
    <w:rsid w:val="00566591"/>
    <w:rsid w:val="005666C3"/>
    <w:rsid w:val="005667E5"/>
    <w:rsid w:val="00566893"/>
    <w:rsid w:val="005668DC"/>
    <w:rsid w:val="00566C5F"/>
    <w:rsid w:val="00567048"/>
    <w:rsid w:val="005670B9"/>
    <w:rsid w:val="0056752F"/>
    <w:rsid w:val="0056762B"/>
    <w:rsid w:val="00567639"/>
    <w:rsid w:val="00567640"/>
    <w:rsid w:val="00567BE3"/>
    <w:rsid w:val="005700D4"/>
    <w:rsid w:val="00570143"/>
    <w:rsid w:val="00570487"/>
    <w:rsid w:val="00570802"/>
    <w:rsid w:val="0057081C"/>
    <w:rsid w:val="00570FD7"/>
    <w:rsid w:val="00571644"/>
    <w:rsid w:val="00571B48"/>
    <w:rsid w:val="00571D17"/>
    <w:rsid w:val="00571E01"/>
    <w:rsid w:val="00571F3A"/>
    <w:rsid w:val="0057280A"/>
    <w:rsid w:val="00572B0D"/>
    <w:rsid w:val="00572CA0"/>
    <w:rsid w:val="00573290"/>
    <w:rsid w:val="0057360A"/>
    <w:rsid w:val="00573892"/>
    <w:rsid w:val="00573DA0"/>
    <w:rsid w:val="00574383"/>
    <w:rsid w:val="0057496E"/>
    <w:rsid w:val="00574A60"/>
    <w:rsid w:val="00574DBC"/>
    <w:rsid w:val="005751F7"/>
    <w:rsid w:val="0057572E"/>
    <w:rsid w:val="00575C06"/>
    <w:rsid w:val="005760B0"/>
    <w:rsid w:val="0057682F"/>
    <w:rsid w:val="005768AD"/>
    <w:rsid w:val="00576E22"/>
    <w:rsid w:val="00576F2D"/>
    <w:rsid w:val="00577015"/>
    <w:rsid w:val="005774DF"/>
    <w:rsid w:val="00577565"/>
    <w:rsid w:val="0057760D"/>
    <w:rsid w:val="005776BA"/>
    <w:rsid w:val="00577BA4"/>
    <w:rsid w:val="00577CB8"/>
    <w:rsid w:val="00577FC6"/>
    <w:rsid w:val="00580E37"/>
    <w:rsid w:val="00581095"/>
    <w:rsid w:val="005815A9"/>
    <w:rsid w:val="00581B5E"/>
    <w:rsid w:val="00581F53"/>
    <w:rsid w:val="0058227C"/>
    <w:rsid w:val="0058251D"/>
    <w:rsid w:val="005827AF"/>
    <w:rsid w:val="005827EF"/>
    <w:rsid w:val="00582820"/>
    <w:rsid w:val="00582D0D"/>
    <w:rsid w:val="00582D83"/>
    <w:rsid w:val="00582E87"/>
    <w:rsid w:val="005831DC"/>
    <w:rsid w:val="0058359F"/>
    <w:rsid w:val="00583619"/>
    <w:rsid w:val="00583A5E"/>
    <w:rsid w:val="00583C64"/>
    <w:rsid w:val="00583F7F"/>
    <w:rsid w:val="005844CF"/>
    <w:rsid w:val="00584639"/>
    <w:rsid w:val="0058554C"/>
    <w:rsid w:val="0058599A"/>
    <w:rsid w:val="005860F1"/>
    <w:rsid w:val="005862F7"/>
    <w:rsid w:val="0058631D"/>
    <w:rsid w:val="00586913"/>
    <w:rsid w:val="005869C3"/>
    <w:rsid w:val="00586B11"/>
    <w:rsid w:val="00586D1A"/>
    <w:rsid w:val="005870D5"/>
    <w:rsid w:val="0058711C"/>
    <w:rsid w:val="005872FA"/>
    <w:rsid w:val="00587562"/>
    <w:rsid w:val="00587CB8"/>
    <w:rsid w:val="00587D30"/>
    <w:rsid w:val="00587F69"/>
    <w:rsid w:val="005901F6"/>
    <w:rsid w:val="005905BC"/>
    <w:rsid w:val="00590794"/>
    <w:rsid w:val="00590B08"/>
    <w:rsid w:val="00590CC7"/>
    <w:rsid w:val="00590CE4"/>
    <w:rsid w:val="00590D11"/>
    <w:rsid w:val="00591272"/>
    <w:rsid w:val="0059172D"/>
    <w:rsid w:val="0059197A"/>
    <w:rsid w:val="00591A4F"/>
    <w:rsid w:val="00591F2C"/>
    <w:rsid w:val="00592D7E"/>
    <w:rsid w:val="005932D0"/>
    <w:rsid w:val="00593463"/>
    <w:rsid w:val="0059369E"/>
    <w:rsid w:val="005936B5"/>
    <w:rsid w:val="0059394B"/>
    <w:rsid w:val="00593BAB"/>
    <w:rsid w:val="00593C19"/>
    <w:rsid w:val="00593DDC"/>
    <w:rsid w:val="00593EE9"/>
    <w:rsid w:val="005944A9"/>
    <w:rsid w:val="00594508"/>
    <w:rsid w:val="00594E69"/>
    <w:rsid w:val="00594F9D"/>
    <w:rsid w:val="00595225"/>
    <w:rsid w:val="00595283"/>
    <w:rsid w:val="005954B1"/>
    <w:rsid w:val="00595605"/>
    <w:rsid w:val="00595852"/>
    <w:rsid w:val="00595A87"/>
    <w:rsid w:val="00595B6D"/>
    <w:rsid w:val="00595E91"/>
    <w:rsid w:val="0059644E"/>
    <w:rsid w:val="0059646E"/>
    <w:rsid w:val="005965E8"/>
    <w:rsid w:val="005969BA"/>
    <w:rsid w:val="00596CCD"/>
    <w:rsid w:val="00596F84"/>
    <w:rsid w:val="00597435"/>
    <w:rsid w:val="00597612"/>
    <w:rsid w:val="00597854"/>
    <w:rsid w:val="005979B0"/>
    <w:rsid w:val="00597CB4"/>
    <w:rsid w:val="005A0027"/>
    <w:rsid w:val="005A0430"/>
    <w:rsid w:val="005A0620"/>
    <w:rsid w:val="005A0B1C"/>
    <w:rsid w:val="005A0C69"/>
    <w:rsid w:val="005A0EB4"/>
    <w:rsid w:val="005A105B"/>
    <w:rsid w:val="005A14D1"/>
    <w:rsid w:val="005A180C"/>
    <w:rsid w:val="005A185F"/>
    <w:rsid w:val="005A1D99"/>
    <w:rsid w:val="005A1DE0"/>
    <w:rsid w:val="005A1E5F"/>
    <w:rsid w:val="005A2388"/>
    <w:rsid w:val="005A2E06"/>
    <w:rsid w:val="005A2F20"/>
    <w:rsid w:val="005A3102"/>
    <w:rsid w:val="005A33D4"/>
    <w:rsid w:val="005A3445"/>
    <w:rsid w:val="005A396D"/>
    <w:rsid w:val="005A3BA4"/>
    <w:rsid w:val="005A3F8B"/>
    <w:rsid w:val="005A47B0"/>
    <w:rsid w:val="005A4AFA"/>
    <w:rsid w:val="005A4B04"/>
    <w:rsid w:val="005A4DD3"/>
    <w:rsid w:val="005A51B5"/>
    <w:rsid w:val="005A5994"/>
    <w:rsid w:val="005A5B6F"/>
    <w:rsid w:val="005A5CB3"/>
    <w:rsid w:val="005A5F96"/>
    <w:rsid w:val="005A63CA"/>
    <w:rsid w:val="005A69C4"/>
    <w:rsid w:val="005A6E31"/>
    <w:rsid w:val="005A707F"/>
    <w:rsid w:val="005A7610"/>
    <w:rsid w:val="005A7774"/>
    <w:rsid w:val="005A79CE"/>
    <w:rsid w:val="005A7A4C"/>
    <w:rsid w:val="005A7B6A"/>
    <w:rsid w:val="005A7C1B"/>
    <w:rsid w:val="005A7F5F"/>
    <w:rsid w:val="005A7FBA"/>
    <w:rsid w:val="005B0333"/>
    <w:rsid w:val="005B04F9"/>
    <w:rsid w:val="005B05E3"/>
    <w:rsid w:val="005B0656"/>
    <w:rsid w:val="005B116C"/>
    <w:rsid w:val="005B14DC"/>
    <w:rsid w:val="005B1554"/>
    <w:rsid w:val="005B180B"/>
    <w:rsid w:val="005B1A65"/>
    <w:rsid w:val="005B1CA5"/>
    <w:rsid w:val="005B1D83"/>
    <w:rsid w:val="005B20B9"/>
    <w:rsid w:val="005B2221"/>
    <w:rsid w:val="005B2232"/>
    <w:rsid w:val="005B2ECC"/>
    <w:rsid w:val="005B320B"/>
    <w:rsid w:val="005B33C7"/>
    <w:rsid w:val="005B3421"/>
    <w:rsid w:val="005B3DBD"/>
    <w:rsid w:val="005B3F28"/>
    <w:rsid w:val="005B3FFD"/>
    <w:rsid w:val="005B41E8"/>
    <w:rsid w:val="005B455D"/>
    <w:rsid w:val="005B4831"/>
    <w:rsid w:val="005B4D30"/>
    <w:rsid w:val="005B5214"/>
    <w:rsid w:val="005B5291"/>
    <w:rsid w:val="005B5996"/>
    <w:rsid w:val="005B5AEA"/>
    <w:rsid w:val="005B608B"/>
    <w:rsid w:val="005B654B"/>
    <w:rsid w:val="005B6621"/>
    <w:rsid w:val="005B6693"/>
    <w:rsid w:val="005B68C9"/>
    <w:rsid w:val="005B696E"/>
    <w:rsid w:val="005B6C46"/>
    <w:rsid w:val="005B6D09"/>
    <w:rsid w:val="005B6DC0"/>
    <w:rsid w:val="005B6DED"/>
    <w:rsid w:val="005B74EF"/>
    <w:rsid w:val="005B7508"/>
    <w:rsid w:val="005B7588"/>
    <w:rsid w:val="005B7677"/>
    <w:rsid w:val="005B7A09"/>
    <w:rsid w:val="005B7B4D"/>
    <w:rsid w:val="005B7D26"/>
    <w:rsid w:val="005B7D3D"/>
    <w:rsid w:val="005B7FDC"/>
    <w:rsid w:val="005C02A0"/>
    <w:rsid w:val="005C0340"/>
    <w:rsid w:val="005C03B1"/>
    <w:rsid w:val="005C0FEC"/>
    <w:rsid w:val="005C124E"/>
    <w:rsid w:val="005C141E"/>
    <w:rsid w:val="005C1857"/>
    <w:rsid w:val="005C22D6"/>
    <w:rsid w:val="005C2408"/>
    <w:rsid w:val="005C291C"/>
    <w:rsid w:val="005C29F0"/>
    <w:rsid w:val="005C349C"/>
    <w:rsid w:val="005C35DF"/>
    <w:rsid w:val="005C3BB7"/>
    <w:rsid w:val="005C3EDC"/>
    <w:rsid w:val="005C3EF0"/>
    <w:rsid w:val="005C4313"/>
    <w:rsid w:val="005C4574"/>
    <w:rsid w:val="005C4977"/>
    <w:rsid w:val="005C4B9C"/>
    <w:rsid w:val="005C4D3F"/>
    <w:rsid w:val="005C4E09"/>
    <w:rsid w:val="005C4FA3"/>
    <w:rsid w:val="005C5046"/>
    <w:rsid w:val="005C5162"/>
    <w:rsid w:val="005C52F1"/>
    <w:rsid w:val="005C54D6"/>
    <w:rsid w:val="005C54F0"/>
    <w:rsid w:val="005C56E6"/>
    <w:rsid w:val="005C5815"/>
    <w:rsid w:val="005C5D72"/>
    <w:rsid w:val="005C5E6F"/>
    <w:rsid w:val="005C5F2C"/>
    <w:rsid w:val="005C63DC"/>
    <w:rsid w:val="005C6733"/>
    <w:rsid w:val="005C6822"/>
    <w:rsid w:val="005C69E2"/>
    <w:rsid w:val="005C6A9C"/>
    <w:rsid w:val="005C6AE8"/>
    <w:rsid w:val="005C6C2F"/>
    <w:rsid w:val="005C6CC7"/>
    <w:rsid w:val="005C6E1F"/>
    <w:rsid w:val="005C72BC"/>
    <w:rsid w:val="005D021F"/>
    <w:rsid w:val="005D04BD"/>
    <w:rsid w:val="005D08C9"/>
    <w:rsid w:val="005D0F98"/>
    <w:rsid w:val="005D1311"/>
    <w:rsid w:val="005D15EE"/>
    <w:rsid w:val="005D17C3"/>
    <w:rsid w:val="005D17FE"/>
    <w:rsid w:val="005D1C76"/>
    <w:rsid w:val="005D1CE5"/>
    <w:rsid w:val="005D1E6A"/>
    <w:rsid w:val="005D212F"/>
    <w:rsid w:val="005D23B4"/>
    <w:rsid w:val="005D250A"/>
    <w:rsid w:val="005D33B1"/>
    <w:rsid w:val="005D3E1E"/>
    <w:rsid w:val="005D3FA5"/>
    <w:rsid w:val="005D4803"/>
    <w:rsid w:val="005D52B2"/>
    <w:rsid w:val="005D5B00"/>
    <w:rsid w:val="005D5E78"/>
    <w:rsid w:val="005D60EF"/>
    <w:rsid w:val="005D6176"/>
    <w:rsid w:val="005D61B6"/>
    <w:rsid w:val="005D6AA1"/>
    <w:rsid w:val="005D6BDD"/>
    <w:rsid w:val="005D768A"/>
    <w:rsid w:val="005D7717"/>
    <w:rsid w:val="005D772F"/>
    <w:rsid w:val="005D7739"/>
    <w:rsid w:val="005D7832"/>
    <w:rsid w:val="005D789B"/>
    <w:rsid w:val="005D7B4E"/>
    <w:rsid w:val="005D7CA6"/>
    <w:rsid w:val="005D7E69"/>
    <w:rsid w:val="005E00AC"/>
    <w:rsid w:val="005E08D9"/>
    <w:rsid w:val="005E09DB"/>
    <w:rsid w:val="005E0A7E"/>
    <w:rsid w:val="005E0B3D"/>
    <w:rsid w:val="005E1204"/>
    <w:rsid w:val="005E152A"/>
    <w:rsid w:val="005E1C0F"/>
    <w:rsid w:val="005E1D1A"/>
    <w:rsid w:val="005E1D68"/>
    <w:rsid w:val="005E2068"/>
    <w:rsid w:val="005E210F"/>
    <w:rsid w:val="005E2173"/>
    <w:rsid w:val="005E257B"/>
    <w:rsid w:val="005E25BE"/>
    <w:rsid w:val="005E2D18"/>
    <w:rsid w:val="005E2D31"/>
    <w:rsid w:val="005E341F"/>
    <w:rsid w:val="005E365A"/>
    <w:rsid w:val="005E36AB"/>
    <w:rsid w:val="005E3773"/>
    <w:rsid w:val="005E3A10"/>
    <w:rsid w:val="005E3CEB"/>
    <w:rsid w:val="005E3D56"/>
    <w:rsid w:val="005E4298"/>
    <w:rsid w:val="005E43BF"/>
    <w:rsid w:val="005E4503"/>
    <w:rsid w:val="005E46B7"/>
    <w:rsid w:val="005E48C0"/>
    <w:rsid w:val="005E4985"/>
    <w:rsid w:val="005E4B43"/>
    <w:rsid w:val="005E4C0B"/>
    <w:rsid w:val="005E4E5F"/>
    <w:rsid w:val="005E509C"/>
    <w:rsid w:val="005E511A"/>
    <w:rsid w:val="005E5289"/>
    <w:rsid w:val="005E52C9"/>
    <w:rsid w:val="005E55B0"/>
    <w:rsid w:val="005E5853"/>
    <w:rsid w:val="005E5862"/>
    <w:rsid w:val="005E6630"/>
    <w:rsid w:val="005E6658"/>
    <w:rsid w:val="005E67C5"/>
    <w:rsid w:val="005E684D"/>
    <w:rsid w:val="005E6BFF"/>
    <w:rsid w:val="005E7091"/>
    <w:rsid w:val="005E783E"/>
    <w:rsid w:val="005E7B19"/>
    <w:rsid w:val="005F08FC"/>
    <w:rsid w:val="005F0AB7"/>
    <w:rsid w:val="005F0B4A"/>
    <w:rsid w:val="005F0CD1"/>
    <w:rsid w:val="005F11ED"/>
    <w:rsid w:val="005F149A"/>
    <w:rsid w:val="005F1526"/>
    <w:rsid w:val="005F19D6"/>
    <w:rsid w:val="005F1CEA"/>
    <w:rsid w:val="005F1DA4"/>
    <w:rsid w:val="005F1EA2"/>
    <w:rsid w:val="005F2064"/>
    <w:rsid w:val="005F207F"/>
    <w:rsid w:val="005F23E7"/>
    <w:rsid w:val="005F254D"/>
    <w:rsid w:val="005F2924"/>
    <w:rsid w:val="005F2BD0"/>
    <w:rsid w:val="005F3457"/>
    <w:rsid w:val="005F3641"/>
    <w:rsid w:val="005F3B9D"/>
    <w:rsid w:val="005F3F75"/>
    <w:rsid w:val="005F4376"/>
    <w:rsid w:val="005F466B"/>
    <w:rsid w:val="005F492B"/>
    <w:rsid w:val="005F4A35"/>
    <w:rsid w:val="005F4DA5"/>
    <w:rsid w:val="005F4DAC"/>
    <w:rsid w:val="005F52A3"/>
    <w:rsid w:val="005F5815"/>
    <w:rsid w:val="005F5849"/>
    <w:rsid w:val="005F58C8"/>
    <w:rsid w:val="005F5A18"/>
    <w:rsid w:val="005F5B3A"/>
    <w:rsid w:val="005F5F1D"/>
    <w:rsid w:val="005F636E"/>
    <w:rsid w:val="005F7107"/>
    <w:rsid w:val="005F71CC"/>
    <w:rsid w:val="005F7DD7"/>
    <w:rsid w:val="005F7E7C"/>
    <w:rsid w:val="00600406"/>
    <w:rsid w:val="00600A24"/>
    <w:rsid w:val="00600C70"/>
    <w:rsid w:val="00600DAD"/>
    <w:rsid w:val="00600FDF"/>
    <w:rsid w:val="006011FD"/>
    <w:rsid w:val="0060131B"/>
    <w:rsid w:val="006017BE"/>
    <w:rsid w:val="00601A4A"/>
    <w:rsid w:val="00601A71"/>
    <w:rsid w:val="00601A81"/>
    <w:rsid w:val="006022BB"/>
    <w:rsid w:val="0060258A"/>
    <w:rsid w:val="00602DD1"/>
    <w:rsid w:val="00603C51"/>
    <w:rsid w:val="00603D7B"/>
    <w:rsid w:val="00603E94"/>
    <w:rsid w:val="00603EDB"/>
    <w:rsid w:val="00604226"/>
    <w:rsid w:val="0060430E"/>
    <w:rsid w:val="00604369"/>
    <w:rsid w:val="00604516"/>
    <w:rsid w:val="0060452F"/>
    <w:rsid w:val="0060466E"/>
    <w:rsid w:val="0060488C"/>
    <w:rsid w:val="0060511F"/>
    <w:rsid w:val="006051FA"/>
    <w:rsid w:val="00605565"/>
    <w:rsid w:val="00605F84"/>
    <w:rsid w:val="0060612A"/>
    <w:rsid w:val="0060664B"/>
    <w:rsid w:val="006068DD"/>
    <w:rsid w:val="00606914"/>
    <w:rsid w:val="00606A36"/>
    <w:rsid w:val="00606AB7"/>
    <w:rsid w:val="00606DC8"/>
    <w:rsid w:val="00606F9A"/>
    <w:rsid w:val="0060712C"/>
    <w:rsid w:val="00607DFC"/>
    <w:rsid w:val="00607E54"/>
    <w:rsid w:val="006108B3"/>
    <w:rsid w:val="00610B81"/>
    <w:rsid w:val="00610E28"/>
    <w:rsid w:val="00611483"/>
    <w:rsid w:val="0061175A"/>
    <w:rsid w:val="00611812"/>
    <w:rsid w:val="00611900"/>
    <w:rsid w:val="00611C32"/>
    <w:rsid w:val="00611CA0"/>
    <w:rsid w:val="00611F31"/>
    <w:rsid w:val="00612330"/>
    <w:rsid w:val="0061247F"/>
    <w:rsid w:val="006126E9"/>
    <w:rsid w:val="00612787"/>
    <w:rsid w:val="0061288F"/>
    <w:rsid w:val="00612B40"/>
    <w:rsid w:val="0061319A"/>
    <w:rsid w:val="0061351B"/>
    <w:rsid w:val="00613579"/>
    <w:rsid w:val="006135BC"/>
    <w:rsid w:val="00613ABF"/>
    <w:rsid w:val="006144F8"/>
    <w:rsid w:val="0061455A"/>
    <w:rsid w:val="00614BFD"/>
    <w:rsid w:val="00614DAF"/>
    <w:rsid w:val="00614E72"/>
    <w:rsid w:val="00615160"/>
    <w:rsid w:val="00615393"/>
    <w:rsid w:val="006156C8"/>
    <w:rsid w:val="00615856"/>
    <w:rsid w:val="00615DC2"/>
    <w:rsid w:val="00615F84"/>
    <w:rsid w:val="006164D5"/>
    <w:rsid w:val="006166E2"/>
    <w:rsid w:val="00616715"/>
    <w:rsid w:val="00616E8C"/>
    <w:rsid w:val="00617094"/>
    <w:rsid w:val="00617134"/>
    <w:rsid w:val="0061753B"/>
    <w:rsid w:val="00617857"/>
    <w:rsid w:val="0061785B"/>
    <w:rsid w:val="00617EF7"/>
    <w:rsid w:val="00620955"/>
    <w:rsid w:val="00620AB1"/>
    <w:rsid w:val="00621294"/>
    <w:rsid w:val="006212F1"/>
    <w:rsid w:val="0062184B"/>
    <w:rsid w:val="00621C4D"/>
    <w:rsid w:val="00621E08"/>
    <w:rsid w:val="00621ED3"/>
    <w:rsid w:val="00621F9B"/>
    <w:rsid w:val="00622155"/>
    <w:rsid w:val="00622219"/>
    <w:rsid w:val="00622327"/>
    <w:rsid w:val="006225C3"/>
    <w:rsid w:val="006226C4"/>
    <w:rsid w:val="006227D0"/>
    <w:rsid w:val="00622B0A"/>
    <w:rsid w:val="00622EE0"/>
    <w:rsid w:val="006230BC"/>
    <w:rsid w:val="00623116"/>
    <w:rsid w:val="006238D6"/>
    <w:rsid w:val="00623E73"/>
    <w:rsid w:val="006240AE"/>
    <w:rsid w:val="0062418C"/>
    <w:rsid w:val="006242FE"/>
    <w:rsid w:val="0062435B"/>
    <w:rsid w:val="0062467C"/>
    <w:rsid w:val="006246AB"/>
    <w:rsid w:val="00624B83"/>
    <w:rsid w:val="00624C1C"/>
    <w:rsid w:val="00624ED2"/>
    <w:rsid w:val="006255C8"/>
    <w:rsid w:val="006258B8"/>
    <w:rsid w:val="0062595E"/>
    <w:rsid w:val="00625A00"/>
    <w:rsid w:val="006262B7"/>
    <w:rsid w:val="00626462"/>
    <w:rsid w:val="00626574"/>
    <w:rsid w:val="00626586"/>
    <w:rsid w:val="006267CD"/>
    <w:rsid w:val="006268C3"/>
    <w:rsid w:val="006269AB"/>
    <w:rsid w:val="00626E54"/>
    <w:rsid w:val="00627487"/>
    <w:rsid w:val="0062765F"/>
    <w:rsid w:val="006278DC"/>
    <w:rsid w:val="00627AAA"/>
    <w:rsid w:val="00627E32"/>
    <w:rsid w:val="0063017D"/>
    <w:rsid w:val="006301B9"/>
    <w:rsid w:val="006304F0"/>
    <w:rsid w:val="006305AC"/>
    <w:rsid w:val="00630615"/>
    <w:rsid w:val="00630B9C"/>
    <w:rsid w:val="00630BA3"/>
    <w:rsid w:val="00630BD0"/>
    <w:rsid w:val="00630BE0"/>
    <w:rsid w:val="00630F8A"/>
    <w:rsid w:val="00630F9F"/>
    <w:rsid w:val="00631149"/>
    <w:rsid w:val="00631B69"/>
    <w:rsid w:val="00631D5A"/>
    <w:rsid w:val="00631FE8"/>
    <w:rsid w:val="0063213F"/>
    <w:rsid w:val="006322B4"/>
    <w:rsid w:val="00632649"/>
    <w:rsid w:val="0063286C"/>
    <w:rsid w:val="00632AAE"/>
    <w:rsid w:val="00632D9A"/>
    <w:rsid w:val="0063350B"/>
    <w:rsid w:val="00633F18"/>
    <w:rsid w:val="006343DF"/>
    <w:rsid w:val="006346C8"/>
    <w:rsid w:val="006349DC"/>
    <w:rsid w:val="0063517E"/>
    <w:rsid w:val="00635832"/>
    <w:rsid w:val="006359CD"/>
    <w:rsid w:val="0063623C"/>
    <w:rsid w:val="00636349"/>
    <w:rsid w:val="00636755"/>
    <w:rsid w:val="006371A6"/>
    <w:rsid w:val="00637886"/>
    <w:rsid w:val="00637B35"/>
    <w:rsid w:val="00637B51"/>
    <w:rsid w:val="00637C5F"/>
    <w:rsid w:val="00637F52"/>
    <w:rsid w:val="00640AB3"/>
    <w:rsid w:val="00640CE0"/>
    <w:rsid w:val="00641011"/>
    <w:rsid w:val="00641318"/>
    <w:rsid w:val="0064173F"/>
    <w:rsid w:val="00641B26"/>
    <w:rsid w:val="00641C8B"/>
    <w:rsid w:val="00641D5B"/>
    <w:rsid w:val="00641D97"/>
    <w:rsid w:val="00642291"/>
    <w:rsid w:val="00642406"/>
    <w:rsid w:val="00642473"/>
    <w:rsid w:val="00642681"/>
    <w:rsid w:val="006427A8"/>
    <w:rsid w:val="0064283F"/>
    <w:rsid w:val="00642988"/>
    <w:rsid w:val="00642C49"/>
    <w:rsid w:val="00642E12"/>
    <w:rsid w:val="00643549"/>
    <w:rsid w:val="00643AD1"/>
    <w:rsid w:val="0064454F"/>
    <w:rsid w:val="0064464C"/>
    <w:rsid w:val="0064476C"/>
    <w:rsid w:val="0064482D"/>
    <w:rsid w:val="00644A99"/>
    <w:rsid w:val="00644FD3"/>
    <w:rsid w:val="00645073"/>
    <w:rsid w:val="00645082"/>
    <w:rsid w:val="006455EC"/>
    <w:rsid w:val="0064561A"/>
    <w:rsid w:val="006456B2"/>
    <w:rsid w:val="006457CF"/>
    <w:rsid w:val="006458AB"/>
    <w:rsid w:val="00645911"/>
    <w:rsid w:val="00645C27"/>
    <w:rsid w:val="006466F3"/>
    <w:rsid w:val="006468F6"/>
    <w:rsid w:val="00647168"/>
    <w:rsid w:val="00647355"/>
    <w:rsid w:val="00647477"/>
    <w:rsid w:val="00647DCA"/>
    <w:rsid w:val="00650382"/>
    <w:rsid w:val="00650487"/>
    <w:rsid w:val="006508BA"/>
    <w:rsid w:val="00650B24"/>
    <w:rsid w:val="00650B73"/>
    <w:rsid w:val="00650BDE"/>
    <w:rsid w:val="00650C3B"/>
    <w:rsid w:val="00650DF1"/>
    <w:rsid w:val="006514B7"/>
    <w:rsid w:val="0065189E"/>
    <w:rsid w:val="00651B17"/>
    <w:rsid w:val="00651BF8"/>
    <w:rsid w:val="00651C83"/>
    <w:rsid w:val="00651E48"/>
    <w:rsid w:val="00652567"/>
    <w:rsid w:val="006525D1"/>
    <w:rsid w:val="006526B5"/>
    <w:rsid w:val="00652FAE"/>
    <w:rsid w:val="006531C9"/>
    <w:rsid w:val="006536F2"/>
    <w:rsid w:val="00653D7E"/>
    <w:rsid w:val="0065406B"/>
    <w:rsid w:val="00654155"/>
    <w:rsid w:val="006542F1"/>
    <w:rsid w:val="00654C20"/>
    <w:rsid w:val="00654D3C"/>
    <w:rsid w:val="00654D5F"/>
    <w:rsid w:val="006553B2"/>
    <w:rsid w:val="0065549F"/>
    <w:rsid w:val="00656016"/>
    <w:rsid w:val="00656598"/>
    <w:rsid w:val="00656793"/>
    <w:rsid w:val="00656946"/>
    <w:rsid w:val="00656C9A"/>
    <w:rsid w:val="0065766B"/>
    <w:rsid w:val="00657D39"/>
    <w:rsid w:val="00657E76"/>
    <w:rsid w:val="006604EB"/>
    <w:rsid w:val="00660A3F"/>
    <w:rsid w:val="00660A88"/>
    <w:rsid w:val="00660C95"/>
    <w:rsid w:val="00660DEC"/>
    <w:rsid w:val="00661103"/>
    <w:rsid w:val="00661192"/>
    <w:rsid w:val="0066187D"/>
    <w:rsid w:val="00661B9F"/>
    <w:rsid w:val="006625B9"/>
    <w:rsid w:val="0066296F"/>
    <w:rsid w:val="006629F2"/>
    <w:rsid w:val="00662BAE"/>
    <w:rsid w:val="00662BF2"/>
    <w:rsid w:val="00663309"/>
    <w:rsid w:val="0066346D"/>
    <w:rsid w:val="006636DE"/>
    <w:rsid w:val="00663822"/>
    <w:rsid w:val="00663A3A"/>
    <w:rsid w:val="00663B40"/>
    <w:rsid w:val="00663C74"/>
    <w:rsid w:val="00663C8F"/>
    <w:rsid w:val="00663FFB"/>
    <w:rsid w:val="00664405"/>
    <w:rsid w:val="006646A3"/>
    <w:rsid w:val="00664937"/>
    <w:rsid w:val="00664B3B"/>
    <w:rsid w:val="00664DE3"/>
    <w:rsid w:val="00664F37"/>
    <w:rsid w:val="00665007"/>
    <w:rsid w:val="0066536E"/>
    <w:rsid w:val="00665932"/>
    <w:rsid w:val="0066597C"/>
    <w:rsid w:val="00665ABF"/>
    <w:rsid w:val="00665C01"/>
    <w:rsid w:val="00665C33"/>
    <w:rsid w:val="00665DAB"/>
    <w:rsid w:val="006662E4"/>
    <w:rsid w:val="006663ED"/>
    <w:rsid w:val="00666569"/>
    <w:rsid w:val="00666BC3"/>
    <w:rsid w:val="00667315"/>
    <w:rsid w:val="006673BB"/>
    <w:rsid w:val="006673E1"/>
    <w:rsid w:val="00667578"/>
    <w:rsid w:val="006675CB"/>
    <w:rsid w:val="006678AF"/>
    <w:rsid w:val="00667D95"/>
    <w:rsid w:val="006700BF"/>
    <w:rsid w:val="00670224"/>
    <w:rsid w:val="00670931"/>
    <w:rsid w:val="00670ABC"/>
    <w:rsid w:val="00670B29"/>
    <w:rsid w:val="00670B6B"/>
    <w:rsid w:val="00670BD0"/>
    <w:rsid w:val="00670C43"/>
    <w:rsid w:val="006716EB"/>
    <w:rsid w:val="006719D4"/>
    <w:rsid w:val="00671A94"/>
    <w:rsid w:val="00671C90"/>
    <w:rsid w:val="00671D74"/>
    <w:rsid w:val="00672196"/>
    <w:rsid w:val="006722C1"/>
    <w:rsid w:val="00672357"/>
    <w:rsid w:val="0067241D"/>
    <w:rsid w:val="0067278D"/>
    <w:rsid w:val="006730E2"/>
    <w:rsid w:val="006737CE"/>
    <w:rsid w:val="0067385B"/>
    <w:rsid w:val="006739DF"/>
    <w:rsid w:val="00674144"/>
    <w:rsid w:val="0067497C"/>
    <w:rsid w:val="006750E2"/>
    <w:rsid w:val="00675163"/>
    <w:rsid w:val="006752EA"/>
    <w:rsid w:val="006753EC"/>
    <w:rsid w:val="00675624"/>
    <w:rsid w:val="00675778"/>
    <w:rsid w:val="0067578F"/>
    <w:rsid w:val="00675854"/>
    <w:rsid w:val="006759AD"/>
    <w:rsid w:val="00675E3E"/>
    <w:rsid w:val="00675FF1"/>
    <w:rsid w:val="00676255"/>
    <w:rsid w:val="006765C1"/>
    <w:rsid w:val="00676C42"/>
    <w:rsid w:val="00676CC4"/>
    <w:rsid w:val="00676D62"/>
    <w:rsid w:val="00677587"/>
    <w:rsid w:val="00677677"/>
    <w:rsid w:val="006777C0"/>
    <w:rsid w:val="00677DED"/>
    <w:rsid w:val="00677E0D"/>
    <w:rsid w:val="00680385"/>
    <w:rsid w:val="00680424"/>
    <w:rsid w:val="00680604"/>
    <w:rsid w:val="006807A8"/>
    <w:rsid w:val="006809D3"/>
    <w:rsid w:val="00680A46"/>
    <w:rsid w:val="006815FF"/>
    <w:rsid w:val="006818B3"/>
    <w:rsid w:val="0068193B"/>
    <w:rsid w:val="00681B6E"/>
    <w:rsid w:val="00681D0F"/>
    <w:rsid w:val="00681E68"/>
    <w:rsid w:val="00682599"/>
    <w:rsid w:val="00682BB3"/>
    <w:rsid w:val="00682CA9"/>
    <w:rsid w:val="00682DB3"/>
    <w:rsid w:val="00682F54"/>
    <w:rsid w:val="00683096"/>
    <w:rsid w:val="006834E3"/>
    <w:rsid w:val="0068375C"/>
    <w:rsid w:val="00683852"/>
    <w:rsid w:val="00684154"/>
    <w:rsid w:val="006841E5"/>
    <w:rsid w:val="0068447E"/>
    <w:rsid w:val="0068450D"/>
    <w:rsid w:val="00684A38"/>
    <w:rsid w:val="00684A58"/>
    <w:rsid w:val="006855EA"/>
    <w:rsid w:val="0068561F"/>
    <w:rsid w:val="006856EE"/>
    <w:rsid w:val="00685959"/>
    <w:rsid w:val="00685A0F"/>
    <w:rsid w:val="00685BA8"/>
    <w:rsid w:val="00685F59"/>
    <w:rsid w:val="00685FB3"/>
    <w:rsid w:val="00686006"/>
    <w:rsid w:val="006861BF"/>
    <w:rsid w:val="00686201"/>
    <w:rsid w:val="006866BE"/>
    <w:rsid w:val="0068672B"/>
    <w:rsid w:val="00686A5C"/>
    <w:rsid w:val="00686B08"/>
    <w:rsid w:val="00686E53"/>
    <w:rsid w:val="00686F40"/>
    <w:rsid w:val="00687EBF"/>
    <w:rsid w:val="00690381"/>
    <w:rsid w:val="00690641"/>
    <w:rsid w:val="00690659"/>
    <w:rsid w:val="00690884"/>
    <w:rsid w:val="00690A9C"/>
    <w:rsid w:val="00690B99"/>
    <w:rsid w:val="00690C53"/>
    <w:rsid w:val="00691085"/>
    <w:rsid w:val="006910E4"/>
    <w:rsid w:val="006913F8"/>
    <w:rsid w:val="006918B6"/>
    <w:rsid w:val="00691C71"/>
    <w:rsid w:val="0069242F"/>
    <w:rsid w:val="0069263D"/>
    <w:rsid w:val="0069293D"/>
    <w:rsid w:val="00692AB9"/>
    <w:rsid w:val="00692F9D"/>
    <w:rsid w:val="00693052"/>
    <w:rsid w:val="006930FF"/>
    <w:rsid w:val="00693327"/>
    <w:rsid w:val="006936C5"/>
    <w:rsid w:val="006938C9"/>
    <w:rsid w:val="00693B1A"/>
    <w:rsid w:val="00693E6B"/>
    <w:rsid w:val="00694134"/>
    <w:rsid w:val="00694382"/>
    <w:rsid w:val="006944D7"/>
    <w:rsid w:val="00694709"/>
    <w:rsid w:val="00694CAD"/>
    <w:rsid w:val="00694FF5"/>
    <w:rsid w:val="006951BD"/>
    <w:rsid w:val="006959A7"/>
    <w:rsid w:val="00695A4F"/>
    <w:rsid w:val="006960D7"/>
    <w:rsid w:val="006961B0"/>
    <w:rsid w:val="00696AA7"/>
    <w:rsid w:val="00697009"/>
    <w:rsid w:val="006971B2"/>
    <w:rsid w:val="00697258"/>
    <w:rsid w:val="00697681"/>
    <w:rsid w:val="006976C8"/>
    <w:rsid w:val="0069789B"/>
    <w:rsid w:val="006A080B"/>
    <w:rsid w:val="006A0C14"/>
    <w:rsid w:val="006A0DC5"/>
    <w:rsid w:val="006A1050"/>
    <w:rsid w:val="006A1265"/>
    <w:rsid w:val="006A12E0"/>
    <w:rsid w:val="006A1334"/>
    <w:rsid w:val="006A16AE"/>
    <w:rsid w:val="006A190F"/>
    <w:rsid w:val="006A2819"/>
    <w:rsid w:val="006A2C64"/>
    <w:rsid w:val="006A2D0C"/>
    <w:rsid w:val="006A2DDB"/>
    <w:rsid w:val="006A2F57"/>
    <w:rsid w:val="006A3650"/>
    <w:rsid w:val="006A3932"/>
    <w:rsid w:val="006A3973"/>
    <w:rsid w:val="006A399C"/>
    <w:rsid w:val="006A3B38"/>
    <w:rsid w:val="006A3DA5"/>
    <w:rsid w:val="006A3EAC"/>
    <w:rsid w:val="006A3F81"/>
    <w:rsid w:val="006A414B"/>
    <w:rsid w:val="006A4640"/>
    <w:rsid w:val="006A4792"/>
    <w:rsid w:val="006A4AFA"/>
    <w:rsid w:val="006A4F4A"/>
    <w:rsid w:val="006A5075"/>
    <w:rsid w:val="006A519A"/>
    <w:rsid w:val="006A63B4"/>
    <w:rsid w:val="006A65AE"/>
    <w:rsid w:val="006A6C75"/>
    <w:rsid w:val="006A6DEE"/>
    <w:rsid w:val="006A70EF"/>
    <w:rsid w:val="006A73BA"/>
    <w:rsid w:val="006A758C"/>
    <w:rsid w:val="006A78EC"/>
    <w:rsid w:val="006A7993"/>
    <w:rsid w:val="006A7AD5"/>
    <w:rsid w:val="006A7B71"/>
    <w:rsid w:val="006A7CD2"/>
    <w:rsid w:val="006A7E9C"/>
    <w:rsid w:val="006A7EDB"/>
    <w:rsid w:val="006B01F1"/>
    <w:rsid w:val="006B05F2"/>
    <w:rsid w:val="006B082F"/>
    <w:rsid w:val="006B09B0"/>
    <w:rsid w:val="006B09EB"/>
    <w:rsid w:val="006B0B25"/>
    <w:rsid w:val="006B0D88"/>
    <w:rsid w:val="006B10B7"/>
    <w:rsid w:val="006B1DB5"/>
    <w:rsid w:val="006B1E2A"/>
    <w:rsid w:val="006B2072"/>
    <w:rsid w:val="006B236B"/>
    <w:rsid w:val="006B23D1"/>
    <w:rsid w:val="006B24B7"/>
    <w:rsid w:val="006B2507"/>
    <w:rsid w:val="006B256F"/>
    <w:rsid w:val="006B2682"/>
    <w:rsid w:val="006B2B5A"/>
    <w:rsid w:val="006B302A"/>
    <w:rsid w:val="006B33B0"/>
    <w:rsid w:val="006B33EF"/>
    <w:rsid w:val="006B3BAE"/>
    <w:rsid w:val="006B3CAF"/>
    <w:rsid w:val="006B3F3C"/>
    <w:rsid w:val="006B404E"/>
    <w:rsid w:val="006B407B"/>
    <w:rsid w:val="006B416F"/>
    <w:rsid w:val="006B4201"/>
    <w:rsid w:val="006B4423"/>
    <w:rsid w:val="006B4521"/>
    <w:rsid w:val="006B45FD"/>
    <w:rsid w:val="006B4715"/>
    <w:rsid w:val="006B4823"/>
    <w:rsid w:val="006B490B"/>
    <w:rsid w:val="006B50AF"/>
    <w:rsid w:val="006B568E"/>
    <w:rsid w:val="006B56C0"/>
    <w:rsid w:val="006B5F25"/>
    <w:rsid w:val="006B5F88"/>
    <w:rsid w:val="006B5F97"/>
    <w:rsid w:val="006B68EF"/>
    <w:rsid w:val="006B6FBA"/>
    <w:rsid w:val="006B7073"/>
    <w:rsid w:val="006B7168"/>
    <w:rsid w:val="006B7825"/>
    <w:rsid w:val="006B7E2F"/>
    <w:rsid w:val="006C07AE"/>
    <w:rsid w:val="006C0AF8"/>
    <w:rsid w:val="006C0D13"/>
    <w:rsid w:val="006C0EF6"/>
    <w:rsid w:val="006C1170"/>
    <w:rsid w:val="006C14F3"/>
    <w:rsid w:val="006C17A6"/>
    <w:rsid w:val="006C18E8"/>
    <w:rsid w:val="006C1AA5"/>
    <w:rsid w:val="006C1F8C"/>
    <w:rsid w:val="006C2060"/>
    <w:rsid w:val="006C2E7F"/>
    <w:rsid w:val="006C31AF"/>
    <w:rsid w:val="006C34AD"/>
    <w:rsid w:val="006C39A9"/>
    <w:rsid w:val="006C3C5D"/>
    <w:rsid w:val="006C3EA2"/>
    <w:rsid w:val="006C3F6E"/>
    <w:rsid w:val="006C458A"/>
    <w:rsid w:val="006C45B5"/>
    <w:rsid w:val="006C4C55"/>
    <w:rsid w:val="006C4CDC"/>
    <w:rsid w:val="006C5380"/>
    <w:rsid w:val="006C53E2"/>
    <w:rsid w:val="006C5823"/>
    <w:rsid w:val="006C660F"/>
    <w:rsid w:val="006C6EE1"/>
    <w:rsid w:val="006C7056"/>
    <w:rsid w:val="006C70FE"/>
    <w:rsid w:val="006C73A7"/>
    <w:rsid w:val="006C7451"/>
    <w:rsid w:val="006C77B2"/>
    <w:rsid w:val="006C7962"/>
    <w:rsid w:val="006C7DF7"/>
    <w:rsid w:val="006D00B3"/>
    <w:rsid w:val="006D0216"/>
    <w:rsid w:val="006D036E"/>
    <w:rsid w:val="006D0644"/>
    <w:rsid w:val="006D09F6"/>
    <w:rsid w:val="006D0EE8"/>
    <w:rsid w:val="006D0FB4"/>
    <w:rsid w:val="006D129A"/>
    <w:rsid w:val="006D12AD"/>
    <w:rsid w:val="006D12FE"/>
    <w:rsid w:val="006D140E"/>
    <w:rsid w:val="006D1C4C"/>
    <w:rsid w:val="006D20D8"/>
    <w:rsid w:val="006D22F1"/>
    <w:rsid w:val="006D2466"/>
    <w:rsid w:val="006D263D"/>
    <w:rsid w:val="006D26D1"/>
    <w:rsid w:val="006D26D5"/>
    <w:rsid w:val="006D3186"/>
    <w:rsid w:val="006D327F"/>
    <w:rsid w:val="006D3357"/>
    <w:rsid w:val="006D3472"/>
    <w:rsid w:val="006D351E"/>
    <w:rsid w:val="006D35AA"/>
    <w:rsid w:val="006D3930"/>
    <w:rsid w:val="006D3DC8"/>
    <w:rsid w:val="006D3E0B"/>
    <w:rsid w:val="006D3F37"/>
    <w:rsid w:val="006D3FBE"/>
    <w:rsid w:val="006D4394"/>
    <w:rsid w:val="006D48C1"/>
    <w:rsid w:val="006D48E4"/>
    <w:rsid w:val="006D4F15"/>
    <w:rsid w:val="006D4FC0"/>
    <w:rsid w:val="006D526E"/>
    <w:rsid w:val="006D5655"/>
    <w:rsid w:val="006D5E06"/>
    <w:rsid w:val="006D5E46"/>
    <w:rsid w:val="006D660D"/>
    <w:rsid w:val="006D6677"/>
    <w:rsid w:val="006D69F2"/>
    <w:rsid w:val="006D6C62"/>
    <w:rsid w:val="006D6FC4"/>
    <w:rsid w:val="006D71BE"/>
    <w:rsid w:val="006D76B4"/>
    <w:rsid w:val="006D7826"/>
    <w:rsid w:val="006D7A8E"/>
    <w:rsid w:val="006E03FA"/>
    <w:rsid w:val="006E053A"/>
    <w:rsid w:val="006E129E"/>
    <w:rsid w:val="006E12AD"/>
    <w:rsid w:val="006E131F"/>
    <w:rsid w:val="006E1353"/>
    <w:rsid w:val="006E145A"/>
    <w:rsid w:val="006E15BC"/>
    <w:rsid w:val="006E190B"/>
    <w:rsid w:val="006E19F3"/>
    <w:rsid w:val="006E1A6E"/>
    <w:rsid w:val="006E1D4D"/>
    <w:rsid w:val="006E1D67"/>
    <w:rsid w:val="006E1E81"/>
    <w:rsid w:val="006E2227"/>
    <w:rsid w:val="006E2A1C"/>
    <w:rsid w:val="006E2DB2"/>
    <w:rsid w:val="006E3289"/>
    <w:rsid w:val="006E3508"/>
    <w:rsid w:val="006E3518"/>
    <w:rsid w:val="006E3A67"/>
    <w:rsid w:val="006E3B22"/>
    <w:rsid w:val="006E3B96"/>
    <w:rsid w:val="006E3CB2"/>
    <w:rsid w:val="006E3D5B"/>
    <w:rsid w:val="006E3E4B"/>
    <w:rsid w:val="006E4434"/>
    <w:rsid w:val="006E467E"/>
    <w:rsid w:val="006E4EAC"/>
    <w:rsid w:val="006E5287"/>
    <w:rsid w:val="006E547A"/>
    <w:rsid w:val="006E563D"/>
    <w:rsid w:val="006E5784"/>
    <w:rsid w:val="006E5DDC"/>
    <w:rsid w:val="006E5F55"/>
    <w:rsid w:val="006E6108"/>
    <w:rsid w:val="006E6206"/>
    <w:rsid w:val="006E6348"/>
    <w:rsid w:val="006E651A"/>
    <w:rsid w:val="006E67C4"/>
    <w:rsid w:val="006E6CB2"/>
    <w:rsid w:val="006E6E48"/>
    <w:rsid w:val="006E6FC6"/>
    <w:rsid w:val="006E70DB"/>
    <w:rsid w:val="006E71D8"/>
    <w:rsid w:val="006E74B8"/>
    <w:rsid w:val="006E768A"/>
    <w:rsid w:val="006E76CE"/>
    <w:rsid w:val="006E7A83"/>
    <w:rsid w:val="006F0366"/>
    <w:rsid w:val="006F07BD"/>
    <w:rsid w:val="006F0EE8"/>
    <w:rsid w:val="006F0FDE"/>
    <w:rsid w:val="006F106D"/>
    <w:rsid w:val="006F1416"/>
    <w:rsid w:val="006F1780"/>
    <w:rsid w:val="006F1915"/>
    <w:rsid w:val="006F1E21"/>
    <w:rsid w:val="006F1FBE"/>
    <w:rsid w:val="006F2254"/>
    <w:rsid w:val="006F263D"/>
    <w:rsid w:val="006F2774"/>
    <w:rsid w:val="006F296F"/>
    <w:rsid w:val="006F2E4C"/>
    <w:rsid w:val="006F2EAB"/>
    <w:rsid w:val="006F2F0B"/>
    <w:rsid w:val="006F32AB"/>
    <w:rsid w:val="006F3AE9"/>
    <w:rsid w:val="006F3C6D"/>
    <w:rsid w:val="006F3C76"/>
    <w:rsid w:val="006F3D70"/>
    <w:rsid w:val="006F47A8"/>
    <w:rsid w:val="006F4912"/>
    <w:rsid w:val="006F52C8"/>
    <w:rsid w:val="006F581D"/>
    <w:rsid w:val="006F5C7C"/>
    <w:rsid w:val="006F6038"/>
    <w:rsid w:val="006F63B1"/>
    <w:rsid w:val="006F668F"/>
    <w:rsid w:val="006F69A6"/>
    <w:rsid w:val="006F6DFB"/>
    <w:rsid w:val="006F6E87"/>
    <w:rsid w:val="006F7496"/>
    <w:rsid w:val="006F7628"/>
    <w:rsid w:val="006F7DA4"/>
    <w:rsid w:val="006F7F9C"/>
    <w:rsid w:val="007000B0"/>
    <w:rsid w:val="00700163"/>
    <w:rsid w:val="00700363"/>
    <w:rsid w:val="007003DA"/>
    <w:rsid w:val="00700560"/>
    <w:rsid w:val="0070082B"/>
    <w:rsid w:val="00700BCA"/>
    <w:rsid w:val="00700D7A"/>
    <w:rsid w:val="00701267"/>
    <w:rsid w:val="00701A53"/>
    <w:rsid w:val="00701C58"/>
    <w:rsid w:val="00701E2F"/>
    <w:rsid w:val="0070212B"/>
    <w:rsid w:val="0070227F"/>
    <w:rsid w:val="007025A5"/>
    <w:rsid w:val="00702660"/>
    <w:rsid w:val="00702932"/>
    <w:rsid w:val="007033ED"/>
    <w:rsid w:val="00703994"/>
    <w:rsid w:val="00703B35"/>
    <w:rsid w:val="00703C74"/>
    <w:rsid w:val="00703D25"/>
    <w:rsid w:val="007041BB"/>
    <w:rsid w:val="0070456B"/>
    <w:rsid w:val="00704643"/>
    <w:rsid w:val="00704C10"/>
    <w:rsid w:val="00704C9E"/>
    <w:rsid w:val="00704E2F"/>
    <w:rsid w:val="007051BB"/>
    <w:rsid w:val="007056FF"/>
    <w:rsid w:val="00705A38"/>
    <w:rsid w:val="00705E25"/>
    <w:rsid w:val="00705FB4"/>
    <w:rsid w:val="00706B1D"/>
    <w:rsid w:val="00706B53"/>
    <w:rsid w:val="0070767D"/>
    <w:rsid w:val="00707A3F"/>
    <w:rsid w:val="00707C55"/>
    <w:rsid w:val="00707FCB"/>
    <w:rsid w:val="00710009"/>
    <w:rsid w:val="00710FC1"/>
    <w:rsid w:val="00711BC4"/>
    <w:rsid w:val="00711D7C"/>
    <w:rsid w:val="00711E11"/>
    <w:rsid w:val="00711F3A"/>
    <w:rsid w:val="007124D4"/>
    <w:rsid w:val="007124FE"/>
    <w:rsid w:val="007126B1"/>
    <w:rsid w:val="00712977"/>
    <w:rsid w:val="00712F59"/>
    <w:rsid w:val="007132AF"/>
    <w:rsid w:val="00713BE7"/>
    <w:rsid w:val="00714053"/>
    <w:rsid w:val="00714336"/>
    <w:rsid w:val="00714376"/>
    <w:rsid w:val="007149E5"/>
    <w:rsid w:val="00714ACB"/>
    <w:rsid w:val="00714B6E"/>
    <w:rsid w:val="00714CBA"/>
    <w:rsid w:val="00714FD8"/>
    <w:rsid w:val="0071514B"/>
    <w:rsid w:val="00715291"/>
    <w:rsid w:val="007157C5"/>
    <w:rsid w:val="00715830"/>
    <w:rsid w:val="00715CD8"/>
    <w:rsid w:val="00715E99"/>
    <w:rsid w:val="007161BB"/>
    <w:rsid w:val="00716B4B"/>
    <w:rsid w:val="00716C40"/>
    <w:rsid w:val="007171CF"/>
    <w:rsid w:val="00717758"/>
    <w:rsid w:val="00717DBB"/>
    <w:rsid w:val="00720A85"/>
    <w:rsid w:val="00720FAD"/>
    <w:rsid w:val="00722011"/>
    <w:rsid w:val="00722035"/>
    <w:rsid w:val="007220BE"/>
    <w:rsid w:val="007224CB"/>
    <w:rsid w:val="0072274D"/>
    <w:rsid w:val="0072294B"/>
    <w:rsid w:val="007229BD"/>
    <w:rsid w:val="00722D13"/>
    <w:rsid w:val="00722E64"/>
    <w:rsid w:val="00723015"/>
    <w:rsid w:val="007230D9"/>
    <w:rsid w:val="00723496"/>
    <w:rsid w:val="007234B2"/>
    <w:rsid w:val="0072352C"/>
    <w:rsid w:val="00723723"/>
    <w:rsid w:val="007237C4"/>
    <w:rsid w:val="007238C9"/>
    <w:rsid w:val="0072391B"/>
    <w:rsid w:val="00723DF0"/>
    <w:rsid w:val="00723DFB"/>
    <w:rsid w:val="00723F6C"/>
    <w:rsid w:val="00724135"/>
    <w:rsid w:val="00724181"/>
    <w:rsid w:val="007242B4"/>
    <w:rsid w:val="00724405"/>
    <w:rsid w:val="00724444"/>
    <w:rsid w:val="00724677"/>
    <w:rsid w:val="00724828"/>
    <w:rsid w:val="0072504D"/>
    <w:rsid w:val="00725A7E"/>
    <w:rsid w:val="00725B30"/>
    <w:rsid w:val="007262B1"/>
    <w:rsid w:val="0072636C"/>
    <w:rsid w:val="00726815"/>
    <w:rsid w:val="007268CC"/>
    <w:rsid w:val="0072711C"/>
    <w:rsid w:val="0072787E"/>
    <w:rsid w:val="007279DF"/>
    <w:rsid w:val="00727D79"/>
    <w:rsid w:val="00730553"/>
    <w:rsid w:val="00730AAC"/>
    <w:rsid w:val="00730C40"/>
    <w:rsid w:val="00730E74"/>
    <w:rsid w:val="00731085"/>
    <w:rsid w:val="00731340"/>
    <w:rsid w:val="007318B3"/>
    <w:rsid w:val="00732409"/>
    <w:rsid w:val="00732B86"/>
    <w:rsid w:val="00733042"/>
    <w:rsid w:val="00733054"/>
    <w:rsid w:val="007333F1"/>
    <w:rsid w:val="007334A2"/>
    <w:rsid w:val="00733829"/>
    <w:rsid w:val="0073411B"/>
    <w:rsid w:val="00734126"/>
    <w:rsid w:val="0073413D"/>
    <w:rsid w:val="0073423F"/>
    <w:rsid w:val="007343D5"/>
    <w:rsid w:val="00735117"/>
    <w:rsid w:val="00735355"/>
    <w:rsid w:val="007358B7"/>
    <w:rsid w:val="00735943"/>
    <w:rsid w:val="007359A6"/>
    <w:rsid w:val="00735C78"/>
    <w:rsid w:val="00735CCA"/>
    <w:rsid w:val="00735E34"/>
    <w:rsid w:val="00735E81"/>
    <w:rsid w:val="00735F7E"/>
    <w:rsid w:val="0073603B"/>
    <w:rsid w:val="00736539"/>
    <w:rsid w:val="0073687B"/>
    <w:rsid w:val="0073697B"/>
    <w:rsid w:val="00736DF9"/>
    <w:rsid w:val="00736EC5"/>
    <w:rsid w:val="00736FFB"/>
    <w:rsid w:val="007373C0"/>
    <w:rsid w:val="007373DB"/>
    <w:rsid w:val="00737557"/>
    <w:rsid w:val="00737811"/>
    <w:rsid w:val="00737CB7"/>
    <w:rsid w:val="00740170"/>
    <w:rsid w:val="007403D1"/>
    <w:rsid w:val="00740665"/>
    <w:rsid w:val="00740A56"/>
    <w:rsid w:val="00740BEC"/>
    <w:rsid w:val="00741008"/>
    <w:rsid w:val="007417F5"/>
    <w:rsid w:val="00742F26"/>
    <w:rsid w:val="007434F3"/>
    <w:rsid w:val="007435D8"/>
    <w:rsid w:val="00743A4B"/>
    <w:rsid w:val="00743E10"/>
    <w:rsid w:val="00743EC6"/>
    <w:rsid w:val="00743ED5"/>
    <w:rsid w:val="00743F21"/>
    <w:rsid w:val="007442B8"/>
    <w:rsid w:val="00744335"/>
    <w:rsid w:val="00744414"/>
    <w:rsid w:val="007446A0"/>
    <w:rsid w:val="00744802"/>
    <w:rsid w:val="007448C9"/>
    <w:rsid w:val="007449CA"/>
    <w:rsid w:val="007449CD"/>
    <w:rsid w:val="00744A09"/>
    <w:rsid w:val="00744AD6"/>
    <w:rsid w:val="0074524E"/>
    <w:rsid w:val="0074525E"/>
    <w:rsid w:val="00745265"/>
    <w:rsid w:val="007453EC"/>
    <w:rsid w:val="00745784"/>
    <w:rsid w:val="0074584C"/>
    <w:rsid w:val="00745896"/>
    <w:rsid w:val="007459D9"/>
    <w:rsid w:val="00745D73"/>
    <w:rsid w:val="00745F26"/>
    <w:rsid w:val="0074611E"/>
    <w:rsid w:val="0074624A"/>
    <w:rsid w:val="00746341"/>
    <w:rsid w:val="00746741"/>
    <w:rsid w:val="0074691E"/>
    <w:rsid w:val="00747BF9"/>
    <w:rsid w:val="00747E36"/>
    <w:rsid w:val="00747E56"/>
    <w:rsid w:val="007502B4"/>
    <w:rsid w:val="007504C2"/>
    <w:rsid w:val="007509CA"/>
    <w:rsid w:val="007509DD"/>
    <w:rsid w:val="00750FA0"/>
    <w:rsid w:val="00751564"/>
    <w:rsid w:val="00751614"/>
    <w:rsid w:val="0075167F"/>
    <w:rsid w:val="007519AC"/>
    <w:rsid w:val="00751A73"/>
    <w:rsid w:val="00751B88"/>
    <w:rsid w:val="00751FA1"/>
    <w:rsid w:val="007524FD"/>
    <w:rsid w:val="00752895"/>
    <w:rsid w:val="007529A8"/>
    <w:rsid w:val="00752A4C"/>
    <w:rsid w:val="00752DBF"/>
    <w:rsid w:val="00752E0E"/>
    <w:rsid w:val="007530C6"/>
    <w:rsid w:val="00753429"/>
    <w:rsid w:val="007535F2"/>
    <w:rsid w:val="00753B0F"/>
    <w:rsid w:val="007541BA"/>
    <w:rsid w:val="007541FC"/>
    <w:rsid w:val="0075424B"/>
    <w:rsid w:val="00754269"/>
    <w:rsid w:val="0075426B"/>
    <w:rsid w:val="00754503"/>
    <w:rsid w:val="007545F7"/>
    <w:rsid w:val="007551BD"/>
    <w:rsid w:val="0075523D"/>
    <w:rsid w:val="007553EC"/>
    <w:rsid w:val="007556AC"/>
    <w:rsid w:val="00755961"/>
    <w:rsid w:val="00755B82"/>
    <w:rsid w:val="00755D57"/>
    <w:rsid w:val="00755EC9"/>
    <w:rsid w:val="00755F98"/>
    <w:rsid w:val="00755FB0"/>
    <w:rsid w:val="00756800"/>
    <w:rsid w:val="00756853"/>
    <w:rsid w:val="00756909"/>
    <w:rsid w:val="0075690D"/>
    <w:rsid w:val="00756977"/>
    <w:rsid w:val="00756A4F"/>
    <w:rsid w:val="00756B78"/>
    <w:rsid w:val="00756BB3"/>
    <w:rsid w:val="00756E5C"/>
    <w:rsid w:val="007571A4"/>
    <w:rsid w:val="0075798B"/>
    <w:rsid w:val="007600E4"/>
    <w:rsid w:val="007603F0"/>
    <w:rsid w:val="0076050F"/>
    <w:rsid w:val="00760623"/>
    <w:rsid w:val="00760725"/>
    <w:rsid w:val="00760982"/>
    <w:rsid w:val="00760EBF"/>
    <w:rsid w:val="007619BC"/>
    <w:rsid w:val="00761CA2"/>
    <w:rsid w:val="00761F5F"/>
    <w:rsid w:val="00762046"/>
    <w:rsid w:val="00762053"/>
    <w:rsid w:val="00762275"/>
    <w:rsid w:val="0076288E"/>
    <w:rsid w:val="00762DBA"/>
    <w:rsid w:val="00763473"/>
    <w:rsid w:val="00763533"/>
    <w:rsid w:val="00763C85"/>
    <w:rsid w:val="00763E28"/>
    <w:rsid w:val="007644DE"/>
    <w:rsid w:val="007645C7"/>
    <w:rsid w:val="00764D9E"/>
    <w:rsid w:val="00765002"/>
    <w:rsid w:val="007651C2"/>
    <w:rsid w:val="00765306"/>
    <w:rsid w:val="0076534B"/>
    <w:rsid w:val="00766095"/>
    <w:rsid w:val="0076651A"/>
    <w:rsid w:val="007668E9"/>
    <w:rsid w:val="00766BE6"/>
    <w:rsid w:val="00766EE5"/>
    <w:rsid w:val="00766F62"/>
    <w:rsid w:val="007675A0"/>
    <w:rsid w:val="00767AB0"/>
    <w:rsid w:val="007707C6"/>
    <w:rsid w:val="00770910"/>
    <w:rsid w:val="00770BDF"/>
    <w:rsid w:val="00770D27"/>
    <w:rsid w:val="00771047"/>
    <w:rsid w:val="0077173E"/>
    <w:rsid w:val="00771868"/>
    <w:rsid w:val="00771C28"/>
    <w:rsid w:val="007723AA"/>
    <w:rsid w:val="0077248D"/>
    <w:rsid w:val="00772799"/>
    <w:rsid w:val="00772AE7"/>
    <w:rsid w:val="00772D36"/>
    <w:rsid w:val="00772E98"/>
    <w:rsid w:val="00772EDE"/>
    <w:rsid w:val="00772F23"/>
    <w:rsid w:val="00773071"/>
    <w:rsid w:val="00773179"/>
    <w:rsid w:val="007733F6"/>
    <w:rsid w:val="0077382D"/>
    <w:rsid w:val="00773834"/>
    <w:rsid w:val="00773D35"/>
    <w:rsid w:val="00773D3D"/>
    <w:rsid w:val="007742DE"/>
    <w:rsid w:val="00774708"/>
    <w:rsid w:val="007747AB"/>
    <w:rsid w:val="00774823"/>
    <w:rsid w:val="0077482A"/>
    <w:rsid w:val="0077483D"/>
    <w:rsid w:val="00774879"/>
    <w:rsid w:val="00774978"/>
    <w:rsid w:val="00774DB1"/>
    <w:rsid w:val="00775007"/>
    <w:rsid w:val="007753D5"/>
    <w:rsid w:val="00775796"/>
    <w:rsid w:val="007757B5"/>
    <w:rsid w:val="00775AA5"/>
    <w:rsid w:val="00775F4A"/>
    <w:rsid w:val="00776151"/>
    <w:rsid w:val="007762E2"/>
    <w:rsid w:val="007764AD"/>
    <w:rsid w:val="00776550"/>
    <w:rsid w:val="007768DB"/>
    <w:rsid w:val="00776FF9"/>
    <w:rsid w:val="007770F0"/>
    <w:rsid w:val="007772B2"/>
    <w:rsid w:val="007772CA"/>
    <w:rsid w:val="007772E7"/>
    <w:rsid w:val="0077741E"/>
    <w:rsid w:val="007775E1"/>
    <w:rsid w:val="007776F3"/>
    <w:rsid w:val="007779A4"/>
    <w:rsid w:val="00777E40"/>
    <w:rsid w:val="00780089"/>
    <w:rsid w:val="0078018C"/>
    <w:rsid w:val="0078040C"/>
    <w:rsid w:val="0078057B"/>
    <w:rsid w:val="007806C6"/>
    <w:rsid w:val="0078087A"/>
    <w:rsid w:val="00780930"/>
    <w:rsid w:val="007809F4"/>
    <w:rsid w:val="00780A7B"/>
    <w:rsid w:val="007810C9"/>
    <w:rsid w:val="00781100"/>
    <w:rsid w:val="00781136"/>
    <w:rsid w:val="007817B2"/>
    <w:rsid w:val="007818EB"/>
    <w:rsid w:val="00781B49"/>
    <w:rsid w:val="00781FE0"/>
    <w:rsid w:val="00782ACF"/>
    <w:rsid w:val="00782D3E"/>
    <w:rsid w:val="007832A0"/>
    <w:rsid w:val="007832AA"/>
    <w:rsid w:val="00783674"/>
    <w:rsid w:val="0078393C"/>
    <w:rsid w:val="00783C66"/>
    <w:rsid w:val="00783C86"/>
    <w:rsid w:val="00783CC2"/>
    <w:rsid w:val="00783F4C"/>
    <w:rsid w:val="0078412C"/>
    <w:rsid w:val="0078415C"/>
    <w:rsid w:val="007841BF"/>
    <w:rsid w:val="0078428F"/>
    <w:rsid w:val="00784777"/>
    <w:rsid w:val="007847D3"/>
    <w:rsid w:val="0078489C"/>
    <w:rsid w:val="007849A0"/>
    <w:rsid w:val="00784A24"/>
    <w:rsid w:val="00784F72"/>
    <w:rsid w:val="007850F9"/>
    <w:rsid w:val="00785462"/>
    <w:rsid w:val="007854C6"/>
    <w:rsid w:val="00785559"/>
    <w:rsid w:val="00785AE9"/>
    <w:rsid w:val="00785B50"/>
    <w:rsid w:val="00785BE5"/>
    <w:rsid w:val="00785BFA"/>
    <w:rsid w:val="00785D48"/>
    <w:rsid w:val="00785E1B"/>
    <w:rsid w:val="00785E3B"/>
    <w:rsid w:val="00785FF2"/>
    <w:rsid w:val="007861C0"/>
    <w:rsid w:val="007862B9"/>
    <w:rsid w:val="0078661E"/>
    <w:rsid w:val="00786847"/>
    <w:rsid w:val="00786E30"/>
    <w:rsid w:val="007870E6"/>
    <w:rsid w:val="00787540"/>
    <w:rsid w:val="007877FC"/>
    <w:rsid w:val="00790362"/>
    <w:rsid w:val="00790D01"/>
    <w:rsid w:val="0079130B"/>
    <w:rsid w:val="00791F29"/>
    <w:rsid w:val="007927F9"/>
    <w:rsid w:val="00792980"/>
    <w:rsid w:val="00793391"/>
    <w:rsid w:val="0079342F"/>
    <w:rsid w:val="00793576"/>
    <w:rsid w:val="00793625"/>
    <w:rsid w:val="00793A7D"/>
    <w:rsid w:val="00793C74"/>
    <w:rsid w:val="00793FB8"/>
    <w:rsid w:val="007943A8"/>
    <w:rsid w:val="00794485"/>
    <w:rsid w:val="00794810"/>
    <w:rsid w:val="00794A0D"/>
    <w:rsid w:val="00794E46"/>
    <w:rsid w:val="007950ED"/>
    <w:rsid w:val="007953C0"/>
    <w:rsid w:val="007955D9"/>
    <w:rsid w:val="00795ACB"/>
    <w:rsid w:val="00795B35"/>
    <w:rsid w:val="00795D49"/>
    <w:rsid w:val="00795E42"/>
    <w:rsid w:val="007963F3"/>
    <w:rsid w:val="007964DD"/>
    <w:rsid w:val="00796774"/>
    <w:rsid w:val="007967A1"/>
    <w:rsid w:val="00796807"/>
    <w:rsid w:val="00796FB9"/>
    <w:rsid w:val="007971B4"/>
    <w:rsid w:val="0079754E"/>
    <w:rsid w:val="007975CB"/>
    <w:rsid w:val="00797BE7"/>
    <w:rsid w:val="00797DF4"/>
    <w:rsid w:val="00797DFD"/>
    <w:rsid w:val="007A0032"/>
    <w:rsid w:val="007A07B1"/>
    <w:rsid w:val="007A0B8F"/>
    <w:rsid w:val="007A117C"/>
    <w:rsid w:val="007A139F"/>
    <w:rsid w:val="007A1470"/>
    <w:rsid w:val="007A15E5"/>
    <w:rsid w:val="007A1AD4"/>
    <w:rsid w:val="007A1B69"/>
    <w:rsid w:val="007A1EA6"/>
    <w:rsid w:val="007A20C8"/>
    <w:rsid w:val="007A2408"/>
    <w:rsid w:val="007A2A7C"/>
    <w:rsid w:val="007A2CCA"/>
    <w:rsid w:val="007A2D8D"/>
    <w:rsid w:val="007A3536"/>
    <w:rsid w:val="007A3539"/>
    <w:rsid w:val="007A3666"/>
    <w:rsid w:val="007A36F8"/>
    <w:rsid w:val="007A39D3"/>
    <w:rsid w:val="007A3C02"/>
    <w:rsid w:val="007A3CE8"/>
    <w:rsid w:val="007A4280"/>
    <w:rsid w:val="007A48BC"/>
    <w:rsid w:val="007A4B9F"/>
    <w:rsid w:val="007A4C04"/>
    <w:rsid w:val="007A560E"/>
    <w:rsid w:val="007A56A4"/>
    <w:rsid w:val="007A5B10"/>
    <w:rsid w:val="007A61BA"/>
    <w:rsid w:val="007A6670"/>
    <w:rsid w:val="007A6861"/>
    <w:rsid w:val="007A6B69"/>
    <w:rsid w:val="007A6C5D"/>
    <w:rsid w:val="007A6F37"/>
    <w:rsid w:val="007A6FE0"/>
    <w:rsid w:val="007A70A8"/>
    <w:rsid w:val="007A7264"/>
    <w:rsid w:val="007A7266"/>
    <w:rsid w:val="007A7869"/>
    <w:rsid w:val="007A7AB2"/>
    <w:rsid w:val="007A7D96"/>
    <w:rsid w:val="007B01B1"/>
    <w:rsid w:val="007B02C7"/>
    <w:rsid w:val="007B07F8"/>
    <w:rsid w:val="007B0835"/>
    <w:rsid w:val="007B0C53"/>
    <w:rsid w:val="007B0EBB"/>
    <w:rsid w:val="007B0F8D"/>
    <w:rsid w:val="007B11D7"/>
    <w:rsid w:val="007B12E4"/>
    <w:rsid w:val="007B1AEA"/>
    <w:rsid w:val="007B2085"/>
    <w:rsid w:val="007B2259"/>
    <w:rsid w:val="007B2B8B"/>
    <w:rsid w:val="007B2C63"/>
    <w:rsid w:val="007B31B1"/>
    <w:rsid w:val="007B35BF"/>
    <w:rsid w:val="007B3A3B"/>
    <w:rsid w:val="007B40C7"/>
    <w:rsid w:val="007B46DC"/>
    <w:rsid w:val="007B4A5F"/>
    <w:rsid w:val="007B4ECE"/>
    <w:rsid w:val="007B5092"/>
    <w:rsid w:val="007B55AA"/>
    <w:rsid w:val="007B6776"/>
    <w:rsid w:val="007B67C8"/>
    <w:rsid w:val="007B6829"/>
    <w:rsid w:val="007B6A59"/>
    <w:rsid w:val="007B6B33"/>
    <w:rsid w:val="007B6BD6"/>
    <w:rsid w:val="007B71F5"/>
    <w:rsid w:val="007B74AA"/>
    <w:rsid w:val="007B7509"/>
    <w:rsid w:val="007B751B"/>
    <w:rsid w:val="007B7D68"/>
    <w:rsid w:val="007C0138"/>
    <w:rsid w:val="007C0255"/>
    <w:rsid w:val="007C02F1"/>
    <w:rsid w:val="007C0402"/>
    <w:rsid w:val="007C0BBA"/>
    <w:rsid w:val="007C136E"/>
    <w:rsid w:val="007C15AC"/>
    <w:rsid w:val="007C1767"/>
    <w:rsid w:val="007C1A3F"/>
    <w:rsid w:val="007C1EC5"/>
    <w:rsid w:val="007C20CC"/>
    <w:rsid w:val="007C2293"/>
    <w:rsid w:val="007C24F3"/>
    <w:rsid w:val="007C25FE"/>
    <w:rsid w:val="007C26DC"/>
    <w:rsid w:val="007C2B34"/>
    <w:rsid w:val="007C2CCC"/>
    <w:rsid w:val="007C2F47"/>
    <w:rsid w:val="007C30AF"/>
    <w:rsid w:val="007C323E"/>
    <w:rsid w:val="007C3263"/>
    <w:rsid w:val="007C3A00"/>
    <w:rsid w:val="007C3C2D"/>
    <w:rsid w:val="007C3CD9"/>
    <w:rsid w:val="007C401D"/>
    <w:rsid w:val="007C42F1"/>
    <w:rsid w:val="007C438B"/>
    <w:rsid w:val="007C45D2"/>
    <w:rsid w:val="007C4BCF"/>
    <w:rsid w:val="007C4C29"/>
    <w:rsid w:val="007C4FF4"/>
    <w:rsid w:val="007C507F"/>
    <w:rsid w:val="007C50BD"/>
    <w:rsid w:val="007C5499"/>
    <w:rsid w:val="007C551D"/>
    <w:rsid w:val="007C56E1"/>
    <w:rsid w:val="007C592B"/>
    <w:rsid w:val="007C5E61"/>
    <w:rsid w:val="007C61E4"/>
    <w:rsid w:val="007C647A"/>
    <w:rsid w:val="007C6817"/>
    <w:rsid w:val="007C6829"/>
    <w:rsid w:val="007C698C"/>
    <w:rsid w:val="007C6BE1"/>
    <w:rsid w:val="007C6C08"/>
    <w:rsid w:val="007C6CEB"/>
    <w:rsid w:val="007C6E2C"/>
    <w:rsid w:val="007C72F3"/>
    <w:rsid w:val="007C77FA"/>
    <w:rsid w:val="007D015A"/>
    <w:rsid w:val="007D0A36"/>
    <w:rsid w:val="007D0A66"/>
    <w:rsid w:val="007D0D80"/>
    <w:rsid w:val="007D10BB"/>
    <w:rsid w:val="007D11E4"/>
    <w:rsid w:val="007D1495"/>
    <w:rsid w:val="007D1642"/>
    <w:rsid w:val="007D17BC"/>
    <w:rsid w:val="007D1883"/>
    <w:rsid w:val="007D1DB0"/>
    <w:rsid w:val="007D20A3"/>
    <w:rsid w:val="007D2254"/>
    <w:rsid w:val="007D23C2"/>
    <w:rsid w:val="007D2742"/>
    <w:rsid w:val="007D2D01"/>
    <w:rsid w:val="007D3095"/>
    <w:rsid w:val="007D3296"/>
    <w:rsid w:val="007D3338"/>
    <w:rsid w:val="007D3355"/>
    <w:rsid w:val="007D360C"/>
    <w:rsid w:val="007D36AA"/>
    <w:rsid w:val="007D3927"/>
    <w:rsid w:val="007D394D"/>
    <w:rsid w:val="007D395C"/>
    <w:rsid w:val="007D396B"/>
    <w:rsid w:val="007D3DCB"/>
    <w:rsid w:val="007D41A6"/>
    <w:rsid w:val="007D4B1D"/>
    <w:rsid w:val="007D4EB9"/>
    <w:rsid w:val="007D501E"/>
    <w:rsid w:val="007D52D1"/>
    <w:rsid w:val="007D5887"/>
    <w:rsid w:val="007D5B09"/>
    <w:rsid w:val="007D675D"/>
    <w:rsid w:val="007D6CBB"/>
    <w:rsid w:val="007D6D81"/>
    <w:rsid w:val="007D74CD"/>
    <w:rsid w:val="007D75CC"/>
    <w:rsid w:val="007D77B6"/>
    <w:rsid w:val="007D77D2"/>
    <w:rsid w:val="007D78B5"/>
    <w:rsid w:val="007D7D26"/>
    <w:rsid w:val="007D7FE7"/>
    <w:rsid w:val="007E056A"/>
    <w:rsid w:val="007E0835"/>
    <w:rsid w:val="007E0947"/>
    <w:rsid w:val="007E09FA"/>
    <w:rsid w:val="007E0E46"/>
    <w:rsid w:val="007E125E"/>
    <w:rsid w:val="007E15AC"/>
    <w:rsid w:val="007E1B25"/>
    <w:rsid w:val="007E1BAB"/>
    <w:rsid w:val="007E2082"/>
    <w:rsid w:val="007E2369"/>
    <w:rsid w:val="007E2389"/>
    <w:rsid w:val="007E2700"/>
    <w:rsid w:val="007E298E"/>
    <w:rsid w:val="007E2B11"/>
    <w:rsid w:val="007E2C1E"/>
    <w:rsid w:val="007E2F1E"/>
    <w:rsid w:val="007E3277"/>
    <w:rsid w:val="007E33E1"/>
    <w:rsid w:val="007E350B"/>
    <w:rsid w:val="007E35B2"/>
    <w:rsid w:val="007E3949"/>
    <w:rsid w:val="007E3AD1"/>
    <w:rsid w:val="007E3B22"/>
    <w:rsid w:val="007E3E30"/>
    <w:rsid w:val="007E4220"/>
    <w:rsid w:val="007E43AD"/>
    <w:rsid w:val="007E4DA0"/>
    <w:rsid w:val="007E539B"/>
    <w:rsid w:val="007E5461"/>
    <w:rsid w:val="007E5876"/>
    <w:rsid w:val="007E5F5D"/>
    <w:rsid w:val="007E608C"/>
    <w:rsid w:val="007E65BF"/>
    <w:rsid w:val="007E6725"/>
    <w:rsid w:val="007E685E"/>
    <w:rsid w:val="007E6CD6"/>
    <w:rsid w:val="007E746F"/>
    <w:rsid w:val="007E760C"/>
    <w:rsid w:val="007E7762"/>
    <w:rsid w:val="007E7988"/>
    <w:rsid w:val="007E7DD3"/>
    <w:rsid w:val="007E7EE2"/>
    <w:rsid w:val="007F0056"/>
    <w:rsid w:val="007F05A3"/>
    <w:rsid w:val="007F07A9"/>
    <w:rsid w:val="007F0AA7"/>
    <w:rsid w:val="007F1161"/>
    <w:rsid w:val="007F13A2"/>
    <w:rsid w:val="007F1740"/>
    <w:rsid w:val="007F21E7"/>
    <w:rsid w:val="007F228D"/>
    <w:rsid w:val="007F2611"/>
    <w:rsid w:val="007F33E2"/>
    <w:rsid w:val="007F3485"/>
    <w:rsid w:val="007F34DF"/>
    <w:rsid w:val="007F36D6"/>
    <w:rsid w:val="007F385E"/>
    <w:rsid w:val="007F388B"/>
    <w:rsid w:val="007F38DB"/>
    <w:rsid w:val="007F3968"/>
    <w:rsid w:val="007F4052"/>
    <w:rsid w:val="007F42DF"/>
    <w:rsid w:val="007F43C9"/>
    <w:rsid w:val="007F45F6"/>
    <w:rsid w:val="007F4974"/>
    <w:rsid w:val="007F4BCC"/>
    <w:rsid w:val="007F4C4C"/>
    <w:rsid w:val="007F4FCA"/>
    <w:rsid w:val="007F5302"/>
    <w:rsid w:val="007F59F2"/>
    <w:rsid w:val="007F5A4F"/>
    <w:rsid w:val="007F5A8D"/>
    <w:rsid w:val="007F60EC"/>
    <w:rsid w:val="007F6248"/>
    <w:rsid w:val="007F62E7"/>
    <w:rsid w:val="007F69D3"/>
    <w:rsid w:val="007F6C40"/>
    <w:rsid w:val="007F6C6E"/>
    <w:rsid w:val="007F6D4A"/>
    <w:rsid w:val="007F6D4B"/>
    <w:rsid w:val="007F6D8C"/>
    <w:rsid w:val="007F6E59"/>
    <w:rsid w:val="007F6E7D"/>
    <w:rsid w:val="007F7104"/>
    <w:rsid w:val="007F710C"/>
    <w:rsid w:val="007F72FA"/>
    <w:rsid w:val="007F7441"/>
    <w:rsid w:val="007F77A2"/>
    <w:rsid w:val="007F7D49"/>
    <w:rsid w:val="007F7FFB"/>
    <w:rsid w:val="0080018B"/>
    <w:rsid w:val="0080044F"/>
    <w:rsid w:val="00800484"/>
    <w:rsid w:val="00800C04"/>
    <w:rsid w:val="00801219"/>
    <w:rsid w:val="00801815"/>
    <w:rsid w:val="0080187E"/>
    <w:rsid w:val="00801C6A"/>
    <w:rsid w:val="00801C8B"/>
    <w:rsid w:val="00801E96"/>
    <w:rsid w:val="00801F75"/>
    <w:rsid w:val="0080212E"/>
    <w:rsid w:val="00802528"/>
    <w:rsid w:val="008025AC"/>
    <w:rsid w:val="0080295E"/>
    <w:rsid w:val="00802B19"/>
    <w:rsid w:val="00802C2B"/>
    <w:rsid w:val="00802D4F"/>
    <w:rsid w:val="008032BD"/>
    <w:rsid w:val="0080332E"/>
    <w:rsid w:val="008033C1"/>
    <w:rsid w:val="0080349F"/>
    <w:rsid w:val="00803A19"/>
    <w:rsid w:val="00804249"/>
    <w:rsid w:val="0080426D"/>
    <w:rsid w:val="008043A4"/>
    <w:rsid w:val="00804992"/>
    <w:rsid w:val="00804E54"/>
    <w:rsid w:val="00804F50"/>
    <w:rsid w:val="00804F95"/>
    <w:rsid w:val="00805408"/>
    <w:rsid w:val="0080571B"/>
    <w:rsid w:val="00805E0D"/>
    <w:rsid w:val="00806069"/>
    <w:rsid w:val="00806126"/>
    <w:rsid w:val="008061CA"/>
    <w:rsid w:val="00806244"/>
    <w:rsid w:val="008067D6"/>
    <w:rsid w:val="008068EC"/>
    <w:rsid w:val="00806B29"/>
    <w:rsid w:val="0080707C"/>
    <w:rsid w:val="00807100"/>
    <w:rsid w:val="00807233"/>
    <w:rsid w:val="008074A6"/>
    <w:rsid w:val="0080776B"/>
    <w:rsid w:val="00810272"/>
    <w:rsid w:val="0081095C"/>
    <w:rsid w:val="00810AA8"/>
    <w:rsid w:val="0081107D"/>
    <w:rsid w:val="008113B6"/>
    <w:rsid w:val="00811573"/>
    <w:rsid w:val="00811767"/>
    <w:rsid w:val="00811853"/>
    <w:rsid w:val="00811AF0"/>
    <w:rsid w:val="008121F9"/>
    <w:rsid w:val="008125F4"/>
    <w:rsid w:val="00813689"/>
    <w:rsid w:val="00813D32"/>
    <w:rsid w:val="00813D54"/>
    <w:rsid w:val="00814100"/>
    <w:rsid w:val="0081467F"/>
    <w:rsid w:val="00814832"/>
    <w:rsid w:val="00814A1B"/>
    <w:rsid w:val="00814CFE"/>
    <w:rsid w:val="00814D25"/>
    <w:rsid w:val="00814DCD"/>
    <w:rsid w:val="0081502B"/>
    <w:rsid w:val="008152C6"/>
    <w:rsid w:val="00815B2D"/>
    <w:rsid w:val="00815D5F"/>
    <w:rsid w:val="00815F01"/>
    <w:rsid w:val="008160B7"/>
    <w:rsid w:val="008160F0"/>
    <w:rsid w:val="00816B2F"/>
    <w:rsid w:val="00816B36"/>
    <w:rsid w:val="00816D5B"/>
    <w:rsid w:val="00816FCE"/>
    <w:rsid w:val="00817346"/>
    <w:rsid w:val="00817670"/>
    <w:rsid w:val="008176AE"/>
    <w:rsid w:val="0081778E"/>
    <w:rsid w:val="00817A6B"/>
    <w:rsid w:val="00817EA8"/>
    <w:rsid w:val="00817FCA"/>
    <w:rsid w:val="0082031B"/>
    <w:rsid w:val="00820393"/>
    <w:rsid w:val="00820592"/>
    <w:rsid w:val="00820604"/>
    <w:rsid w:val="00820954"/>
    <w:rsid w:val="00820E92"/>
    <w:rsid w:val="00821097"/>
    <w:rsid w:val="00821179"/>
    <w:rsid w:val="00821463"/>
    <w:rsid w:val="0082162A"/>
    <w:rsid w:val="008218DC"/>
    <w:rsid w:val="00821AB1"/>
    <w:rsid w:val="00821ADB"/>
    <w:rsid w:val="00821B65"/>
    <w:rsid w:val="008222B3"/>
    <w:rsid w:val="008228C0"/>
    <w:rsid w:val="00822994"/>
    <w:rsid w:val="00822C63"/>
    <w:rsid w:val="00822C7B"/>
    <w:rsid w:val="00822CA1"/>
    <w:rsid w:val="00822E71"/>
    <w:rsid w:val="00822EF8"/>
    <w:rsid w:val="00823004"/>
    <w:rsid w:val="0082341C"/>
    <w:rsid w:val="0082364D"/>
    <w:rsid w:val="008237A3"/>
    <w:rsid w:val="00823879"/>
    <w:rsid w:val="008239D1"/>
    <w:rsid w:val="00823A0D"/>
    <w:rsid w:val="00823A61"/>
    <w:rsid w:val="00823C84"/>
    <w:rsid w:val="008248DC"/>
    <w:rsid w:val="00824C09"/>
    <w:rsid w:val="00825A02"/>
    <w:rsid w:val="00825D77"/>
    <w:rsid w:val="00825E9C"/>
    <w:rsid w:val="0082609E"/>
    <w:rsid w:val="00826282"/>
    <w:rsid w:val="00826513"/>
    <w:rsid w:val="00826521"/>
    <w:rsid w:val="0082696E"/>
    <w:rsid w:val="00826AD1"/>
    <w:rsid w:val="00826B8F"/>
    <w:rsid w:val="008272FF"/>
    <w:rsid w:val="00827313"/>
    <w:rsid w:val="008277CD"/>
    <w:rsid w:val="00827E98"/>
    <w:rsid w:val="00827FC2"/>
    <w:rsid w:val="0083008A"/>
    <w:rsid w:val="00830213"/>
    <w:rsid w:val="00830468"/>
    <w:rsid w:val="00830591"/>
    <w:rsid w:val="0083063A"/>
    <w:rsid w:val="0083101F"/>
    <w:rsid w:val="00831207"/>
    <w:rsid w:val="008312CB"/>
    <w:rsid w:val="008317BD"/>
    <w:rsid w:val="00831A65"/>
    <w:rsid w:val="00831CC4"/>
    <w:rsid w:val="00831DB0"/>
    <w:rsid w:val="00831FC8"/>
    <w:rsid w:val="008324CD"/>
    <w:rsid w:val="00832536"/>
    <w:rsid w:val="00832747"/>
    <w:rsid w:val="00832899"/>
    <w:rsid w:val="00832AD0"/>
    <w:rsid w:val="00832BD8"/>
    <w:rsid w:val="00832C2D"/>
    <w:rsid w:val="00833238"/>
    <w:rsid w:val="008333E3"/>
    <w:rsid w:val="00833B4F"/>
    <w:rsid w:val="008342FD"/>
    <w:rsid w:val="008344ED"/>
    <w:rsid w:val="0083491A"/>
    <w:rsid w:val="00834997"/>
    <w:rsid w:val="00834D92"/>
    <w:rsid w:val="00834E3A"/>
    <w:rsid w:val="0083513E"/>
    <w:rsid w:val="00835464"/>
    <w:rsid w:val="008355A7"/>
    <w:rsid w:val="00835607"/>
    <w:rsid w:val="00835875"/>
    <w:rsid w:val="00835937"/>
    <w:rsid w:val="00835CC1"/>
    <w:rsid w:val="00835F2C"/>
    <w:rsid w:val="00836339"/>
    <w:rsid w:val="008368D3"/>
    <w:rsid w:val="008369D9"/>
    <w:rsid w:val="00837727"/>
    <w:rsid w:val="00837850"/>
    <w:rsid w:val="00837854"/>
    <w:rsid w:val="00837A0C"/>
    <w:rsid w:val="00837D51"/>
    <w:rsid w:val="00837DD2"/>
    <w:rsid w:val="00837FD8"/>
    <w:rsid w:val="00840040"/>
    <w:rsid w:val="0084020A"/>
    <w:rsid w:val="00840335"/>
    <w:rsid w:val="0084068B"/>
    <w:rsid w:val="00840858"/>
    <w:rsid w:val="00840D89"/>
    <w:rsid w:val="008413CC"/>
    <w:rsid w:val="0084154A"/>
    <w:rsid w:val="00841A02"/>
    <w:rsid w:val="00841F50"/>
    <w:rsid w:val="00842363"/>
    <w:rsid w:val="0084237B"/>
    <w:rsid w:val="0084238B"/>
    <w:rsid w:val="0084252C"/>
    <w:rsid w:val="00842754"/>
    <w:rsid w:val="008429C2"/>
    <w:rsid w:val="00842BDF"/>
    <w:rsid w:val="00842E17"/>
    <w:rsid w:val="00842F92"/>
    <w:rsid w:val="00843311"/>
    <w:rsid w:val="008434A2"/>
    <w:rsid w:val="008434ED"/>
    <w:rsid w:val="008440E4"/>
    <w:rsid w:val="008442EA"/>
    <w:rsid w:val="00844669"/>
    <w:rsid w:val="0084471A"/>
    <w:rsid w:val="008447ED"/>
    <w:rsid w:val="00844911"/>
    <w:rsid w:val="00844B73"/>
    <w:rsid w:val="00845000"/>
    <w:rsid w:val="008451CD"/>
    <w:rsid w:val="0084529C"/>
    <w:rsid w:val="00845A3E"/>
    <w:rsid w:val="00845C82"/>
    <w:rsid w:val="00845ED6"/>
    <w:rsid w:val="0084622C"/>
    <w:rsid w:val="0084707B"/>
    <w:rsid w:val="00847186"/>
    <w:rsid w:val="00847290"/>
    <w:rsid w:val="008473B1"/>
    <w:rsid w:val="008475CF"/>
    <w:rsid w:val="00847831"/>
    <w:rsid w:val="0084787E"/>
    <w:rsid w:val="0085005D"/>
    <w:rsid w:val="008504BF"/>
    <w:rsid w:val="00850B20"/>
    <w:rsid w:val="00850CB5"/>
    <w:rsid w:val="00850CED"/>
    <w:rsid w:val="00850D7E"/>
    <w:rsid w:val="00851169"/>
    <w:rsid w:val="00851212"/>
    <w:rsid w:val="0085129D"/>
    <w:rsid w:val="008513D9"/>
    <w:rsid w:val="008517DF"/>
    <w:rsid w:val="00852557"/>
    <w:rsid w:val="00852675"/>
    <w:rsid w:val="008526E0"/>
    <w:rsid w:val="0085287F"/>
    <w:rsid w:val="00852CA9"/>
    <w:rsid w:val="00852CCA"/>
    <w:rsid w:val="00852D34"/>
    <w:rsid w:val="00852F25"/>
    <w:rsid w:val="0085324E"/>
    <w:rsid w:val="008533A8"/>
    <w:rsid w:val="0085350D"/>
    <w:rsid w:val="00854069"/>
    <w:rsid w:val="00854400"/>
    <w:rsid w:val="00854609"/>
    <w:rsid w:val="0085512E"/>
    <w:rsid w:val="00855323"/>
    <w:rsid w:val="008554BC"/>
    <w:rsid w:val="008557B4"/>
    <w:rsid w:val="0085640E"/>
    <w:rsid w:val="00856414"/>
    <w:rsid w:val="0085674A"/>
    <w:rsid w:val="00857113"/>
    <w:rsid w:val="00857355"/>
    <w:rsid w:val="00857B5A"/>
    <w:rsid w:val="00857BA3"/>
    <w:rsid w:val="008601DD"/>
    <w:rsid w:val="00860345"/>
    <w:rsid w:val="008607E3"/>
    <w:rsid w:val="00860C5D"/>
    <w:rsid w:val="00860C88"/>
    <w:rsid w:val="00860E05"/>
    <w:rsid w:val="00861171"/>
    <w:rsid w:val="0086154B"/>
    <w:rsid w:val="00861E66"/>
    <w:rsid w:val="00862004"/>
    <w:rsid w:val="008627B4"/>
    <w:rsid w:val="00862902"/>
    <w:rsid w:val="0086290A"/>
    <w:rsid w:val="008630AE"/>
    <w:rsid w:val="00863148"/>
    <w:rsid w:val="00863364"/>
    <w:rsid w:val="0086342E"/>
    <w:rsid w:val="00863B0E"/>
    <w:rsid w:val="00863BD3"/>
    <w:rsid w:val="00863EA4"/>
    <w:rsid w:val="00863F88"/>
    <w:rsid w:val="0086426E"/>
    <w:rsid w:val="008643A2"/>
    <w:rsid w:val="008646AA"/>
    <w:rsid w:val="0086494A"/>
    <w:rsid w:val="0086527C"/>
    <w:rsid w:val="00865381"/>
    <w:rsid w:val="008654EA"/>
    <w:rsid w:val="00865514"/>
    <w:rsid w:val="008658AB"/>
    <w:rsid w:val="00865CC9"/>
    <w:rsid w:val="00865CCC"/>
    <w:rsid w:val="00865D08"/>
    <w:rsid w:val="00865EEE"/>
    <w:rsid w:val="008660EC"/>
    <w:rsid w:val="00866399"/>
    <w:rsid w:val="0086648F"/>
    <w:rsid w:val="00866E8A"/>
    <w:rsid w:val="00866EFB"/>
    <w:rsid w:val="0086703C"/>
    <w:rsid w:val="0086765F"/>
    <w:rsid w:val="00867950"/>
    <w:rsid w:val="00867B75"/>
    <w:rsid w:val="00867CF7"/>
    <w:rsid w:val="00867E16"/>
    <w:rsid w:val="00867EFA"/>
    <w:rsid w:val="00867FA3"/>
    <w:rsid w:val="00867FFB"/>
    <w:rsid w:val="00870467"/>
    <w:rsid w:val="0087063B"/>
    <w:rsid w:val="0087072F"/>
    <w:rsid w:val="008708FE"/>
    <w:rsid w:val="00871315"/>
    <w:rsid w:val="00871569"/>
    <w:rsid w:val="008715A5"/>
    <w:rsid w:val="00871676"/>
    <w:rsid w:val="00871891"/>
    <w:rsid w:val="00871957"/>
    <w:rsid w:val="00871EC0"/>
    <w:rsid w:val="00871EC5"/>
    <w:rsid w:val="008728F4"/>
    <w:rsid w:val="00873659"/>
    <w:rsid w:val="00873929"/>
    <w:rsid w:val="0087398B"/>
    <w:rsid w:val="00873E4D"/>
    <w:rsid w:val="00874274"/>
    <w:rsid w:val="00874435"/>
    <w:rsid w:val="008744B9"/>
    <w:rsid w:val="0087455B"/>
    <w:rsid w:val="008745D2"/>
    <w:rsid w:val="00874798"/>
    <w:rsid w:val="0087485D"/>
    <w:rsid w:val="008752FD"/>
    <w:rsid w:val="008755F9"/>
    <w:rsid w:val="0087564E"/>
    <w:rsid w:val="008756BF"/>
    <w:rsid w:val="00875AC1"/>
    <w:rsid w:val="00875C47"/>
    <w:rsid w:val="00875CBD"/>
    <w:rsid w:val="00875EF0"/>
    <w:rsid w:val="008763D8"/>
    <w:rsid w:val="00876456"/>
    <w:rsid w:val="00876B43"/>
    <w:rsid w:val="00876F3A"/>
    <w:rsid w:val="0087747C"/>
    <w:rsid w:val="008778C2"/>
    <w:rsid w:val="00877E01"/>
    <w:rsid w:val="00877E7D"/>
    <w:rsid w:val="00877FB6"/>
    <w:rsid w:val="0088006F"/>
    <w:rsid w:val="008801B8"/>
    <w:rsid w:val="00880391"/>
    <w:rsid w:val="008804E8"/>
    <w:rsid w:val="008807AF"/>
    <w:rsid w:val="00880AEA"/>
    <w:rsid w:val="00880C11"/>
    <w:rsid w:val="00880C50"/>
    <w:rsid w:val="00880F54"/>
    <w:rsid w:val="00880F5B"/>
    <w:rsid w:val="00881058"/>
    <w:rsid w:val="00881443"/>
    <w:rsid w:val="008816B2"/>
    <w:rsid w:val="00881A3E"/>
    <w:rsid w:val="00881BD1"/>
    <w:rsid w:val="00881C25"/>
    <w:rsid w:val="00881E6E"/>
    <w:rsid w:val="00882097"/>
    <w:rsid w:val="00882198"/>
    <w:rsid w:val="0088275D"/>
    <w:rsid w:val="00883051"/>
    <w:rsid w:val="008831CE"/>
    <w:rsid w:val="00883329"/>
    <w:rsid w:val="00883D1B"/>
    <w:rsid w:val="00883E68"/>
    <w:rsid w:val="00883ECD"/>
    <w:rsid w:val="00883EEC"/>
    <w:rsid w:val="00884329"/>
    <w:rsid w:val="00884442"/>
    <w:rsid w:val="00884733"/>
    <w:rsid w:val="00884996"/>
    <w:rsid w:val="00884A89"/>
    <w:rsid w:val="00884F08"/>
    <w:rsid w:val="00885120"/>
    <w:rsid w:val="008853B8"/>
    <w:rsid w:val="00885832"/>
    <w:rsid w:val="00885999"/>
    <w:rsid w:val="008859F8"/>
    <w:rsid w:val="00885DAA"/>
    <w:rsid w:val="00885E84"/>
    <w:rsid w:val="008862C2"/>
    <w:rsid w:val="00886418"/>
    <w:rsid w:val="00886681"/>
    <w:rsid w:val="00886756"/>
    <w:rsid w:val="00886FA2"/>
    <w:rsid w:val="00887157"/>
    <w:rsid w:val="008873BB"/>
    <w:rsid w:val="0088750A"/>
    <w:rsid w:val="008875F6"/>
    <w:rsid w:val="00887655"/>
    <w:rsid w:val="00890660"/>
    <w:rsid w:val="00890F27"/>
    <w:rsid w:val="008913EB"/>
    <w:rsid w:val="00891419"/>
    <w:rsid w:val="00891489"/>
    <w:rsid w:val="00891575"/>
    <w:rsid w:val="00891810"/>
    <w:rsid w:val="00891A12"/>
    <w:rsid w:val="00891D1A"/>
    <w:rsid w:val="00891FAC"/>
    <w:rsid w:val="00892514"/>
    <w:rsid w:val="00892844"/>
    <w:rsid w:val="00892A09"/>
    <w:rsid w:val="008930EF"/>
    <w:rsid w:val="00893203"/>
    <w:rsid w:val="00893655"/>
    <w:rsid w:val="00893966"/>
    <w:rsid w:val="008939C3"/>
    <w:rsid w:val="00893E9C"/>
    <w:rsid w:val="008949A3"/>
    <w:rsid w:val="00894C34"/>
    <w:rsid w:val="00894C48"/>
    <w:rsid w:val="00894F6C"/>
    <w:rsid w:val="0089516A"/>
    <w:rsid w:val="00895329"/>
    <w:rsid w:val="0089593F"/>
    <w:rsid w:val="00895E1A"/>
    <w:rsid w:val="0089626A"/>
    <w:rsid w:val="0089655C"/>
    <w:rsid w:val="008968A8"/>
    <w:rsid w:val="00896CC7"/>
    <w:rsid w:val="008971A0"/>
    <w:rsid w:val="00897267"/>
    <w:rsid w:val="008972F9"/>
    <w:rsid w:val="00897342"/>
    <w:rsid w:val="008973CA"/>
    <w:rsid w:val="00897725"/>
    <w:rsid w:val="0089785F"/>
    <w:rsid w:val="00897A29"/>
    <w:rsid w:val="00897BF6"/>
    <w:rsid w:val="00897CCC"/>
    <w:rsid w:val="008A0429"/>
    <w:rsid w:val="008A06B0"/>
    <w:rsid w:val="008A06C4"/>
    <w:rsid w:val="008A07AE"/>
    <w:rsid w:val="008A0970"/>
    <w:rsid w:val="008A0B48"/>
    <w:rsid w:val="008A0BAC"/>
    <w:rsid w:val="008A0CFB"/>
    <w:rsid w:val="008A0D9F"/>
    <w:rsid w:val="008A12D3"/>
    <w:rsid w:val="008A135F"/>
    <w:rsid w:val="008A1367"/>
    <w:rsid w:val="008A1548"/>
    <w:rsid w:val="008A15D5"/>
    <w:rsid w:val="008A16AC"/>
    <w:rsid w:val="008A1B90"/>
    <w:rsid w:val="008A1D7F"/>
    <w:rsid w:val="008A231F"/>
    <w:rsid w:val="008A2477"/>
    <w:rsid w:val="008A2562"/>
    <w:rsid w:val="008A2967"/>
    <w:rsid w:val="008A2982"/>
    <w:rsid w:val="008A2A6E"/>
    <w:rsid w:val="008A2DA9"/>
    <w:rsid w:val="008A3375"/>
    <w:rsid w:val="008A39BD"/>
    <w:rsid w:val="008A3AD9"/>
    <w:rsid w:val="008A3B9B"/>
    <w:rsid w:val="008A4292"/>
    <w:rsid w:val="008A4626"/>
    <w:rsid w:val="008A4BA1"/>
    <w:rsid w:val="008A4F8E"/>
    <w:rsid w:val="008A5839"/>
    <w:rsid w:val="008A633F"/>
    <w:rsid w:val="008A63D6"/>
    <w:rsid w:val="008A63E3"/>
    <w:rsid w:val="008A6619"/>
    <w:rsid w:val="008A6719"/>
    <w:rsid w:val="008A673B"/>
    <w:rsid w:val="008A6883"/>
    <w:rsid w:val="008A68D1"/>
    <w:rsid w:val="008A6A81"/>
    <w:rsid w:val="008A6A98"/>
    <w:rsid w:val="008A6D6E"/>
    <w:rsid w:val="008A7033"/>
    <w:rsid w:val="008A706C"/>
    <w:rsid w:val="008A7125"/>
    <w:rsid w:val="008A7642"/>
    <w:rsid w:val="008A77FF"/>
    <w:rsid w:val="008A7837"/>
    <w:rsid w:val="008A7C50"/>
    <w:rsid w:val="008A7D07"/>
    <w:rsid w:val="008B0038"/>
    <w:rsid w:val="008B0C48"/>
    <w:rsid w:val="008B0DB3"/>
    <w:rsid w:val="008B1015"/>
    <w:rsid w:val="008B11AF"/>
    <w:rsid w:val="008B19FA"/>
    <w:rsid w:val="008B1C76"/>
    <w:rsid w:val="008B1E07"/>
    <w:rsid w:val="008B2510"/>
    <w:rsid w:val="008B27CA"/>
    <w:rsid w:val="008B2AB6"/>
    <w:rsid w:val="008B2BD5"/>
    <w:rsid w:val="008B37A3"/>
    <w:rsid w:val="008B37E7"/>
    <w:rsid w:val="008B3A46"/>
    <w:rsid w:val="008B3D7F"/>
    <w:rsid w:val="008B3E73"/>
    <w:rsid w:val="008B3ED1"/>
    <w:rsid w:val="008B4483"/>
    <w:rsid w:val="008B4583"/>
    <w:rsid w:val="008B458B"/>
    <w:rsid w:val="008B4BCF"/>
    <w:rsid w:val="008B59E9"/>
    <w:rsid w:val="008B5D0D"/>
    <w:rsid w:val="008B5D31"/>
    <w:rsid w:val="008B6150"/>
    <w:rsid w:val="008B635A"/>
    <w:rsid w:val="008B6CCD"/>
    <w:rsid w:val="008B6E85"/>
    <w:rsid w:val="008B6FF9"/>
    <w:rsid w:val="008B72C0"/>
    <w:rsid w:val="008B7613"/>
    <w:rsid w:val="008B7B09"/>
    <w:rsid w:val="008C0309"/>
    <w:rsid w:val="008C053B"/>
    <w:rsid w:val="008C05C1"/>
    <w:rsid w:val="008C061E"/>
    <w:rsid w:val="008C1BEB"/>
    <w:rsid w:val="008C1DD8"/>
    <w:rsid w:val="008C1F45"/>
    <w:rsid w:val="008C2356"/>
    <w:rsid w:val="008C27AD"/>
    <w:rsid w:val="008C2847"/>
    <w:rsid w:val="008C320E"/>
    <w:rsid w:val="008C330E"/>
    <w:rsid w:val="008C3411"/>
    <w:rsid w:val="008C382F"/>
    <w:rsid w:val="008C3AA7"/>
    <w:rsid w:val="008C3C64"/>
    <w:rsid w:val="008C4042"/>
    <w:rsid w:val="008C41B1"/>
    <w:rsid w:val="008C46A4"/>
    <w:rsid w:val="008C47FC"/>
    <w:rsid w:val="008C4B8E"/>
    <w:rsid w:val="008C538D"/>
    <w:rsid w:val="008C53BC"/>
    <w:rsid w:val="008C5478"/>
    <w:rsid w:val="008C5646"/>
    <w:rsid w:val="008C58FD"/>
    <w:rsid w:val="008C5A6C"/>
    <w:rsid w:val="008C5B2E"/>
    <w:rsid w:val="008C6558"/>
    <w:rsid w:val="008C6823"/>
    <w:rsid w:val="008C6B7D"/>
    <w:rsid w:val="008C6C1B"/>
    <w:rsid w:val="008C6C57"/>
    <w:rsid w:val="008C7063"/>
    <w:rsid w:val="008C734C"/>
    <w:rsid w:val="008C772C"/>
    <w:rsid w:val="008C7741"/>
    <w:rsid w:val="008C784E"/>
    <w:rsid w:val="008C7FC0"/>
    <w:rsid w:val="008D0008"/>
    <w:rsid w:val="008D0021"/>
    <w:rsid w:val="008D028E"/>
    <w:rsid w:val="008D04F7"/>
    <w:rsid w:val="008D050C"/>
    <w:rsid w:val="008D074A"/>
    <w:rsid w:val="008D0819"/>
    <w:rsid w:val="008D090C"/>
    <w:rsid w:val="008D0A0E"/>
    <w:rsid w:val="008D0AAC"/>
    <w:rsid w:val="008D0D9F"/>
    <w:rsid w:val="008D11B1"/>
    <w:rsid w:val="008D1213"/>
    <w:rsid w:val="008D136E"/>
    <w:rsid w:val="008D138E"/>
    <w:rsid w:val="008D13EE"/>
    <w:rsid w:val="008D1951"/>
    <w:rsid w:val="008D1FEA"/>
    <w:rsid w:val="008D1FF6"/>
    <w:rsid w:val="008D2493"/>
    <w:rsid w:val="008D2DE6"/>
    <w:rsid w:val="008D3070"/>
    <w:rsid w:val="008D386F"/>
    <w:rsid w:val="008D3EAE"/>
    <w:rsid w:val="008D46BF"/>
    <w:rsid w:val="008D4A57"/>
    <w:rsid w:val="008D4B4E"/>
    <w:rsid w:val="008D4C78"/>
    <w:rsid w:val="008D4CF6"/>
    <w:rsid w:val="008D4EB2"/>
    <w:rsid w:val="008D4FE2"/>
    <w:rsid w:val="008D5129"/>
    <w:rsid w:val="008D55FD"/>
    <w:rsid w:val="008D6E1E"/>
    <w:rsid w:val="008D6F46"/>
    <w:rsid w:val="008D738F"/>
    <w:rsid w:val="008D768F"/>
    <w:rsid w:val="008D76E4"/>
    <w:rsid w:val="008D78E4"/>
    <w:rsid w:val="008E017E"/>
    <w:rsid w:val="008E0199"/>
    <w:rsid w:val="008E0871"/>
    <w:rsid w:val="008E094F"/>
    <w:rsid w:val="008E0D4E"/>
    <w:rsid w:val="008E0DC6"/>
    <w:rsid w:val="008E0F7E"/>
    <w:rsid w:val="008E115E"/>
    <w:rsid w:val="008E13CE"/>
    <w:rsid w:val="008E2379"/>
    <w:rsid w:val="008E2839"/>
    <w:rsid w:val="008E2C59"/>
    <w:rsid w:val="008E30BD"/>
    <w:rsid w:val="008E33BF"/>
    <w:rsid w:val="008E3460"/>
    <w:rsid w:val="008E3915"/>
    <w:rsid w:val="008E3B8C"/>
    <w:rsid w:val="008E3C40"/>
    <w:rsid w:val="008E3CC2"/>
    <w:rsid w:val="008E4240"/>
    <w:rsid w:val="008E443A"/>
    <w:rsid w:val="008E45CC"/>
    <w:rsid w:val="008E4728"/>
    <w:rsid w:val="008E4821"/>
    <w:rsid w:val="008E4AA4"/>
    <w:rsid w:val="008E4F0D"/>
    <w:rsid w:val="008E506D"/>
    <w:rsid w:val="008E5270"/>
    <w:rsid w:val="008E52F9"/>
    <w:rsid w:val="008E5709"/>
    <w:rsid w:val="008E5C8D"/>
    <w:rsid w:val="008E5D52"/>
    <w:rsid w:val="008E5D90"/>
    <w:rsid w:val="008E5F54"/>
    <w:rsid w:val="008E638C"/>
    <w:rsid w:val="008E6D31"/>
    <w:rsid w:val="008E71CD"/>
    <w:rsid w:val="008E7661"/>
    <w:rsid w:val="008E76D9"/>
    <w:rsid w:val="008E7ADF"/>
    <w:rsid w:val="008E7DD2"/>
    <w:rsid w:val="008F02C4"/>
    <w:rsid w:val="008F070E"/>
    <w:rsid w:val="008F0810"/>
    <w:rsid w:val="008F092B"/>
    <w:rsid w:val="008F0C72"/>
    <w:rsid w:val="008F1034"/>
    <w:rsid w:val="008F1091"/>
    <w:rsid w:val="008F1296"/>
    <w:rsid w:val="008F159C"/>
    <w:rsid w:val="008F1A7F"/>
    <w:rsid w:val="008F1E81"/>
    <w:rsid w:val="008F2218"/>
    <w:rsid w:val="008F2515"/>
    <w:rsid w:val="008F276A"/>
    <w:rsid w:val="008F280E"/>
    <w:rsid w:val="008F2AD1"/>
    <w:rsid w:val="008F2AF7"/>
    <w:rsid w:val="008F2E3D"/>
    <w:rsid w:val="008F2E8B"/>
    <w:rsid w:val="008F2F3A"/>
    <w:rsid w:val="008F367D"/>
    <w:rsid w:val="008F36D3"/>
    <w:rsid w:val="008F3945"/>
    <w:rsid w:val="008F3A83"/>
    <w:rsid w:val="008F3B97"/>
    <w:rsid w:val="008F4691"/>
    <w:rsid w:val="008F489E"/>
    <w:rsid w:val="008F4E23"/>
    <w:rsid w:val="008F4F0C"/>
    <w:rsid w:val="008F52D3"/>
    <w:rsid w:val="008F53A7"/>
    <w:rsid w:val="008F55FD"/>
    <w:rsid w:val="008F569E"/>
    <w:rsid w:val="008F58AB"/>
    <w:rsid w:val="008F591B"/>
    <w:rsid w:val="008F594F"/>
    <w:rsid w:val="008F5F1F"/>
    <w:rsid w:val="008F6008"/>
    <w:rsid w:val="008F6102"/>
    <w:rsid w:val="008F6229"/>
    <w:rsid w:val="008F64B8"/>
    <w:rsid w:val="008F675F"/>
    <w:rsid w:val="008F6DA8"/>
    <w:rsid w:val="008F6EE0"/>
    <w:rsid w:val="008F7277"/>
    <w:rsid w:val="008F734E"/>
    <w:rsid w:val="008F7400"/>
    <w:rsid w:val="008F787D"/>
    <w:rsid w:val="008F7A2D"/>
    <w:rsid w:val="008F7A75"/>
    <w:rsid w:val="008F7AE2"/>
    <w:rsid w:val="008F7DD0"/>
    <w:rsid w:val="00900791"/>
    <w:rsid w:val="0090091F"/>
    <w:rsid w:val="00900BA2"/>
    <w:rsid w:val="0090132D"/>
    <w:rsid w:val="009013D5"/>
    <w:rsid w:val="0090167B"/>
    <w:rsid w:val="0090198A"/>
    <w:rsid w:val="009019FE"/>
    <w:rsid w:val="00901ADE"/>
    <w:rsid w:val="00901C8C"/>
    <w:rsid w:val="00901D4C"/>
    <w:rsid w:val="00901EAF"/>
    <w:rsid w:val="00902118"/>
    <w:rsid w:val="00902189"/>
    <w:rsid w:val="00902621"/>
    <w:rsid w:val="009027F0"/>
    <w:rsid w:val="0090293D"/>
    <w:rsid w:val="009029A7"/>
    <w:rsid w:val="009029BE"/>
    <w:rsid w:val="00902B52"/>
    <w:rsid w:val="00903307"/>
    <w:rsid w:val="00903313"/>
    <w:rsid w:val="00903393"/>
    <w:rsid w:val="0090340C"/>
    <w:rsid w:val="009035EE"/>
    <w:rsid w:val="00903860"/>
    <w:rsid w:val="00903B6B"/>
    <w:rsid w:val="00903C29"/>
    <w:rsid w:val="00904269"/>
    <w:rsid w:val="0090428F"/>
    <w:rsid w:val="00904340"/>
    <w:rsid w:val="00904726"/>
    <w:rsid w:val="009047A4"/>
    <w:rsid w:val="00904803"/>
    <w:rsid w:val="00904BAC"/>
    <w:rsid w:val="00904C51"/>
    <w:rsid w:val="00905257"/>
    <w:rsid w:val="00905906"/>
    <w:rsid w:val="00905BB2"/>
    <w:rsid w:val="00905C38"/>
    <w:rsid w:val="00905C73"/>
    <w:rsid w:val="00905EE3"/>
    <w:rsid w:val="00905F39"/>
    <w:rsid w:val="009064F0"/>
    <w:rsid w:val="00906814"/>
    <w:rsid w:val="00906BAA"/>
    <w:rsid w:val="00907353"/>
    <w:rsid w:val="00907568"/>
    <w:rsid w:val="009076EB"/>
    <w:rsid w:val="0090793E"/>
    <w:rsid w:val="00907AA3"/>
    <w:rsid w:val="00910752"/>
    <w:rsid w:val="0091091F"/>
    <w:rsid w:val="00910A52"/>
    <w:rsid w:val="00910B0F"/>
    <w:rsid w:val="00910B14"/>
    <w:rsid w:val="00910C45"/>
    <w:rsid w:val="009111F4"/>
    <w:rsid w:val="0091130F"/>
    <w:rsid w:val="00911BC1"/>
    <w:rsid w:val="0091201A"/>
    <w:rsid w:val="009121AC"/>
    <w:rsid w:val="00912317"/>
    <w:rsid w:val="009123BD"/>
    <w:rsid w:val="009123F9"/>
    <w:rsid w:val="00912451"/>
    <w:rsid w:val="00912C0E"/>
    <w:rsid w:val="00913216"/>
    <w:rsid w:val="009133E7"/>
    <w:rsid w:val="00913426"/>
    <w:rsid w:val="00913E02"/>
    <w:rsid w:val="009140BA"/>
    <w:rsid w:val="00914481"/>
    <w:rsid w:val="0091451C"/>
    <w:rsid w:val="00914960"/>
    <w:rsid w:val="00914A86"/>
    <w:rsid w:val="00915370"/>
    <w:rsid w:val="00915649"/>
    <w:rsid w:val="00915B4E"/>
    <w:rsid w:val="00915C09"/>
    <w:rsid w:val="00915F64"/>
    <w:rsid w:val="009160CA"/>
    <w:rsid w:val="0091634F"/>
    <w:rsid w:val="00916392"/>
    <w:rsid w:val="0091675C"/>
    <w:rsid w:val="009167BB"/>
    <w:rsid w:val="00916CE1"/>
    <w:rsid w:val="00916DC8"/>
    <w:rsid w:val="00916F27"/>
    <w:rsid w:val="00917391"/>
    <w:rsid w:val="0091767D"/>
    <w:rsid w:val="009176EF"/>
    <w:rsid w:val="0091789B"/>
    <w:rsid w:val="00917A0C"/>
    <w:rsid w:val="00917CA0"/>
    <w:rsid w:val="00917D7E"/>
    <w:rsid w:val="00917F25"/>
    <w:rsid w:val="00917F64"/>
    <w:rsid w:val="00920066"/>
    <w:rsid w:val="00920222"/>
    <w:rsid w:val="00920315"/>
    <w:rsid w:val="0092035B"/>
    <w:rsid w:val="00920564"/>
    <w:rsid w:val="009207A0"/>
    <w:rsid w:val="0092081D"/>
    <w:rsid w:val="009209DC"/>
    <w:rsid w:val="009210BE"/>
    <w:rsid w:val="009214A9"/>
    <w:rsid w:val="0092166A"/>
    <w:rsid w:val="00921780"/>
    <w:rsid w:val="009219EC"/>
    <w:rsid w:val="00921B75"/>
    <w:rsid w:val="009220BE"/>
    <w:rsid w:val="009220DC"/>
    <w:rsid w:val="0092227C"/>
    <w:rsid w:val="00922D97"/>
    <w:rsid w:val="00922E20"/>
    <w:rsid w:val="0092319E"/>
    <w:rsid w:val="00923345"/>
    <w:rsid w:val="009233BD"/>
    <w:rsid w:val="00923486"/>
    <w:rsid w:val="009234AE"/>
    <w:rsid w:val="00923828"/>
    <w:rsid w:val="00923B86"/>
    <w:rsid w:val="00923C4C"/>
    <w:rsid w:val="00923EAB"/>
    <w:rsid w:val="009241B9"/>
    <w:rsid w:val="009243E9"/>
    <w:rsid w:val="00924523"/>
    <w:rsid w:val="00924700"/>
    <w:rsid w:val="00924710"/>
    <w:rsid w:val="00924860"/>
    <w:rsid w:val="00924954"/>
    <w:rsid w:val="00924FDB"/>
    <w:rsid w:val="009251BA"/>
    <w:rsid w:val="0092538A"/>
    <w:rsid w:val="009257D2"/>
    <w:rsid w:val="00925B34"/>
    <w:rsid w:val="00925DCE"/>
    <w:rsid w:val="00925E7B"/>
    <w:rsid w:val="009262B3"/>
    <w:rsid w:val="009265A8"/>
    <w:rsid w:val="009266D4"/>
    <w:rsid w:val="00926F9E"/>
    <w:rsid w:val="009273F6"/>
    <w:rsid w:val="0092780A"/>
    <w:rsid w:val="00927FEE"/>
    <w:rsid w:val="00930021"/>
    <w:rsid w:val="0093028A"/>
    <w:rsid w:val="0093030A"/>
    <w:rsid w:val="00930496"/>
    <w:rsid w:val="009304EC"/>
    <w:rsid w:val="009308A4"/>
    <w:rsid w:val="00930933"/>
    <w:rsid w:val="00930F48"/>
    <w:rsid w:val="009313B5"/>
    <w:rsid w:val="00931853"/>
    <w:rsid w:val="00931900"/>
    <w:rsid w:val="00931923"/>
    <w:rsid w:val="00931ACB"/>
    <w:rsid w:val="00931C80"/>
    <w:rsid w:val="00931D82"/>
    <w:rsid w:val="00931D9F"/>
    <w:rsid w:val="00932547"/>
    <w:rsid w:val="0093281B"/>
    <w:rsid w:val="00932ADA"/>
    <w:rsid w:val="00932B79"/>
    <w:rsid w:val="00932D14"/>
    <w:rsid w:val="00933153"/>
    <w:rsid w:val="0093318A"/>
    <w:rsid w:val="00933866"/>
    <w:rsid w:val="00933D09"/>
    <w:rsid w:val="00933D2F"/>
    <w:rsid w:val="00933D76"/>
    <w:rsid w:val="00933D87"/>
    <w:rsid w:val="00934264"/>
    <w:rsid w:val="00934975"/>
    <w:rsid w:val="00934C59"/>
    <w:rsid w:val="00934D43"/>
    <w:rsid w:val="00934E29"/>
    <w:rsid w:val="00935990"/>
    <w:rsid w:val="009360EF"/>
    <w:rsid w:val="0093651E"/>
    <w:rsid w:val="009365A9"/>
    <w:rsid w:val="009366B4"/>
    <w:rsid w:val="0093679F"/>
    <w:rsid w:val="0093696C"/>
    <w:rsid w:val="00936B2E"/>
    <w:rsid w:val="00936D2A"/>
    <w:rsid w:val="00937090"/>
    <w:rsid w:val="00937366"/>
    <w:rsid w:val="009373F5"/>
    <w:rsid w:val="00937466"/>
    <w:rsid w:val="00937627"/>
    <w:rsid w:val="00937CF2"/>
    <w:rsid w:val="00937E0B"/>
    <w:rsid w:val="00940297"/>
    <w:rsid w:val="009403AF"/>
    <w:rsid w:val="00940469"/>
    <w:rsid w:val="009421BA"/>
    <w:rsid w:val="00942878"/>
    <w:rsid w:val="00942B2A"/>
    <w:rsid w:val="00942D93"/>
    <w:rsid w:val="00942DB4"/>
    <w:rsid w:val="00943239"/>
    <w:rsid w:val="0094344D"/>
    <w:rsid w:val="0094378C"/>
    <w:rsid w:val="009438C1"/>
    <w:rsid w:val="00943964"/>
    <w:rsid w:val="00943AC3"/>
    <w:rsid w:val="00943BD7"/>
    <w:rsid w:val="00943D17"/>
    <w:rsid w:val="00944575"/>
    <w:rsid w:val="009446F5"/>
    <w:rsid w:val="00944BC9"/>
    <w:rsid w:val="0094530A"/>
    <w:rsid w:val="0094551D"/>
    <w:rsid w:val="009455AE"/>
    <w:rsid w:val="00945A3E"/>
    <w:rsid w:val="00945C82"/>
    <w:rsid w:val="00946871"/>
    <w:rsid w:val="00946996"/>
    <w:rsid w:val="00946A1F"/>
    <w:rsid w:val="00946BBE"/>
    <w:rsid w:val="00947536"/>
    <w:rsid w:val="00947589"/>
    <w:rsid w:val="0094772D"/>
    <w:rsid w:val="009478C6"/>
    <w:rsid w:val="00947C80"/>
    <w:rsid w:val="009500B1"/>
    <w:rsid w:val="00950453"/>
    <w:rsid w:val="00950991"/>
    <w:rsid w:val="00950B0F"/>
    <w:rsid w:val="0095147B"/>
    <w:rsid w:val="009515B1"/>
    <w:rsid w:val="009516EE"/>
    <w:rsid w:val="009519C2"/>
    <w:rsid w:val="00951D2F"/>
    <w:rsid w:val="00951E70"/>
    <w:rsid w:val="00952488"/>
    <w:rsid w:val="009524B5"/>
    <w:rsid w:val="0095263B"/>
    <w:rsid w:val="00952AB8"/>
    <w:rsid w:val="00952C18"/>
    <w:rsid w:val="00952CCA"/>
    <w:rsid w:val="0095313F"/>
    <w:rsid w:val="009532C8"/>
    <w:rsid w:val="0095389B"/>
    <w:rsid w:val="00953A3A"/>
    <w:rsid w:val="00953AD9"/>
    <w:rsid w:val="00953DB4"/>
    <w:rsid w:val="00953DE9"/>
    <w:rsid w:val="00954929"/>
    <w:rsid w:val="00954A44"/>
    <w:rsid w:val="00954D89"/>
    <w:rsid w:val="00954ECE"/>
    <w:rsid w:val="0095511E"/>
    <w:rsid w:val="009551FB"/>
    <w:rsid w:val="00955204"/>
    <w:rsid w:val="00955226"/>
    <w:rsid w:val="00955634"/>
    <w:rsid w:val="00955994"/>
    <w:rsid w:val="00955AD8"/>
    <w:rsid w:val="00955E43"/>
    <w:rsid w:val="00956659"/>
    <w:rsid w:val="009567D0"/>
    <w:rsid w:val="00956A2E"/>
    <w:rsid w:val="00956EF5"/>
    <w:rsid w:val="00957194"/>
    <w:rsid w:val="0095729A"/>
    <w:rsid w:val="009572E8"/>
    <w:rsid w:val="00957391"/>
    <w:rsid w:val="009573CC"/>
    <w:rsid w:val="0095759A"/>
    <w:rsid w:val="00957B71"/>
    <w:rsid w:val="00960178"/>
    <w:rsid w:val="0096027A"/>
    <w:rsid w:val="0096048B"/>
    <w:rsid w:val="0096055D"/>
    <w:rsid w:val="00960717"/>
    <w:rsid w:val="00960743"/>
    <w:rsid w:val="0096075F"/>
    <w:rsid w:val="00960F26"/>
    <w:rsid w:val="009611E5"/>
    <w:rsid w:val="00961A02"/>
    <w:rsid w:val="00961D44"/>
    <w:rsid w:val="00961D86"/>
    <w:rsid w:val="00961DBF"/>
    <w:rsid w:val="00961E23"/>
    <w:rsid w:val="00962005"/>
    <w:rsid w:val="00962324"/>
    <w:rsid w:val="009623B3"/>
    <w:rsid w:val="00962631"/>
    <w:rsid w:val="009626FB"/>
    <w:rsid w:val="00962864"/>
    <w:rsid w:val="0096288F"/>
    <w:rsid w:val="00962BE2"/>
    <w:rsid w:val="0096305E"/>
    <w:rsid w:val="00963309"/>
    <w:rsid w:val="00963349"/>
    <w:rsid w:val="00963850"/>
    <w:rsid w:val="00963888"/>
    <w:rsid w:val="009639E1"/>
    <w:rsid w:val="00963F21"/>
    <w:rsid w:val="00964300"/>
    <w:rsid w:val="00964879"/>
    <w:rsid w:val="00964925"/>
    <w:rsid w:val="00964A23"/>
    <w:rsid w:val="00964DC3"/>
    <w:rsid w:val="0096569A"/>
    <w:rsid w:val="00965E6A"/>
    <w:rsid w:val="009660BC"/>
    <w:rsid w:val="009662D3"/>
    <w:rsid w:val="0096672B"/>
    <w:rsid w:val="00966DC2"/>
    <w:rsid w:val="00966ECB"/>
    <w:rsid w:val="00967236"/>
    <w:rsid w:val="0096786F"/>
    <w:rsid w:val="00967DB2"/>
    <w:rsid w:val="009701AA"/>
    <w:rsid w:val="00970261"/>
    <w:rsid w:val="00970751"/>
    <w:rsid w:val="00970B30"/>
    <w:rsid w:val="00970EA3"/>
    <w:rsid w:val="0097131B"/>
    <w:rsid w:val="0097167A"/>
    <w:rsid w:val="00971CFA"/>
    <w:rsid w:val="00971DDB"/>
    <w:rsid w:val="00971E9B"/>
    <w:rsid w:val="00971F6E"/>
    <w:rsid w:val="00972368"/>
    <w:rsid w:val="00972374"/>
    <w:rsid w:val="00972393"/>
    <w:rsid w:val="00972448"/>
    <w:rsid w:val="00973333"/>
    <w:rsid w:val="009734A2"/>
    <w:rsid w:val="00973576"/>
    <w:rsid w:val="009736FD"/>
    <w:rsid w:val="009739A4"/>
    <w:rsid w:val="00973B46"/>
    <w:rsid w:val="00973C17"/>
    <w:rsid w:val="00973DEE"/>
    <w:rsid w:val="00973F57"/>
    <w:rsid w:val="00973F8A"/>
    <w:rsid w:val="009741EA"/>
    <w:rsid w:val="00974740"/>
    <w:rsid w:val="00974D73"/>
    <w:rsid w:val="00975320"/>
    <w:rsid w:val="00975473"/>
    <w:rsid w:val="00975634"/>
    <w:rsid w:val="009757DD"/>
    <w:rsid w:val="00975B2A"/>
    <w:rsid w:val="00976041"/>
    <w:rsid w:val="009760B1"/>
    <w:rsid w:val="009768F4"/>
    <w:rsid w:val="0097705E"/>
    <w:rsid w:val="009770A8"/>
    <w:rsid w:val="00977316"/>
    <w:rsid w:val="00977346"/>
    <w:rsid w:val="00977777"/>
    <w:rsid w:val="00977F74"/>
    <w:rsid w:val="00980108"/>
    <w:rsid w:val="00980693"/>
    <w:rsid w:val="00980AAB"/>
    <w:rsid w:val="00980D36"/>
    <w:rsid w:val="00980E39"/>
    <w:rsid w:val="009811F2"/>
    <w:rsid w:val="00981462"/>
    <w:rsid w:val="00981B1B"/>
    <w:rsid w:val="00981BDA"/>
    <w:rsid w:val="00981D34"/>
    <w:rsid w:val="009823B3"/>
    <w:rsid w:val="00983356"/>
    <w:rsid w:val="009834B1"/>
    <w:rsid w:val="0098363B"/>
    <w:rsid w:val="009836DB"/>
    <w:rsid w:val="009845B4"/>
    <w:rsid w:val="00984686"/>
    <w:rsid w:val="00984DF1"/>
    <w:rsid w:val="00984EBE"/>
    <w:rsid w:val="00985105"/>
    <w:rsid w:val="009856F0"/>
    <w:rsid w:val="0098570D"/>
    <w:rsid w:val="00985713"/>
    <w:rsid w:val="009857D7"/>
    <w:rsid w:val="00985FAC"/>
    <w:rsid w:val="009861C0"/>
    <w:rsid w:val="009862D8"/>
    <w:rsid w:val="009866DD"/>
    <w:rsid w:val="00986CB5"/>
    <w:rsid w:val="00986DEF"/>
    <w:rsid w:val="0098709D"/>
    <w:rsid w:val="00987136"/>
    <w:rsid w:val="009874FE"/>
    <w:rsid w:val="00987745"/>
    <w:rsid w:val="009878A3"/>
    <w:rsid w:val="00987C59"/>
    <w:rsid w:val="00990178"/>
    <w:rsid w:val="0099027D"/>
    <w:rsid w:val="009903EB"/>
    <w:rsid w:val="00990534"/>
    <w:rsid w:val="009906D6"/>
    <w:rsid w:val="00990B08"/>
    <w:rsid w:val="00990F74"/>
    <w:rsid w:val="009911C0"/>
    <w:rsid w:val="00991273"/>
    <w:rsid w:val="00991436"/>
    <w:rsid w:val="009915C5"/>
    <w:rsid w:val="00991912"/>
    <w:rsid w:val="009919E7"/>
    <w:rsid w:val="00991A20"/>
    <w:rsid w:val="00991F7B"/>
    <w:rsid w:val="009925DD"/>
    <w:rsid w:val="0099262B"/>
    <w:rsid w:val="009927AE"/>
    <w:rsid w:val="009928BE"/>
    <w:rsid w:val="009928D4"/>
    <w:rsid w:val="00992C82"/>
    <w:rsid w:val="0099320C"/>
    <w:rsid w:val="00993390"/>
    <w:rsid w:val="009937F6"/>
    <w:rsid w:val="00993E5D"/>
    <w:rsid w:val="00993F94"/>
    <w:rsid w:val="009942A0"/>
    <w:rsid w:val="00994513"/>
    <w:rsid w:val="00994776"/>
    <w:rsid w:val="009947D0"/>
    <w:rsid w:val="00994F08"/>
    <w:rsid w:val="00994FE8"/>
    <w:rsid w:val="00995732"/>
    <w:rsid w:val="00995966"/>
    <w:rsid w:val="00995D96"/>
    <w:rsid w:val="00995FAA"/>
    <w:rsid w:val="00996681"/>
    <w:rsid w:val="00996F69"/>
    <w:rsid w:val="0099709B"/>
    <w:rsid w:val="00997234"/>
    <w:rsid w:val="00997E59"/>
    <w:rsid w:val="009A0081"/>
    <w:rsid w:val="009A00C4"/>
    <w:rsid w:val="009A00C6"/>
    <w:rsid w:val="009A0449"/>
    <w:rsid w:val="009A06F5"/>
    <w:rsid w:val="009A0B56"/>
    <w:rsid w:val="009A0DBA"/>
    <w:rsid w:val="009A170B"/>
    <w:rsid w:val="009A1851"/>
    <w:rsid w:val="009A1942"/>
    <w:rsid w:val="009A215C"/>
    <w:rsid w:val="009A2649"/>
    <w:rsid w:val="009A2D29"/>
    <w:rsid w:val="009A2DF6"/>
    <w:rsid w:val="009A2F30"/>
    <w:rsid w:val="009A3357"/>
    <w:rsid w:val="009A34C0"/>
    <w:rsid w:val="009A37DB"/>
    <w:rsid w:val="009A3B30"/>
    <w:rsid w:val="009A3BED"/>
    <w:rsid w:val="009A3D7F"/>
    <w:rsid w:val="009A3E10"/>
    <w:rsid w:val="009A4114"/>
    <w:rsid w:val="009A4257"/>
    <w:rsid w:val="009A4347"/>
    <w:rsid w:val="009A4421"/>
    <w:rsid w:val="009A44B0"/>
    <w:rsid w:val="009A4532"/>
    <w:rsid w:val="009A45A4"/>
    <w:rsid w:val="009A47CF"/>
    <w:rsid w:val="009A480B"/>
    <w:rsid w:val="009A4917"/>
    <w:rsid w:val="009A504E"/>
    <w:rsid w:val="009A527E"/>
    <w:rsid w:val="009A532C"/>
    <w:rsid w:val="009A5337"/>
    <w:rsid w:val="009A54B9"/>
    <w:rsid w:val="009A56E4"/>
    <w:rsid w:val="009A5977"/>
    <w:rsid w:val="009A5B74"/>
    <w:rsid w:val="009A5F6F"/>
    <w:rsid w:val="009A628A"/>
    <w:rsid w:val="009A68A3"/>
    <w:rsid w:val="009A6C25"/>
    <w:rsid w:val="009A6CB2"/>
    <w:rsid w:val="009A6ECB"/>
    <w:rsid w:val="009A7091"/>
    <w:rsid w:val="009A7344"/>
    <w:rsid w:val="009A76CE"/>
    <w:rsid w:val="009A781C"/>
    <w:rsid w:val="009A7D87"/>
    <w:rsid w:val="009A7FE6"/>
    <w:rsid w:val="009B02A5"/>
    <w:rsid w:val="009B08FF"/>
    <w:rsid w:val="009B0B49"/>
    <w:rsid w:val="009B0CA3"/>
    <w:rsid w:val="009B11B9"/>
    <w:rsid w:val="009B11BF"/>
    <w:rsid w:val="009B1224"/>
    <w:rsid w:val="009B130C"/>
    <w:rsid w:val="009B15BC"/>
    <w:rsid w:val="009B1B3A"/>
    <w:rsid w:val="009B1C5B"/>
    <w:rsid w:val="009B1C85"/>
    <w:rsid w:val="009B1EAA"/>
    <w:rsid w:val="009B235A"/>
    <w:rsid w:val="009B288C"/>
    <w:rsid w:val="009B2B48"/>
    <w:rsid w:val="009B2C6D"/>
    <w:rsid w:val="009B2E75"/>
    <w:rsid w:val="009B2ED0"/>
    <w:rsid w:val="009B3352"/>
    <w:rsid w:val="009B3638"/>
    <w:rsid w:val="009B3740"/>
    <w:rsid w:val="009B3DD1"/>
    <w:rsid w:val="009B3FEA"/>
    <w:rsid w:val="009B41F5"/>
    <w:rsid w:val="009B422A"/>
    <w:rsid w:val="009B4474"/>
    <w:rsid w:val="009B44ED"/>
    <w:rsid w:val="009B4627"/>
    <w:rsid w:val="009B49C5"/>
    <w:rsid w:val="009B4C42"/>
    <w:rsid w:val="009B4D24"/>
    <w:rsid w:val="009B4E57"/>
    <w:rsid w:val="009B5632"/>
    <w:rsid w:val="009B5C21"/>
    <w:rsid w:val="009B5E75"/>
    <w:rsid w:val="009B615B"/>
    <w:rsid w:val="009B67D4"/>
    <w:rsid w:val="009B6AB1"/>
    <w:rsid w:val="009B6E5F"/>
    <w:rsid w:val="009B6E9D"/>
    <w:rsid w:val="009B6EE1"/>
    <w:rsid w:val="009B6FCE"/>
    <w:rsid w:val="009B77C5"/>
    <w:rsid w:val="009B7831"/>
    <w:rsid w:val="009B7901"/>
    <w:rsid w:val="009B7A17"/>
    <w:rsid w:val="009B7F67"/>
    <w:rsid w:val="009C0244"/>
    <w:rsid w:val="009C0728"/>
    <w:rsid w:val="009C0833"/>
    <w:rsid w:val="009C0965"/>
    <w:rsid w:val="009C0AC2"/>
    <w:rsid w:val="009C0C74"/>
    <w:rsid w:val="009C0C76"/>
    <w:rsid w:val="009C0E3B"/>
    <w:rsid w:val="009C0ECB"/>
    <w:rsid w:val="009C12BF"/>
    <w:rsid w:val="009C135F"/>
    <w:rsid w:val="009C1650"/>
    <w:rsid w:val="009C172B"/>
    <w:rsid w:val="009C1B6B"/>
    <w:rsid w:val="009C2632"/>
    <w:rsid w:val="009C27D2"/>
    <w:rsid w:val="009C2ACF"/>
    <w:rsid w:val="009C2FC4"/>
    <w:rsid w:val="009C39C8"/>
    <w:rsid w:val="009C3F25"/>
    <w:rsid w:val="009C3F72"/>
    <w:rsid w:val="009C3FB7"/>
    <w:rsid w:val="009C479C"/>
    <w:rsid w:val="009C4AC8"/>
    <w:rsid w:val="009C4AFF"/>
    <w:rsid w:val="009C4C31"/>
    <w:rsid w:val="009C4C46"/>
    <w:rsid w:val="009C4F49"/>
    <w:rsid w:val="009C53CF"/>
    <w:rsid w:val="009C58D3"/>
    <w:rsid w:val="009C5B35"/>
    <w:rsid w:val="009C5BB6"/>
    <w:rsid w:val="009C5BD4"/>
    <w:rsid w:val="009C5E4C"/>
    <w:rsid w:val="009C60C4"/>
    <w:rsid w:val="009C626F"/>
    <w:rsid w:val="009C636D"/>
    <w:rsid w:val="009C66DD"/>
    <w:rsid w:val="009C6B17"/>
    <w:rsid w:val="009C6B24"/>
    <w:rsid w:val="009C6D66"/>
    <w:rsid w:val="009C7041"/>
    <w:rsid w:val="009C76F9"/>
    <w:rsid w:val="009C78DE"/>
    <w:rsid w:val="009C79EC"/>
    <w:rsid w:val="009C7BC8"/>
    <w:rsid w:val="009C7D48"/>
    <w:rsid w:val="009C7E41"/>
    <w:rsid w:val="009D027D"/>
    <w:rsid w:val="009D0588"/>
    <w:rsid w:val="009D065C"/>
    <w:rsid w:val="009D0A2B"/>
    <w:rsid w:val="009D0BC2"/>
    <w:rsid w:val="009D0EBD"/>
    <w:rsid w:val="009D114D"/>
    <w:rsid w:val="009D1778"/>
    <w:rsid w:val="009D2EB3"/>
    <w:rsid w:val="009D2EDF"/>
    <w:rsid w:val="009D3265"/>
    <w:rsid w:val="009D32EF"/>
    <w:rsid w:val="009D34C7"/>
    <w:rsid w:val="009D3601"/>
    <w:rsid w:val="009D405D"/>
    <w:rsid w:val="009D498A"/>
    <w:rsid w:val="009D4E90"/>
    <w:rsid w:val="009D523D"/>
    <w:rsid w:val="009D53BD"/>
    <w:rsid w:val="009D5468"/>
    <w:rsid w:val="009D54A2"/>
    <w:rsid w:val="009D5933"/>
    <w:rsid w:val="009D5B12"/>
    <w:rsid w:val="009D629C"/>
    <w:rsid w:val="009D6923"/>
    <w:rsid w:val="009D6CE6"/>
    <w:rsid w:val="009D6D14"/>
    <w:rsid w:val="009D6E25"/>
    <w:rsid w:val="009D72DF"/>
    <w:rsid w:val="009D747A"/>
    <w:rsid w:val="009D7660"/>
    <w:rsid w:val="009D7698"/>
    <w:rsid w:val="009D7A3B"/>
    <w:rsid w:val="009D7BA2"/>
    <w:rsid w:val="009E0910"/>
    <w:rsid w:val="009E0AB1"/>
    <w:rsid w:val="009E0ABD"/>
    <w:rsid w:val="009E0BA5"/>
    <w:rsid w:val="009E121D"/>
    <w:rsid w:val="009E18DA"/>
    <w:rsid w:val="009E19DF"/>
    <w:rsid w:val="009E1BAE"/>
    <w:rsid w:val="009E1E55"/>
    <w:rsid w:val="009E243C"/>
    <w:rsid w:val="009E2B4D"/>
    <w:rsid w:val="009E2C20"/>
    <w:rsid w:val="009E2CF4"/>
    <w:rsid w:val="009E308D"/>
    <w:rsid w:val="009E35B4"/>
    <w:rsid w:val="009E3797"/>
    <w:rsid w:val="009E3A98"/>
    <w:rsid w:val="009E3C86"/>
    <w:rsid w:val="009E3C8B"/>
    <w:rsid w:val="009E3D13"/>
    <w:rsid w:val="009E4116"/>
    <w:rsid w:val="009E4535"/>
    <w:rsid w:val="009E4768"/>
    <w:rsid w:val="009E4FA6"/>
    <w:rsid w:val="009E5070"/>
    <w:rsid w:val="009E5217"/>
    <w:rsid w:val="009E545C"/>
    <w:rsid w:val="009E5A1D"/>
    <w:rsid w:val="009E5BB7"/>
    <w:rsid w:val="009E5FBC"/>
    <w:rsid w:val="009E5FC1"/>
    <w:rsid w:val="009E5FF7"/>
    <w:rsid w:val="009E643E"/>
    <w:rsid w:val="009E6573"/>
    <w:rsid w:val="009E6855"/>
    <w:rsid w:val="009E688D"/>
    <w:rsid w:val="009E68F0"/>
    <w:rsid w:val="009E6A65"/>
    <w:rsid w:val="009E6A7C"/>
    <w:rsid w:val="009E7210"/>
    <w:rsid w:val="009E75E3"/>
    <w:rsid w:val="009E7831"/>
    <w:rsid w:val="009E796D"/>
    <w:rsid w:val="009E79BB"/>
    <w:rsid w:val="009E7B39"/>
    <w:rsid w:val="009E7B56"/>
    <w:rsid w:val="009E7DDD"/>
    <w:rsid w:val="009F03BB"/>
    <w:rsid w:val="009F0903"/>
    <w:rsid w:val="009F0C14"/>
    <w:rsid w:val="009F0D25"/>
    <w:rsid w:val="009F12D9"/>
    <w:rsid w:val="009F13CA"/>
    <w:rsid w:val="009F13CD"/>
    <w:rsid w:val="009F18F7"/>
    <w:rsid w:val="009F1B67"/>
    <w:rsid w:val="009F1C9D"/>
    <w:rsid w:val="009F1D89"/>
    <w:rsid w:val="009F1EA3"/>
    <w:rsid w:val="009F2665"/>
    <w:rsid w:val="009F2AB6"/>
    <w:rsid w:val="009F2AF3"/>
    <w:rsid w:val="009F31AB"/>
    <w:rsid w:val="009F3412"/>
    <w:rsid w:val="009F3422"/>
    <w:rsid w:val="009F342D"/>
    <w:rsid w:val="009F34E7"/>
    <w:rsid w:val="009F35EC"/>
    <w:rsid w:val="009F37BA"/>
    <w:rsid w:val="009F3A60"/>
    <w:rsid w:val="009F3C9D"/>
    <w:rsid w:val="009F3EF3"/>
    <w:rsid w:val="009F4436"/>
    <w:rsid w:val="009F46EA"/>
    <w:rsid w:val="009F4D8E"/>
    <w:rsid w:val="009F55C4"/>
    <w:rsid w:val="009F57A1"/>
    <w:rsid w:val="009F57E2"/>
    <w:rsid w:val="009F5821"/>
    <w:rsid w:val="009F5C13"/>
    <w:rsid w:val="009F5E91"/>
    <w:rsid w:val="009F5F0A"/>
    <w:rsid w:val="009F615A"/>
    <w:rsid w:val="009F62BC"/>
    <w:rsid w:val="009F62F1"/>
    <w:rsid w:val="009F6373"/>
    <w:rsid w:val="009F64D4"/>
    <w:rsid w:val="009F656D"/>
    <w:rsid w:val="009F7BF9"/>
    <w:rsid w:val="00A0000D"/>
    <w:rsid w:val="00A00158"/>
    <w:rsid w:val="00A00207"/>
    <w:rsid w:val="00A00257"/>
    <w:rsid w:val="00A002A1"/>
    <w:rsid w:val="00A00530"/>
    <w:rsid w:val="00A00830"/>
    <w:rsid w:val="00A00836"/>
    <w:rsid w:val="00A009DC"/>
    <w:rsid w:val="00A00E88"/>
    <w:rsid w:val="00A0107A"/>
    <w:rsid w:val="00A0108D"/>
    <w:rsid w:val="00A0138D"/>
    <w:rsid w:val="00A01889"/>
    <w:rsid w:val="00A01A7F"/>
    <w:rsid w:val="00A01C4E"/>
    <w:rsid w:val="00A02037"/>
    <w:rsid w:val="00A02048"/>
    <w:rsid w:val="00A02081"/>
    <w:rsid w:val="00A0223F"/>
    <w:rsid w:val="00A02473"/>
    <w:rsid w:val="00A02673"/>
    <w:rsid w:val="00A0297C"/>
    <w:rsid w:val="00A02D81"/>
    <w:rsid w:val="00A02E6A"/>
    <w:rsid w:val="00A0319B"/>
    <w:rsid w:val="00A031F2"/>
    <w:rsid w:val="00A037C5"/>
    <w:rsid w:val="00A03C81"/>
    <w:rsid w:val="00A03DA1"/>
    <w:rsid w:val="00A03DDD"/>
    <w:rsid w:val="00A041E9"/>
    <w:rsid w:val="00A04649"/>
    <w:rsid w:val="00A0489E"/>
    <w:rsid w:val="00A04A76"/>
    <w:rsid w:val="00A04B48"/>
    <w:rsid w:val="00A04C97"/>
    <w:rsid w:val="00A04F59"/>
    <w:rsid w:val="00A04F71"/>
    <w:rsid w:val="00A05010"/>
    <w:rsid w:val="00A056E1"/>
    <w:rsid w:val="00A05C3C"/>
    <w:rsid w:val="00A05E3F"/>
    <w:rsid w:val="00A05E86"/>
    <w:rsid w:val="00A06177"/>
    <w:rsid w:val="00A06678"/>
    <w:rsid w:val="00A06731"/>
    <w:rsid w:val="00A069CE"/>
    <w:rsid w:val="00A06F50"/>
    <w:rsid w:val="00A071B9"/>
    <w:rsid w:val="00A0730B"/>
    <w:rsid w:val="00A07622"/>
    <w:rsid w:val="00A079FD"/>
    <w:rsid w:val="00A07AEA"/>
    <w:rsid w:val="00A07B0E"/>
    <w:rsid w:val="00A07C2A"/>
    <w:rsid w:val="00A07DDD"/>
    <w:rsid w:val="00A1072C"/>
    <w:rsid w:val="00A10C4E"/>
    <w:rsid w:val="00A1136E"/>
    <w:rsid w:val="00A11838"/>
    <w:rsid w:val="00A11987"/>
    <w:rsid w:val="00A11D24"/>
    <w:rsid w:val="00A11EDB"/>
    <w:rsid w:val="00A11FE3"/>
    <w:rsid w:val="00A12475"/>
    <w:rsid w:val="00A12F2A"/>
    <w:rsid w:val="00A1308E"/>
    <w:rsid w:val="00A13370"/>
    <w:rsid w:val="00A133AD"/>
    <w:rsid w:val="00A1393C"/>
    <w:rsid w:val="00A13D0A"/>
    <w:rsid w:val="00A14436"/>
    <w:rsid w:val="00A14445"/>
    <w:rsid w:val="00A145A0"/>
    <w:rsid w:val="00A14666"/>
    <w:rsid w:val="00A14AC8"/>
    <w:rsid w:val="00A14CE0"/>
    <w:rsid w:val="00A15135"/>
    <w:rsid w:val="00A1545E"/>
    <w:rsid w:val="00A154CE"/>
    <w:rsid w:val="00A157B5"/>
    <w:rsid w:val="00A15CA8"/>
    <w:rsid w:val="00A15DC1"/>
    <w:rsid w:val="00A160A1"/>
    <w:rsid w:val="00A16123"/>
    <w:rsid w:val="00A163FF"/>
    <w:rsid w:val="00A16804"/>
    <w:rsid w:val="00A16BDF"/>
    <w:rsid w:val="00A16D38"/>
    <w:rsid w:val="00A16DB9"/>
    <w:rsid w:val="00A174C6"/>
    <w:rsid w:val="00A17597"/>
    <w:rsid w:val="00A178EC"/>
    <w:rsid w:val="00A17B14"/>
    <w:rsid w:val="00A17CBC"/>
    <w:rsid w:val="00A2011E"/>
    <w:rsid w:val="00A2013D"/>
    <w:rsid w:val="00A20244"/>
    <w:rsid w:val="00A2030E"/>
    <w:rsid w:val="00A204B2"/>
    <w:rsid w:val="00A20539"/>
    <w:rsid w:val="00A2062B"/>
    <w:rsid w:val="00A206D8"/>
    <w:rsid w:val="00A2088F"/>
    <w:rsid w:val="00A20BA4"/>
    <w:rsid w:val="00A21027"/>
    <w:rsid w:val="00A21058"/>
    <w:rsid w:val="00A21413"/>
    <w:rsid w:val="00A21541"/>
    <w:rsid w:val="00A21668"/>
    <w:rsid w:val="00A21852"/>
    <w:rsid w:val="00A2194D"/>
    <w:rsid w:val="00A21AD5"/>
    <w:rsid w:val="00A21D39"/>
    <w:rsid w:val="00A21D3D"/>
    <w:rsid w:val="00A22035"/>
    <w:rsid w:val="00A225A5"/>
    <w:rsid w:val="00A226D0"/>
    <w:rsid w:val="00A227E5"/>
    <w:rsid w:val="00A22870"/>
    <w:rsid w:val="00A22AB8"/>
    <w:rsid w:val="00A22B1D"/>
    <w:rsid w:val="00A22BB8"/>
    <w:rsid w:val="00A22FB6"/>
    <w:rsid w:val="00A231BE"/>
    <w:rsid w:val="00A231F9"/>
    <w:rsid w:val="00A235B4"/>
    <w:rsid w:val="00A23857"/>
    <w:rsid w:val="00A238DD"/>
    <w:rsid w:val="00A23FAB"/>
    <w:rsid w:val="00A2419A"/>
    <w:rsid w:val="00A2441B"/>
    <w:rsid w:val="00A2456A"/>
    <w:rsid w:val="00A2461A"/>
    <w:rsid w:val="00A2483C"/>
    <w:rsid w:val="00A24A53"/>
    <w:rsid w:val="00A24CB8"/>
    <w:rsid w:val="00A2559A"/>
    <w:rsid w:val="00A25929"/>
    <w:rsid w:val="00A25982"/>
    <w:rsid w:val="00A25B3E"/>
    <w:rsid w:val="00A25B45"/>
    <w:rsid w:val="00A25CEE"/>
    <w:rsid w:val="00A25DF2"/>
    <w:rsid w:val="00A25F17"/>
    <w:rsid w:val="00A26107"/>
    <w:rsid w:val="00A26143"/>
    <w:rsid w:val="00A263C9"/>
    <w:rsid w:val="00A266B7"/>
    <w:rsid w:val="00A266BA"/>
    <w:rsid w:val="00A26A20"/>
    <w:rsid w:val="00A26E25"/>
    <w:rsid w:val="00A2706B"/>
    <w:rsid w:val="00A2707E"/>
    <w:rsid w:val="00A27622"/>
    <w:rsid w:val="00A27995"/>
    <w:rsid w:val="00A27EAF"/>
    <w:rsid w:val="00A30011"/>
    <w:rsid w:val="00A306BB"/>
    <w:rsid w:val="00A30783"/>
    <w:rsid w:val="00A30874"/>
    <w:rsid w:val="00A3118B"/>
    <w:rsid w:val="00A315DF"/>
    <w:rsid w:val="00A3160E"/>
    <w:rsid w:val="00A31B3D"/>
    <w:rsid w:val="00A31E91"/>
    <w:rsid w:val="00A32760"/>
    <w:rsid w:val="00A32860"/>
    <w:rsid w:val="00A32902"/>
    <w:rsid w:val="00A33095"/>
    <w:rsid w:val="00A3330C"/>
    <w:rsid w:val="00A333D8"/>
    <w:rsid w:val="00A33668"/>
    <w:rsid w:val="00A3371B"/>
    <w:rsid w:val="00A34414"/>
    <w:rsid w:val="00A347D3"/>
    <w:rsid w:val="00A34F9E"/>
    <w:rsid w:val="00A3507C"/>
    <w:rsid w:val="00A35281"/>
    <w:rsid w:val="00A3537B"/>
    <w:rsid w:val="00A35449"/>
    <w:rsid w:val="00A35D76"/>
    <w:rsid w:val="00A36388"/>
    <w:rsid w:val="00A3653D"/>
    <w:rsid w:val="00A366CB"/>
    <w:rsid w:val="00A36812"/>
    <w:rsid w:val="00A36A25"/>
    <w:rsid w:val="00A36D97"/>
    <w:rsid w:val="00A36E62"/>
    <w:rsid w:val="00A37020"/>
    <w:rsid w:val="00A37086"/>
    <w:rsid w:val="00A37140"/>
    <w:rsid w:val="00A375C0"/>
    <w:rsid w:val="00A3797F"/>
    <w:rsid w:val="00A37BF6"/>
    <w:rsid w:val="00A37E02"/>
    <w:rsid w:val="00A37FDE"/>
    <w:rsid w:val="00A4028B"/>
    <w:rsid w:val="00A40616"/>
    <w:rsid w:val="00A4075C"/>
    <w:rsid w:val="00A4086E"/>
    <w:rsid w:val="00A408E5"/>
    <w:rsid w:val="00A40BB6"/>
    <w:rsid w:val="00A40E88"/>
    <w:rsid w:val="00A412AE"/>
    <w:rsid w:val="00A41A5B"/>
    <w:rsid w:val="00A41BE8"/>
    <w:rsid w:val="00A42336"/>
    <w:rsid w:val="00A4286C"/>
    <w:rsid w:val="00A42FAF"/>
    <w:rsid w:val="00A430D4"/>
    <w:rsid w:val="00A43163"/>
    <w:rsid w:val="00A43242"/>
    <w:rsid w:val="00A4407A"/>
    <w:rsid w:val="00A4452D"/>
    <w:rsid w:val="00A447F1"/>
    <w:rsid w:val="00A44949"/>
    <w:rsid w:val="00A44EEB"/>
    <w:rsid w:val="00A450FB"/>
    <w:rsid w:val="00A4541C"/>
    <w:rsid w:val="00A45C1F"/>
    <w:rsid w:val="00A45D02"/>
    <w:rsid w:val="00A45F1C"/>
    <w:rsid w:val="00A463B6"/>
    <w:rsid w:val="00A465C6"/>
    <w:rsid w:val="00A465E6"/>
    <w:rsid w:val="00A46774"/>
    <w:rsid w:val="00A46930"/>
    <w:rsid w:val="00A46F6C"/>
    <w:rsid w:val="00A4712D"/>
    <w:rsid w:val="00A4739A"/>
    <w:rsid w:val="00A47B11"/>
    <w:rsid w:val="00A47C57"/>
    <w:rsid w:val="00A47F25"/>
    <w:rsid w:val="00A50018"/>
    <w:rsid w:val="00A50459"/>
    <w:rsid w:val="00A50723"/>
    <w:rsid w:val="00A50832"/>
    <w:rsid w:val="00A50F01"/>
    <w:rsid w:val="00A511F4"/>
    <w:rsid w:val="00A5158C"/>
    <w:rsid w:val="00A51A0E"/>
    <w:rsid w:val="00A51AE8"/>
    <w:rsid w:val="00A51BA1"/>
    <w:rsid w:val="00A52476"/>
    <w:rsid w:val="00A524AA"/>
    <w:rsid w:val="00A5256E"/>
    <w:rsid w:val="00A52586"/>
    <w:rsid w:val="00A528DF"/>
    <w:rsid w:val="00A52A59"/>
    <w:rsid w:val="00A52BC5"/>
    <w:rsid w:val="00A52BFE"/>
    <w:rsid w:val="00A52D4F"/>
    <w:rsid w:val="00A53223"/>
    <w:rsid w:val="00A53915"/>
    <w:rsid w:val="00A54906"/>
    <w:rsid w:val="00A54BEB"/>
    <w:rsid w:val="00A54E87"/>
    <w:rsid w:val="00A54E9E"/>
    <w:rsid w:val="00A5500B"/>
    <w:rsid w:val="00A55898"/>
    <w:rsid w:val="00A558CA"/>
    <w:rsid w:val="00A558CB"/>
    <w:rsid w:val="00A558E4"/>
    <w:rsid w:val="00A55D65"/>
    <w:rsid w:val="00A55ECE"/>
    <w:rsid w:val="00A56144"/>
    <w:rsid w:val="00A56220"/>
    <w:rsid w:val="00A56690"/>
    <w:rsid w:val="00A56D09"/>
    <w:rsid w:val="00A56F07"/>
    <w:rsid w:val="00A56FCA"/>
    <w:rsid w:val="00A579FA"/>
    <w:rsid w:val="00A601DC"/>
    <w:rsid w:val="00A60384"/>
    <w:rsid w:val="00A614AD"/>
    <w:rsid w:val="00A614D6"/>
    <w:rsid w:val="00A61634"/>
    <w:rsid w:val="00A6177D"/>
    <w:rsid w:val="00A61990"/>
    <w:rsid w:val="00A619B6"/>
    <w:rsid w:val="00A61D44"/>
    <w:rsid w:val="00A62E10"/>
    <w:rsid w:val="00A62F39"/>
    <w:rsid w:val="00A633C2"/>
    <w:rsid w:val="00A63458"/>
    <w:rsid w:val="00A63469"/>
    <w:rsid w:val="00A6361B"/>
    <w:rsid w:val="00A63873"/>
    <w:rsid w:val="00A639F5"/>
    <w:rsid w:val="00A647A3"/>
    <w:rsid w:val="00A64808"/>
    <w:rsid w:val="00A64A95"/>
    <w:rsid w:val="00A64ACC"/>
    <w:rsid w:val="00A64DB9"/>
    <w:rsid w:val="00A6500A"/>
    <w:rsid w:val="00A65377"/>
    <w:rsid w:val="00A657C5"/>
    <w:rsid w:val="00A657E2"/>
    <w:rsid w:val="00A65B0B"/>
    <w:rsid w:val="00A65B3E"/>
    <w:rsid w:val="00A65B6F"/>
    <w:rsid w:val="00A66207"/>
    <w:rsid w:val="00A66245"/>
    <w:rsid w:val="00A663D5"/>
    <w:rsid w:val="00A6673A"/>
    <w:rsid w:val="00A66B9B"/>
    <w:rsid w:val="00A66D90"/>
    <w:rsid w:val="00A66FC3"/>
    <w:rsid w:val="00A67207"/>
    <w:rsid w:val="00A67797"/>
    <w:rsid w:val="00A67CC9"/>
    <w:rsid w:val="00A70010"/>
    <w:rsid w:val="00A70266"/>
    <w:rsid w:val="00A70387"/>
    <w:rsid w:val="00A70628"/>
    <w:rsid w:val="00A708DF"/>
    <w:rsid w:val="00A70E71"/>
    <w:rsid w:val="00A71098"/>
    <w:rsid w:val="00A712C9"/>
    <w:rsid w:val="00A7136B"/>
    <w:rsid w:val="00A718FF"/>
    <w:rsid w:val="00A71A00"/>
    <w:rsid w:val="00A71A2B"/>
    <w:rsid w:val="00A71B63"/>
    <w:rsid w:val="00A724C1"/>
    <w:rsid w:val="00A728BD"/>
    <w:rsid w:val="00A72A8F"/>
    <w:rsid w:val="00A73030"/>
    <w:rsid w:val="00A734D0"/>
    <w:rsid w:val="00A737E2"/>
    <w:rsid w:val="00A737FC"/>
    <w:rsid w:val="00A73CE5"/>
    <w:rsid w:val="00A73E5B"/>
    <w:rsid w:val="00A73F0A"/>
    <w:rsid w:val="00A74060"/>
    <w:rsid w:val="00A740D2"/>
    <w:rsid w:val="00A74245"/>
    <w:rsid w:val="00A74592"/>
    <w:rsid w:val="00A74A96"/>
    <w:rsid w:val="00A74C3E"/>
    <w:rsid w:val="00A74C6E"/>
    <w:rsid w:val="00A74DAC"/>
    <w:rsid w:val="00A74E13"/>
    <w:rsid w:val="00A7526B"/>
    <w:rsid w:val="00A752DD"/>
    <w:rsid w:val="00A75A26"/>
    <w:rsid w:val="00A75FE3"/>
    <w:rsid w:val="00A7652C"/>
    <w:rsid w:val="00A76794"/>
    <w:rsid w:val="00A77054"/>
    <w:rsid w:val="00A776AD"/>
    <w:rsid w:val="00A77CE3"/>
    <w:rsid w:val="00A77E0A"/>
    <w:rsid w:val="00A80144"/>
    <w:rsid w:val="00A80991"/>
    <w:rsid w:val="00A81478"/>
    <w:rsid w:val="00A815E9"/>
    <w:rsid w:val="00A81832"/>
    <w:rsid w:val="00A81996"/>
    <w:rsid w:val="00A81EA9"/>
    <w:rsid w:val="00A823C2"/>
    <w:rsid w:val="00A82BEA"/>
    <w:rsid w:val="00A830C4"/>
    <w:rsid w:val="00A833F3"/>
    <w:rsid w:val="00A83868"/>
    <w:rsid w:val="00A83A29"/>
    <w:rsid w:val="00A83F3B"/>
    <w:rsid w:val="00A83F9C"/>
    <w:rsid w:val="00A83FAC"/>
    <w:rsid w:val="00A84004"/>
    <w:rsid w:val="00A84639"/>
    <w:rsid w:val="00A84DD5"/>
    <w:rsid w:val="00A851BB"/>
    <w:rsid w:val="00A8528B"/>
    <w:rsid w:val="00A8560E"/>
    <w:rsid w:val="00A85A7C"/>
    <w:rsid w:val="00A85E7F"/>
    <w:rsid w:val="00A85FD5"/>
    <w:rsid w:val="00A8653E"/>
    <w:rsid w:val="00A865A2"/>
    <w:rsid w:val="00A865BA"/>
    <w:rsid w:val="00A866A5"/>
    <w:rsid w:val="00A86A9E"/>
    <w:rsid w:val="00A873C1"/>
    <w:rsid w:val="00A87696"/>
    <w:rsid w:val="00A8770F"/>
    <w:rsid w:val="00A87BD3"/>
    <w:rsid w:val="00A87DAD"/>
    <w:rsid w:val="00A90667"/>
    <w:rsid w:val="00A9083F"/>
    <w:rsid w:val="00A90C63"/>
    <w:rsid w:val="00A90CA0"/>
    <w:rsid w:val="00A91089"/>
    <w:rsid w:val="00A91346"/>
    <w:rsid w:val="00A91682"/>
    <w:rsid w:val="00A91822"/>
    <w:rsid w:val="00A9187B"/>
    <w:rsid w:val="00A91977"/>
    <w:rsid w:val="00A91CE5"/>
    <w:rsid w:val="00A91D62"/>
    <w:rsid w:val="00A92113"/>
    <w:rsid w:val="00A925FF"/>
    <w:rsid w:val="00A92764"/>
    <w:rsid w:val="00A9288A"/>
    <w:rsid w:val="00A92B31"/>
    <w:rsid w:val="00A92BC3"/>
    <w:rsid w:val="00A92F21"/>
    <w:rsid w:val="00A93332"/>
    <w:rsid w:val="00A93C4C"/>
    <w:rsid w:val="00A93DA1"/>
    <w:rsid w:val="00A93E18"/>
    <w:rsid w:val="00A93F1E"/>
    <w:rsid w:val="00A941D7"/>
    <w:rsid w:val="00A942C2"/>
    <w:rsid w:val="00A9431E"/>
    <w:rsid w:val="00A944FD"/>
    <w:rsid w:val="00A94AE2"/>
    <w:rsid w:val="00A94D2D"/>
    <w:rsid w:val="00A94ECC"/>
    <w:rsid w:val="00A950F3"/>
    <w:rsid w:val="00A956A5"/>
    <w:rsid w:val="00A9588E"/>
    <w:rsid w:val="00A964E7"/>
    <w:rsid w:val="00A96679"/>
    <w:rsid w:val="00A96724"/>
    <w:rsid w:val="00A96D51"/>
    <w:rsid w:val="00A96FF0"/>
    <w:rsid w:val="00A97201"/>
    <w:rsid w:val="00A97AE7"/>
    <w:rsid w:val="00A97B0C"/>
    <w:rsid w:val="00A97B1A"/>
    <w:rsid w:val="00A97BA1"/>
    <w:rsid w:val="00A97DE8"/>
    <w:rsid w:val="00A97FAA"/>
    <w:rsid w:val="00AA041F"/>
    <w:rsid w:val="00AA0440"/>
    <w:rsid w:val="00AA04ED"/>
    <w:rsid w:val="00AA06F2"/>
    <w:rsid w:val="00AA0801"/>
    <w:rsid w:val="00AA0C07"/>
    <w:rsid w:val="00AA0C08"/>
    <w:rsid w:val="00AA0CA2"/>
    <w:rsid w:val="00AA1008"/>
    <w:rsid w:val="00AA1188"/>
    <w:rsid w:val="00AA13E2"/>
    <w:rsid w:val="00AA18D7"/>
    <w:rsid w:val="00AA1A7A"/>
    <w:rsid w:val="00AA1D0C"/>
    <w:rsid w:val="00AA1EBB"/>
    <w:rsid w:val="00AA2171"/>
    <w:rsid w:val="00AA243E"/>
    <w:rsid w:val="00AA2451"/>
    <w:rsid w:val="00AA2852"/>
    <w:rsid w:val="00AA2872"/>
    <w:rsid w:val="00AA2D44"/>
    <w:rsid w:val="00AA2D83"/>
    <w:rsid w:val="00AA3065"/>
    <w:rsid w:val="00AA3183"/>
    <w:rsid w:val="00AA39A1"/>
    <w:rsid w:val="00AA3CF1"/>
    <w:rsid w:val="00AA41BC"/>
    <w:rsid w:val="00AA43E8"/>
    <w:rsid w:val="00AA44F3"/>
    <w:rsid w:val="00AA4636"/>
    <w:rsid w:val="00AA4A49"/>
    <w:rsid w:val="00AA51D7"/>
    <w:rsid w:val="00AA5AF2"/>
    <w:rsid w:val="00AA5C63"/>
    <w:rsid w:val="00AA5D8E"/>
    <w:rsid w:val="00AA61CD"/>
    <w:rsid w:val="00AA63CE"/>
    <w:rsid w:val="00AA669E"/>
    <w:rsid w:val="00AA6859"/>
    <w:rsid w:val="00AA6AF1"/>
    <w:rsid w:val="00AA76C0"/>
    <w:rsid w:val="00AA79CB"/>
    <w:rsid w:val="00AA7AF7"/>
    <w:rsid w:val="00AA7F49"/>
    <w:rsid w:val="00AB027E"/>
    <w:rsid w:val="00AB06CF"/>
    <w:rsid w:val="00AB0914"/>
    <w:rsid w:val="00AB0B8A"/>
    <w:rsid w:val="00AB0FEB"/>
    <w:rsid w:val="00AB10D3"/>
    <w:rsid w:val="00AB11CF"/>
    <w:rsid w:val="00AB13FA"/>
    <w:rsid w:val="00AB147F"/>
    <w:rsid w:val="00AB1807"/>
    <w:rsid w:val="00AB188A"/>
    <w:rsid w:val="00AB1997"/>
    <w:rsid w:val="00AB1E49"/>
    <w:rsid w:val="00AB26D1"/>
    <w:rsid w:val="00AB278A"/>
    <w:rsid w:val="00AB2A3F"/>
    <w:rsid w:val="00AB2AAF"/>
    <w:rsid w:val="00AB2E6A"/>
    <w:rsid w:val="00AB2E72"/>
    <w:rsid w:val="00AB3A69"/>
    <w:rsid w:val="00AB40EA"/>
    <w:rsid w:val="00AB42AA"/>
    <w:rsid w:val="00AB4554"/>
    <w:rsid w:val="00AB4582"/>
    <w:rsid w:val="00AB45FD"/>
    <w:rsid w:val="00AB46E9"/>
    <w:rsid w:val="00AB4702"/>
    <w:rsid w:val="00AB47DA"/>
    <w:rsid w:val="00AB4A73"/>
    <w:rsid w:val="00AB4B66"/>
    <w:rsid w:val="00AB4E81"/>
    <w:rsid w:val="00AB5045"/>
    <w:rsid w:val="00AB5207"/>
    <w:rsid w:val="00AB5776"/>
    <w:rsid w:val="00AB6177"/>
    <w:rsid w:val="00AB6ADF"/>
    <w:rsid w:val="00AB6CA0"/>
    <w:rsid w:val="00AB6E6F"/>
    <w:rsid w:val="00AB7121"/>
    <w:rsid w:val="00AB75F0"/>
    <w:rsid w:val="00AB7E41"/>
    <w:rsid w:val="00AC021E"/>
    <w:rsid w:val="00AC0417"/>
    <w:rsid w:val="00AC0511"/>
    <w:rsid w:val="00AC0C77"/>
    <w:rsid w:val="00AC1079"/>
    <w:rsid w:val="00AC10CB"/>
    <w:rsid w:val="00AC143B"/>
    <w:rsid w:val="00AC19C6"/>
    <w:rsid w:val="00AC1B30"/>
    <w:rsid w:val="00AC1F00"/>
    <w:rsid w:val="00AC2C74"/>
    <w:rsid w:val="00AC2DCA"/>
    <w:rsid w:val="00AC361C"/>
    <w:rsid w:val="00AC4926"/>
    <w:rsid w:val="00AC54B2"/>
    <w:rsid w:val="00AC57B8"/>
    <w:rsid w:val="00AC5A7E"/>
    <w:rsid w:val="00AC5FFA"/>
    <w:rsid w:val="00AC6817"/>
    <w:rsid w:val="00AC68AF"/>
    <w:rsid w:val="00AC6C38"/>
    <w:rsid w:val="00AC6CEF"/>
    <w:rsid w:val="00AC6DFF"/>
    <w:rsid w:val="00AC6F23"/>
    <w:rsid w:val="00AC75A9"/>
    <w:rsid w:val="00AC772D"/>
    <w:rsid w:val="00AC77A2"/>
    <w:rsid w:val="00AC787E"/>
    <w:rsid w:val="00AC79AD"/>
    <w:rsid w:val="00AC7B36"/>
    <w:rsid w:val="00AD0451"/>
    <w:rsid w:val="00AD0774"/>
    <w:rsid w:val="00AD0A0A"/>
    <w:rsid w:val="00AD0AA7"/>
    <w:rsid w:val="00AD0CE9"/>
    <w:rsid w:val="00AD0D3F"/>
    <w:rsid w:val="00AD0EEF"/>
    <w:rsid w:val="00AD188E"/>
    <w:rsid w:val="00AD1B08"/>
    <w:rsid w:val="00AD1C05"/>
    <w:rsid w:val="00AD1EB4"/>
    <w:rsid w:val="00AD1F62"/>
    <w:rsid w:val="00AD2F2A"/>
    <w:rsid w:val="00AD39C0"/>
    <w:rsid w:val="00AD3A3D"/>
    <w:rsid w:val="00AD4052"/>
    <w:rsid w:val="00AD463C"/>
    <w:rsid w:val="00AD4E8B"/>
    <w:rsid w:val="00AD5198"/>
    <w:rsid w:val="00AD53A5"/>
    <w:rsid w:val="00AD5B09"/>
    <w:rsid w:val="00AD5FC5"/>
    <w:rsid w:val="00AD62E1"/>
    <w:rsid w:val="00AD6683"/>
    <w:rsid w:val="00AD674D"/>
    <w:rsid w:val="00AD67E8"/>
    <w:rsid w:val="00AD67FE"/>
    <w:rsid w:val="00AD6FE2"/>
    <w:rsid w:val="00AD72CB"/>
    <w:rsid w:val="00AD738E"/>
    <w:rsid w:val="00AD771F"/>
    <w:rsid w:val="00AD7762"/>
    <w:rsid w:val="00AD7B3E"/>
    <w:rsid w:val="00AD7D68"/>
    <w:rsid w:val="00AD7E01"/>
    <w:rsid w:val="00AD7F8E"/>
    <w:rsid w:val="00AE02C7"/>
    <w:rsid w:val="00AE04B4"/>
    <w:rsid w:val="00AE0CA1"/>
    <w:rsid w:val="00AE0E6F"/>
    <w:rsid w:val="00AE12BB"/>
    <w:rsid w:val="00AE140C"/>
    <w:rsid w:val="00AE15BD"/>
    <w:rsid w:val="00AE18C6"/>
    <w:rsid w:val="00AE18E2"/>
    <w:rsid w:val="00AE191E"/>
    <w:rsid w:val="00AE1C02"/>
    <w:rsid w:val="00AE1C63"/>
    <w:rsid w:val="00AE1C7B"/>
    <w:rsid w:val="00AE1CC6"/>
    <w:rsid w:val="00AE1F0A"/>
    <w:rsid w:val="00AE20D2"/>
    <w:rsid w:val="00AE241A"/>
    <w:rsid w:val="00AE24EC"/>
    <w:rsid w:val="00AE2780"/>
    <w:rsid w:val="00AE2853"/>
    <w:rsid w:val="00AE28A2"/>
    <w:rsid w:val="00AE2980"/>
    <w:rsid w:val="00AE2D14"/>
    <w:rsid w:val="00AE300F"/>
    <w:rsid w:val="00AE3672"/>
    <w:rsid w:val="00AE36B9"/>
    <w:rsid w:val="00AE372C"/>
    <w:rsid w:val="00AE38A8"/>
    <w:rsid w:val="00AE42F6"/>
    <w:rsid w:val="00AE47DA"/>
    <w:rsid w:val="00AE4909"/>
    <w:rsid w:val="00AE49C0"/>
    <w:rsid w:val="00AE4C2F"/>
    <w:rsid w:val="00AE4CF2"/>
    <w:rsid w:val="00AE5519"/>
    <w:rsid w:val="00AE5630"/>
    <w:rsid w:val="00AE5C53"/>
    <w:rsid w:val="00AE610B"/>
    <w:rsid w:val="00AE62A1"/>
    <w:rsid w:val="00AE672D"/>
    <w:rsid w:val="00AE69D3"/>
    <w:rsid w:val="00AE6BB7"/>
    <w:rsid w:val="00AE6CBC"/>
    <w:rsid w:val="00AE7094"/>
    <w:rsid w:val="00AE7344"/>
    <w:rsid w:val="00AE742A"/>
    <w:rsid w:val="00AE7478"/>
    <w:rsid w:val="00AE7495"/>
    <w:rsid w:val="00AE7526"/>
    <w:rsid w:val="00AE77CD"/>
    <w:rsid w:val="00AE7A7A"/>
    <w:rsid w:val="00AE7DF4"/>
    <w:rsid w:val="00AF0422"/>
    <w:rsid w:val="00AF0CD8"/>
    <w:rsid w:val="00AF0E3D"/>
    <w:rsid w:val="00AF0F81"/>
    <w:rsid w:val="00AF108F"/>
    <w:rsid w:val="00AF1C88"/>
    <w:rsid w:val="00AF1ED4"/>
    <w:rsid w:val="00AF253A"/>
    <w:rsid w:val="00AF2DDC"/>
    <w:rsid w:val="00AF2E5E"/>
    <w:rsid w:val="00AF2E80"/>
    <w:rsid w:val="00AF2FA9"/>
    <w:rsid w:val="00AF311E"/>
    <w:rsid w:val="00AF3260"/>
    <w:rsid w:val="00AF36F9"/>
    <w:rsid w:val="00AF37AE"/>
    <w:rsid w:val="00AF3820"/>
    <w:rsid w:val="00AF3CAC"/>
    <w:rsid w:val="00AF3E4C"/>
    <w:rsid w:val="00AF4001"/>
    <w:rsid w:val="00AF4046"/>
    <w:rsid w:val="00AF4193"/>
    <w:rsid w:val="00AF451B"/>
    <w:rsid w:val="00AF4750"/>
    <w:rsid w:val="00AF4942"/>
    <w:rsid w:val="00AF4AD0"/>
    <w:rsid w:val="00AF4B3B"/>
    <w:rsid w:val="00AF4BCF"/>
    <w:rsid w:val="00AF50E8"/>
    <w:rsid w:val="00AF5251"/>
    <w:rsid w:val="00AF52D2"/>
    <w:rsid w:val="00AF53EF"/>
    <w:rsid w:val="00AF5643"/>
    <w:rsid w:val="00AF56FD"/>
    <w:rsid w:val="00AF5851"/>
    <w:rsid w:val="00AF58F7"/>
    <w:rsid w:val="00AF5A8F"/>
    <w:rsid w:val="00AF5B2E"/>
    <w:rsid w:val="00AF5CFC"/>
    <w:rsid w:val="00AF5F35"/>
    <w:rsid w:val="00AF5F61"/>
    <w:rsid w:val="00AF619F"/>
    <w:rsid w:val="00AF6AC9"/>
    <w:rsid w:val="00AF6D99"/>
    <w:rsid w:val="00AF6F69"/>
    <w:rsid w:val="00AF6FC5"/>
    <w:rsid w:val="00AF70F5"/>
    <w:rsid w:val="00AF7278"/>
    <w:rsid w:val="00AF7424"/>
    <w:rsid w:val="00AF7854"/>
    <w:rsid w:val="00AF79E4"/>
    <w:rsid w:val="00AF7B36"/>
    <w:rsid w:val="00AF7E95"/>
    <w:rsid w:val="00B0016D"/>
    <w:rsid w:val="00B00299"/>
    <w:rsid w:val="00B00376"/>
    <w:rsid w:val="00B0051F"/>
    <w:rsid w:val="00B0069E"/>
    <w:rsid w:val="00B00954"/>
    <w:rsid w:val="00B01143"/>
    <w:rsid w:val="00B0122D"/>
    <w:rsid w:val="00B016A9"/>
    <w:rsid w:val="00B016C7"/>
    <w:rsid w:val="00B01B1A"/>
    <w:rsid w:val="00B021DE"/>
    <w:rsid w:val="00B02354"/>
    <w:rsid w:val="00B024F0"/>
    <w:rsid w:val="00B02E8F"/>
    <w:rsid w:val="00B02F18"/>
    <w:rsid w:val="00B030FF"/>
    <w:rsid w:val="00B03431"/>
    <w:rsid w:val="00B03534"/>
    <w:rsid w:val="00B0390D"/>
    <w:rsid w:val="00B03BC1"/>
    <w:rsid w:val="00B03D69"/>
    <w:rsid w:val="00B03D89"/>
    <w:rsid w:val="00B04606"/>
    <w:rsid w:val="00B04673"/>
    <w:rsid w:val="00B046FF"/>
    <w:rsid w:val="00B04A0C"/>
    <w:rsid w:val="00B04C35"/>
    <w:rsid w:val="00B04D25"/>
    <w:rsid w:val="00B04D84"/>
    <w:rsid w:val="00B05157"/>
    <w:rsid w:val="00B0533B"/>
    <w:rsid w:val="00B05450"/>
    <w:rsid w:val="00B056BE"/>
    <w:rsid w:val="00B056FE"/>
    <w:rsid w:val="00B06A38"/>
    <w:rsid w:val="00B06AA8"/>
    <w:rsid w:val="00B06AFD"/>
    <w:rsid w:val="00B06DFD"/>
    <w:rsid w:val="00B06FC7"/>
    <w:rsid w:val="00B0728C"/>
    <w:rsid w:val="00B07474"/>
    <w:rsid w:val="00B07706"/>
    <w:rsid w:val="00B07798"/>
    <w:rsid w:val="00B07B8A"/>
    <w:rsid w:val="00B106D7"/>
    <w:rsid w:val="00B106FA"/>
    <w:rsid w:val="00B10799"/>
    <w:rsid w:val="00B10839"/>
    <w:rsid w:val="00B11153"/>
    <w:rsid w:val="00B116D4"/>
    <w:rsid w:val="00B1185E"/>
    <w:rsid w:val="00B11CB3"/>
    <w:rsid w:val="00B1218A"/>
    <w:rsid w:val="00B12376"/>
    <w:rsid w:val="00B123BE"/>
    <w:rsid w:val="00B12D38"/>
    <w:rsid w:val="00B12D62"/>
    <w:rsid w:val="00B13501"/>
    <w:rsid w:val="00B136FF"/>
    <w:rsid w:val="00B1384C"/>
    <w:rsid w:val="00B1397E"/>
    <w:rsid w:val="00B13DC8"/>
    <w:rsid w:val="00B13F14"/>
    <w:rsid w:val="00B1410C"/>
    <w:rsid w:val="00B142EA"/>
    <w:rsid w:val="00B15796"/>
    <w:rsid w:val="00B15D5B"/>
    <w:rsid w:val="00B1614C"/>
    <w:rsid w:val="00B1625F"/>
    <w:rsid w:val="00B1670B"/>
    <w:rsid w:val="00B16870"/>
    <w:rsid w:val="00B16C8E"/>
    <w:rsid w:val="00B16D30"/>
    <w:rsid w:val="00B16F8E"/>
    <w:rsid w:val="00B16FCF"/>
    <w:rsid w:val="00B17B96"/>
    <w:rsid w:val="00B17D62"/>
    <w:rsid w:val="00B17E5A"/>
    <w:rsid w:val="00B17E69"/>
    <w:rsid w:val="00B2071C"/>
    <w:rsid w:val="00B2089C"/>
    <w:rsid w:val="00B20B33"/>
    <w:rsid w:val="00B20C04"/>
    <w:rsid w:val="00B20F22"/>
    <w:rsid w:val="00B20FA6"/>
    <w:rsid w:val="00B2128B"/>
    <w:rsid w:val="00B21478"/>
    <w:rsid w:val="00B21689"/>
    <w:rsid w:val="00B21A19"/>
    <w:rsid w:val="00B21A85"/>
    <w:rsid w:val="00B21AA8"/>
    <w:rsid w:val="00B21C10"/>
    <w:rsid w:val="00B21D0C"/>
    <w:rsid w:val="00B21D9A"/>
    <w:rsid w:val="00B21FCB"/>
    <w:rsid w:val="00B229C9"/>
    <w:rsid w:val="00B22BA3"/>
    <w:rsid w:val="00B230DA"/>
    <w:rsid w:val="00B2340F"/>
    <w:rsid w:val="00B2352A"/>
    <w:rsid w:val="00B23837"/>
    <w:rsid w:val="00B23914"/>
    <w:rsid w:val="00B23D3A"/>
    <w:rsid w:val="00B23D83"/>
    <w:rsid w:val="00B24A6E"/>
    <w:rsid w:val="00B24B49"/>
    <w:rsid w:val="00B24DD2"/>
    <w:rsid w:val="00B253E4"/>
    <w:rsid w:val="00B255CE"/>
    <w:rsid w:val="00B25C38"/>
    <w:rsid w:val="00B261CD"/>
    <w:rsid w:val="00B261E6"/>
    <w:rsid w:val="00B262D7"/>
    <w:rsid w:val="00B262ED"/>
    <w:rsid w:val="00B26429"/>
    <w:rsid w:val="00B26741"/>
    <w:rsid w:val="00B2686B"/>
    <w:rsid w:val="00B26B70"/>
    <w:rsid w:val="00B26D41"/>
    <w:rsid w:val="00B273C8"/>
    <w:rsid w:val="00B274A4"/>
    <w:rsid w:val="00B2782F"/>
    <w:rsid w:val="00B27D15"/>
    <w:rsid w:val="00B27D35"/>
    <w:rsid w:val="00B3021F"/>
    <w:rsid w:val="00B30468"/>
    <w:rsid w:val="00B304B4"/>
    <w:rsid w:val="00B304EB"/>
    <w:rsid w:val="00B309BC"/>
    <w:rsid w:val="00B30C6B"/>
    <w:rsid w:val="00B30D1F"/>
    <w:rsid w:val="00B30E34"/>
    <w:rsid w:val="00B3126E"/>
    <w:rsid w:val="00B3155A"/>
    <w:rsid w:val="00B31ACA"/>
    <w:rsid w:val="00B31CA8"/>
    <w:rsid w:val="00B31E1E"/>
    <w:rsid w:val="00B31E95"/>
    <w:rsid w:val="00B31FA1"/>
    <w:rsid w:val="00B325AB"/>
    <w:rsid w:val="00B32826"/>
    <w:rsid w:val="00B32AD6"/>
    <w:rsid w:val="00B339D3"/>
    <w:rsid w:val="00B33BBD"/>
    <w:rsid w:val="00B33C01"/>
    <w:rsid w:val="00B33D76"/>
    <w:rsid w:val="00B33F30"/>
    <w:rsid w:val="00B341D9"/>
    <w:rsid w:val="00B34608"/>
    <w:rsid w:val="00B34AF4"/>
    <w:rsid w:val="00B34B29"/>
    <w:rsid w:val="00B35056"/>
    <w:rsid w:val="00B35185"/>
    <w:rsid w:val="00B3539A"/>
    <w:rsid w:val="00B355A3"/>
    <w:rsid w:val="00B3585B"/>
    <w:rsid w:val="00B35D3E"/>
    <w:rsid w:val="00B35DF4"/>
    <w:rsid w:val="00B367D5"/>
    <w:rsid w:val="00B3688F"/>
    <w:rsid w:val="00B36C04"/>
    <w:rsid w:val="00B36DD6"/>
    <w:rsid w:val="00B36FC4"/>
    <w:rsid w:val="00B373B7"/>
    <w:rsid w:val="00B37B1F"/>
    <w:rsid w:val="00B37D70"/>
    <w:rsid w:val="00B37ECC"/>
    <w:rsid w:val="00B37FA6"/>
    <w:rsid w:val="00B40AE5"/>
    <w:rsid w:val="00B40C6A"/>
    <w:rsid w:val="00B40FC6"/>
    <w:rsid w:val="00B410D9"/>
    <w:rsid w:val="00B41489"/>
    <w:rsid w:val="00B415A4"/>
    <w:rsid w:val="00B41605"/>
    <w:rsid w:val="00B41B0C"/>
    <w:rsid w:val="00B41C31"/>
    <w:rsid w:val="00B41C3E"/>
    <w:rsid w:val="00B41CF2"/>
    <w:rsid w:val="00B41D08"/>
    <w:rsid w:val="00B41E26"/>
    <w:rsid w:val="00B42065"/>
    <w:rsid w:val="00B42604"/>
    <w:rsid w:val="00B42A90"/>
    <w:rsid w:val="00B42FC6"/>
    <w:rsid w:val="00B43361"/>
    <w:rsid w:val="00B43529"/>
    <w:rsid w:val="00B43878"/>
    <w:rsid w:val="00B4390B"/>
    <w:rsid w:val="00B4391B"/>
    <w:rsid w:val="00B439AE"/>
    <w:rsid w:val="00B43CB4"/>
    <w:rsid w:val="00B444A4"/>
    <w:rsid w:val="00B447A6"/>
    <w:rsid w:val="00B44C71"/>
    <w:rsid w:val="00B44D25"/>
    <w:rsid w:val="00B44D3B"/>
    <w:rsid w:val="00B4522E"/>
    <w:rsid w:val="00B4529D"/>
    <w:rsid w:val="00B45897"/>
    <w:rsid w:val="00B459DB"/>
    <w:rsid w:val="00B45AAA"/>
    <w:rsid w:val="00B45B1E"/>
    <w:rsid w:val="00B45E38"/>
    <w:rsid w:val="00B463F1"/>
    <w:rsid w:val="00B46475"/>
    <w:rsid w:val="00B46658"/>
    <w:rsid w:val="00B46911"/>
    <w:rsid w:val="00B469DD"/>
    <w:rsid w:val="00B46C2A"/>
    <w:rsid w:val="00B46C69"/>
    <w:rsid w:val="00B46F49"/>
    <w:rsid w:val="00B46F81"/>
    <w:rsid w:val="00B47175"/>
    <w:rsid w:val="00B471BD"/>
    <w:rsid w:val="00B47514"/>
    <w:rsid w:val="00B4772E"/>
    <w:rsid w:val="00B477E9"/>
    <w:rsid w:val="00B47C8E"/>
    <w:rsid w:val="00B5013F"/>
    <w:rsid w:val="00B50573"/>
    <w:rsid w:val="00B5069F"/>
    <w:rsid w:val="00B506AB"/>
    <w:rsid w:val="00B509D4"/>
    <w:rsid w:val="00B50FD8"/>
    <w:rsid w:val="00B5174F"/>
    <w:rsid w:val="00B517E8"/>
    <w:rsid w:val="00B51899"/>
    <w:rsid w:val="00B518B0"/>
    <w:rsid w:val="00B51AE3"/>
    <w:rsid w:val="00B52059"/>
    <w:rsid w:val="00B5245B"/>
    <w:rsid w:val="00B52569"/>
    <w:rsid w:val="00B5288D"/>
    <w:rsid w:val="00B52A26"/>
    <w:rsid w:val="00B52AF5"/>
    <w:rsid w:val="00B530E2"/>
    <w:rsid w:val="00B5359C"/>
    <w:rsid w:val="00B5384E"/>
    <w:rsid w:val="00B53C8C"/>
    <w:rsid w:val="00B54629"/>
    <w:rsid w:val="00B54632"/>
    <w:rsid w:val="00B55000"/>
    <w:rsid w:val="00B55AD3"/>
    <w:rsid w:val="00B55F76"/>
    <w:rsid w:val="00B56025"/>
    <w:rsid w:val="00B56041"/>
    <w:rsid w:val="00B560E5"/>
    <w:rsid w:val="00B56698"/>
    <w:rsid w:val="00B56C77"/>
    <w:rsid w:val="00B56DA6"/>
    <w:rsid w:val="00B571C8"/>
    <w:rsid w:val="00B5743C"/>
    <w:rsid w:val="00B57AFE"/>
    <w:rsid w:val="00B6076D"/>
    <w:rsid w:val="00B61376"/>
    <w:rsid w:val="00B616F9"/>
    <w:rsid w:val="00B61B83"/>
    <w:rsid w:val="00B61DA7"/>
    <w:rsid w:val="00B62036"/>
    <w:rsid w:val="00B62390"/>
    <w:rsid w:val="00B623CF"/>
    <w:rsid w:val="00B62590"/>
    <w:rsid w:val="00B62633"/>
    <w:rsid w:val="00B6267A"/>
    <w:rsid w:val="00B62807"/>
    <w:rsid w:val="00B62818"/>
    <w:rsid w:val="00B64076"/>
    <w:rsid w:val="00B6409A"/>
    <w:rsid w:val="00B645DB"/>
    <w:rsid w:val="00B64CD7"/>
    <w:rsid w:val="00B652EE"/>
    <w:rsid w:val="00B65339"/>
    <w:rsid w:val="00B654DD"/>
    <w:rsid w:val="00B657DA"/>
    <w:rsid w:val="00B65918"/>
    <w:rsid w:val="00B65C31"/>
    <w:rsid w:val="00B66538"/>
    <w:rsid w:val="00B66AB8"/>
    <w:rsid w:val="00B67845"/>
    <w:rsid w:val="00B679DD"/>
    <w:rsid w:val="00B67D8F"/>
    <w:rsid w:val="00B67ECC"/>
    <w:rsid w:val="00B67FFA"/>
    <w:rsid w:val="00B70538"/>
    <w:rsid w:val="00B7053E"/>
    <w:rsid w:val="00B70599"/>
    <w:rsid w:val="00B70A61"/>
    <w:rsid w:val="00B70EC3"/>
    <w:rsid w:val="00B71412"/>
    <w:rsid w:val="00B71C07"/>
    <w:rsid w:val="00B71F0F"/>
    <w:rsid w:val="00B7259D"/>
    <w:rsid w:val="00B72A53"/>
    <w:rsid w:val="00B72BAA"/>
    <w:rsid w:val="00B72D02"/>
    <w:rsid w:val="00B72E86"/>
    <w:rsid w:val="00B72F61"/>
    <w:rsid w:val="00B72FDF"/>
    <w:rsid w:val="00B73151"/>
    <w:rsid w:val="00B732AB"/>
    <w:rsid w:val="00B7346C"/>
    <w:rsid w:val="00B73537"/>
    <w:rsid w:val="00B735CA"/>
    <w:rsid w:val="00B73702"/>
    <w:rsid w:val="00B73B3C"/>
    <w:rsid w:val="00B73F2B"/>
    <w:rsid w:val="00B73F54"/>
    <w:rsid w:val="00B74027"/>
    <w:rsid w:val="00B744BF"/>
    <w:rsid w:val="00B7459C"/>
    <w:rsid w:val="00B746A1"/>
    <w:rsid w:val="00B747F7"/>
    <w:rsid w:val="00B74E94"/>
    <w:rsid w:val="00B74EC4"/>
    <w:rsid w:val="00B7501E"/>
    <w:rsid w:val="00B75167"/>
    <w:rsid w:val="00B755D0"/>
    <w:rsid w:val="00B75CD1"/>
    <w:rsid w:val="00B75D0B"/>
    <w:rsid w:val="00B75E0B"/>
    <w:rsid w:val="00B7602C"/>
    <w:rsid w:val="00B768A3"/>
    <w:rsid w:val="00B76AAD"/>
    <w:rsid w:val="00B76CA5"/>
    <w:rsid w:val="00B770A5"/>
    <w:rsid w:val="00B772A7"/>
    <w:rsid w:val="00B77A6A"/>
    <w:rsid w:val="00B77C30"/>
    <w:rsid w:val="00B77C95"/>
    <w:rsid w:val="00B80170"/>
    <w:rsid w:val="00B80BE1"/>
    <w:rsid w:val="00B80E10"/>
    <w:rsid w:val="00B810E5"/>
    <w:rsid w:val="00B817BC"/>
    <w:rsid w:val="00B821A2"/>
    <w:rsid w:val="00B8280D"/>
    <w:rsid w:val="00B82B50"/>
    <w:rsid w:val="00B82D72"/>
    <w:rsid w:val="00B83C15"/>
    <w:rsid w:val="00B83C9E"/>
    <w:rsid w:val="00B840BA"/>
    <w:rsid w:val="00B8422A"/>
    <w:rsid w:val="00B842C2"/>
    <w:rsid w:val="00B845AB"/>
    <w:rsid w:val="00B847E8"/>
    <w:rsid w:val="00B848A8"/>
    <w:rsid w:val="00B849E7"/>
    <w:rsid w:val="00B84C71"/>
    <w:rsid w:val="00B84E13"/>
    <w:rsid w:val="00B84FF9"/>
    <w:rsid w:val="00B85479"/>
    <w:rsid w:val="00B85B82"/>
    <w:rsid w:val="00B85C03"/>
    <w:rsid w:val="00B862E5"/>
    <w:rsid w:val="00B86ADF"/>
    <w:rsid w:val="00B86CB4"/>
    <w:rsid w:val="00B86EDC"/>
    <w:rsid w:val="00B86F0D"/>
    <w:rsid w:val="00B86F34"/>
    <w:rsid w:val="00B870EB"/>
    <w:rsid w:val="00B87212"/>
    <w:rsid w:val="00B874DA"/>
    <w:rsid w:val="00B875FA"/>
    <w:rsid w:val="00B878C6"/>
    <w:rsid w:val="00B87927"/>
    <w:rsid w:val="00B87BB4"/>
    <w:rsid w:val="00B87C51"/>
    <w:rsid w:val="00B90034"/>
    <w:rsid w:val="00B90542"/>
    <w:rsid w:val="00B90ED7"/>
    <w:rsid w:val="00B90FB7"/>
    <w:rsid w:val="00B91015"/>
    <w:rsid w:val="00B911D6"/>
    <w:rsid w:val="00B92111"/>
    <w:rsid w:val="00B9290A"/>
    <w:rsid w:val="00B92A5C"/>
    <w:rsid w:val="00B92B40"/>
    <w:rsid w:val="00B92D07"/>
    <w:rsid w:val="00B937FC"/>
    <w:rsid w:val="00B94777"/>
    <w:rsid w:val="00B948AD"/>
    <w:rsid w:val="00B95391"/>
    <w:rsid w:val="00B9568B"/>
    <w:rsid w:val="00B9589E"/>
    <w:rsid w:val="00B95A75"/>
    <w:rsid w:val="00B95A79"/>
    <w:rsid w:val="00B95B63"/>
    <w:rsid w:val="00B95DA0"/>
    <w:rsid w:val="00B95EE5"/>
    <w:rsid w:val="00B9618B"/>
    <w:rsid w:val="00B96A34"/>
    <w:rsid w:val="00B96A4F"/>
    <w:rsid w:val="00B96A80"/>
    <w:rsid w:val="00B96CAB"/>
    <w:rsid w:val="00B97256"/>
    <w:rsid w:val="00B97488"/>
    <w:rsid w:val="00B9750E"/>
    <w:rsid w:val="00B97DFE"/>
    <w:rsid w:val="00B97F48"/>
    <w:rsid w:val="00BA0357"/>
    <w:rsid w:val="00BA0452"/>
    <w:rsid w:val="00BA07EC"/>
    <w:rsid w:val="00BA0931"/>
    <w:rsid w:val="00BA0A2E"/>
    <w:rsid w:val="00BA1003"/>
    <w:rsid w:val="00BA10BF"/>
    <w:rsid w:val="00BA12A5"/>
    <w:rsid w:val="00BA2010"/>
    <w:rsid w:val="00BA21A2"/>
    <w:rsid w:val="00BA21C5"/>
    <w:rsid w:val="00BA26B9"/>
    <w:rsid w:val="00BA2770"/>
    <w:rsid w:val="00BA28C3"/>
    <w:rsid w:val="00BA2AA2"/>
    <w:rsid w:val="00BA2ED2"/>
    <w:rsid w:val="00BA3342"/>
    <w:rsid w:val="00BA381C"/>
    <w:rsid w:val="00BA3864"/>
    <w:rsid w:val="00BA3A97"/>
    <w:rsid w:val="00BA3DE0"/>
    <w:rsid w:val="00BA4925"/>
    <w:rsid w:val="00BA4D95"/>
    <w:rsid w:val="00BA4EDE"/>
    <w:rsid w:val="00BA553E"/>
    <w:rsid w:val="00BA57D3"/>
    <w:rsid w:val="00BA599D"/>
    <w:rsid w:val="00BA5FB5"/>
    <w:rsid w:val="00BA608E"/>
    <w:rsid w:val="00BA60E3"/>
    <w:rsid w:val="00BA60F7"/>
    <w:rsid w:val="00BA6122"/>
    <w:rsid w:val="00BA6657"/>
    <w:rsid w:val="00BA6B47"/>
    <w:rsid w:val="00BA6DAD"/>
    <w:rsid w:val="00BA6E07"/>
    <w:rsid w:val="00BA7120"/>
    <w:rsid w:val="00BA71EA"/>
    <w:rsid w:val="00BA739C"/>
    <w:rsid w:val="00BA7520"/>
    <w:rsid w:val="00BA78DD"/>
    <w:rsid w:val="00BA78F2"/>
    <w:rsid w:val="00BA7B8B"/>
    <w:rsid w:val="00BA7C82"/>
    <w:rsid w:val="00BA7F7A"/>
    <w:rsid w:val="00BB01B3"/>
    <w:rsid w:val="00BB03A9"/>
    <w:rsid w:val="00BB05BF"/>
    <w:rsid w:val="00BB09B1"/>
    <w:rsid w:val="00BB0B12"/>
    <w:rsid w:val="00BB1908"/>
    <w:rsid w:val="00BB1DE6"/>
    <w:rsid w:val="00BB2620"/>
    <w:rsid w:val="00BB267F"/>
    <w:rsid w:val="00BB298B"/>
    <w:rsid w:val="00BB2A20"/>
    <w:rsid w:val="00BB2E32"/>
    <w:rsid w:val="00BB30E9"/>
    <w:rsid w:val="00BB38C8"/>
    <w:rsid w:val="00BB3960"/>
    <w:rsid w:val="00BB3984"/>
    <w:rsid w:val="00BB3A5F"/>
    <w:rsid w:val="00BB3C3E"/>
    <w:rsid w:val="00BB3EE8"/>
    <w:rsid w:val="00BB422A"/>
    <w:rsid w:val="00BB47C9"/>
    <w:rsid w:val="00BB4874"/>
    <w:rsid w:val="00BB4888"/>
    <w:rsid w:val="00BB4890"/>
    <w:rsid w:val="00BB493D"/>
    <w:rsid w:val="00BB49F9"/>
    <w:rsid w:val="00BB4A73"/>
    <w:rsid w:val="00BB4CD8"/>
    <w:rsid w:val="00BB4D6F"/>
    <w:rsid w:val="00BB5133"/>
    <w:rsid w:val="00BB594A"/>
    <w:rsid w:val="00BB5CF8"/>
    <w:rsid w:val="00BB5D6B"/>
    <w:rsid w:val="00BB5E62"/>
    <w:rsid w:val="00BB5EDA"/>
    <w:rsid w:val="00BB601C"/>
    <w:rsid w:val="00BB6183"/>
    <w:rsid w:val="00BB6325"/>
    <w:rsid w:val="00BB659A"/>
    <w:rsid w:val="00BB69D9"/>
    <w:rsid w:val="00BB6DB4"/>
    <w:rsid w:val="00BB7139"/>
    <w:rsid w:val="00BB713A"/>
    <w:rsid w:val="00BB7380"/>
    <w:rsid w:val="00BB755B"/>
    <w:rsid w:val="00BB7588"/>
    <w:rsid w:val="00BB7A21"/>
    <w:rsid w:val="00BB7FE3"/>
    <w:rsid w:val="00BC057C"/>
    <w:rsid w:val="00BC0877"/>
    <w:rsid w:val="00BC0CBE"/>
    <w:rsid w:val="00BC0E7D"/>
    <w:rsid w:val="00BC0EA4"/>
    <w:rsid w:val="00BC0F34"/>
    <w:rsid w:val="00BC0F57"/>
    <w:rsid w:val="00BC1306"/>
    <w:rsid w:val="00BC14B8"/>
    <w:rsid w:val="00BC1667"/>
    <w:rsid w:val="00BC1D3C"/>
    <w:rsid w:val="00BC2903"/>
    <w:rsid w:val="00BC2ACC"/>
    <w:rsid w:val="00BC2D3E"/>
    <w:rsid w:val="00BC2EA6"/>
    <w:rsid w:val="00BC3456"/>
    <w:rsid w:val="00BC34DB"/>
    <w:rsid w:val="00BC34ED"/>
    <w:rsid w:val="00BC3525"/>
    <w:rsid w:val="00BC393B"/>
    <w:rsid w:val="00BC3CEE"/>
    <w:rsid w:val="00BC4146"/>
    <w:rsid w:val="00BC43DB"/>
    <w:rsid w:val="00BC45DA"/>
    <w:rsid w:val="00BC4669"/>
    <w:rsid w:val="00BC4D76"/>
    <w:rsid w:val="00BC53C1"/>
    <w:rsid w:val="00BC53C9"/>
    <w:rsid w:val="00BC54A1"/>
    <w:rsid w:val="00BC5825"/>
    <w:rsid w:val="00BC59C9"/>
    <w:rsid w:val="00BC5DF3"/>
    <w:rsid w:val="00BC5F55"/>
    <w:rsid w:val="00BC6200"/>
    <w:rsid w:val="00BC62B0"/>
    <w:rsid w:val="00BC638F"/>
    <w:rsid w:val="00BC6984"/>
    <w:rsid w:val="00BC6B9B"/>
    <w:rsid w:val="00BC72B4"/>
    <w:rsid w:val="00BC76C0"/>
    <w:rsid w:val="00BC76D9"/>
    <w:rsid w:val="00BC77CF"/>
    <w:rsid w:val="00BC7810"/>
    <w:rsid w:val="00BC7A93"/>
    <w:rsid w:val="00BC7C8C"/>
    <w:rsid w:val="00BC7D70"/>
    <w:rsid w:val="00BC7E65"/>
    <w:rsid w:val="00BD00C2"/>
    <w:rsid w:val="00BD099F"/>
    <w:rsid w:val="00BD0ADA"/>
    <w:rsid w:val="00BD0B39"/>
    <w:rsid w:val="00BD0B76"/>
    <w:rsid w:val="00BD0B92"/>
    <w:rsid w:val="00BD0C0A"/>
    <w:rsid w:val="00BD0D81"/>
    <w:rsid w:val="00BD0DE7"/>
    <w:rsid w:val="00BD0F93"/>
    <w:rsid w:val="00BD14A2"/>
    <w:rsid w:val="00BD16D7"/>
    <w:rsid w:val="00BD17A3"/>
    <w:rsid w:val="00BD1BBF"/>
    <w:rsid w:val="00BD1F8F"/>
    <w:rsid w:val="00BD228A"/>
    <w:rsid w:val="00BD24AC"/>
    <w:rsid w:val="00BD296B"/>
    <w:rsid w:val="00BD31A2"/>
    <w:rsid w:val="00BD38A6"/>
    <w:rsid w:val="00BD3A19"/>
    <w:rsid w:val="00BD48C0"/>
    <w:rsid w:val="00BD4C14"/>
    <w:rsid w:val="00BD4DC0"/>
    <w:rsid w:val="00BD52AC"/>
    <w:rsid w:val="00BD59D3"/>
    <w:rsid w:val="00BD5C7C"/>
    <w:rsid w:val="00BD5CDC"/>
    <w:rsid w:val="00BD5D80"/>
    <w:rsid w:val="00BD5F95"/>
    <w:rsid w:val="00BD6474"/>
    <w:rsid w:val="00BD6498"/>
    <w:rsid w:val="00BD6637"/>
    <w:rsid w:val="00BD664F"/>
    <w:rsid w:val="00BD68F7"/>
    <w:rsid w:val="00BD69E2"/>
    <w:rsid w:val="00BD70AA"/>
    <w:rsid w:val="00BD73D4"/>
    <w:rsid w:val="00BD7786"/>
    <w:rsid w:val="00BD7892"/>
    <w:rsid w:val="00BD7AA8"/>
    <w:rsid w:val="00BD7B92"/>
    <w:rsid w:val="00BD7CE2"/>
    <w:rsid w:val="00BD7E25"/>
    <w:rsid w:val="00BE00ED"/>
    <w:rsid w:val="00BE0624"/>
    <w:rsid w:val="00BE09B6"/>
    <w:rsid w:val="00BE0C48"/>
    <w:rsid w:val="00BE12D4"/>
    <w:rsid w:val="00BE16A1"/>
    <w:rsid w:val="00BE16FC"/>
    <w:rsid w:val="00BE1880"/>
    <w:rsid w:val="00BE1A76"/>
    <w:rsid w:val="00BE1C89"/>
    <w:rsid w:val="00BE2249"/>
    <w:rsid w:val="00BE2CB2"/>
    <w:rsid w:val="00BE32FE"/>
    <w:rsid w:val="00BE343D"/>
    <w:rsid w:val="00BE37EE"/>
    <w:rsid w:val="00BE3A75"/>
    <w:rsid w:val="00BE3CFE"/>
    <w:rsid w:val="00BE3E50"/>
    <w:rsid w:val="00BE40F4"/>
    <w:rsid w:val="00BE42FD"/>
    <w:rsid w:val="00BE45B5"/>
    <w:rsid w:val="00BE4713"/>
    <w:rsid w:val="00BE4807"/>
    <w:rsid w:val="00BE4B6A"/>
    <w:rsid w:val="00BE5237"/>
    <w:rsid w:val="00BE52E7"/>
    <w:rsid w:val="00BE537F"/>
    <w:rsid w:val="00BE5EE7"/>
    <w:rsid w:val="00BE63A9"/>
    <w:rsid w:val="00BE68ED"/>
    <w:rsid w:val="00BE6919"/>
    <w:rsid w:val="00BE6E9F"/>
    <w:rsid w:val="00BE7347"/>
    <w:rsid w:val="00BE73BE"/>
    <w:rsid w:val="00BE7614"/>
    <w:rsid w:val="00BE7DAC"/>
    <w:rsid w:val="00BE7E0D"/>
    <w:rsid w:val="00BF0187"/>
    <w:rsid w:val="00BF0430"/>
    <w:rsid w:val="00BF08E0"/>
    <w:rsid w:val="00BF098A"/>
    <w:rsid w:val="00BF0B94"/>
    <w:rsid w:val="00BF0C0F"/>
    <w:rsid w:val="00BF0C2F"/>
    <w:rsid w:val="00BF1ACB"/>
    <w:rsid w:val="00BF1AFA"/>
    <w:rsid w:val="00BF1F9F"/>
    <w:rsid w:val="00BF2072"/>
    <w:rsid w:val="00BF29C9"/>
    <w:rsid w:val="00BF2AFC"/>
    <w:rsid w:val="00BF2BE8"/>
    <w:rsid w:val="00BF2CBB"/>
    <w:rsid w:val="00BF3063"/>
    <w:rsid w:val="00BF30DD"/>
    <w:rsid w:val="00BF3254"/>
    <w:rsid w:val="00BF3386"/>
    <w:rsid w:val="00BF3599"/>
    <w:rsid w:val="00BF3A97"/>
    <w:rsid w:val="00BF3F8C"/>
    <w:rsid w:val="00BF416D"/>
    <w:rsid w:val="00BF4291"/>
    <w:rsid w:val="00BF42E2"/>
    <w:rsid w:val="00BF436B"/>
    <w:rsid w:val="00BF5050"/>
    <w:rsid w:val="00BF548D"/>
    <w:rsid w:val="00BF551E"/>
    <w:rsid w:val="00BF55AB"/>
    <w:rsid w:val="00BF58F4"/>
    <w:rsid w:val="00BF5B3D"/>
    <w:rsid w:val="00BF5E5F"/>
    <w:rsid w:val="00BF5E7D"/>
    <w:rsid w:val="00BF6939"/>
    <w:rsid w:val="00BF6BB2"/>
    <w:rsid w:val="00BF7B68"/>
    <w:rsid w:val="00BF7DC5"/>
    <w:rsid w:val="00C00700"/>
    <w:rsid w:val="00C00786"/>
    <w:rsid w:val="00C007F4"/>
    <w:rsid w:val="00C00C1C"/>
    <w:rsid w:val="00C00E8F"/>
    <w:rsid w:val="00C01963"/>
    <w:rsid w:val="00C01DFE"/>
    <w:rsid w:val="00C027FF"/>
    <w:rsid w:val="00C02C72"/>
    <w:rsid w:val="00C02E2C"/>
    <w:rsid w:val="00C02E8B"/>
    <w:rsid w:val="00C0306E"/>
    <w:rsid w:val="00C030C0"/>
    <w:rsid w:val="00C038B3"/>
    <w:rsid w:val="00C040A2"/>
    <w:rsid w:val="00C043CF"/>
    <w:rsid w:val="00C04854"/>
    <w:rsid w:val="00C050DE"/>
    <w:rsid w:val="00C05176"/>
    <w:rsid w:val="00C057AF"/>
    <w:rsid w:val="00C05CE1"/>
    <w:rsid w:val="00C05DA8"/>
    <w:rsid w:val="00C06061"/>
    <w:rsid w:val="00C066A3"/>
    <w:rsid w:val="00C06FC6"/>
    <w:rsid w:val="00C0701F"/>
    <w:rsid w:val="00C070C1"/>
    <w:rsid w:val="00C0735B"/>
    <w:rsid w:val="00C0773A"/>
    <w:rsid w:val="00C0774E"/>
    <w:rsid w:val="00C078D7"/>
    <w:rsid w:val="00C10001"/>
    <w:rsid w:val="00C100F0"/>
    <w:rsid w:val="00C1026F"/>
    <w:rsid w:val="00C1050D"/>
    <w:rsid w:val="00C10589"/>
    <w:rsid w:val="00C10D48"/>
    <w:rsid w:val="00C10DD0"/>
    <w:rsid w:val="00C1125C"/>
    <w:rsid w:val="00C1132A"/>
    <w:rsid w:val="00C1163D"/>
    <w:rsid w:val="00C11A9B"/>
    <w:rsid w:val="00C11CA4"/>
    <w:rsid w:val="00C1298F"/>
    <w:rsid w:val="00C13B40"/>
    <w:rsid w:val="00C13BA2"/>
    <w:rsid w:val="00C13DE3"/>
    <w:rsid w:val="00C13DF8"/>
    <w:rsid w:val="00C143A4"/>
    <w:rsid w:val="00C145CF"/>
    <w:rsid w:val="00C1472F"/>
    <w:rsid w:val="00C14A76"/>
    <w:rsid w:val="00C14AAD"/>
    <w:rsid w:val="00C14C2A"/>
    <w:rsid w:val="00C14CBD"/>
    <w:rsid w:val="00C14D9C"/>
    <w:rsid w:val="00C14FDE"/>
    <w:rsid w:val="00C150DB"/>
    <w:rsid w:val="00C15144"/>
    <w:rsid w:val="00C1528D"/>
    <w:rsid w:val="00C15452"/>
    <w:rsid w:val="00C15614"/>
    <w:rsid w:val="00C15A5C"/>
    <w:rsid w:val="00C15FF5"/>
    <w:rsid w:val="00C165CD"/>
    <w:rsid w:val="00C166BC"/>
    <w:rsid w:val="00C16C62"/>
    <w:rsid w:val="00C16F54"/>
    <w:rsid w:val="00C1727B"/>
    <w:rsid w:val="00C178B8"/>
    <w:rsid w:val="00C17BE2"/>
    <w:rsid w:val="00C17CB1"/>
    <w:rsid w:val="00C17D07"/>
    <w:rsid w:val="00C2009C"/>
    <w:rsid w:val="00C20149"/>
    <w:rsid w:val="00C20D78"/>
    <w:rsid w:val="00C20FFB"/>
    <w:rsid w:val="00C21591"/>
    <w:rsid w:val="00C215CE"/>
    <w:rsid w:val="00C21EB1"/>
    <w:rsid w:val="00C21F97"/>
    <w:rsid w:val="00C225EF"/>
    <w:rsid w:val="00C225F3"/>
    <w:rsid w:val="00C22781"/>
    <w:rsid w:val="00C22A02"/>
    <w:rsid w:val="00C22D5F"/>
    <w:rsid w:val="00C2307F"/>
    <w:rsid w:val="00C235A2"/>
    <w:rsid w:val="00C23A91"/>
    <w:rsid w:val="00C23EF7"/>
    <w:rsid w:val="00C23F25"/>
    <w:rsid w:val="00C2416B"/>
    <w:rsid w:val="00C241BF"/>
    <w:rsid w:val="00C24252"/>
    <w:rsid w:val="00C2475A"/>
    <w:rsid w:val="00C248A6"/>
    <w:rsid w:val="00C2498B"/>
    <w:rsid w:val="00C2604C"/>
    <w:rsid w:val="00C26167"/>
    <w:rsid w:val="00C2647F"/>
    <w:rsid w:val="00C266EA"/>
    <w:rsid w:val="00C26E2B"/>
    <w:rsid w:val="00C27120"/>
    <w:rsid w:val="00C2756C"/>
    <w:rsid w:val="00C27581"/>
    <w:rsid w:val="00C27B2B"/>
    <w:rsid w:val="00C30649"/>
    <w:rsid w:val="00C3087C"/>
    <w:rsid w:val="00C30BE1"/>
    <w:rsid w:val="00C30CCD"/>
    <w:rsid w:val="00C30E81"/>
    <w:rsid w:val="00C3100C"/>
    <w:rsid w:val="00C314EF"/>
    <w:rsid w:val="00C3158C"/>
    <w:rsid w:val="00C3172E"/>
    <w:rsid w:val="00C317F7"/>
    <w:rsid w:val="00C3182B"/>
    <w:rsid w:val="00C31872"/>
    <w:rsid w:val="00C31B09"/>
    <w:rsid w:val="00C31E22"/>
    <w:rsid w:val="00C32F53"/>
    <w:rsid w:val="00C330B3"/>
    <w:rsid w:val="00C338F2"/>
    <w:rsid w:val="00C33CD9"/>
    <w:rsid w:val="00C33CFE"/>
    <w:rsid w:val="00C33D24"/>
    <w:rsid w:val="00C33E34"/>
    <w:rsid w:val="00C33F99"/>
    <w:rsid w:val="00C343F3"/>
    <w:rsid w:val="00C3455B"/>
    <w:rsid w:val="00C345F4"/>
    <w:rsid w:val="00C34790"/>
    <w:rsid w:val="00C35069"/>
    <w:rsid w:val="00C3541D"/>
    <w:rsid w:val="00C35B9C"/>
    <w:rsid w:val="00C35D3D"/>
    <w:rsid w:val="00C35E51"/>
    <w:rsid w:val="00C36046"/>
    <w:rsid w:val="00C3610C"/>
    <w:rsid w:val="00C364DB"/>
    <w:rsid w:val="00C364F0"/>
    <w:rsid w:val="00C36A23"/>
    <w:rsid w:val="00C36D16"/>
    <w:rsid w:val="00C36DE5"/>
    <w:rsid w:val="00C36F99"/>
    <w:rsid w:val="00C37533"/>
    <w:rsid w:val="00C375BD"/>
    <w:rsid w:val="00C375C2"/>
    <w:rsid w:val="00C3760C"/>
    <w:rsid w:val="00C3789F"/>
    <w:rsid w:val="00C40188"/>
    <w:rsid w:val="00C4046B"/>
    <w:rsid w:val="00C404A2"/>
    <w:rsid w:val="00C404AF"/>
    <w:rsid w:val="00C404F1"/>
    <w:rsid w:val="00C406CE"/>
    <w:rsid w:val="00C4086B"/>
    <w:rsid w:val="00C4091C"/>
    <w:rsid w:val="00C40CE3"/>
    <w:rsid w:val="00C41718"/>
    <w:rsid w:val="00C4195C"/>
    <w:rsid w:val="00C419E6"/>
    <w:rsid w:val="00C41E19"/>
    <w:rsid w:val="00C4200F"/>
    <w:rsid w:val="00C423B3"/>
    <w:rsid w:val="00C42F3E"/>
    <w:rsid w:val="00C435F0"/>
    <w:rsid w:val="00C438A9"/>
    <w:rsid w:val="00C43E2C"/>
    <w:rsid w:val="00C43E9A"/>
    <w:rsid w:val="00C43EAC"/>
    <w:rsid w:val="00C4445C"/>
    <w:rsid w:val="00C44717"/>
    <w:rsid w:val="00C44C97"/>
    <w:rsid w:val="00C44EBC"/>
    <w:rsid w:val="00C44EF2"/>
    <w:rsid w:val="00C4512B"/>
    <w:rsid w:val="00C45182"/>
    <w:rsid w:val="00C4530C"/>
    <w:rsid w:val="00C45315"/>
    <w:rsid w:val="00C4547B"/>
    <w:rsid w:val="00C454AB"/>
    <w:rsid w:val="00C455D7"/>
    <w:rsid w:val="00C45796"/>
    <w:rsid w:val="00C45B7B"/>
    <w:rsid w:val="00C45DC0"/>
    <w:rsid w:val="00C46070"/>
    <w:rsid w:val="00C46656"/>
    <w:rsid w:val="00C46675"/>
    <w:rsid w:val="00C466F7"/>
    <w:rsid w:val="00C4675B"/>
    <w:rsid w:val="00C46845"/>
    <w:rsid w:val="00C46904"/>
    <w:rsid w:val="00C46A85"/>
    <w:rsid w:val="00C470A3"/>
    <w:rsid w:val="00C477E8"/>
    <w:rsid w:val="00C478DE"/>
    <w:rsid w:val="00C47A28"/>
    <w:rsid w:val="00C50195"/>
    <w:rsid w:val="00C504F9"/>
    <w:rsid w:val="00C5053C"/>
    <w:rsid w:val="00C50B4E"/>
    <w:rsid w:val="00C50BA7"/>
    <w:rsid w:val="00C50CDA"/>
    <w:rsid w:val="00C514DB"/>
    <w:rsid w:val="00C516F1"/>
    <w:rsid w:val="00C51993"/>
    <w:rsid w:val="00C51BD6"/>
    <w:rsid w:val="00C51D07"/>
    <w:rsid w:val="00C51FF4"/>
    <w:rsid w:val="00C52376"/>
    <w:rsid w:val="00C525E9"/>
    <w:rsid w:val="00C52793"/>
    <w:rsid w:val="00C52BDE"/>
    <w:rsid w:val="00C52D13"/>
    <w:rsid w:val="00C52F03"/>
    <w:rsid w:val="00C532D8"/>
    <w:rsid w:val="00C53689"/>
    <w:rsid w:val="00C539D9"/>
    <w:rsid w:val="00C53C33"/>
    <w:rsid w:val="00C53CCB"/>
    <w:rsid w:val="00C53D14"/>
    <w:rsid w:val="00C53EAE"/>
    <w:rsid w:val="00C5421B"/>
    <w:rsid w:val="00C54B19"/>
    <w:rsid w:val="00C54FFC"/>
    <w:rsid w:val="00C550FE"/>
    <w:rsid w:val="00C55244"/>
    <w:rsid w:val="00C5596F"/>
    <w:rsid w:val="00C55E5E"/>
    <w:rsid w:val="00C55E75"/>
    <w:rsid w:val="00C55E98"/>
    <w:rsid w:val="00C55EBB"/>
    <w:rsid w:val="00C562D1"/>
    <w:rsid w:val="00C56349"/>
    <w:rsid w:val="00C563AF"/>
    <w:rsid w:val="00C563E8"/>
    <w:rsid w:val="00C56730"/>
    <w:rsid w:val="00C56A24"/>
    <w:rsid w:val="00C56B94"/>
    <w:rsid w:val="00C573A7"/>
    <w:rsid w:val="00C57628"/>
    <w:rsid w:val="00C57C29"/>
    <w:rsid w:val="00C57EAF"/>
    <w:rsid w:val="00C608F7"/>
    <w:rsid w:val="00C60A07"/>
    <w:rsid w:val="00C60C40"/>
    <w:rsid w:val="00C60CC6"/>
    <w:rsid w:val="00C61128"/>
    <w:rsid w:val="00C61714"/>
    <w:rsid w:val="00C61C7C"/>
    <w:rsid w:val="00C621BA"/>
    <w:rsid w:val="00C6223F"/>
    <w:rsid w:val="00C6298E"/>
    <w:rsid w:val="00C629F6"/>
    <w:rsid w:val="00C62BC9"/>
    <w:rsid w:val="00C62FDB"/>
    <w:rsid w:val="00C63089"/>
    <w:rsid w:val="00C63179"/>
    <w:rsid w:val="00C63446"/>
    <w:rsid w:val="00C634BC"/>
    <w:rsid w:val="00C6357F"/>
    <w:rsid w:val="00C638C7"/>
    <w:rsid w:val="00C639C3"/>
    <w:rsid w:val="00C63B24"/>
    <w:rsid w:val="00C63C87"/>
    <w:rsid w:val="00C63D4A"/>
    <w:rsid w:val="00C64362"/>
    <w:rsid w:val="00C643A5"/>
    <w:rsid w:val="00C649B5"/>
    <w:rsid w:val="00C64C01"/>
    <w:rsid w:val="00C64D7D"/>
    <w:rsid w:val="00C64F61"/>
    <w:rsid w:val="00C65016"/>
    <w:rsid w:val="00C650FF"/>
    <w:rsid w:val="00C65374"/>
    <w:rsid w:val="00C653D1"/>
    <w:rsid w:val="00C655CC"/>
    <w:rsid w:val="00C65889"/>
    <w:rsid w:val="00C65D8E"/>
    <w:rsid w:val="00C65E34"/>
    <w:rsid w:val="00C6629E"/>
    <w:rsid w:val="00C6630F"/>
    <w:rsid w:val="00C6642C"/>
    <w:rsid w:val="00C6656F"/>
    <w:rsid w:val="00C66719"/>
    <w:rsid w:val="00C66763"/>
    <w:rsid w:val="00C66773"/>
    <w:rsid w:val="00C6686E"/>
    <w:rsid w:val="00C669B9"/>
    <w:rsid w:val="00C66FDF"/>
    <w:rsid w:val="00C673C9"/>
    <w:rsid w:val="00C67609"/>
    <w:rsid w:val="00C677C5"/>
    <w:rsid w:val="00C67875"/>
    <w:rsid w:val="00C67D3F"/>
    <w:rsid w:val="00C67ECF"/>
    <w:rsid w:val="00C7013F"/>
    <w:rsid w:val="00C703D3"/>
    <w:rsid w:val="00C7091F"/>
    <w:rsid w:val="00C709D8"/>
    <w:rsid w:val="00C70BF5"/>
    <w:rsid w:val="00C70E54"/>
    <w:rsid w:val="00C711B9"/>
    <w:rsid w:val="00C7152D"/>
    <w:rsid w:val="00C7167A"/>
    <w:rsid w:val="00C717CE"/>
    <w:rsid w:val="00C71F55"/>
    <w:rsid w:val="00C71F73"/>
    <w:rsid w:val="00C7209C"/>
    <w:rsid w:val="00C7259B"/>
    <w:rsid w:val="00C725A6"/>
    <w:rsid w:val="00C726B0"/>
    <w:rsid w:val="00C726D6"/>
    <w:rsid w:val="00C72CB4"/>
    <w:rsid w:val="00C73054"/>
    <w:rsid w:val="00C73C12"/>
    <w:rsid w:val="00C74622"/>
    <w:rsid w:val="00C74668"/>
    <w:rsid w:val="00C74691"/>
    <w:rsid w:val="00C7490E"/>
    <w:rsid w:val="00C74A07"/>
    <w:rsid w:val="00C74CB8"/>
    <w:rsid w:val="00C74CD4"/>
    <w:rsid w:val="00C74E7A"/>
    <w:rsid w:val="00C75403"/>
    <w:rsid w:val="00C755ED"/>
    <w:rsid w:val="00C75859"/>
    <w:rsid w:val="00C758BA"/>
    <w:rsid w:val="00C759DD"/>
    <w:rsid w:val="00C75AA0"/>
    <w:rsid w:val="00C75C73"/>
    <w:rsid w:val="00C75E5D"/>
    <w:rsid w:val="00C76727"/>
    <w:rsid w:val="00C767CA"/>
    <w:rsid w:val="00C76994"/>
    <w:rsid w:val="00C769E7"/>
    <w:rsid w:val="00C76BD1"/>
    <w:rsid w:val="00C76C3C"/>
    <w:rsid w:val="00C76E38"/>
    <w:rsid w:val="00C7795A"/>
    <w:rsid w:val="00C77A75"/>
    <w:rsid w:val="00C77CBE"/>
    <w:rsid w:val="00C77E7E"/>
    <w:rsid w:val="00C80055"/>
    <w:rsid w:val="00C80399"/>
    <w:rsid w:val="00C804EC"/>
    <w:rsid w:val="00C80556"/>
    <w:rsid w:val="00C806B1"/>
    <w:rsid w:val="00C807FB"/>
    <w:rsid w:val="00C8085B"/>
    <w:rsid w:val="00C808D5"/>
    <w:rsid w:val="00C808F5"/>
    <w:rsid w:val="00C8094B"/>
    <w:rsid w:val="00C80F6E"/>
    <w:rsid w:val="00C80F87"/>
    <w:rsid w:val="00C810C3"/>
    <w:rsid w:val="00C81435"/>
    <w:rsid w:val="00C81622"/>
    <w:rsid w:val="00C8169B"/>
    <w:rsid w:val="00C816DB"/>
    <w:rsid w:val="00C817BE"/>
    <w:rsid w:val="00C829A8"/>
    <w:rsid w:val="00C82BB0"/>
    <w:rsid w:val="00C82D5D"/>
    <w:rsid w:val="00C830C7"/>
    <w:rsid w:val="00C830CB"/>
    <w:rsid w:val="00C839F3"/>
    <w:rsid w:val="00C840F4"/>
    <w:rsid w:val="00C84129"/>
    <w:rsid w:val="00C8414D"/>
    <w:rsid w:val="00C84292"/>
    <w:rsid w:val="00C8445B"/>
    <w:rsid w:val="00C84564"/>
    <w:rsid w:val="00C8461A"/>
    <w:rsid w:val="00C84A55"/>
    <w:rsid w:val="00C84CBA"/>
    <w:rsid w:val="00C8532E"/>
    <w:rsid w:val="00C85565"/>
    <w:rsid w:val="00C855D5"/>
    <w:rsid w:val="00C85A58"/>
    <w:rsid w:val="00C85B1C"/>
    <w:rsid w:val="00C85C7A"/>
    <w:rsid w:val="00C860A3"/>
    <w:rsid w:val="00C86122"/>
    <w:rsid w:val="00C863D9"/>
    <w:rsid w:val="00C86431"/>
    <w:rsid w:val="00C8654C"/>
    <w:rsid w:val="00C8661F"/>
    <w:rsid w:val="00C866B4"/>
    <w:rsid w:val="00C86F3B"/>
    <w:rsid w:val="00C870C2"/>
    <w:rsid w:val="00C8757A"/>
    <w:rsid w:val="00C87B11"/>
    <w:rsid w:val="00C87CCF"/>
    <w:rsid w:val="00C87D0F"/>
    <w:rsid w:val="00C87F2D"/>
    <w:rsid w:val="00C904C1"/>
    <w:rsid w:val="00C9060F"/>
    <w:rsid w:val="00C90BB7"/>
    <w:rsid w:val="00C90C05"/>
    <w:rsid w:val="00C90FAF"/>
    <w:rsid w:val="00C913EF"/>
    <w:rsid w:val="00C91950"/>
    <w:rsid w:val="00C91A62"/>
    <w:rsid w:val="00C91B7F"/>
    <w:rsid w:val="00C91B9E"/>
    <w:rsid w:val="00C91E20"/>
    <w:rsid w:val="00C91EAE"/>
    <w:rsid w:val="00C921DF"/>
    <w:rsid w:val="00C92202"/>
    <w:rsid w:val="00C923B6"/>
    <w:rsid w:val="00C928CB"/>
    <w:rsid w:val="00C928E9"/>
    <w:rsid w:val="00C929A7"/>
    <w:rsid w:val="00C92F1B"/>
    <w:rsid w:val="00C934DE"/>
    <w:rsid w:val="00C9352A"/>
    <w:rsid w:val="00C93792"/>
    <w:rsid w:val="00C93F88"/>
    <w:rsid w:val="00C942DA"/>
    <w:rsid w:val="00C944DE"/>
    <w:rsid w:val="00C94617"/>
    <w:rsid w:val="00C94625"/>
    <w:rsid w:val="00C9477B"/>
    <w:rsid w:val="00C94DA4"/>
    <w:rsid w:val="00C95016"/>
    <w:rsid w:val="00C95055"/>
    <w:rsid w:val="00C9527A"/>
    <w:rsid w:val="00C956C5"/>
    <w:rsid w:val="00C95B06"/>
    <w:rsid w:val="00C95F02"/>
    <w:rsid w:val="00C95FC3"/>
    <w:rsid w:val="00C961BF"/>
    <w:rsid w:val="00C96A22"/>
    <w:rsid w:val="00C96B49"/>
    <w:rsid w:val="00C96CE7"/>
    <w:rsid w:val="00C96E57"/>
    <w:rsid w:val="00C97486"/>
    <w:rsid w:val="00C97615"/>
    <w:rsid w:val="00C9762D"/>
    <w:rsid w:val="00C976B9"/>
    <w:rsid w:val="00C978D9"/>
    <w:rsid w:val="00C97900"/>
    <w:rsid w:val="00C9797C"/>
    <w:rsid w:val="00C97E65"/>
    <w:rsid w:val="00C97E73"/>
    <w:rsid w:val="00CA038A"/>
    <w:rsid w:val="00CA07ED"/>
    <w:rsid w:val="00CA1056"/>
    <w:rsid w:val="00CA1D61"/>
    <w:rsid w:val="00CA1EAA"/>
    <w:rsid w:val="00CA235B"/>
    <w:rsid w:val="00CA23F1"/>
    <w:rsid w:val="00CA243D"/>
    <w:rsid w:val="00CA24F9"/>
    <w:rsid w:val="00CA2674"/>
    <w:rsid w:val="00CA279B"/>
    <w:rsid w:val="00CA2893"/>
    <w:rsid w:val="00CA2BB3"/>
    <w:rsid w:val="00CA3079"/>
    <w:rsid w:val="00CA33D8"/>
    <w:rsid w:val="00CA349B"/>
    <w:rsid w:val="00CA35E4"/>
    <w:rsid w:val="00CA43E8"/>
    <w:rsid w:val="00CA454F"/>
    <w:rsid w:val="00CA46A2"/>
    <w:rsid w:val="00CA4744"/>
    <w:rsid w:val="00CA4C08"/>
    <w:rsid w:val="00CA4E21"/>
    <w:rsid w:val="00CA4F43"/>
    <w:rsid w:val="00CA56C9"/>
    <w:rsid w:val="00CA5BF4"/>
    <w:rsid w:val="00CA5CD4"/>
    <w:rsid w:val="00CA60FA"/>
    <w:rsid w:val="00CA6240"/>
    <w:rsid w:val="00CA644D"/>
    <w:rsid w:val="00CA64C2"/>
    <w:rsid w:val="00CA6650"/>
    <w:rsid w:val="00CA66C0"/>
    <w:rsid w:val="00CA672A"/>
    <w:rsid w:val="00CA693E"/>
    <w:rsid w:val="00CA7169"/>
    <w:rsid w:val="00CA7486"/>
    <w:rsid w:val="00CA77F1"/>
    <w:rsid w:val="00CA7C55"/>
    <w:rsid w:val="00CA7EA2"/>
    <w:rsid w:val="00CB0093"/>
    <w:rsid w:val="00CB0288"/>
    <w:rsid w:val="00CB05D3"/>
    <w:rsid w:val="00CB0623"/>
    <w:rsid w:val="00CB13D7"/>
    <w:rsid w:val="00CB14A8"/>
    <w:rsid w:val="00CB1EEC"/>
    <w:rsid w:val="00CB2CE5"/>
    <w:rsid w:val="00CB2EF7"/>
    <w:rsid w:val="00CB321C"/>
    <w:rsid w:val="00CB32D1"/>
    <w:rsid w:val="00CB3795"/>
    <w:rsid w:val="00CB43D0"/>
    <w:rsid w:val="00CB46D7"/>
    <w:rsid w:val="00CB4909"/>
    <w:rsid w:val="00CB4CFA"/>
    <w:rsid w:val="00CB4EA5"/>
    <w:rsid w:val="00CB4F70"/>
    <w:rsid w:val="00CB53E7"/>
    <w:rsid w:val="00CB5904"/>
    <w:rsid w:val="00CB5AF6"/>
    <w:rsid w:val="00CB5B12"/>
    <w:rsid w:val="00CB5C9E"/>
    <w:rsid w:val="00CB699B"/>
    <w:rsid w:val="00CB6B28"/>
    <w:rsid w:val="00CB6BD7"/>
    <w:rsid w:val="00CB74FD"/>
    <w:rsid w:val="00CC00B2"/>
    <w:rsid w:val="00CC040F"/>
    <w:rsid w:val="00CC0463"/>
    <w:rsid w:val="00CC051C"/>
    <w:rsid w:val="00CC052E"/>
    <w:rsid w:val="00CC07EA"/>
    <w:rsid w:val="00CC0C53"/>
    <w:rsid w:val="00CC0CD4"/>
    <w:rsid w:val="00CC0DC8"/>
    <w:rsid w:val="00CC0DFF"/>
    <w:rsid w:val="00CC0EC9"/>
    <w:rsid w:val="00CC12E7"/>
    <w:rsid w:val="00CC1672"/>
    <w:rsid w:val="00CC1A0B"/>
    <w:rsid w:val="00CC2528"/>
    <w:rsid w:val="00CC271F"/>
    <w:rsid w:val="00CC292E"/>
    <w:rsid w:val="00CC30EF"/>
    <w:rsid w:val="00CC357F"/>
    <w:rsid w:val="00CC363C"/>
    <w:rsid w:val="00CC380D"/>
    <w:rsid w:val="00CC5098"/>
    <w:rsid w:val="00CC53D1"/>
    <w:rsid w:val="00CC5644"/>
    <w:rsid w:val="00CC5759"/>
    <w:rsid w:val="00CC588C"/>
    <w:rsid w:val="00CC5B04"/>
    <w:rsid w:val="00CC657B"/>
    <w:rsid w:val="00CC6626"/>
    <w:rsid w:val="00CC6AF8"/>
    <w:rsid w:val="00CC70F4"/>
    <w:rsid w:val="00CC7279"/>
    <w:rsid w:val="00CC7838"/>
    <w:rsid w:val="00CC7947"/>
    <w:rsid w:val="00CC7CA3"/>
    <w:rsid w:val="00CD0445"/>
    <w:rsid w:val="00CD145C"/>
    <w:rsid w:val="00CD1589"/>
    <w:rsid w:val="00CD19F7"/>
    <w:rsid w:val="00CD28DB"/>
    <w:rsid w:val="00CD2C25"/>
    <w:rsid w:val="00CD2C88"/>
    <w:rsid w:val="00CD2DD4"/>
    <w:rsid w:val="00CD301C"/>
    <w:rsid w:val="00CD30BB"/>
    <w:rsid w:val="00CD37D4"/>
    <w:rsid w:val="00CD3AB0"/>
    <w:rsid w:val="00CD3F7E"/>
    <w:rsid w:val="00CD4BB5"/>
    <w:rsid w:val="00CD4F90"/>
    <w:rsid w:val="00CD56EA"/>
    <w:rsid w:val="00CD5816"/>
    <w:rsid w:val="00CD5D43"/>
    <w:rsid w:val="00CD6042"/>
    <w:rsid w:val="00CD6894"/>
    <w:rsid w:val="00CD6995"/>
    <w:rsid w:val="00CD6EB9"/>
    <w:rsid w:val="00CD707B"/>
    <w:rsid w:val="00CD7613"/>
    <w:rsid w:val="00CD764A"/>
    <w:rsid w:val="00CD779B"/>
    <w:rsid w:val="00CD7938"/>
    <w:rsid w:val="00CD79A0"/>
    <w:rsid w:val="00CD79C8"/>
    <w:rsid w:val="00CD7E18"/>
    <w:rsid w:val="00CE0341"/>
    <w:rsid w:val="00CE04FA"/>
    <w:rsid w:val="00CE0A77"/>
    <w:rsid w:val="00CE0B54"/>
    <w:rsid w:val="00CE0C92"/>
    <w:rsid w:val="00CE10FA"/>
    <w:rsid w:val="00CE14E8"/>
    <w:rsid w:val="00CE1C6E"/>
    <w:rsid w:val="00CE2301"/>
    <w:rsid w:val="00CE2872"/>
    <w:rsid w:val="00CE2E62"/>
    <w:rsid w:val="00CE2EE3"/>
    <w:rsid w:val="00CE30E6"/>
    <w:rsid w:val="00CE3650"/>
    <w:rsid w:val="00CE3C02"/>
    <w:rsid w:val="00CE3CC8"/>
    <w:rsid w:val="00CE3D64"/>
    <w:rsid w:val="00CE4071"/>
    <w:rsid w:val="00CE40C4"/>
    <w:rsid w:val="00CE4156"/>
    <w:rsid w:val="00CE44E6"/>
    <w:rsid w:val="00CE4924"/>
    <w:rsid w:val="00CE4C71"/>
    <w:rsid w:val="00CE5AB6"/>
    <w:rsid w:val="00CE63DB"/>
    <w:rsid w:val="00CE683D"/>
    <w:rsid w:val="00CE6C64"/>
    <w:rsid w:val="00CE6E40"/>
    <w:rsid w:val="00CE7064"/>
    <w:rsid w:val="00CE71F3"/>
    <w:rsid w:val="00CE751F"/>
    <w:rsid w:val="00CE7761"/>
    <w:rsid w:val="00CE7D28"/>
    <w:rsid w:val="00CF0248"/>
    <w:rsid w:val="00CF08C4"/>
    <w:rsid w:val="00CF0B3F"/>
    <w:rsid w:val="00CF0BBE"/>
    <w:rsid w:val="00CF0C83"/>
    <w:rsid w:val="00CF1109"/>
    <w:rsid w:val="00CF11D9"/>
    <w:rsid w:val="00CF1703"/>
    <w:rsid w:val="00CF1845"/>
    <w:rsid w:val="00CF1E5A"/>
    <w:rsid w:val="00CF1F6B"/>
    <w:rsid w:val="00CF29B0"/>
    <w:rsid w:val="00CF2DA3"/>
    <w:rsid w:val="00CF3338"/>
    <w:rsid w:val="00CF33DB"/>
    <w:rsid w:val="00CF4068"/>
    <w:rsid w:val="00CF42D4"/>
    <w:rsid w:val="00CF4620"/>
    <w:rsid w:val="00CF4913"/>
    <w:rsid w:val="00CF5173"/>
    <w:rsid w:val="00CF5611"/>
    <w:rsid w:val="00CF575A"/>
    <w:rsid w:val="00CF58CD"/>
    <w:rsid w:val="00CF60D5"/>
    <w:rsid w:val="00CF6363"/>
    <w:rsid w:val="00CF6395"/>
    <w:rsid w:val="00CF688A"/>
    <w:rsid w:val="00CF6907"/>
    <w:rsid w:val="00CF6E9F"/>
    <w:rsid w:val="00CF6FAE"/>
    <w:rsid w:val="00CF7225"/>
    <w:rsid w:val="00CF73A2"/>
    <w:rsid w:val="00CF74AC"/>
    <w:rsid w:val="00CF750A"/>
    <w:rsid w:val="00CF7556"/>
    <w:rsid w:val="00CF7593"/>
    <w:rsid w:val="00CF77FC"/>
    <w:rsid w:val="00CF78E9"/>
    <w:rsid w:val="00CF7E41"/>
    <w:rsid w:val="00CF7EB2"/>
    <w:rsid w:val="00D002F2"/>
    <w:rsid w:val="00D00A99"/>
    <w:rsid w:val="00D00E31"/>
    <w:rsid w:val="00D00F1B"/>
    <w:rsid w:val="00D01518"/>
    <w:rsid w:val="00D01CC7"/>
    <w:rsid w:val="00D020EE"/>
    <w:rsid w:val="00D022B7"/>
    <w:rsid w:val="00D02F02"/>
    <w:rsid w:val="00D03579"/>
    <w:rsid w:val="00D0363A"/>
    <w:rsid w:val="00D037D9"/>
    <w:rsid w:val="00D03B3A"/>
    <w:rsid w:val="00D041EE"/>
    <w:rsid w:val="00D049CB"/>
    <w:rsid w:val="00D05300"/>
    <w:rsid w:val="00D0540B"/>
    <w:rsid w:val="00D05652"/>
    <w:rsid w:val="00D05772"/>
    <w:rsid w:val="00D05E5A"/>
    <w:rsid w:val="00D06559"/>
    <w:rsid w:val="00D065D2"/>
    <w:rsid w:val="00D06D52"/>
    <w:rsid w:val="00D07477"/>
    <w:rsid w:val="00D0747D"/>
    <w:rsid w:val="00D07730"/>
    <w:rsid w:val="00D078F8"/>
    <w:rsid w:val="00D1000E"/>
    <w:rsid w:val="00D101EC"/>
    <w:rsid w:val="00D101F4"/>
    <w:rsid w:val="00D10942"/>
    <w:rsid w:val="00D10965"/>
    <w:rsid w:val="00D10EA2"/>
    <w:rsid w:val="00D125A5"/>
    <w:rsid w:val="00D125B8"/>
    <w:rsid w:val="00D126EF"/>
    <w:rsid w:val="00D12C2D"/>
    <w:rsid w:val="00D12D37"/>
    <w:rsid w:val="00D13061"/>
    <w:rsid w:val="00D13116"/>
    <w:rsid w:val="00D1315F"/>
    <w:rsid w:val="00D13185"/>
    <w:rsid w:val="00D131D5"/>
    <w:rsid w:val="00D132A3"/>
    <w:rsid w:val="00D13467"/>
    <w:rsid w:val="00D13612"/>
    <w:rsid w:val="00D1362C"/>
    <w:rsid w:val="00D13B9A"/>
    <w:rsid w:val="00D13CD9"/>
    <w:rsid w:val="00D13FB4"/>
    <w:rsid w:val="00D1430B"/>
    <w:rsid w:val="00D14499"/>
    <w:rsid w:val="00D1490E"/>
    <w:rsid w:val="00D14944"/>
    <w:rsid w:val="00D14BD4"/>
    <w:rsid w:val="00D14F79"/>
    <w:rsid w:val="00D15283"/>
    <w:rsid w:val="00D1531B"/>
    <w:rsid w:val="00D15E0D"/>
    <w:rsid w:val="00D1629F"/>
    <w:rsid w:val="00D16395"/>
    <w:rsid w:val="00D163AA"/>
    <w:rsid w:val="00D16A9D"/>
    <w:rsid w:val="00D16B8D"/>
    <w:rsid w:val="00D16F13"/>
    <w:rsid w:val="00D171CA"/>
    <w:rsid w:val="00D17684"/>
    <w:rsid w:val="00D178E1"/>
    <w:rsid w:val="00D17A39"/>
    <w:rsid w:val="00D17E56"/>
    <w:rsid w:val="00D17EBC"/>
    <w:rsid w:val="00D20D46"/>
    <w:rsid w:val="00D20FA6"/>
    <w:rsid w:val="00D2100D"/>
    <w:rsid w:val="00D21108"/>
    <w:rsid w:val="00D21618"/>
    <w:rsid w:val="00D21A10"/>
    <w:rsid w:val="00D21ADD"/>
    <w:rsid w:val="00D21FF8"/>
    <w:rsid w:val="00D22071"/>
    <w:rsid w:val="00D22239"/>
    <w:rsid w:val="00D22600"/>
    <w:rsid w:val="00D22CE0"/>
    <w:rsid w:val="00D22CE6"/>
    <w:rsid w:val="00D23062"/>
    <w:rsid w:val="00D232E6"/>
    <w:rsid w:val="00D234D8"/>
    <w:rsid w:val="00D23609"/>
    <w:rsid w:val="00D236EA"/>
    <w:rsid w:val="00D23DC3"/>
    <w:rsid w:val="00D23FCB"/>
    <w:rsid w:val="00D242CF"/>
    <w:rsid w:val="00D24893"/>
    <w:rsid w:val="00D248A3"/>
    <w:rsid w:val="00D248E8"/>
    <w:rsid w:val="00D24D5B"/>
    <w:rsid w:val="00D24EC8"/>
    <w:rsid w:val="00D25177"/>
    <w:rsid w:val="00D2527F"/>
    <w:rsid w:val="00D25412"/>
    <w:rsid w:val="00D25488"/>
    <w:rsid w:val="00D25D2E"/>
    <w:rsid w:val="00D25E83"/>
    <w:rsid w:val="00D25F56"/>
    <w:rsid w:val="00D26057"/>
    <w:rsid w:val="00D26183"/>
    <w:rsid w:val="00D261DD"/>
    <w:rsid w:val="00D263CD"/>
    <w:rsid w:val="00D2681F"/>
    <w:rsid w:val="00D2697D"/>
    <w:rsid w:val="00D269AD"/>
    <w:rsid w:val="00D26FC6"/>
    <w:rsid w:val="00D270B6"/>
    <w:rsid w:val="00D27309"/>
    <w:rsid w:val="00D274FF"/>
    <w:rsid w:val="00D27616"/>
    <w:rsid w:val="00D27BA6"/>
    <w:rsid w:val="00D27C4D"/>
    <w:rsid w:val="00D27C50"/>
    <w:rsid w:val="00D27DDA"/>
    <w:rsid w:val="00D27EBB"/>
    <w:rsid w:val="00D27EC6"/>
    <w:rsid w:val="00D30562"/>
    <w:rsid w:val="00D31105"/>
    <w:rsid w:val="00D31603"/>
    <w:rsid w:val="00D31E60"/>
    <w:rsid w:val="00D32A74"/>
    <w:rsid w:val="00D32B5B"/>
    <w:rsid w:val="00D32C27"/>
    <w:rsid w:val="00D32E7F"/>
    <w:rsid w:val="00D330ED"/>
    <w:rsid w:val="00D33206"/>
    <w:rsid w:val="00D33373"/>
    <w:rsid w:val="00D33551"/>
    <w:rsid w:val="00D3366A"/>
    <w:rsid w:val="00D336D3"/>
    <w:rsid w:val="00D33881"/>
    <w:rsid w:val="00D34119"/>
    <w:rsid w:val="00D3435F"/>
    <w:rsid w:val="00D343BD"/>
    <w:rsid w:val="00D34503"/>
    <w:rsid w:val="00D34610"/>
    <w:rsid w:val="00D349E1"/>
    <w:rsid w:val="00D34A84"/>
    <w:rsid w:val="00D3507D"/>
    <w:rsid w:val="00D35396"/>
    <w:rsid w:val="00D3555B"/>
    <w:rsid w:val="00D35633"/>
    <w:rsid w:val="00D35783"/>
    <w:rsid w:val="00D35AC6"/>
    <w:rsid w:val="00D35BC0"/>
    <w:rsid w:val="00D35C26"/>
    <w:rsid w:val="00D35E69"/>
    <w:rsid w:val="00D3606D"/>
    <w:rsid w:val="00D36487"/>
    <w:rsid w:val="00D3686B"/>
    <w:rsid w:val="00D36895"/>
    <w:rsid w:val="00D36CBB"/>
    <w:rsid w:val="00D36D5D"/>
    <w:rsid w:val="00D37786"/>
    <w:rsid w:val="00D37809"/>
    <w:rsid w:val="00D37961"/>
    <w:rsid w:val="00D37E3A"/>
    <w:rsid w:val="00D40090"/>
    <w:rsid w:val="00D401FE"/>
    <w:rsid w:val="00D4023D"/>
    <w:rsid w:val="00D40453"/>
    <w:rsid w:val="00D40476"/>
    <w:rsid w:val="00D40538"/>
    <w:rsid w:val="00D40C36"/>
    <w:rsid w:val="00D4100B"/>
    <w:rsid w:val="00D411D9"/>
    <w:rsid w:val="00D4141D"/>
    <w:rsid w:val="00D41E23"/>
    <w:rsid w:val="00D421F6"/>
    <w:rsid w:val="00D42500"/>
    <w:rsid w:val="00D42906"/>
    <w:rsid w:val="00D42C06"/>
    <w:rsid w:val="00D434BF"/>
    <w:rsid w:val="00D434C2"/>
    <w:rsid w:val="00D43756"/>
    <w:rsid w:val="00D4391A"/>
    <w:rsid w:val="00D439DD"/>
    <w:rsid w:val="00D43AE6"/>
    <w:rsid w:val="00D4406D"/>
    <w:rsid w:val="00D440A6"/>
    <w:rsid w:val="00D4417A"/>
    <w:rsid w:val="00D442A4"/>
    <w:rsid w:val="00D443E5"/>
    <w:rsid w:val="00D44610"/>
    <w:rsid w:val="00D44843"/>
    <w:rsid w:val="00D4501B"/>
    <w:rsid w:val="00D45113"/>
    <w:rsid w:val="00D453E7"/>
    <w:rsid w:val="00D45406"/>
    <w:rsid w:val="00D45430"/>
    <w:rsid w:val="00D456AB"/>
    <w:rsid w:val="00D45755"/>
    <w:rsid w:val="00D45E7E"/>
    <w:rsid w:val="00D460C7"/>
    <w:rsid w:val="00D46390"/>
    <w:rsid w:val="00D464B4"/>
    <w:rsid w:val="00D46598"/>
    <w:rsid w:val="00D46CD0"/>
    <w:rsid w:val="00D46E93"/>
    <w:rsid w:val="00D46FB2"/>
    <w:rsid w:val="00D4777D"/>
    <w:rsid w:val="00D501B2"/>
    <w:rsid w:val="00D501F3"/>
    <w:rsid w:val="00D5024E"/>
    <w:rsid w:val="00D5046C"/>
    <w:rsid w:val="00D504F3"/>
    <w:rsid w:val="00D50C13"/>
    <w:rsid w:val="00D50C1B"/>
    <w:rsid w:val="00D50DE7"/>
    <w:rsid w:val="00D50F4B"/>
    <w:rsid w:val="00D51117"/>
    <w:rsid w:val="00D513DC"/>
    <w:rsid w:val="00D51620"/>
    <w:rsid w:val="00D51C4B"/>
    <w:rsid w:val="00D51C66"/>
    <w:rsid w:val="00D52039"/>
    <w:rsid w:val="00D520FF"/>
    <w:rsid w:val="00D521A8"/>
    <w:rsid w:val="00D521BF"/>
    <w:rsid w:val="00D5244F"/>
    <w:rsid w:val="00D528AD"/>
    <w:rsid w:val="00D52AF9"/>
    <w:rsid w:val="00D52E68"/>
    <w:rsid w:val="00D530B0"/>
    <w:rsid w:val="00D53392"/>
    <w:rsid w:val="00D533FC"/>
    <w:rsid w:val="00D53469"/>
    <w:rsid w:val="00D5364C"/>
    <w:rsid w:val="00D536B8"/>
    <w:rsid w:val="00D5393C"/>
    <w:rsid w:val="00D54595"/>
    <w:rsid w:val="00D54929"/>
    <w:rsid w:val="00D54EA8"/>
    <w:rsid w:val="00D5512A"/>
    <w:rsid w:val="00D55521"/>
    <w:rsid w:val="00D555FB"/>
    <w:rsid w:val="00D5594C"/>
    <w:rsid w:val="00D5615C"/>
    <w:rsid w:val="00D56180"/>
    <w:rsid w:val="00D56363"/>
    <w:rsid w:val="00D569F1"/>
    <w:rsid w:val="00D56AA5"/>
    <w:rsid w:val="00D56D09"/>
    <w:rsid w:val="00D56E2E"/>
    <w:rsid w:val="00D56EAE"/>
    <w:rsid w:val="00D56F7B"/>
    <w:rsid w:val="00D5708F"/>
    <w:rsid w:val="00D57108"/>
    <w:rsid w:val="00D57125"/>
    <w:rsid w:val="00D571E8"/>
    <w:rsid w:val="00D571F7"/>
    <w:rsid w:val="00D57326"/>
    <w:rsid w:val="00D574C4"/>
    <w:rsid w:val="00D57763"/>
    <w:rsid w:val="00D57796"/>
    <w:rsid w:val="00D577B6"/>
    <w:rsid w:val="00D6003B"/>
    <w:rsid w:val="00D600D2"/>
    <w:rsid w:val="00D60345"/>
    <w:rsid w:val="00D6071B"/>
    <w:rsid w:val="00D607D1"/>
    <w:rsid w:val="00D6096C"/>
    <w:rsid w:val="00D609FD"/>
    <w:rsid w:val="00D60C3D"/>
    <w:rsid w:val="00D60E85"/>
    <w:rsid w:val="00D60EB7"/>
    <w:rsid w:val="00D6102D"/>
    <w:rsid w:val="00D6162A"/>
    <w:rsid w:val="00D61958"/>
    <w:rsid w:val="00D619C2"/>
    <w:rsid w:val="00D61C7D"/>
    <w:rsid w:val="00D61CFF"/>
    <w:rsid w:val="00D61DED"/>
    <w:rsid w:val="00D62384"/>
    <w:rsid w:val="00D623EF"/>
    <w:rsid w:val="00D62747"/>
    <w:rsid w:val="00D627A6"/>
    <w:rsid w:val="00D62A7D"/>
    <w:rsid w:val="00D63B56"/>
    <w:rsid w:val="00D63C68"/>
    <w:rsid w:val="00D64106"/>
    <w:rsid w:val="00D64542"/>
    <w:rsid w:val="00D6454A"/>
    <w:rsid w:val="00D64753"/>
    <w:rsid w:val="00D6490C"/>
    <w:rsid w:val="00D6537E"/>
    <w:rsid w:val="00D6567D"/>
    <w:rsid w:val="00D656D0"/>
    <w:rsid w:val="00D6570D"/>
    <w:rsid w:val="00D658CF"/>
    <w:rsid w:val="00D6590C"/>
    <w:rsid w:val="00D659BD"/>
    <w:rsid w:val="00D65D26"/>
    <w:rsid w:val="00D65D6C"/>
    <w:rsid w:val="00D65E0F"/>
    <w:rsid w:val="00D6620F"/>
    <w:rsid w:val="00D66498"/>
    <w:rsid w:val="00D6659F"/>
    <w:rsid w:val="00D665A8"/>
    <w:rsid w:val="00D667C5"/>
    <w:rsid w:val="00D6684B"/>
    <w:rsid w:val="00D6691F"/>
    <w:rsid w:val="00D67004"/>
    <w:rsid w:val="00D677B4"/>
    <w:rsid w:val="00D704F4"/>
    <w:rsid w:val="00D70C19"/>
    <w:rsid w:val="00D70E3C"/>
    <w:rsid w:val="00D71608"/>
    <w:rsid w:val="00D722C8"/>
    <w:rsid w:val="00D72D1B"/>
    <w:rsid w:val="00D73703"/>
    <w:rsid w:val="00D73A20"/>
    <w:rsid w:val="00D7402E"/>
    <w:rsid w:val="00D74A14"/>
    <w:rsid w:val="00D74BB5"/>
    <w:rsid w:val="00D74F99"/>
    <w:rsid w:val="00D75432"/>
    <w:rsid w:val="00D7582B"/>
    <w:rsid w:val="00D758AE"/>
    <w:rsid w:val="00D75FD5"/>
    <w:rsid w:val="00D7658F"/>
    <w:rsid w:val="00D7669B"/>
    <w:rsid w:val="00D7679D"/>
    <w:rsid w:val="00D76AE4"/>
    <w:rsid w:val="00D76B45"/>
    <w:rsid w:val="00D76B49"/>
    <w:rsid w:val="00D76C34"/>
    <w:rsid w:val="00D775DC"/>
    <w:rsid w:val="00D779D7"/>
    <w:rsid w:val="00D77D9B"/>
    <w:rsid w:val="00D80A28"/>
    <w:rsid w:val="00D80E0A"/>
    <w:rsid w:val="00D80EAD"/>
    <w:rsid w:val="00D81063"/>
    <w:rsid w:val="00D816A7"/>
    <w:rsid w:val="00D819FB"/>
    <w:rsid w:val="00D81DCB"/>
    <w:rsid w:val="00D81DD8"/>
    <w:rsid w:val="00D81E1D"/>
    <w:rsid w:val="00D81F8F"/>
    <w:rsid w:val="00D82F54"/>
    <w:rsid w:val="00D83300"/>
    <w:rsid w:val="00D8350C"/>
    <w:rsid w:val="00D8379F"/>
    <w:rsid w:val="00D83A43"/>
    <w:rsid w:val="00D8408B"/>
    <w:rsid w:val="00D8431F"/>
    <w:rsid w:val="00D847F3"/>
    <w:rsid w:val="00D84A7F"/>
    <w:rsid w:val="00D84D55"/>
    <w:rsid w:val="00D84DBE"/>
    <w:rsid w:val="00D8502C"/>
    <w:rsid w:val="00D854B5"/>
    <w:rsid w:val="00D854FF"/>
    <w:rsid w:val="00D857BC"/>
    <w:rsid w:val="00D858C3"/>
    <w:rsid w:val="00D85AB7"/>
    <w:rsid w:val="00D85C8A"/>
    <w:rsid w:val="00D85CC3"/>
    <w:rsid w:val="00D86082"/>
    <w:rsid w:val="00D86194"/>
    <w:rsid w:val="00D863C5"/>
    <w:rsid w:val="00D86C68"/>
    <w:rsid w:val="00D86DD9"/>
    <w:rsid w:val="00D87431"/>
    <w:rsid w:val="00D87A17"/>
    <w:rsid w:val="00D900FD"/>
    <w:rsid w:val="00D90404"/>
    <w:rsid w:val="00D9049A"/>
    <w:rsid w:val="00D90677"/>
    <w:rsid w:val="00D90968"/>
    <w:rsid w:val="00D9124E"/>
    <w:rsid w:val="00D91356"/>
    <w:rsid w:val="00D916E4"/>
    <w:rsid w:val="00D91765"/>
    <w:rsid w:val="00D9176F"/>
    <w:rsid w:val="00D91F61"/>
    <w:rsid w:val="00D92563"/>
    <w:rsid w:val="00D926B4"/>
    <w:rsid w:val="00D927D5"/>
    <w:rsid w:val="00D92B52"/>
    <w:rsid w:val="00D92C85"/>
    <w:rsid w:val="00D92E03"/>
    <w:rsid w:val="00D92FA2"/>
    <w:rsid w:val="00D9307D"/>
    <w:rsid w:val="00D93083"/>
    <w:rsid w:val="00D93396"/>
    <w:rsid w:val="00D940D4"/>
    <w:rsid w:val="00D9418D"/>
    <w:rsid w:val="00D941E2"/>
    <w:rsid w:val="00D941EE"/>
    <w:rsid w:val="00D94546"/>
    <w:rsid w:val="00D945EE"/>
    <w:rsid w:val="00D9472C"/>
    <w:rsid w:val="00D9494F"/>
    <w:rsid w:val="00D9523F"/>
    <w:rsid w:val="00D9568C"/>
    <w:rsid w:val="00D958D1"/>
    <w:rsid w:val="00D95F6D"/>
    <w:rsid w:val="00D9629C"/>
    <w:rsid w:val="00D96550"/>
    <w:rsid w:val="00D96837"/>
    <w:rsid w:val="00D96B9C"/>
    <w:rsid w:val="00D96CDD"/>
    <w:rsid w:val="00D97283"/>
    <w:rsid w:val="00D973B1"/>
    <w:rsid w:val="00D9753D"/>
    <w:rsid w:val="00D97569"/>
    <w:rsid w:val="00DA0562"/>
    <w:rsid w:val="00DA08F8"/>
    <w:rsid w:val="00DA0EB2"/>
    <w:rsid w:val="00DA13CA"/>
    <w:rsid w:val="00DA1983"/>
    <w:rsid w:val="00DA1AED"/>
    <w:rsid w:val="00DA1E18"/>
    <w:rsid w:val="00DA1F1E"/>
    <w:rsid w:val="00DA1FD0"/>
    <w:rsid w:val="00DA228E"/>
    <w:rsid w:val="00DA256A"/>
    <w:rsid w:val="00DA264D"/>
    <w:rsid w:val="00DA2830"/>
    <w:rsid w:val="00DA2F19"/>
    <w:rsid w:val="00DA304E"/>
    <w:rsid w:val="00DA3538"/>
    <w:rsid w:val="00DA39B5"/>
    <w:rsid w:val="00DA3E08"/>
    <w:rsid w:val="00DA4585"/>
    <w:rsid w:val="00DA523E"/>
    <w:rsid w:val="00DA6314"/>
    <w:rsid w:val="00DA637E"/>
    <w:rsid w:val="00DA66F4"/>
    <w:rsid w:val="00DA671A"/>
    <w:rsid w:val="00DA674D"/>
    <w:rsid w:val="00DA6A7C"/>
    <w:rsid w:val="00DA738A"/>
    <w:rsid w:val="00DA749B"/>
    <w:rsid w:val="00DA77AF"/>
    <w:rsid w:val="00DA7862"/>
    <w:rsid w:val="00DA79AC"/>
    <w:rsid w:val="00DA7B72"/>
    <w:rsid w:val="00DA7EA8"/>
    <w:rsid w:val="00DB0877"/>
    <w:rsid w:val="00DB13AC"/>
    <w:rsid w:val="00DB16F1"/>
    <w:rsid w:val="00DB1C50"/>
    <w:rsid w:val="00DB3083"/>
    <w:rsid w:val="00DB32FC"/>
    <w:rsid w:val="00DB3758"/>
    <w:rsid w:val="00DB37F1"/>
    <w:rsid w:val="00DB3908"/>
    <w:rsid w:val="00DB3A5A"/>
    <w:rsid w:val="00DB40BF"/>
    <w:rsid w:val="00DB4371"/>
    <w:rsid w:val="00DB4689"/>
    <w:rsid w:val="00DB48C1"/>
    <w:rsid w:val="00DB4959"/>
    <w:rsid w:val="00DB4CBD"/>
    <w:rsid w:val="00DB5338"/>
    <w:rsid w:val="00DB5487"/>
    <w:rsid w:val="00DB56A2"/>
    <w:rsid w:val="00DB5834"/>
    <w:rsid w:val="00DB58B9"/>
    <w:rsid w:val="00DB5AB4"/>
    <w:rsid w:val="00DB5D17"/>
    <w:rsid w:val="00DB5F44"/>
    <w:rsid w:val="00DB61E4"/>
    <w:rsid w:val="00DB6205"/>
    <w:rsid w:val="00DB6697"/>
    <w:rsid w:val="00DB690A"/>
    <w:rsid w:val="00DB6BA1"/>
    <w:rsid w:val="00DB6F06"/>
    <w:rsid w:val="00DB7321"/>
    <w:rsid w:val="00DB76F5"/>
    <w:rsid w:val="00DB7709"/>
    <w:rsid w:val="00DB7A2D"/>
    <w:rsid w:val="00DB7B60"/>
    <w:rsid w:val="00DB7B75"/>
    <w:rsid w:val="00DB7FBC"/>
    <w:rsid w:val="00DC001F"/>
    <w:rsid w:val="00DC02E4"/>
    <w:rsid w:val="00DC09C3"/>
    <w:rsid w:val="00DC0A9E"/>
    <w:rsid w:val="00DC0F89"/>
    <w:rsid w:val="00DC0FA9"/>
    <w:rsid w:val="00DC125B"/>
    <w:rsid w:val="00DC12C4"/>
    <w:rsid w:val="00DC148E"/>
    <w:rsid w:val="00DC1847"/>
    <w:rsid w:val="00DC1870"/>
    <w:rsid w:val="00DC188F"/>
    <w:rsid w:val="00DC2D9C"/>
    <w:rsid w:val="00DC2D9D"/>
    <w:rsid w:val="00DC3184"/>
    <w:rsid w:val="00DC3680"/>
    <w:rsid w:val="00DC368E"/>
    <w:rsid w:val="00DC37DD"/>
    <w:rsid w:val="00DC38EB"/>
    <w:rsid w:val="00DC3948"/>
    <w:rsid w:val="00DC39A6"/>
    <w:rsid w:val="00DC3C5D"/>
    <w:rsid w:val="00DC40F3"/>
    <w:rsid w:val="00DC4150"/>
    <w:rsid w:val="00DC42DC"/>
    <w:rsid w:val="00DC4599"/>
    <w:rsid w:val="00DC4AE2"/>
    <w:rsid w:val="00DC4EAD"/>
    <w:rsid w:val="00DC50C9"/>
    <w:rsid w:val="00DC52A7"/>
    <w:rsid w:val="00DC5518"/>
    <w:rsid w:val="00DC5589"/>
    <w:rsid w:val="00DC57E7"/>
    <w:rsid w:val="00DC5B02"/>
    <w:rsid w:val="00DC5FF9"/>
    <w:rsid w:val="00DC6024"/>
    <w:rsid w:val="00DC6546"/>
    <w:rsid w:val="00DC6665"/>
    <w:rsid w:val="00DC68A6"/>
    <w:rsid w:val="00DC6971"/>
    <w:rsid w:val="00DC6995"/>
    <w:rsid w:val="00DC6F44"/>
    <w:rsid w:val="00DC723A"/>
    <w:rsid w:val="00DC7326"/>
    <w:rsid w:val="00DC7598"/>
    <w:rsid w:val="00DC7689"/>
    <w:rsid w:val="00DC7817"/>
    <w:rsid w:val="00DC7881"/>
    <w:rsid w:val="00DC7BA4"/>
    <w:rsid w:val="00DC7C1A"/>
    <w:rsid w:val="00DC7C98"/>
    <w:rsid w:val="00DD0352"/>
    <w:rsid w:val="00DD04AE"/>
    <w:rsid w:val="00DD076D"/>
    <w:rsid w:val="00DD0C60"/>
    <w:rsid w:val="00DD156B"/>
    <w:rsid w:val="00DD175B"/>
    <w:rsid w:val="00DD1795"/>
    <w:rsid w:val="00DD1D94"/>
    <w:rsid w:val="00DD1DC9"/>
    <w:rsid w:val="00DD2202"/>
    <w:rsid w:val="00DD228E"/>
    <w:rsid w:val="00DD2534"/>
    <w:rsid w:val="00DD2767"/>
    <w:rsid w:val="00DD27B3"/>
    <w:rsid w:val="00DD2E4E"/>
    <w:rsid w:val="00DD30E6"/>
    <w:rsid w:val="00DD3567"/>
    <w:rsid w:val="00DD3621"/>
    <w:rsid w:val="00DD39D8"/>
    <w:rsid w:val="00DD3A96"/>
    <w:rsid w:val="00DD3C49"/>
    <w:rsid w:val="00DD3D4C"/>
    <w:rsid w:val="00DD467B"/>
    <w:rsid w:val="00DD481B"/>
    <w:rsid w:val="00DD4825"/>
    <w:rsid w:val="00DD4840"/>
    <w:rsid w:val="00DD4BB8"/>
    <w:rsid w:val="00DD4FA2"/>
    <w:rsid w:val="00DD4FE6"/>
    <w:rsid w:val="00DD5051"/>
    <w:rsid w:val="00DD5E42"/>
    <w:rsid w:val="00DD5FC5"/>
    <w:rsid w:val="00DD6099"/>
    <w:rsid w:val="00DD60D5"/>
    <w:rsid w:val="00DD63F7"/>
    <w:rsid w:val="00DD64B8"/>
    <w:rsid w:val="00DD689C"/>
    <w:rsid w:val="00DD6AC2"/>
    <w:rsid w:val="00DD6E54"/>
    <w:rsid w:val="00DD6F2F"/>
    <w:rsid w:val="00DD71F3"/>
    <w:rsid w:val="00DD7248"/>
    <w:rsid w:val="00DD798D"/>
    <w:rsid w:val="00DD7C17"/>
    <w:rsid w:val="00DE00EF"/>
    <w:rsid w:val="00DE047A"/>
    <w:rsid w:val="00DE0ABE"/>
    <w:rsid w:val="00DE135E"/>
    <w:rsid w:val="00DE144A"/>
    <w:rsid w:val="00DE166C"/>
    <w:rsid w:val="00DE1D85"/>
    <w:rsid w:val="00DE1FA7"/>
    <w:rsid w:val="00DE2571"/>
    <w:rsid w:val="00DE27A5"/>
    <w:rsid w:val="00DE2888"/>
    <w:rsid w:val="00DE2941"/>
    <w:rsid w:val="00DE30EF"/>
    <w:rsid w:val="00DE361E"/>
    <w:rsid w:val="00DE3B2D"/>
    <w:rsid w:val="00DE411E"/>
    <w:rsid w:val="00DE461B"/>
    <w:rsid w:val="00DE4B4D"/>
    <w:rsid w:val="00DE526B"/>
    <w:rsid w:val="00DE5878"/>
    <w:rsid w:val="00DE5F30"/>
    <w:rsid w:val="00DE6063"/>
    <w:rsid w:val="00DE6218"/>
    <w:rsid w:val="00DE6395"/>
    <w:rsid w:val="00DE6723"/>
    <w:rsid w:val="00DE6956"/>
    <w:rsid w:val="00DE6BA8"/>
    <w:rsid w:val="00DE6F31"/>
    <w:rsid w:val="00DE7585"/>
    <w:rsid w:val="00DE7BA5"/>
    <w:rsid w:val="00DE7C38"/>
    <w:rsid w:val="00DE7FA0"/>
    <w:rsid w:val="00DF03DA"/>
    <w:rsid w:val="00DF0946"/>
    <w:rsid w:val="00DF1095"/>
    <w:rsid w:val="00DF1330"/>
    <w:rsid w:val="00DF13CE"/>
    <w:rsid w:val="00DF19AE"/>
    <w:rsid w:val="00DF19BD"/>
    <w:rsid w:val="00DF19F6"/>
    <w:rsid w:val="00DF1C45"/>
    <w:rsid w:val="00DF1D87"/>
    <w:rsid w:val="00DF1E00"/>
    <w:rsid w:val="00DF1FFE"/>
    <w:rsid w:val="00DF2A76"/>
    <w:rsid w:val="00DF2BB4"/>
    <w:rsid w:val="00DF2D56"/>
    <w:rsid w:val="00DF2E0C"/>
    <w:rsid w:val="00DF2F35"/>
    <w:rsid w:val="00DF30DC"/>
    <w:rsid w:val="00DF3193"/>
    <w:rsid w:val="00DF394F"/>
    <w:rsid w:val="00DF3CEA"/>
    <w:rsid w:val="00DF3F15"/>
    <w:rsid w:val="00DF4212"/>
    <w:rsid w:val="00DF5674"/>
    <w:rsid w:val="00DF5741"/>
    <w:rsid w:val="00DF580B"/>
    <w:rsid w:val="00DF58BA"/>
    <w:rsid w:val="00DF5AD1"/>
    <w:rsid w:val="00DF5B87"/>
    <w:rsid w:val="00DF6207"/>
    <w:rsid w:val="00DF63FB"/>
    <w:rsid w:val="00DF66DA"/>
    <w:rsid w:val="00DF68D4"/>
    <w:rsid w:val="00DF6A56"/>
    <w:rsid w:val="00DF6B02"/>
    <w:rsid w:val="00DF6BA1"/>
    <w:rsid w:val="00DF70C7"/>
    <w:rsid w:val="00DF7D6C"/>
    <w:rsid w:val="00DF7D7E"/>
    <w:rsid w:val="00E005D9"/>
    <w:rsid w:val="00E006E0"/>
    <w:rsid w:val="00E008B4"/>
    <w:rsid w:val="00E00922"/>
    <w:rsid w:val="00E00A28"/>
    <w:rsid w:val="00E00C00"/>
    <w:rsid w:val="00E00D93"/>
    <w:rsid w:val="00E00E59"/>
    <w:rsid w:val="00E00F11"/>
    <w:rsid w:val="00E0135A"/>
    <w:rsid w:val="00E01AE3"/>
    <w:rsid w:val="00E01B82"/>
    <w:rsid w:val="00E01BED"/>
    <w:rsid w:val="00E01C08"/>
    <w:rsid w:val="00E01F90"/>
    <w:rsid w:val="00E020E2"/>
    <w:rsid w:val="00E0214B"/>
    <w:rsid w:val="00E02354"/>
    <w:rsid w:val="00E02504"/>
    <w:rsid w:val="00E028A4"/>
    <w:rsid w:val="00E029A6"/>
    <w:rsid w:val="00E03150"/>
    <w:rsid w:val="00E0343D"/>
    <w:rsid w:val="00E03459"/>
    <w:rsid w:val="00E038DC"/>
    <w:rsid w:val="00E03A0E"/>
    <w:rsid w:val="00E0460A"/>
    <w:rsid w:val="00E04663"/>
    <w:rsid w:val="00E04704"/>
    <w:rsid w:val="00E04F83"/>
    <w:rsid w:val="00E05137"/>
    <w:rsid w:val="00E0542B"/>
    <w:rsid w:val="00E054E2"/>
    <w:rsid w:val="00E056D9"/>
    <w:rsid w:val="00E05FA1"/>
    <w:rsid w:val="00E060A5"/>
    <w:rsid w:val="00E06216"/>
    <w:rsid w:val="00E06CE5"/>
    <w:rsid w:val="00E06FC2"/>
    <w:rsid w:val="00E070B8"/>
    <w:rsid w:val="00E0719B"/>
    <w:rsid w:val="00E0797F"/>
    <w:rsid w:val="00E07E1A"/>
    <w:rsid w:val="00E101ED"/>
    <w:rsid w:val="00E103EC"/>
    <w:rsid w:val="00E1100D"/>
    <w:rsid w:val="00E11079"/>
    <w:rsid w:val="00E11277"/>
    <w:rsid w:val="00E112A8"/>
    <w:rsid w:val="00E11A2A"/>
    <w:rsid w:val="00E11B16"/>
    <w:rsid w:val="00E11C0D"/>
    <w:rsid w:val="00E1238F"/>
    <w:rsid w:val="00E12868"/>
    <w:rsid w:val="00E129CB"/>
    <w:rsid w:val="00E12A00"/>
    <w:rsid w:val="00E12C69"/>
    <w:rsid w:val="00E1313F"/>
    <w:rsid w:val="00E1320F"/>
    <w:rsid w:val="00E137CD"/>
    <w:rsid w:val="00E13A97"/>
    <w:rsid w:val="00E140B8"/>
    <w:rsid w:val="00E14141"/>
    <w:rsid w:val="00E141E9"/>
    <w:rsid w:val="00E14BE3"/>
    <w:rsid w:val="00E14D91"/>
    <w:rsid w:val="00E14E2A"/>
    <w:rsid w:val="00E1533F"/>
    <w:rsid w:val="00E1540E"/>
    <w:rsid w:val="00E1547D"/>
    <w:rsid w:val="00E1594A"/>
    <w:rsid w:val="00E15986"/>
    <w:rsid w:val="00E15C7C"/>
    <w:rsid w:val="00E15D01"/>
    <w:rsid w:val="00E1659F"/>
    <w:rsid w:val="00E1660D"/>
    <w:rsid w:val="00E169E5"/>
    <w:rsid w:val="00E16D15"/>
    <w:rsid w:val="00E17085"/>
    <w:rsid w:val="00E171B6"/>
    <w:rsid w:val="00E1722C"/>
    <w:rsid w:val="00E17BCD"/>
    <w:rsid w:val="00E20B98"/>
    <w:rsid w:val="00E20E65"/>
    <w:rsid w:val="00E20F64"/>
    <w:rsid w:val="00E212D6"/>
    <w:rsid w:val="00E215EC"/>
    <w:rsid w:val="00E21EB5"/>
    <w:rsid w:val="00E21FBC"/>
    <w:rsid w:val="00E22526"/>
    <w:rsid w:val="00E233DB"/>
    <w:rsid w:val="00E23722"/>
    <w:rsid w:val="00E23CBF"/>
    <w:rsid w:val="00E23CFC"/>
    <w:rsid w:val="00E24723"/>
    <w:rsid w:val="00E2485A"/>
    <w:rsid w:val="00E24889"/>
    <w:rsid w:val="00E248D0"/>
    <w:rsid w:val="00E24D6A"/>
    <w:rsid w:val="00E24E5D"/>
    <w:rsid w:val="00E25421"/>
    <w:rsid w:val="00E2557C"/>
    <w:rsid w:val="00E2560D"/>
    <w:rsid w:val="00E25647"/>
    <w:rsid w:val="00E25938"/>
    <w:rsid w:val="00E25F5A"/>
    <w:rsid w:val="00E26373"/>
    <w:rsid w:val="00E266DB"/>
    <w:rsid w:val="00E26969"/>
    <w:rsid w:val="00E26A4B"/>
    <w:rsid w:val="00E26D5A"/>
    <w:rsid w:val="00E27032"/>
    <w:rsid w:val="00E27250"/>
    <w:rsid w:val="00E27477"/>
    <w:rsid w:val="00E2759E"/>
    <w:rsid w:val="00E27630"/>
    <w:rsid w:val="00E27C07"/>
    <w:rsid w:val="00E27DE7"/>
    <w:rsid w:val="00E30124"/>
    <w:rsid w:val="00E30219"/>
    <w:rsid w:val="00E3043E"/>
    <w:rsid w:val="00E304FF"/>
    <w:rsid w:val="00E30ABB"/>
    <w:rsid w:val="00E30C0E"/>
    <w:rsid w:val="00E30D70"/>
    <w:rsid w:val="00E30DCA"/>
    <w:rsid w:val="00E30EE1"/>
    <w:rsid w:val="00E311FB"/>
    <w:rsid w:val="00E312B4"/>
    <w:rsid w:val="00E318C1"/>
    <w:rsid w:val="00E31AB8"/>
    <w:rsid w:val="00E31BD0"/>
    <w:rsid w:val="00E31BDB"/>
    <w:rsid w:val="00E31CA3"/>
    <w:rsid w:val="00E31D87"/>
    <w:rsid w:val="00E31DAC"/>
    <w:rsid w:val="00E32137"/>
    <w:rsid w:val="00E3214F"/>
    <w:rsid w:val="00E322F3"/>
    <w:rsid w:val="00E324F1"/>
    <w:rsid w:val="00E3270A"/>
    <w:rsid w:val="00E32783"/>
    <w:rsid w:val="00E3284A"/>
    <w:rsid w:val="00E3290E"/>
    <w:rsid w:val="00E32A38"/>
    <w:rsid w:val="00E32B53"/>
    <w:rsid w:val="00E32BDF"/>
    <w:rsid w:val="00E32DDF"/>
    <w:rsid w:val="00E334DB"/>
    <w:rsid w:val="00E3371C"/>
    <w:rsid w:val="00E33CAA"/>
    <w:rsid w:val="00E33EAE"/>
    <w:rsid w:val="00E3416B"/>
    <w:rsid w:val="00E341B6"/>
    <w:rsid w:val="00E34DC7"/>
    <w:rsid w:val="00E34FBF"/>
    <w:rsid w:val="00E3504B"/>
    <w:rsid w:val="00E35122"/>
    <w:rsid w:val="00E3513F"/>
    <w:rsid w:val="00E3522A"/>
    <w:rsid w:val="00E35654"/>
    <w:rsid w:val="00E3566F"/>
    <w:rsid w:val="00E3578A"/>
    <w:rsid w:val="00E35986"/>
    <w:rsid w:val="00E35ED8"/>
    <w:rsid w:val="00E3605F"/>
    <w:rsid w:val="00E3613B"/>
    <w:rsid w:val="00E3633B"/>
    <w:rsid w:val="00E36383"/>
    <w:rsid w:val="00E364EE"/>
    <w:rsid w:val="00E36730"/>
    <w:rsid w:val="00E367C3"/>
    <w:rsid w:val="00E369E7"/>
    <w:rsid w:val="00E36C8B"/>
    <w:rsid w:val="00E36D9E"/>
    <w:rsid w:val="00E37197"/>
    <w:rsid w:val="00E372A0"/>
    <w:rsid w:val="00E37311"/>
    <w:rsid w:val="00E374A5"/>
    <w:rsid w:val="00E402A9"/>
    <w:rsid w:val="00E4056E"/>
    <w:rsid w:val="00E409F7"/>
    <w:rsid w:val="00E40BFF"/>
    <w:rsid w:val="00E40FCE"/>
    <w:rsid w:val="00E4154A"/>
    <w:rsid w:val="00E4158C"/>
    <w:rsid w:val="00E41B09"/>
    <w:rsid w:val="00E41BFF"/>
    <w:rsid w:val="00E41D74"/>
    <w:rsid w:val="00E41E5F"/>
    <w:rsid w:val="00E41F91"/>
    <w:rsid w:val="00E426C2"/>
    <w:rsid w:val="00E42A77"/>
    <w:rsid w:val="00E42BC7"/>
    <w:rsid w:val="00E43437"/>
    <w:rsid w:val="00E436D2"/>
    <w:rsid w:val="00E43B3C"/>
    <w:rsid w:val="00E43CB3"/>
    <w:rsid w:val="00E43CF8"/>
    <w:rsid w:val="00E44526"/>
    <w:rsid w:val="00E44672"/>
    <w:rsid w:val="00E44848"/>
    <w:rsid w:val="00E4499C"/>
    <w:rsid w:val="00E44BCE"/>
    <w:rsid w:val="00E44EC4"/>
    <w:rsid w:val="00E4528F"/>
    <w:rsid w:val="00E4563A"/>
    <w:rsid w:val="00E45730"/>
    <w:rsid w:val="00E458D1"/>
    <w:rsid w:val="00E459E3"/>
    <w:rsid w:val="00E45DD7"/>
    <w:rsid w:val="00E45E78"/>
    <w:rsid w:val="00E460AE"/>
    <w:rsid w:val="00E464D3"/>
    <w:rsid w:val="00E46B0D"/>
    <w:rsid w:val="00E46C76"/>
    <w:rsid w:val="00E46D26"/>
    <w:rsid w:val="00E47199"/>
    <w:rsid w:val="00E473A5"/>
    <w:rsid w:val="00E475FB"/>
    <w:rsid w:val="00E4774F"/>
    <w:rsid w:val="00E47B67"/>
    <w:rsid w:val="00E50484"/>
    <w:rsid w:val="00E50698"/>
    <w:rsid w:val="00E50794"/>
    <w:rsid w:val="00E50BD2"/>
    <w:rsid w:val="00E50DC1"/>
    <w:rsid w:val="00E515A9"/>
    <w:rsid w:val="00E51EE4"/>
    <w:rsid w:val="00E5209D"/>
    <w:rsid w:val="00E526D7"/>
    <w:rsid w:val="00E5284D"/>
    <w:rsid w:val="00E52ADB"/>
    <w:rsid w:val="00E52EA5"/>
    <w:rsid w:val="00E5368D"/>
    <w:rsid w:val="00E540D1"/>
    <w:rsid w:val="00E54227"/>
    <w:rsid w:val="00E54444"/>
    <w:rsid w:val="00E5450E"/>
    <w:rsid w:val="00E54700"/>
    <w:rsid w:val="00E547B8"/>
    <w:rsid w:val="00E54FE6"/>
    <w:rsid w:val="00E55089"/>
    <w:rsid w:val="00E55366"/>
    <w:rsid w:val="00E55769"/>
    <w:rsid w:val="00E55AA5"/>
    <w:rsid w:val="00E55EC8"/>
    <w:rsid w:val="00E564E8"/>
    <w:rsid w:val="00E565DB"/>
    <w:rsid w:val="00E56EA2"/>
    <w:rsid w:val="00E56FFB"/>
    <w:rsid w:val="00E5719E"/>
    <w:rsid w:val="00E571E8"/>
    <w:rsid w:val="00E5735C"/>
    <w:rsid w:val="00E57A01"/>
    <w:rsid w:val="00E57CD6"/>
    <w:rsid w:val="00E57EA3"/>
    <w:rsid w:val="00E60795"/>
    <w:rsid w:val="00E60C50"/>
    <w:rsid w:val="00E60E24"/>
    <w:rsid w:val="00E61063"/>
    <w:rsid w:val="00E6117B"/>
    <w:rsid w:val="00E6122A"/>
    <w:rsid w:val="00E612F8"/>
    <w:rsid w:val="00E6145F"/>
    <w:rsid w:val="00E61A3C"/>
    <w:rsid w:val="00E61B10"/>
    <w:rsid w:val="00E620C5"/>
    <w:rsid w:val="00E62B4B"/>
    <w:rsid w:val="00E62F98"/>
    <w:rsid w:val="00E62FB6"/>
    <w:rsid w:val="00E631BB"/>
    <w:rsid w:val="00E633EA"/>
    <w:rsid w:val="00E63A53"/>
    <w:rsid w:val="00E63B8A"/>
    <w:rsid w:val="00E63ED5"/>
    <w:rsid w:val="00E63F0F"/>
    <w:rsid w:val="00E643D1"/>
    <w:rsid w:val="00E64820"/>
    <w:rsid w:val="00E6498F"/>
    <w:rsid w:val="00E64DBF"/>
    <w:rsid w:val="00E65098"/>
    <w:rsid w:val="00E65485"/>
    <w:rsid w:val="00E65802"/>
    <w:rsid w:val="00E65A81"/>
    <w:rsid w:val="00E65CCA"/>
    <w:rsid w:val="00E65D55"/>
    <w:rsid w:val="00E65DFB"/>
    <w:rsid w:val="00E6620D"/>
    <w:rsid w:val="00E66362"/>
    <w:rsid w:val="00E664DB"/>
    <w:rsid w:val="00E66889"/>
    <w:rsid w:val="00E668C7"/>
    <w:rsid w:val="00E669BF"/>
    <w:rsid w:val="00E66A08"/>
    <w:rsid w:val="00E66C25"/>
    <w:rsid w:val="00E67055"/>
    <w:rsid w:val="00E672BE"/>
    <w:rsid w:val="00E678F7"/>
    <w:rsid w:val="00E67F04"/>
    <w:rsid w:val="00E703B1"/>
    <w:rsid w:val="00E7053E"/>
    <w:rsid w:val="00E707BE"/>
    <w:rsid w:val="00E709A8"/>
    <w:rsid w:val="00E71077"/>
    <w:rsid w:val="00E71769"/>
    <w:rsid w:val="00E71782"/>
    <w:rsid w:val="00E71B31"/>
    <w:rsid w:val="00E71FDF"/>
    <w:rsid w:val="00E72599"/>
    <w:rsid w:val="00E726FE"/>
    <w:rsid w:val="00E72884"/>
    <w:rsid w:val="00E72F7C"/>
    <w:rsid w:val="00E7304D"/>
    <w:rsid w:val="00E7319D"/>
    <w:rsid w:val="00E734EE"/>
    <w:rsid w:val="00E73CBB"/>
    <w:rsid w:val="00E74094"/>
    <w:rsid w:val="00E74594"/>
    <w:rsid w:val="00E746B3"/>
    <w:rsid w:val="00E74917"/>
    <w:rsid w:val="00E74BB8"/>
    <w:rsid w:val="00E74D24"/>
    <w:rsid w:val="00E74D2C"/>
    <w:rsid w:val="00E74F28"/>
    <w:rsid w:val="00E75003"/>
    <w:rsid w:val="00E75188"/>
    <w:rsid w:val="00E7569C"/>
    <w:rsid w:val="00E759C1"/>
    <w:rsid w:val="00E75B0E"/>
    <w:rsid w:val="00E75D9D"/>
    <w:rsid w:val="00E75DF6"/>
    <w:rsid w:val="00E760E8"/>
    <w:rsid w:val="00E7627B"/>
    <w:rsid w:val="00E7678A"/>
    <w:rsid w:val="00E767BD"/>
    <w:rsid w:val="00E76895"/>
    <w:rsid w:val="00E76B0E"/>
    <w:rsid w:val="00E7710F"/>
    <w:rsid w:val="00E77521"/>
    <w:rsid w:val="00E7783D"/>
    <w:rsid w:val="00E779AD"/>
    <w:rsid w:val="00E77CB8"/>
    <w:rsid w:val="00E77D40"/>
    <w:rsid w:val="00E8000B"/>
    <w:rsid w:val="00E8007D"/>
    <w:rsid w:val="00E8092F"/>
    <w:rsid w:val="00E80A7E"/>
    <w:rsid w:val="00E810CA"/>
    <w:rsid w:val="00E81119"/>
    <w:rsid w:val="00E81270"/>
    <w:rsid w:val="00E814D0"/>
    <w:rsid w:val="00E81B6E"/>
    <w:rsid w:val="00E81DB1"/>
    <w:rsid w:val="00E81E96"/>
    <w:rsid w:val="00E81F5D"/>
    <w:rsid w:val="00E826A8"/>
    <w:rsid w:val="00E828A2"/>
    <w:rsid w:val="00E82D58"/>
    <w:rsid w:val="00E83476"/>
    <w:rsid w:val="00E83478"/>
    <w:rsid w:val="00E837B8"/>
    <w:rsid w:val="00E83847"/>
    <w:rsid w:val="00E838B5"/>
    <w:rsid w:val="00E83991"/>
    <w:rsid w:val="00E83EBB"/>
    <w:rsid w:val="00E83F48"/>
    <w:rsid w:val="00E840CE"/>
    <w:rsid w:val="00E84144"/>
    <w:rsid w:val="00E8441B"/>
    <w:rsid w:val="00E8458B"/>
    <w:rsid w:val="00E850F0"/>
    <w:rsid w:val="00E85443"/>
    <w:rsid w:val="00E85746"/>
    <w:rsid w:val="00E85814"/>
    <w:rsid w:val="00E85AF8"/>
    <w:rsid w:val="00E860CA"/>
    <w:rsid w:val="00E8623D"/>
    <w:rsid w:val="00E866DD"/>
    <w:rsid w:val="00E86BCB"/>
    <w:rsid w:val="00E870C3"/>
    <w:rsid w:val="00E87173"/>
    <w:rsid w:val="00E872BA"/>
    <w:rsid w:val="00E873F5"/>
    <w:rsid w:val="00E87CC3"/>
    <w:rsid w:val="00E90249"/>
    <w:rsid w:val="00E90310"/>
    <w:rsid w:val="00E907CC"/>
    <w:rsid w:val="00E90CB5"/>
    <w:rsid w:val="00E90D09"/>
    <w:rsid w:val="00E90DCC"/>
    <w:rsid w:val="00E90E39"/>
    <w:rsid w:val="00E9100C"/>
    <w:rsid w:val="00E9120A"/>
    <w:rsid w:val="00E912CD"/>
    <w:rsid w:val="00E9140F"/>
    <w:rsid w:val="00E919BB"/>
    <w:rsid w:val="00E91B4E"/>
    <w:rsid w:val="00E921E6"/>
    <w:rsid w:val="00E9249F"/>
    <w:rsid w:val="00E92835"/>
    <w:rsid w:val="00E92B91"/>
    <w:rsid w:val="00E92C14"/>
    <w:rsid w:val="00E930F6"/>
    <w:rsid w:val="00E93498"/>
    <w:rsid w:val="00E935E0"/>
    <w:rsid w:val="00E93C5F"/>
    <w:rsid w:val="00E93CBF"/>
    <w:rsid w:val="00E9411A"/>
    <w:rsid w:val="00E941C4"/>
    <w:rsid w:val="00E94A92"/>
    <w:rsid w:val="00E94AEF"/>
    <w:rsid w:val="00E94D91"/>
    <w:rsid w:val="00E94DBA"/>
    <w:rsid w:val="00E952F1"/>
    <w:rsid w:val="00E9579E"/>
    <w:rsid w:val="00E95A03"/>
    <w:rsid w:val="00E95D4D"/>
    <w:rsid w:val="00E9602D"/>
    <w:rsid w:val="00E9611A"/>
    <w:rsid w:val="00E96160"/>
    <w:rsid w:val="00E96373"/>
    <w:rsid w:val="00E96390"/>
    <w:rsid w:val="00E96D12"/>
    <w:rsid w:val="00E97A1D"/>
    <w:rsid w:val="00EA0934"/>
    <w:rsid w:val="00EA0B4B"/>
    <w:rsid w:val="00EA1533"/>
    <w:rsid w:val="00EA1A64"/>
    <w:rsid w:val="00EA1CEF"/>
    <w:rsid w:val="00EA2101"/>
    <w:rsid w:val="00EA2534"/>
    <w:rsid w:val="00EA270B"/>
    <w:rsid w:val="00EA28AA"/>
    <w:rsid w:val="00EA28F8"/>
    <w:rsid w:val="00EA29FD"/>
    <w:rsid w:val="00EA2C3E"/>
    <w:rsid w:val="00EA2C5B"/>
    <w:rsid w:val="00EA2C75"/>
    <w:rsid w:val="00EA3089"/>
    <w:rsid w:val="00EA337D"/>
    <w:rsid w:val="00EA33D4"/>
    <w:rsid w:val="00EA3443"/>
    <w:rsid w:val="00EA3BA2"/>
    <w:rsid w:val="00EA4101"/>
    <w:rsid w:val="00EA4221"/>
    <w:rsid w:val="00EA4763"/>
    <w:rsid w:val="00EA48DF"/>
    <w:rsid w:val="00EA4995"/>
    <w:rsid w:val="00EA4C48"/>
    <w:rsid w:val="00EA4D1A"/>
    <w:rsid w:val="00EA4D8A"/>
    <w:rsid w:val="00EA4EF7"/>
    <w:rsid w:val="00EA50EB"/>
    <w:rsid w:val="00EA5263"/>
    <w:rsid w:val="00EA5A87"/>
    <w:rsid w:val="00EA6386"/>
    <w:rsid w:val="00EA6694"/>
    <w:rsid w:val="00EA6C3F"/>
    <w:rsid w:val="00EA6E07"/>
    <w:rsid w:val="00EA6F5E"/>
    <w:rsid w:val="00EA710A"/>
    <w:rsid w:val="00EA718F"/>
    <w:rsid w:val="00EA7A45"/>
    <w:rsid w:val="00EA7ACE"/>
    <w:rsid w:val="00EB0830"/>
    <w:rsid w:val="00EB08F4"/>
    <w:rsid w:val="00EB09B1"/>
    <w:rsid w:val="00EB0AD7"/>
    <w:rsid w:val="00EB0C9E"/>
    <w:rsid w:val="00EB157E"/>
    <w:rsid w:val="00EB1F99"/>
    <w:rsid w:val="00EB2138"/>
    <w:rsid w:val="00EB23D3"/>
    <w:rsid w:val="00EB262D"/>
    <w:rsid w:val="00EB2656"/>
    <w:rsid w:val="00EB299A"/>
    <w:rsid w:val="00EB2A8D"/>
    <w:rsid w:val="00EB2BCD"/>
    <w:rsid w:val="00EB2E7C"/>
    <w:rsid w:val="00EB2EDF"/>
    <w:rsid w:val="00EB2F51"/>
    <w:rsid w:val="00EB3485"/>
    <w:rsid w:val="00EB3D46"/>
    <w:rsid w:val="00EB3DE4"/>
    <w:rsid w:val="00EB417B"/>
    <w:rsid w:val="00EB42B6"/>
    <w:rsid w:val="00EB4382"/>
    <w:rsid w:val="00EB444D"/>
    <w:rsid w:val="00EB4459"/>
    <w:rsid w:val="00EB5087"/>
    <w:rsid w:val="00EB54AC"/>
    <w:rsid w:val="00EB55CB"/>
    <w:rsid w:val="00EB5925"/>
    <w:rsid w:val="00EB5986"/>
    <w:rsid w:val="00EB5DEE"/>
    <w:rsid w:val="00EB5F2B"/>
    <w:rsid w:val="00EB6092"/>
    <w:rsid w:val="00EB60FC"/>
    <w:rsid w:val="00EB62A7"/>
    <w:rsid w:val="00EB65E5"/>
    <w:rsid w:val="00EB6B47"/>
    <w:rsid w:val="00EB6E17"/>
    <w:rsid w:val="00EB6F91"/>
    <w:rsid w:val="00EB7409"/>
    <w:rsid w:val="00EB74D8"/>
    <w:rsid w:val="00EB7902"/>
    <w:rsid w:val="00EB7CBC"/>
    <w:rsid w:val="00EB7E3A"/>
    <w:rsid w:val="00EC00B1"/>
    <w:rsid w:val="00EC011F"/>
    <w:rsid w:val="00EC042E"/>
    <w:rsid w:val="00EC04B4"/>
    <w:rsid w:val="00EC0948"/>
    <w:rsid w:val="00EC0C2D"/>
    <w:rsid w:val="00EC0FED"/>
    <w:rsid w:val="00EC1222"/>
    <w:rsid w:val="00EC1229"/>
    <w:rsid w:val="00EC16A9"/>
    <w:rsid w:val="00EC1B1C"/>
    <w:rsid w:val="00EC205B"/>
    <w:rsid w:val="00EC2BBB"/>
    <w:rsid w:val="00EC319D"/>
    <w:rsid w:val="00EC3419"/>
    <w:rsid w:val="00EC390D"/>
    <w:rsid w:val="00EC3968"/>
    <w:rsid w:val="00EC3A7C"/>
    <w:rsid w:val="00EC4029"/>
    <w:rsid w:val="00EC44DA"/>
    <w:rsid w:val="00EC498D"/>
    <w:rsid w:val="00EC4A28"/>
    <w:rsid w:val="00EC508C"/>
    <w:rsid w:val="00EC50EC"/>
    <w:rsid w:val="00EC57E0"/>
    <w:rsid w:val="00EC57ED"/>
    <w:rsid w:val="00EC5A71"/>
    <w:rsid w:val="00EC5A7C"/>
    <w:rsid w:val="00EC5B0E"/>
    <w:rsid w:val="00EC5CBB"/>
    <w:rsid w:val="00EC5EAE"/>
    <w:rsid w:val="00EC65DE"/>
    <w:rsid w:val="00EC66F1"/>
    <w:rsid w:val="00EC6B47"/>
    <w:rsid w:val="00EC6E0E"/>
    <w:rsid w:val="00EC6ECF"/>
    <w:rsid w:val="00EC6FB5"/>
    <w:rsid w:val="00EC716F"/>
    <w:rsid w:val="00EC737E"/>
    <w:rsid w:val="00EC73EA"/>
    <w:rsid w:val="00EC73EE"/>
    <w:rsid w:val="00EC7893"/>
    <w:rsid w:val="00EC7C6C"/>
    <w:rsid w:val="00ED0861"/>
    <w:rsid w:val="00ED1003"/>
    <w:rsid w:val="00ED14EF"/>
    <w:rsid w:val="00ED164E"/>
    <w:rsid w:val="00ED1716"/>
    <w:rsid w:val="00ED1818"/>
    <w:rsid w:val="00ED19E9"/>
    <w:rsid w:val="00ED19FD"/>
    <w:rsid w:val="00ED1E27"/>
    <w:rsid w:val="00ED211B"/>
    <w:rsid w:val="00ED21FF"/>
    <w:rsid w:val="00ED246E"/>
    <w:rsid w:val="00ED2520"/>
    <w:rsid w:val="00ED2984"/>
    <w:rsid w:val="00ED2CD4"/>
    <w:rsid w:val="00ED30BC"/>
    <w:rsid w:val="00ED3317"/>
    <w:rsid w:val="00ED3786"/>
    <w:rsid w:val="00ED4046"/>
    <w:rsid w:val="00ED4272"/>
    <w:rsid w:val="00ED469C"/>
    <w:rsid w:val="00ED4762"/>
    <w:rsid w:val="00ED4926"/>
    <w:rsid w:val="00ED4A6C"/>
    <w:rsid w:val="00ED4BE5"/>
    <w:rsid w:val="00ED4E19"/>
    <w:rsid w:val="00ED5179"/>
    <w:rsid w:val="00ED5CBC"/>
    <w:rsid w:val="00ED5CD4"/>
    <w:rsid w:val="00ED62C8"/>
    <w:rsid w:val="00ED6404"/>
    <w:rsid w:val="00ED64E7"/>
    <w:rsid w:val="00ED65D8"/>
    <w:rsid w:val="00ED686D"/>
    <w:rsid w:val="00ED68D2"/>
    <w:rsid w:val="00ED69A7"/>
    <w:rsid w:val="00ED6D2F"/>
    <w:rsid w:val="00ED7E9B"/>
    <w:rsid w:val="00EE09CF"/>
    <w:rsid w:val="00EE0B24"/>
    <w:rsid w:val="00EE0E77"/>
    <w:rsid w:val="00EE103E"/>
    <w:rsid w:val="00EE12A2"/>
    <w:rsid w:val="00EE1616"/>
    <w:rsid w:val="00EE1624"/>
    <w:rsid w:val="00EE19E2"/>
    <w:rsid w:val="00EE1BE6"/>
    <w:rsid w:val="00EE21FC"/>
    <w:rsid w:val="00EE234F"/>
    <w:rsid w:val="00EE2D47"/>
    <w:rsid w:val="00EE2DCE"/>
    <w:rsid w:val="00EE2EE4"/>
    <w:rsid w:val="00EE2F3B"/>
    <w:rsid w:val="00EE317D"/>
    <w:rsid w:val="00EE3507"/>
    <w:rsid w:val="00EE3622"/>
    <w:rsid w:val="00EE37FF"/>
    <w:rsid w:val="00EE387B"/>
    <w:rsid w:val="00EE3981"/>
    <w:rsid w:val="00EE3E83"/>
    <w:rsid w:val="00EE4639"/>
    <w:rsid w:val="00EE4764"/>
    <w:rsid w:val="00EE4E2C"/>
    <w:rsid w:val="00EE4ECC"/>
    <w:rsid w:val="00EE51E2"/>
    <w:rsid w:val="00EE5406"/>
    <w:rsid w:val="00EE5410"/>
    <w:rsid w:val="00EE543F"/>
    <w:rsid w:val="00EE58C2"/>
    <w:rsid w:val="00EE59A9"/>
    <w:rsid w:val="00EE5E32"/>
    <w:rsid w:val="00EE6061"/>
    <w:rsid w:val="00EE6484"/>
    <w:rsid w:val="00EE6766"/>
    <w:rsid w:val="00EE6D6C"/>
    <w:rsid w:val="00EE71E6"/>
    <w:rsid w:val="00EE7418"/>
    <w:rsid w:val="00EE76D4"/>
    <w:rsid w:val="00EE7E9B"/>
    <w:rsid w:val="00EE7F19"/>
    <w:rsid w:val="00EF04C6"/>
    <w:rsid w:val="00EF0DF1"/>
    <w:rsid w:val="00EF1173"/>
    <w:rsid w:val="00EF1276"/>
    <w:rsid w:val="00EF1298"/>
    <w:rsid w:val="00EF1516"/>
    <w:rsid w:val="00EF1719"/>
    <w:rsid w:val="00EF1720"/>
    <w:rsid w:val="00EF18AA"/>
    <w:rsid w:val="00EF19CA"/>
    <w:rsid w:val="00EF1D58"/>
    <w:rsid w:val="00EF1F42"/>
    <w:rsid w:val="00EF204D"/>
    <w:rsid w:val="00EF25BE"/>
    <w:rsid w:val="00EF25DD"/>
    <w:rsid w:val="00EF2698"/>
    <w:rsid w:val="00EF26F9"/>
    <w:rsid w:val="00EF26FF"/>
    <w:rsid w:val="00EF3189"/>
    <w:rsid w:val="00EF33DF"/>
    <w:rsid w:val="00EF364D"/>
    <w:rsid w:val="00EF36DD"/>
    <w:rsid w:val="00EF38D3"/>
    <w:rsid w:val="00EF3CED"/>
    <w:rsid w:val="00EF3D60"/>
    <w:rsid w:val="00EF4564"/>
    <w:rsid w:val="00EF468E"/>
    <w:rsid w:val="00EF48A7"/>
    <w:rsid w:val="00EF48DF"/>
    <w:rsid w:val="00EF49E8"/>
    <w:rsid w:val="00EF5585"/>
    <w:rsid w:val="00EF5729"/>
    <w:rsid w:val="00EF57A4"/>
    <w:rsid w:val="00EF586F"/>
    <w:rsid w:val="00EF5BD2"/>
    <w:rsid w:val="00EF5CD1"/>
    <w:rsid w:val="00EF5EE7"/>
    <w:rsid w:val="00EF68AC"/>
    <w:rsid w:val="00EF70DB"/>
    <w:rsid w:val="00EF72C5"/>
    <w:rsid w:val="00EF73E8"/>
    <w:rsid w:val="00EF73F4"/>
    <w:rsid w:val="00EF7529"/>
    <w:rsid w:val="00EF7605"/>
    <w:rsid w:val="00EF7C91"/>
    <w:rsid w:val="00EF7D0C"/>
    <w:rsid w:val="00F000AD"/>
    <w:rsid w:val="00F0064F"/>
    <w:rsid w:val="00F00CA2"/>
    <w:rsid w:val="00F00EFC"/>
    <w:rsid w:val="00F00F6C"/>
    <w:rsid w:val="00F018BB"/>
    <w:rsid w:val="00F01D06"/>
    <w:rsid w:val="00F020D0"/>
    <w:rsid w:val="00F0257E"/>
    <w:rsid w:val="00F02DB6"/>
    <w:rsid w:val="00F03156"/>
    <w:rsid w:val="00F0335D"/>
    <w:rsid w:val="00F0360D"/>
    <w:rsid w:val="00F0370A"/>
    <w:rsid w:val="00F039CE"/>
    <w:rsid w:val="00F03C18"/>
    <w:rsid w:val="00F03C23"/>
    <w:rsid w:val="00F04215"/>
    <w:rsid w:val="00F0461E"/>
    <w:rsid w:val="00F04B90"/>
    <w:rsid w:val="00F04F1B"/>
    <w:rsid w:val="00F04F91"/>
    <w:rsid w:val="00F0549F"/>
    <w:rsid w:val="00F05954"/>
    <w:rsid w:val="00F06083"/>
    <w:rsid w:val="00F0666F"/>
    <w:rsid w:val="00F0671A"/>
    <w:rsid w:val="00F0681F"/>
    <w:rsid w:val="00F07210"/>
    <w:rsid w:val="00F072BC"/>
    <w:rsid w:val="00F07533"/>
    <w:rsid w:val="00F078C8"/>
    <w:rsid w:val="00F078DE"/>
    <w:rsid w:val="00F07D8E"/>
    <w:rsid w:val="00F07E12"/>
    <w:rsid w:val="00F07F15"/>
    <w:rsid w:val="00F104A1"/>
    <w:rsid w:val="00F106B5"/>
    <w:rsid w:val="00F10710"/>
    <w:rsid w:val="00F108D3"/>
    <w:rsid w:val="00F109C0"/>
    <w:rsid w:val="00F10BA3"/>
    <w:rsid w:val="00F10F04"/>
    <w:rsid w:val="00F10FE2"/>
    <w:rsid w:val="00F11774"/>
    <w:rsid w:val="00F118AF"/>
    <w:rsid w:val="00F11B51"/>
    <w:rsid w:val="00F11DCA"/>
    <w:rsid w:val="00F12225"/>
    <w:rsid w:val="00F12416"/>
    <w:rsid w:val="00F12491"/>
    <w:rsid w:val="00F12697"/>
    <w:rsid w:val="00F12BC1"/>
    <w:rsid w:val="00F12C14"/>
    <w:rsid w:val="00F12F60"/>
    <w:rsid w:val="00F131AC"/>
    <w:rsid w:val="00F13401"/>
    <w:rsid w:val="00F135E3"/>
    <w:rsid w:val="00F13B33"/>
    <w:rsid w:val="00F13BB3"/>
    <w:rsid w:val="00F13CA3"/>
    <w:rsid w:val="00F13F34"/>
    <w:rsid w:val="00F142FE"/>
    <w:rsid w:val="00F144A0"/>
    <w:rsid w:val="00F1472F"/>
    <w:rsid w:val="00F1498D"/>
    <w:rsid w:val="00F149BB"/>
    <w:rsid w:val="00F14ABA"/>
    <w:rsid w:val="00F150E3"/>
    <w:rsid w:val="00F1541C"/>
    <w:rsid w:val="00F15420"/>
    <w:rsid w:val="00F15555"/>
    <w:rsid w:val="00F15728"/>
    <w:rsid w:val="00F15A21"/>
    <w:rsid w:val="00F15E02"/>
    <w:rsid w:val="00F1618D"/>
    <w:rsid w:val="00F16264"/>
    <w:rsid w:val="00F1669E"/>
    <w:rsid w:val="00F166C5"/>
    <w:rsid w:val="00F166D6"/>
    <w:rsid w:val="00F16B8F"/>
    <w:rsid w:val="00F17245"/>
    <w:rsid w:val="00F173A6"/>
    <w:rsid w:val="00F17533"/>
    <w:rsid w:val="00F17CF6"/>
    <w:rsid w:val="00F200F6"/>
    <w:rsid w:val="00F2048D"/>
    <w:rsid w:val="00F205F2"/>
    <w:rsid w:val="00F20847"/>
    <w:rsid w:val="00F20E15"/>
    <w:rsid w:val="00F211E2"/>
    <w:rsid w:val="00F21B75"/>
    <w:rsid w:val="00F21E0A"/>
    <w:rsid w:val="00F22490"/>
    <w:rsid w:val="00F22706"/>
    <w:rsid w:val="00F227EF"/>
    <w:rsid w:val="00F22D68"/>
    <w:rsid w:val="00F22D69"/>
    <w:rsid w:val="00F230D7"/>
    <w:rsid w:val="00F2322B"/>
    <w:rsid w:val="00F2325A"/>
    <w:rsid w:val="00F234D7"/>
    <w:rsid w:val="00F23598"/>
    <w:rsid w:val="00F23731"/>
    <w:rsid w:val="00F23EF2"/>
    <w:rsid w:val="00F2439F"/>
    <w:rsid w:val="00F2472E"/>
    <w:rsid w:val="00F24F5C"/>
    <w:rsid w:val="00F24FC5"/>
    <w:rsid w:val="00F253E4"/>
    <w:rsid w:val="00F25CE9"/>
    <w:rsid w:val="00F25D06"/>
    <w:rsid w:val="00F25DCF"/>
    <w:rsid w:val="00F25EA0"/>
    <w:rsid w:val="00F264B9"/>
    <w:rsid w:val="00F267BC"/>
    <w:rsid w:val="00F27538"/>
    <w:rsid w:val="00F275DC"/>
    <w:rsid w:val="00F275EC"/>
    <w:rsid w:val="00F27AB4"/>
    <w:rsid w:val="00F27DBC"/>
    <w:rsid w:val="00F30808"/>
    <w:rsid w:val="00F30A58"/>
    <w:rsid w:val="00F30DEE"/>
    <w:rsid w:val="00F30E1D"/>
    <w:rsid w:val="00F31107"/>
    <w:rsid w:val="00F31339"/>
    <w:rsid w:val="00F3164E"/>
    <w:rsid w:val="00F31793"/>
    <w:rsid w:val="00F31958"/>
    <w:rsid w:val="00F31C4D"/>
    <w:rsid w:val="00F31D31"/>
    <w:rsid w:val="00F32012"/>
    <w:rsid w:val="00F321AD"/>
    <w:rsid w:val="00F3255B"/>
    <w:rsid w:val="00F3262F"/>
    <w:rsid w:val="00F32632"/>
    <w:rsid w:val="00F32784"/>
    <w:rsid w:val="00F32A0C"/>
    <w:rsid w:val="00F32A3F"/>
    <w:rsid w:val="00F334BB"/>
    <w:rsid w:val="00F33BFE"/>
    <w:rsid w:val="00F33D98"/>
    <w:rsid w:val="00F3466C"/>
    <w:rsid w:val="00F34B46"/>
    <w:rsid w:val="00F352DB"/>
    <w:rsid w:val="00F355DF"/>
    <w:rsid w:val="00F35614"/>
    <w:rsid w:val="00F356D4"/>
    <w:rsid w:val="00F359F1"/>
    <w:rsid w:val="00F35B4C"/>
    <w:rsid w:val="00F35E19"/>
    <w:rsid w:val="00F3604A"/>
    <w:rsid w:val="00F361B6"/>
    <w:rsid w:val="00F3654C"/>
    <w:rsid w:val="00F365CE"/>
    <w:rsid w:val="00F36675"/>
    <w:rsid w:val="00F36C35"/>
    <w:rsid w:val="00F36FB3"/>
    <w:rsid w:val="00F37152"/>
    <w:rsid w:val="00F37860"/>
    <w:rsid w:val="00F378AE"/>
    <w:rsid w:val="00F379C3"/>
    <w:rsid w:val="00F400C5"/>
    <w:rsid w:val="00F4022E"/>
    <w:rsid w:val="00F4051D"/>
    <w:rsid w:val="00F40582"/>
    <w:rsid w:val="00F40B46"/>
    <w:rsid w:val="00F40EC9"/>
    <w:rsid w:val="00F417B5"/>
    <w:rsid w:val="00F4199F"/>
    <w:rsid w:val="00F419AD"/>
    <w:rsid w:val="00F42603"/>
    <w:rsid w:val="00F42638"/>
    <w:rsid w:val="00F426E3"/>
    <w:rsid w:val="00F42BEB"/>
    <w:rsid w:val="00F42D36"/>
    <w:rsid w:val="00F42FA6"/>
    <w:rsid w:val="00F43073"/>
    <w:rsid w:val="00F430D9"/>
    <w:rsid w:val="00F4340E"/>
    <w:rsid w:val="00F4388A"/>
    <w:rsid w:val="00F447A3"/>
    <w:rsid w:val="00F44ADB"/>
    <w:rsid w:val="00F452BB"/>
    <w:rsid w:val="00F460DE"/>
    <w:rsid w:val="00F46154"/>
    <w:rsid w:val="00F462F5"/>
    <w:rsid w:val="00F463B0"/>
    <w:rsid w:val="00F46494"/>
    <w:rsid w:val="00F46634"/>
    <w:rsid w:val="00F46A0D"/>
    <w:rsid w:val="00F46BE6"/>
    <w:rsid w:val="00F46FCB"/>
    <w:rsid w:val="00F47042"/>
    <w:rsid w:val="00F471B5"/>
    <w:rsid w:val="00F47448"/>
    <w:rsid w:val="00F47458"/>
    <w:rsid w:val="00F47496"/>
    <w:rsid w:val="00F476BE"/>
    <w:rsid w:val="00F477E4"/>
    <w:rsid w:val="00F479AF"/>
    <w:rsid w:val="00F47F2C"/>
    <w:rsid w:val="00F5014D"/>
    <w:rsid w:val="00F507C0"/>
    <w:rsid w:val="00F5104E"/>
    <w:rsid w:val="00F513BC"/>
    <w:rsid w:val="00F517EF"/>
    <w:rsid w:val="00F51B4F"/>
    <w:rsid w:val="00F51C8C"/>
    <w:rsid w:val="00F51CCD"/>
    <w:rsid w:val="00F51EA2"/>
    <w:rsid w:val="00F52108"/>
    <w:rsid w:val="00F52721"/>
    <w:rsid w:val="00F52A3F"/>
    <w:rsid w:val="00F52E1B"/>
    <w:rsid w:val="00F53547"/>
    <w:rsid w:val="00F5360D"/>
    <w:rsid w:val="00F5374C"/>
    <w:rsid w:val="00F538DF"/>
    <w:rsid w:val="00F53C48"/>
    <w:rsid w:val="00F53CA9"/>
    <w:rsid w:val="00F53D86"/>
    <w:rsid w:val="00F53ECD"/>
    <w:rsid w:val="00F5401E"/>
    <w:rsid w:val="00F54097"/>
    <w:rsid w:val="00F5416C"/>
    <w:rsid w:val="00F54337"/>
    <w:rsid w:val="00F5459A"/>
    <w:rsid w:val="00F54E67"/>
    <w:rsid w:val="00F54FE5"/>
    <w:rsid w:val="00F5520D"/>
    <w:rsid w:val="00F5539E"/>
    <w:rsid w:val="00F55D2B"/>
    <w:rsid w:val="00F56528"/>
    <w:rsid w:val="00F56A0A"/>
    <w:rsid w:val="00F56A42"/>
    <w:rsid w:val="00F56B50"/>
    <w:rsid w:val="00F576B8"/>
    <w:rsid w:val="00F577D4"/>
    <w:rsid w:val="00F579F5"/>
    <w:rsid w:val="00F57E0A"/>
    <w:rsid w:val="00F60165"/>
    <w:rsid w:val="00F60260"/>
    <w:rsid w:val="00F603B7"/>
    <w:rsid w:val="00F6091C"/>
    <w:rsid w:val="00F609CE"/>
    <w:rsid w:val="00F60A50"/>
    <w:rsid w:val="00F60AD9"/>
    <w:rsid w:val="00F60FCB"/>
    <w:rsid w:val="00F60FDB"/>
    <w:rsid w:val="00F6104A"/>
    <w:rsid w:val="00F6139D"/>
    <w:rsid w:val="00F61975"/>
    <w:rsid w:val="00F61A21"/>
    <w:rsid w:val="00F61D43"/>
    <w:rsid w:val="00F61E4A"/>
    <w:rsid w:val="00F62744"/>
    <w:rsid w:val="00F62886"/>
    <w:rsid w:val="00F62BBF"/>
    <w:rsid w:val="00F62D4F"/>
    <w:rsid w:val="00F63142"/>
    <w:rsid w:val="00F635B8"/>
    <w:rsid w:val="00F63AB2"/>
    <w:rsid w:val="00F63EE7"/>
    <w:rsid w:val="00F641FE"/>
    <w:rsid w:val="00F64433"/>
    <w:rsid w:val="00F6445A"/>
    <w:rsid w:val="00F64651"/>
    <w:rsid w:val="00F64E55"/>
    <w:rsid w:val="00F64E5B"/>
    <w:rsid w:val="00F6574E"/>
    <w:rsid w:val="00F65895"/>
    <w:rsid w:val="00F65B31"/>
    <w:rsid w:val="00F65CCF"/>
    <w:rsid w:val="00F65E4D"/>
    <w:rsid w:val="00F66232"/>
    <w:rsid w:val="00F663F8"/>
    <w:rsid w:val="00F666CB"/>
    <w:rsid w:val="00F666D6"/>
    <w:rsid w:val="00F666DB"/>
    <w:rsid w:val="00F66727"/>
    <w:rsid w:val="00F66CA0"/>
    <w:rsid w:val="00F676E6"/>
    <w:rsid w:val="00F677A1"/>
    <w:rsid w:val="00F67A93"/>
    <w:rsid w:val="00F67CA2"/>
    <w:rsid w:val="00F700EC"/>
    <w:rsid w:val="00F70441"/>
    <w:rsid w:val="00F70A3C"/>
    <w:rsid w:val="00F70E4F"/>
    <w:rsid w:val="00F70F03"/>
    <w:rsid w:val="00F71720"/>
    <w:rsid w:val="00F7178D"/>
    <w:rsid w:val="00F71BED"/>
    <w:rsid w:val="00F7222C"/>
    <w:rsid w:val="00F722D0"/>
    <w:rsid w:val="00F7254F"/>
    <w:rsid w:val="00F72620"/>
    <w:rsid w:val="00F72B56"/>
    <w:rsid w:val="00F72B87"/>
    <w:rsid w:val="00F72C89"/>
    <w:rsid w:val="00F72D69"/>
    <w:rsid w:val="00F72E82"/>
    <w:rsid w:val="00F73332"/>
    <w:rsid w:val="00F7336E"/>
    <w:rsid w:val="00F7361B"/>
    <w:rsid w:val="00F737C7"/>
    <w:rsid w:val="00F73A0E"/>
    <w:rsid w:val="00F73A3B"/>
    <w:rsid w:val="00F73C4F"/>
    <w:rsid w:val="00F73E08"/>
    <w:rsid w:val="00F73F52"/>
    <w:rsid w:val="00F74652"/>
    <w:rsid w:val="00F74CDC"/>
    <w:rsid w:val="00F75207"/>
    <w:rsid w:val="00F75208"/>
    <w:rsid w:val="00F7548D"/>
    <w:rsid w:val="00F754F6"/>
    <w:rsid w:val="00F756B3"/>
    <w:rsid w:val="00F758CB"/>
    <w:rsid w:val="00F75995"/>
    <w:rsid w:val="00F75DD8"/>
    <w:rsid w:val="00F761A4"/>
    <w:rsid w:val="00F765B3"/>
    <w:rsid w:val="00F765BF"/>
    <w:rsid w:val="00F766AC"/>
    <w:rsid w:val="00F76822"/>
    <w:rsid w:val="00F76991"/>
    <w:rsid w:val="00F769A9"/>
    <w:rsid w:val="00F76A25"/>
    <w:rsid w:val="00F76A4C"/>
    <w:rsid w:val="00F76EB1"/>
    <w:rsid w:val="00F7731C"/>
    <w:rsid w:val="00F7731D"/>
    <w:rsid w:val="00F77849"/>
    <w:rsid w:val="00F77DC6"/>
    <w:rsid w:val="00F80096"/>
    <w:rsid w:val="00F8068F"/>
    <w:rsid w:val="00F80892"/>
    <w:rsid w:val="00F80A38"/>
    <w:rsid w:val="00F80C08"/>
    <w:rsid w:val="00F80D08"/>
    <w:rsid w:val="00F80E30"/>
    <w:rsid w:val="00F8129B"/>
    <w:rsid w:val="00F814F6"/>
    <w:rsid w:val="00F81D18"/>
    <w:rsid w:val="00F81EF4"/>
    <w:rsid w:val="00F8203E"/>
    <w:rsid w:val="00F8218F"/>
    <w:rsid w:val="00F822B6"/>
    <w:rsid w:val="00F8234F"/>
    <w:rsid w:val="00F825DF"/>
    <w:rsid w:val="00F8281E"/>
    <w:rsid w:val="00F83126"/>
    <w:rsid w:val="00F8322F"/>
    <w:rsid w:val="00F832E9"/>
    <w:rsid w:val="00F8346C"/>
    <w:rsid w:val="00F83550"/>
    <w:rsid w:val="00F836A7"/>
    <w:rsid w:val="00F83758"/>
    <w:rsid w:val="00F839B5"/>
    <w:rsid w:val="00F84178"/>
    <w:rsid w:val="00F8420B"/>
    <w:rsid w:val="00F8423B"/>
    <w:rsid w:val="00F84252"/>
    <w:rsid w:val="00F84279"/>
    <w:rsid w:val="00F842B4"/>
    <w:rsid w:val="00F848F9"/>
    <w:rsid w:val="00F84A05"/>
    <w:rsid w:val="00F84FB5"/>
    <w:rsid w:val="00F85060"/>
    <w:rsid w:val="00F8539B"/>
    <w:rsid w:val="00F85435"/>
    <w:rsid w:val="00F85436"/>
    <w:rsid w:val="00F8555D"/>
    <w:rsid w:val="00F85884"/>
    <w:rsid w:val="00F85A96"/>
    <w:rsid w:val="00F86156"/>
    <w:rsid w:val="00F8623A"/>
    <w:rsid w:val="00F862AF"/>
    <w:rsid w:val="00F8631A"/>
    <w:rsid w:val="00F86554"/>
    <w:rsid w:val="00F865D1"/>
    <w:rsid w:val="00F86850"/>
    <w:rsid w:val="00F870CD"/>
    <w:rsid w:val="00F87538"/>
    <w:rsid w:val="00F87771"/>
    <w:rsid w:val="00F87A01"/>
    <w:rsid w:val="00F87CBC"/>
    <w:rsid w:val="00F87DC8"/>
    <w:rsid w:val="00F903D9"/>
    <w:rsid w:val="00F9045C"/>
    <w:rsid w:val="00F909D0"/>
    <w:rsid w:val="00F909EA"/>
    <w:rsid w:val="00F909F4"/>
    <w:rsid w:val="00F90AD5"/>
    <w:rsid w:val="00F90EE3"/>
    <w:rsid w:val="00F91177"/>
    <w:rsid w:val="00F91364"/>
    <w:rsid w:val="00F913BB"/>
    <w:rsid w:val="00F9143B"/>
    <w:rsid w:val="00F91447"/>
    <w:rsid w:val="00F919D8"/>
    <w:rsid w:val="00F91D92"/>
    <w:rsid w:val="00F91F70"/>
    <w:rsid w:val="00F91F7C"/>
    <w:rsid w:val="00F920DA"/>
    <w:rsid w:val="00F922C7"/>
    <w:rsid w:val="00F92864"/>
    <w:rsid w:val="00F92DCC"/>
    <w:rsid w:val="00F92E24"/>
    <w:rsid w:val="00F93066"/>
    <w:rsid w:val="00F93431"/>
    <w:rsid w:val="00F934D9"/>
    <w:rsid w:val="00F936E9"/>
    <w:rsid w:val="00F9372D"/>
    <w:rsid w:val="00F937B2"/>
    <w:rsid w:val="00F93964"/>
    <w:rsid w:val="00F93969"/>
    <w:rsid w:val="00F93B68"/>
    <w:rsid w:val="00F93C3E"/>
    <w:rsid w:val="00F93E39"/>
    <w:rsid w:val="00F94079"/>
    <w:rsid w:val="00F9455E"/>
    <w:rsid w:val="00F945B8"/>
    <w:rsid w:val="00F9473B"/>
    <w:rsid w:val="00F94E5D"/>
    <w:rsid w:val="00F94EF0"/>
    <w:rsid w:val="00F95232"/>
    <w:rsid w:val="00F95B69"/>
    <w:rsid w:val="00F95B89"/>
    <w:rsid w:val="00F95BAB"/>
    <w:rsid w:val="00F960D5"/>
    <w:rsid w:val="00F96116"/>
    <w:rsid w:val="00F9631C"/>
    <w:rsid w:val="00F96826"/>
    <w:rsid w:val="00F96F01"/>
    <w:rsid w:val="00F974CB"/>
    <w:rsid w:val="00F97858"/>
    <w:rsid w:val="00F97993"/>
    <w:rsid w:val="00F97B7B"/>
    <w:rsid w:val="00F97C72"/>
    <w:rsid w:val="00F97E52"/>
    <w:rsid w:val="00FA01B5"/>
    <w:rsid w:val="00FA037B"/>
    <w:rsid w:val="00FA03D7"/>
    <w:rsid w:val="00FA0484"/>
    <w:rsid w:val="00FA0CB4"/>
    <w:rsid w:val="00FA106B"/>
    <w:rsid w:val="00FA125C"/>
    <w:rsid w:val="00FA13E7"/>
    <w:rsid w:val="00FA1AF9"/>
    <w:rsid w:val="00FA242C"/>
    <w:rsid w:val="00FA26FF"/>
    <w:rsid w:val="00FA30FB"/>
    <w:rsid w:val="00FA3700"/>
    <w:rsid w:val="00FA381F"/>
    <w:rsid w:val="00FA38E0"/>
    <w:rsid w:val="00FA4288"/>
    <w:rsid w:val="00FA4A95"/>
    <w:rsid w:val="00FA4EC8"/>
    <w:rsid w:val="00FA4EF1"/>
    <w:rsid w:val="00FA554F"/>
    <w:rsid w:val="00FA5B24"/>
    <w:rsid w:val="00FA5C57"/>
    <w:rsid w:val="00FA5C8C"/>
    <w:rsid w:val="00FA6811"/>
    <w:rsid w:val="00FA6947"/>
    <w:rsid w:val="00FA6A34"/>
    <w:rsid w:val="00FA6F8F"/>
    <w:rsid w:val="00FA7AB6"/>
    <w:rsid w:val="00FA7B96"/>
    <w:rsid w:val="00FA7BF4"/>
    <w:rsid w:val="00FA7E55"/>
    <w:rsid w:val="00FB06BB"/>
    <w:rsid w:val="00FB06FC"/>
    <w:rsid w:val="00FB0926"/>
    <w:rsid w:val="00FB0D0D"/>
    <w:rsid w:val="00FB0F59"/>
    <w:rsid w:val="00FB109B"/>
    <w:rsid w:val="00FB12DC"/>
    <w:rsid w:val="00FB16C3"/>
    <w:rsid w:val="00FB1C26"/>
    <w:rsid w:val="00FB1E88"/>
    <w:rsid w:val="00FB20CF"/>
    <w:rsid w:val="00FB229C"/>
    <w:rsid w:val="00FB22C6"/>
    <w:rsid w:val="00FB268D"/>
    <w:rsid w:val="00FB3149"/>
    <w:rsid w:val="00FB3214"/>
    <w:rsid w:val="00FB342F"/>
    <w:rsid w:val="00FB353F"/>
    <w:rsid w:val="00FB35CD"/>
    <w:rsid w:val="00FB368A"/>
    <w:rsid w:val="00FB3696"/>
    <w:rsid w:val="00FB3B7A"/>
    <w:rsid w:val="00FB4111"/>
    <w:rsid w:val="00FB4134"/>
    <w:rsid w:val="00FB4253"/>
    <w:rsid w:val="00FB45E7"/>
    <w:rsid w:val="00FB4AE5"/>
    <w:rsid w:val="00FB4C84"/>
    <w:rsid w:val="00FB4EE1"/>
    <w:rsid w:val="00FB4F1B"/>
    <w:rsid w:val="00FB4F2D"/>
    <w:rsid w:val="00FB5611"/>
    <w:rsid w:val="00FB5861"/>
    <w:rsid w:val="00FB6611"/>
    <w:rsid w:val="00FB6B3E"/>
    <w:rsid w:val="00FB6F26"/>
    <w:rsid w:val="00FB71F7"/>
    <w:rsid w:val="00FB779C"/>
    <w:rsid w:val="00FB79F5"/>
    <w:rsid w:val="00FC00D3"/>
    <w:rsid w:val="00FC0498"/>
    <w:rsid w:val="00FC06BE"/>
    <w:rsid w:val="00FC09BE"/>
    <w:rsid w:val="00FC0DF0"/>
    <w:rsid w:val="00FC1420"/>
    <w:rsid w:val="00FC14B8"/>
    <w:rsid w:val="00FC1914"/>
    <w:rsid w:val="00FC1AE0"/>
    <w:rsid w:val="00FC1B40"/>
    <w:rsid w:val="00FC1B94"/>
    <w:rsid w:val="00FC1D74"/>
    <w:rsid w:val="00FC1E94"/>
    <w:rsid w:val="00FC1F53"/>
    <w:rsid w:val="00FC26EB"/>
    <w:rsid w:val="00FC278B"/>
    <w:rsid w:val="00FC2EFF"/>
    <w:rsid w:val="00FC313C"/>
    <w:rsid w:val="00FC31E7"/>
    <w:rsid w:val="00FC3224"/>
    <w:rsid w:val="00FC33AE"/>
    <w:rsid w:val="00FC33C2"/>
    <w:rsid w:val="00FC37A3"/>
    <w:rsid w:val="00FC3F40"/>
    <w:rsid w:val="00FC40BB"/>
    <w:rsid w:val="00FC41BA"/>
    <w:rsid w:val="00FC4435"/>
    <w:rsid w:val="00FC458A"/>
    <w:rsid w:val="00FC4A12"/>
    <w:rsid w:val="00FC4AAF"/>
    <w:rsid w:val="00FC4EE9"/>
    <w:rsid w:val="00FC529F"/>
    <w:rsid w:val="00FC54BD"/>
    <w:rsid w:val="00FC5B22"/>
    <w:rsid w:val="00FC5D3A"/>
    <w:rsid w:val="00FC5D9D"/>
    <w:rsid w:val="00FC5EEE"/>
    <w:rsid w:val="00FC61F7"/>
    <w:rsid w:val="00FC63D0"/>
    <w:rsid w:val="00FC6DF4"/>
    <w:rsid w:val="00FC7082"/>
    <w:rsid w:val="00FC7144"/>
    <w:rsid w:val="00FC730E"/>
    <w:rsid w:val="00FC7362"/>
    <w:rsid w:val="00FC75A1"/>
    <w:rsid w:val="00FC75C7"/>
    <w:rsid w:val="00FC75DF"/>
    <w:rsid w:val="00FC7FD5"/>
    <w:rsid w:val="00FD02D4"/>
    <w:rsid w:val="00FD0650"/>
    <w:rsid w:val="00FD06EC"/>
    <w:rsid w:val="00FD08A0"/>
    <w:rsid w:val="00FD09CF"/>
    <w:rsid w:val="00FD09EC"/>
    <w:rsid w:val="00FD0CE4"/>
    <w:rsid w:val="00FD0DA1"/>
    <w:rsid w:val="00FD11B3"/>
    <w:rsid w:val="00FD12E1"/>
    <w:rsid w:val="00FD147F"/>
    <w:rsid w:val="00FD156B"/>
    <w:rsid w:val="00FD1A3D"/>
    <w:rsid w:val="00FD1A3E"/>
    <w:rsid w:val="00FD1C3B"/>
    <w:rsid w:val="00FD2313"/>
    <w:rsid w:val="00FD27AB"/>
    <w:rsid w:val="00FD28F2"/>
    <w:rsid w:val="00FD2AB2"/>
    <w:rsid w:val="00FD2E43"/>
    <w:rsid w:val="00FD2FAB"/>
    <w:rsid w:val="00FD2FF3"/>
    <w:rsid w:val="00FD3CC3"/>
    <w:rsid w:val="00FD4138"/>
    <w:rsid w:val="00FD4209"/>
    <w:rsid w:val="00FD47FC"/>
    <w:rsid w:val="00FD4C88"/>
    <w:rsid w:val="00FD4D22"/>
    <w:rsid w:val="00FD5083"/>
    <w:rsid w:val="00FD5205"/>
    <w:rsid w:val="00FD56AC"/>
    <w:rsid w:val="00FD5780"/>
    <w:rsid w:val="00FD59EC"/>
    <w:rsid w:val="00FD5CF9"/>
    <w:rsid w:val="00FD5F87"/>
    <w:rsid w:val="00FD5FD5"/>
    <w:rsid w:val="00FD5FF5"/>
    <w:rsid w:val="00FD6122"/>
    <w:rsid w:val="00FD6208"/>
    <w:rsid w:val="00FD62E8"/>
    <w:rsid w:val="00FD672E"/>
    <w:rsid w:val="00FD741F"/>
    <w:rsid w:val="00FD746A"/>
    <w:rsid w:val="00FD7E02"/>
    <w:rsid w:val="00FD7E68"/>
    <w:rsid w:val="00FD7EB1"/>
    <w:rsid w:val="00FD7F3B"/>
    <w:rsid w:val="00FE0102"/>
    <w:rsid w:val="00FE0160"/>
    <w:rsid w:val="00FE03FE"/>
    <w:rsid w:val="00FE0427"/>
    <w:rsid w:val="00FE09C9"/>
    <w:rsid w:val="00FE18E2"/>
    <w:rsid w:val="00FE1B35"/>
    <w:rsid w:val="00FE1B78"/>
    <w:rsid w:val="00FE1BB6"/>
    <w:rsid w:val="00FE215F"/>
    <w:rsid w:val="00FE2801"/>
    <w:rsid w:val="00FE293D"/>
    <w:rsid w:val="00FE2C5E"/>
    <w:rsid w:val="00FE2DC1"/>
    <w:rsid w:val="00FE39B5"/>
    <w:rsid w:val="00FE3BBE"/>
    <w:rsid w:val="00FE3EE8"/>
    <w:rsid w:val="00FE3F16"/>
    <w:rsid w:val="00FE45FB"/>
    <w:rsid w:val="00FE4A94"/>
    <w:rsid w:val="00FE5122"/>
    <w:rsid w:val="00FE54A4"/>
    <w:rsid w:val="00FE5693"/>
    <w:rsid w:val="00FE5A45"/>
    <w:rsid w:val="00FE5FEC"/>
    <w:rsid w:val="00FE6071"/>
    <w:rsid w:val="00FE6434"/>
    <w:rsid w:val="00FE64A3"/>
    <w:rsid w:val="00FE6693"/>
    <w:rsid w:val="00FE66A3"/>
    <w:rsid w:val="00FE66FD"/>
    <w:rsid w:val="00FE6931"/>
    <w:rsid w:val="00FE6D98"/>
    <w:rsid w:val="00FE7178"/>
    <w:rsid w:val="00FE72C1"/>
    <w:rsid w:val="00FE74BD"/>
    <w:rsid w:val="00FE7594"/>
    <w:rsid w:val="00FE7BCB"/>
    <w:rsid w:val="00FE7BD6"/>
    <w:rsid w:val="00FE7C2A"/>
    <w:rsid w:val="00FE7E02"/>
    <w:rsid w:val="00FF01E3"/>
    <w:rsid w:val="00FF03CF"/>
    <w:rsid w:val="00FF0A75"/>
    <w:rsid w:val="00FF0E8D"/>
    <w:rsid w:val="00FF0EE6"/>
    <w:rsid w:val="00FF0F2E"/>
    <w:rsid w:val="00FF103D"/>
    <w:rsid w:val="00FF1674"/>
    <w:rsid w:val="00FF18D7"/>
    <w:rsid w:val="00FF19E5"/>
    <w:rsid w:val="00FF1A7C"/>
    <w:rsid w:val="00FF1B90"/>
    <w:rsid w:val="00FF1C08"/>
    <w:rsid w:val="00FF2017"/>
    <w:rsid w:val="00FF207B"/>
    <w:rsid w:val="00FF241E"/>
    <w:rsid w:val="00FF27B6"/>
    <w:rsid w:val="00FF2B97"/>
    <w:rsid w:val="00FF3399"/>
    <w:rsid w:val="00FF33E9"/>
    <w:rsid w:val="00FF3D1A"/>
    <w:rsid w:val="00FF3D1B"/>
    <w:rsid w:val="00FF41CD"/>
    <w:rsid w:val="00FF42E1"/>
    <w:rsid w:val="00FF4A4D"/>
    <w:rsid w:val="00FF4BBD"/>
    <w:rsid w:val="00FF4F13"/>
    <w:rsid w:val="00FF4FB4"/>
    <w:rsid w:val="00FF5A6D"/>
    <w:rsid w:val="00FF5A75"/>
    <w:rsid w:val="00FF6894"/>
    <w:rsid w:val="00FF6D5A"/>
    <w:rsid w:val="00FF797F"/>
    <w:rsid w:val="00FF7A5C"/>
    <w:rsid w:val="00FF7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B322002"/>
  <w14:defaultImageDpi w14:val="96"/>
  <w15:docId w15:val="{E2568665-5FC1-4FC6-8546-F156D4A6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B90"/>
    <w:pPr>
      <w:keepLines/>
      <w:spacing w:after="240" w:line="276" w:lineRule="auto"/>
    </w:pPr>
    <w:rPr>
      <w:rFonts w:cs="Times New Roman"/>
      <w:sz w:val="24"/>
      <w:szCs w:val="24"/>
      <w:lang w:eastAsia="en-US"/>
    </w:rPr>
  </w:style>
  <w:style w:type="paragraph" w:styleId="Heading1">
    <w:name w:val="heading 1"/>
    <w:aliases w:val="Section Heading"/>
    <w:basedOn w:val="Normal"/>
    <w:next w:val="Normal"/>
    <w:link w:val="Heading1Char"/>
    <w:qFormat/>
    <w:rsid w:val="00EC44DA"/>
    <w:pPr>
      <w:keepNext/>
      <w:numPr>
        <w:numId w:val="1"/>
      </w:numPr>
      <w:tabs>
        <w:tab w:val="left" w:pos="709"/>
      </w:tabs>
      <w:spacing w:before="240"/>
      <w:outlineLvl w:val="0"/>
    </w:pPr>
    <w:rPr>
      <w:rFonts w:eastAsiaTheme="majorEastAsia" w:cs="Arial"/>
      <w:b/>
      <w:bCs/>
      <w:color w:val="86731E" w:themeColor="text1"/>
      <w:kern w:val="32"/>
      <w:sz w:val="30"/>
    </w:rPr>
  </w:style>
  <w:style w:type="paragraph" w:styleId="Heading2">
    <w:name w:val="heading 2"/>
    <w:aliases w:val="2,h2 main heading,B Sub/Bold,B Sub/Bold1,B Sub/Bold2,B Sub/Bold11,h2 main heading1,h2 main heading2,B Sub/Bold3,B Sub/Bold12,h2 main heading3,B Sub/Bold4,B Sub/Bold13,h2"/>
    <w:basedOn w:val="Normal"/>
    <w:next w:val="Normal"/>
    <w:link w:val="Heading2Char"/>
    <w:qFormat/>
    <w:rsid w:val="00EC44DA"/>
    <w:pPr>
      <w:keepNext/>
      <w:numPr>
        <w:ilvl w:val="1"/>
        <w:numId w:val="1"/>
      </w:numPr>
      <w:spacing w:before="240" w:after="360"/>
      <w:ind w:right="527"/>
      <w:jc w:val="both"/>
      <w:outlineLvl w:val="1"/>
    </w:pPr>
    <w:rPr>
      <w:rFonts w:eastAsiaTheme="majorEastAsia" w:cs="Arial"/>
      <w:b/>
      <w:bCs/>
      <w:iCs/>
      <w:color w:val="205352"/>
      <w:sz w:val="28"/>
      <w:szCs w:val="21"/>
    </w:rPr>
  </w:style>
  <w:style w:type="paragraph" w:styleId="Heading3">
    <w:name w:val="heading 3"/>
    <w:basedOn w:val="Normal"/>
    <w:next w:val="Normal"/>
    <w:link w:val="Heading3Char"/>
    <w:autoRedefine/>
    <w:qFormat/>
    <w:rsid w:val="00C3455B"/>
    <w:pPr>
      <w:keepNext/>
      <w:numPr>
        <w:ilvl w:val="2"/>
        <w:numId w:val="1"/>
      </w:numPr>
      <w:spacing w:before="240" w:after="360"/>
      <w:outlineLvl w:val="2"/>
    </w:pPr>
    <w:rPr>
      <w:rFonts w:ascii="Verdana" w:hAnsi="Verdana" w:cs="Arial"/>
      <w:b/>
      <w:bCs/>
      <w:color w:val="1F2E2B" w:themeColor="text2" w:themeShade="80"/>
      <w:szCs w:val="20"/>
    </w:rPr>
  </w:style>
  <w:style w:type="paragraph" w:styleId="Heading4">
    <w:name w:val="heading 4"/>
    <w:basedOn w:val="Normal"/>
    <w:next w:val="Normal"/>
    <w:link w:val="Heading4Char"/>
    <w:autoRedefine/>
    <w:qFormat/>
    <w:rsid w:val="00BA7C82"/>
    <w:pPr>
      <w:keepNext/>
      <w:tabs>
        <w:tab w:val="left" w:pos="2220"/>
      </w:tabs>
      <w:spacing w:before="240" w:line="240" w:lineRule="auto"/>
      <w:ind w:left="360"/>
      <w:outlineLvl w:val="3"/>
    </w:pPr>
    <w:rPr>
      <w:rFonts w:eastAsiaTheme="majorEastAsia" w:cs="Arial"/>
      <w:b/>
      <w:szCs w:val="28"/>
      <w:lang w:val="en-US" w:eastAsia="en-AU"/>
    </w:rPr>
  </w:style>
  <w:style w:type="paragraph" w:styleId="Heading5">
    <w:name w:val="heading 5"/>
    <w:basedOn w:val="Normal"/>
    <w:next w:val="Normal"/>
    <w:link w:val="Heading5Char"/>
    <w:unhideWhenUsed/>
    <w:qFormat/>
    <w:rsid w:val="008756BF"/>
    <w:pPr>
      <w:keepNext/>
      <w:spacing w:before="40" w:after="0"/>
      <w:outlineLvl w:val="4"/>
    </w:pPr>
    <w:rPr>
      <w:rFonts w:asciiTheme="majorHAnsi" w:eastAsiaTheme="majorEastAsia" w:hAnsiTheme="majorHAnsi"/>
      <w:color w:val="2D4440" w:themeColor="accent1" w:themeShade="BF"/>
    </w:rPr>
  </w:style>
  <w:style w:type="paragraph" w:styleId="Heading6">
    <w:name w:val="heading 6"/>
    <w:basedOn w:val="Normal"/>
    <w:next w:val="Normal"/>
    <w:link w:val="Heading6Char"/>
    <w:unhideWhenUsed/>
    <w:qFormat/>
    <w:rsid w:val="0008753A"/>
    <w:pPr>
      <w:keepNext/>
      <w:spacing w:before="200" w:after="0"/>
      <w:outlineLvl w:val="5"/>
    </w:pPr>
    <w:rPr>
      <w:rFonts w:asciiTheme="majorHAnsi" w:eastAsiaTheme="majorEastAsia" w:hAnsiTheme="majorHAnsi"/>
      <w:i/>
      <w:iCs/>
      <w:color w:val="1E2D2B" w:themeColor="accent1" w:themeShade="7F"/>
    </w:rPr>
  </w:style>
  <w:style w:type="paragraph" w:styleId="Heading7">
    <w:name w:val="heading 7"/>
    <w:basedOn w:val="Normal"/>
    <w:next w:val="Normal"/>
    <w:link w:val="Heading7Char"/>
    <w:unhideWhenUsed/>
    <w:qFormat/>
    <w:rsid w:val="0008753A"/>
    <w:pPr>
      <w:keepNext/>
      <w:spacing w:before="200" w:after="0"/>
      <w:outlineLvl w:val="6"/>
    </w:pPr>
    <w:rPr>
      <w:rFonts w:asciiTheme="majorHAnsi" w:eastAsiaTheme="majorEastAsia" w:hAnsiTheme="majorHAnsi"/>
      <w:i/>
      <w:iCs/>
      <w:color w:val="CCAF2E" w:themeColor="text1" w:themeTint="BF"/>
    </w:rPr>
  </w:style>
  <w:style w:type="paragraph" w:styleId="Heading8">
    <w:name w:val="heading 8"/>
    <w:basedOn w:val="Normal"/>
    <w:next w:val="Normal"/>
    <w:link w:val="Heading8Char"/>
    <w:qFormat/>
    <w:rsid w:val="00A16123"/>
    <w:pPr>
      <w:keepLines w:val="0"/>
      <w:widowControl w:val="0"/>
      <w:autoSpaceDE w:val="0"/>
      <w:autoSpaceDN w:val="0"/>
      <w:adjustRightInd w:val="0"/>
      <w:spacing w:after="0" w:line="240" w:lineRule="auto"/>
      <w:ind w:left="120"/>
      <w:outlineLvl w:val="7"/>
    </w:pPr>
    <w:rPr>
      <w:rFonts w:ascii="Century Gothic" w:eastAsiaTheme="minorEastAsia" w:hAnsi="Century Gothic" w:cs="Century Gothic"/>
      <w:b/>
      <w:bCs/>
      <w:sz w:val="18"/>
      <w:szCs w:val="18"/>
      <w:lang w:eastAsia="en-AU"/>
    </w:rPr>
  </w:style>
  <w:style w:type="paragraph" w:styleId="Heading9">
    <w:name w:val="heading 9"/>
    <w:basedOn w:val="Normal"/>
    <w:next w:val="Normal"/>
    <w:link w:val="Heading9Char"/>
    <w:unhideWhenUsed/>
    <w:qFormat/>
    <w:rsid w:val="00D85C8A"/>
    <w:pPr>
      <w:keepNext/>
      <w:spacing w:before="200" w:after="0"/>
      <w:outlineLvl w:val="8"/>
    </w:pPr>
    <w:rPr>
      <w:rFonts w:asciiTheme="majorHAnsi" w:eastAsiaTheme="majorEastAsia" w:hAnsiTheme="majorHAnsi"/>
      <w:i/>
      <w:iCs/>
      <w:color w:val="CCAF2E"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locked/>
    <w:rsid w:val="00EC44DA"/>
    <w:rPr>
      <w:rFonts w:eastAsiaTheme="majorEastAsia"/>
      <w:b/>
      <w:bCs/>
      <w:color w:val="86731E" w:themeColor="text1"/>
      <w:kern w:val="32"/>
      <w:sz w:val="30"/>
      <w:szCs w:val="24"/>
      <w:lang w:eastAsia="en-US"/>
    </w:rPr>
  </w:style>
  <w:style w:type="character" w:customStyle="1" w:styleId="Heading2Char">
    <w:name w:val="Heading 2 Char"/>
    <w:aliases w:val="2 Char,h2 main heading Char,B Sub/Bold Char,B Sub/Bold1 Char,B Sub/Bold2 Char,B Sub/Bold11 Char,h2 main heading1 Char,h2 main heading2 Char,B Sub/Bold3 Char,B Sub/Bold12 Char,h2 main heading3 Char,B Sub/Bold4 Char,B Sub/Bold13 Char"/>
    <w:basedOn w:val="DefaultParagraphFont"/>
    <w:link w:val="Heading2"/>
    <w:locked/>
    <w:rsid w:val="00EC44DA"/>
    <w:rPr>
      <w:rFonts w:eastAsiaTheme="majorEastAsia"/>
      <w:b/>
      <w:bCs/>
      <w:iCs/>
      <w:color w:val="205352"/>
      <w:sz w:val="28"/>
      <w:szCs w:val="21"/>
      <w:lang w:eastAsia="en-US"/>
    </w:rPr>
  </w:style>
  <w:style w:type="character" w:customStyle="1" w:styleId="Heading3Char">
    <w:name w:val="Heading 3 Char"/>
    <w:basedOn w:val="DefaultParagraphFont"/>
    <w:link w:val="Heading3"/>
    <w:locked/>
    <w:rsid w:val="00C3455B"/>
    <w:rPr>
      <w:rFonts w:ascii="Verdana" w:hAnsi="Verdana"/>
      <w:b/>
      <w:bCs/>
      <w:color w:val="1F2E2B" w:themeColor="text2" w:themeShade="80"/>
      <w:sz w:val="24"/>
      <w:szCs w:val="20"/>
      <w:lang w:eastAsia="en-US"/>
    </w:rPr>
  </w:style>
  <w:style w:type="character" w:customStyle="1" w:styleId="Heading4Char">
    <w:name w:val="Heading 4 Char"/>
    <w:basedOn w:val="DefaultParagraphFont"/>
    <w:link w:val="Heading4"/>
    <w:locked/>
    <w:rsid w:val="00BA7C82"/>
    <w:rPr>
      <w:rFonts w:eastAsiaTheme="majorEastAsia"/>
      <w:b/>
      <w:sz w:val="24"/>
      <w:szCs w:val="28"/>
      <w:lang w:val="en-US"/>
    </w:rPr>
  </w:style>
  <w:style w:type="character" w:customStyle="1" w:styleId="Heading5Char">
    <w:name w:val="Heading 5 Char"/>
    <w:basedOn w:val="DefaultParagraphFont"/>
    <w:link w:val="Heading5"/>
    <w:uiPriority w:val="9"/>
    <w:locked/>
    <w:rsid w:val="008756BF"/>
    <w:rPr>
      <w:rFonts w:asciiTheme="majorHAnsi" w:eastAsiaTheme="majorEastAsia" w:hAnsiTheme="majorHAnsi" w:cs="Times New Roman"/>
      <w:color w:val="2D4440" w:themeColor="accent1" w:themeShade="BF"/>
      <w:sz w:val="24"/>
      <w:szCs w:val="24"/>
      <w:lang w:val="x-none" w:eastAsia="en-US"/>
    </w:rPr>
  </w:style>
  <w:style w:type="character" w:customStyle="1" w:styleId="Heading6Char">
    <w:name w:val="Heading 6 Char"/>
    <w:basedOn w:val="DefaultParagraphFont"/>
    <w:link w:val="Heading6"/>
    <w:locked/>
    <w:rsid w:val="0008753A"/>
    <w:rPr>
      <w:rFonts w:asciiTheme="majorHAnsi" w:eastAsiaTheme="majorEastAsia" w:hAnsiTheme="majorHAnsi" w:cs="Times New Roman"/>
      <w:i/>
      <w:iCs/>
      <w:color w:val="1E2D2B" w:themeColor="accent1" w:themeShade="7F"/>
      <w:sz w:val="24"/>
      <w:szCs w:val="24"/>
      <w:lang w:val="x-none" w:eastAsia="en-US"/>
    </w:rPr>
  </w:style>
  <w:style w:type="character" w:customStyle="1" w:styleId="Heading7Char">
    <w:name w:val="Heading 7 Char"/>
    <w:basedOn w:val="DefaultParagraphFont"/>
    <w:link w:val="Heading7"/>
    <w:locked/>
    <w:rsid w:val="0008753A"/>
    <w:rPr>
      <w:rFonts w:asciiTheme="majorHAnsi" w:eastAsiaTheme="majorEastAsia" w:hAnsiTheme="majorHAnsi" w:cs="Times New Roman"/>
      <w:i/>
      <w:iCs/>
      <w:color w:val="CCAF2E" w:themeColor="text1" w:themeTint="BF"/>
      <w:sz w:val="24"/>
      <w:szCs w:val="24"/>
      <w:lang w:val="x-none" w:eastAsia="en-US"/>
    </w:rPr>
  </w:style>
  <w:style w:type="character" w:customStyle="1" w:styleId="Heading8Char">
    <w:name w:val="Heading 8 Char"/>
    <w:basedOn w:val="DefaultParagraphFont"/>
    <w:link w:val="Heading8"/>
    <w:locked/>
    <w:rsid w:val="00A16123"/>
    <w:rPr>
      <w:rFonts w:ascii="Century Gothic" w:eastAsiaTheme="minorEastAsia" w:hAnsi="Century Gothic" w:cs="Century Gothic"/>
      <w:b/>
      <w:bCs/>
      <w:sz w:val="18"/>
      <w:szCs w:val="18"/>
    </w:rPr>
  </w:style>
  <w:style w:type="character" w:customStyle="1" w:styleId="Heading9Char">
    <w:name w:val="Heading 9 Char"/>
    <w:basedOn w:val="DefaultParagraphFont"/>
    <w:link w:val="Heading9"/>
    <w:locked/>
    <w:rsid w:val="00D85C8A"/>
    <w:rPr>
      <w:rFonts w:asciiTheme="majorHAnsi" w:eastAsiaTheme="majorEastAsia" w:hAnsiTheme="majorHAnsi" w:cs="Times New Roman"/>
      <w:i/>
      <w:iCs/>
      <w:color w:val="CCAF2E" w:themeColor="text1" w:themeTint="BF"/>
      <w:sz w:val="20"/>
      <w:szCs w:val="20"/>
      <w:lang w:val="x-none" w:eastAsia="en-US"/>
    </w:rPr>
  </w:style>
  <w:style w:type="paragraph" w:styleId="Header">
    <w:name w:val="header"/>
    <w:basedOn w:val="Normal"/>
    <w:link w:val="HeaderChar"/>
    <w:uiPriority w:val="99"/>
    <w:qFormat/>
    <w:rsid w:val="00EC44DA"/>
    <w:pPr>
      <w:tabs>
        <w:tab w:val="right" w:pos="9295"/>
      </w:tabs>
      <w:jc w:val="right"/>
    </w:pPr>
    <w:rPr>
      <w:rFonts w:cs="Arial"/>
      <w:color w:val="4D4D4D"/>
      <w:sz w:val="16"/>
      <w:szCs w:val="16"/>
    </w:rPr>
  </w:style>
  <w:style w:type="character" w:customStyle="1" w:styleId="HeaderChar">
    <w:name w:val="Header Char"/>
    <w:basedOn w:val="DefaultParagraphFont"/>
    <w:link w:val="Header"/>
    <w:uiPriority w:val="99"/>
    <w:locked/>
    <w:rsid w:val="00EC44DA"/>
    <w:rPr>
      <w:rFonts w:cs="Arial"/>
      <w:color w:val="4D4D4D"/>
      <w:sz w:val="16"/>
      <w:szCs w:val="16"/>
      <w:lang w:val="x-none" w:eastAsia="en-US"/>
    </w:rPr>
  </w:style>
  <w:style w:type="paragraph" w:styleId="Footer">
    <w:name w:val="footer"/>
    <w:basedOn w:val="Normal"/>
    <w:link w:val="FooterChar"/>
    <w:uiPriority w:val="99"/>
    <w:qFormat/>
    <w:rsid w:val="00EC44DA"/>
    <w:pPr>
      <w:tabs>
        <w:tab w:val="right" w:pos="9072"/>
        <w:tab w:val="left" w:pos="9519"/>
      </w:tabs>
      <w:ind w:right="189"/>
    </w:pPr>
    <w:rPr>
      <w:rFonts w:cs="Arial"/>
      <w:bCs/>
      <w:noProof/>
      <w:color w:val="4D4D4D"/>
      <w:sz w:val="16"/>
      <w:szCs w:val="20"/>
    </w:rPr>
  </w:style>
  <w:style w:type="character" w:customStyle="1" w:styleId="FooterChar">
    <w:name w:val="Footer Char"/>
    <w:basedOn w:val="DefaultParagraphFont"/>
    <w:link w:val="Footer"/>
    <w:uiPriority w:val="99"/>
    <w:locked/>
    <w:rsid w:val="00EC44DA"/>
    <w:rPr>
      <w:rFonts w:cs="Arial"/>
      <w:bCs/>
      <w:noProof/>
      <w:color w:val="4D4D4D"/>
      <w:sz w:val="20"/>
      <w:szCs w:val="20"/>
      <w:lang w:eastAsia="en-US"/>
    </w:rPr>
  </w:style>
  <w:style w:type="paragraph" w:styleId="Caption">
    <w:name w:val="caption"/>
    <w:basedOn w:val="Normal"/>
    <w:next w:val="Normal"/>
    <w:uiPriority w:val="35"/>
    <w:semiHidden/>
    <w:unhideWhenUsed/>
    <w:qFormat/>
    <w:rsid w:val="00EC44DA"/>
    <w:pPr>
      <w:spacing w:after="200" w:line="240" w:lineRule="auto"/>
    </w:pPr>
    <w:rPr>
      <w:b/>
      <w:bCs/>
      <w:color w:val="3D5C57" w:themeColor="accent1"/>
      <w:sz w:val="18"/>
      <w:szCs w:val="18"/>
    </w:rPr>
  </w:style>
  <w:style w:type="paragraph" w:styleId="Title">
    <w:name w:val="Title"/>
    <w:basedOn w:val="Normal"/>
    <w:next w:val="Normal"/>
    <w:link w:val="TitleChar"/>
    <w:uiPriority w:val="10"/>
    <w:qFormat/>
    <w:rsid w:val="00EC44DA"/>
    <w:pPr>
      <w:spacing w:before="240"/>
    </w:pPr>
    <w:rPr>
      <w:rFonts w:ascii="Verdana" w:eastAsiaTheme="majorEastAsia" w:hAnsi="Verdana"/>
      <w:color w:val="3E5D57" w:themeColor="text2"/>
      <w:spacing w:val="5"/>
      <w:kern w:val="28"/>
      <w:sz w:val="40"/>
      <w:szCs w:val="40"/>
    </w:rPr>
  </w:style>
  <w:style w:type="character" w:customStyle="1" w:styleId="TitleChar">
    <w:name w:val="Title Char"/>
    <w:basedOn w:val="DefaultParagraphFont"/>
    <w:link w:val="Title"/>
    <w:uiPriority w:val="10"/>
    <w:locked/>
    <w:rsid w:val="00EC44DA"/>
    <w:rPr>
      <w:rFonts w:ascii="Verdana" w:eastAsiaTheme="majorEastAsia" w:hAnsi="Verdana" w:cs="Times New Roman"/>
      <w:color w:val="3E5D57" w:themeColor="text2"/>
      <w:spacing w:val="5"/>
      <w:kern w:val="28"/>
      <w:sz w:val="40"/>
      <w:szCs w:val="40"/>
      <w:lang w:val="x-none" w:eastAsia="en-US"/>
    </w:rPr>
  </w:style>
  <w:style w:type="paragraph" w:styleId="Subtitle">
    <w:name w:val="Subtitle"/>
    <w:basedOn w:val="Title"/>
    <w:next w:val="BodyText"/>
    <w:link w:val="SubtitleChar"/>
    <w:uiPriority w:val="11"/>
    <w:qFormat/>
    <w:rsid w:val="00EC44DA"/>
    <w:pPr>
      <w:numPr>
        <w:ilvl w:val="1"/>
      </w:numPr>
      <w:spacing w:line="30" w:lineRule="atLeast"/>
    </w:pPr>
    <w:rPr>
      <w:rFonts w:asciiTheme="majorHAnsi" w:hAnsiTheme="majorHAnsi"/>
      <w:i/>
      <w:iCs/>
      <w:color w:val="3D5C57" w:themeColor="accent1"/>
      <w:spacing w:val="15"/>
      <w:kern w:val="0"/>
      <w:sz w:val="24"/>
      <w:szCs w:val="24"/>
      <w:lang w:val="en-US"/>
    </w:rPr>
  </w:style>
  <w:style w:type="character" w:customStyle="1" w:styleId="SubtitleChar">
    <w:name w:val="Subtitle Char"/>
    <w:basedOn w:val="DefaultParagraphFont"/>
    <w:link w:val="Subtitle"/>
    <w:uiPriority w:val="11"/>
    <w:locked/>
    <w:rsid w:val="00EC44DA"/>
    <w:rPr>
      <w:rFonts w:asciiTheme="majorHAnsi" w:eastAsiaTheme="majorEastAsia" w:hAnsiTheme="majorHAnsi" w:cs="Times New Roman"/>
      <w:i/>
      <w:iCs/>
      <w:color w:val="3D5C57" w:themeColor="accent1"/>
      <w:spacing w:val="15"/>
      <w:sz w:val="24"/>
      <w:szCs w:val="24"/>
      <w:lang w:val="en-US" w:eastAsia="en-US"/>
    </w:rPr>
  </w:style>
  <w:style w:type="paragraph" w:styleId="BodyText">
    <w:name w:val="Body Text"/>
    <w:basedOn w:val="Normal"/>
    <w:link w:val="BodyTextChar"/>
    <w:uiPriority w:val="1"/>
    <w:unhideWhenUsed/>
    <w:qFormat/>
    <w:rsid w:val="00EC44DA"/>
    <w:pPr>
      <w:spacing w:after="120"/>
    </w:pPr>
  </w:style>
  <w:style w:type="character" w:customStyle="1" w:styleId="BodyTextChar">
    <w:name w:val="Body Text Char"/>
    <w:basedOn w:val="DefaultParagraphFont"/>
    <w:link w:val="BodyText"/>
    <w:uiPriority w:val="1"/>
    <w:locked/>
    <w:rsid w:val="00EC44DA"/>
    <w:rPr>
      <w:rFonts w:cs="Times New Roman"/>
      <w:sz w:val="24"/>
      <w:szCs w:val="24"/>
      <w:lang w:val="x-none" w:eastAsia="en-US"/>
    </w:rPr>
  </w:style>
  <w:style w:type="character" w:styleId="Strong">
    <w:name w:val="Strong"/>
    <w:basedOn w:val="DefaultParagraphFont"/>
    <w:uiPriority w:val="22"/>
    <w:qFormat/>
    <w:rsid w:val="00EC44DA"/>
    <w:rPr>
      <w:rFonts w:cs="Times New Roman"/>
      <w:b/>
      <w:bCs/>
    </w:rPr>
  </w:style>
  <w:style w:type="character" w:styleId="Emphasis">
    <w:name w:val="Emphasis"/>
    <w:basedOn w:val="DefaultParagraphFont"/>
    <w:uiPriority w:val="20"/>
    <w:qFormat/>
    <w:rsid w:val="00F477E4"/>
    <w:rPr>
      <w:rFonts w:cs="Times New Roman"/>
      <w:i/>
      <w:iCs/>
      <w:color w:val="auto"/>
      <w:sz w:val="24"/>
    </w:rPr>
  </w:style>
  <w:style w:type="paragraph" w:styleId="ListParagraph">
    <w:name w:val="List Paragraph"/>
    <w:basedOn w:val="Normal"/>
    <w:link w:val="ListParagraphChar"/>
    <w:uiPriority w:val="34"/>
    <w:qFormat/>
    <w:rsid w:val="00EC44DA"/>
    <w:pPr>
      <w:spacing w:after="0" w:line="240" w:lineRule="auto"/>
      <w:ind w:left="720"/>
      <w:contextualSpacing/>
    </w:pPr>
    <w:rPr>
      <w:bCs/>
    </w:rPr>
  </w:style>
  <w:style w:type="character" w:customStyle="1" w:styleId="ListParagraphChar">
    <w:name w:val="List Paragraph Char"/>
    <w:basedOn w:val="DefaultParagraphFont"/>
    <w:link w:val="ListParagraph"/>
    <w:uiPriority w:val="34"/>
    <w:locked/>
    <w:rsid w:val="00EC44DA"/>
    <w:rPr>
      <w:rFonts w:eastAsia="Times New Roman" w:cs="Times New Roman"/>
      <w:bCs/>
      <w:sz w:val="24"/>
      <w:szCs w:val="24"/>
      <w:lang w:val="x-none" w:eastAsia="en-US"/>
    </w:rPr>
  </w:style>
  <w:style w:type="character" w:styleId="IntenseReference">
    <w:name w:val="Intense Reference"/>
    <w:basedOn w:val="DefaultParagraphFont"/>
    <w:uiPriority w:val="32"/>
    <w:qFormat/>
    <w:rsid w:val="00EC44DA"/>
    <w:rPr>
      <w:rFonts w:cs="Times New Roman"/>
      <w:b/>
      <w:bCs/>
      <w:smallCaps/>
      <w:color w:val="2D4541" w:themeColor="accent2"/>
      <w:spacing w:val="5"/>
      <w:u w:val="single"/>
    </w:rPr>
  </w:style>
  <w:style w:type="paragraph" w:styleId="TOCHeading">
    <w:name w:val="TOC Heading"/>
    <w:basedOn w:val="Heading1"/>
    <w:next w:val="Normal"/>
    <w:uiPriority w:val="39"/>
    <w:unhideWhenUsed/>
    <w:qFormat/>
    <w:rsid w:val="00EC44DA"/>
    <w:pPr>
      <w:numPr>
        <w:numId w:val="0"/>
      </w:numPr>
      <w:tabs>
        <w:tab w:val="clear" w:pos="709"/>
      </w:tabs>
      <w:spacing w:before="480" w:after="0"/>
      <w:outlineLvl w:val="9"/>
    </w:pPr>
    <w:rPr>
      <w:rFonts w:asciiTheme="majorHAnsi" w:hAnsiTheme="majorHAnsi" w:cs="Times New Roman"/>
      <w:color w:val="2D4440" w:themeColor="accent1" w:themeShade="BF"/>
      <w:kern w:val="0"/>
      <w:szCs w:val="28"/>
    </w:rPr>
  </w:style>
  <w:style w:type="paragraph" w:customStyle="1" w:styleId="Default">
    <w:name w:val="Default"/>
    <w:basedOn w:val="Normal"/>
    <w:qFormat/>
    <w:rsid w:val="00EC44DA"/>
  </w:style>
  <w:style w:type="paragraph" w:customStyle="1" w:styleId="Heading2nonumber">
    <w:name w:val="Heading 2 (no number)"/>
    <w:basedOn w:val="Heading2"/>
    <w:link w:val="Heading2nonumberChar"/>
    <w:qFormat/>
    <w:rsid w:val="00A05C3C"/>
    <w:pPr>
      <w:numPr>
        <w:ilvl w:val="0"/>
        <w:numId w:val="0"/>
      </w:numPr>
    </w:pPr>
    <w:rPr>
      <w:color w:val="EE7D31"/>
      <w:sz w:val="30"/>
      <w:szCs w:val="30"/>
    </w:rPr>
  </w:style>
  <w:style w:type="character" w:customStyle="1" w:styleId="Heading2nonumberChar">
    <w:name w:val="Heading 2 (no number) Char"/>
    <w:basedOn w:val="Heading2Char"/>
    <w:link w:val="Heading2nonumber"/>
    <w:locked/>
    <w:rsid w:val="00A05C3C"/>
    <w:rPr>
      <w:rFonts w:eastAsiaTheme="majorEastAsia"/>
      <w:b/>
      <w:bCs/>
      <w:iCs/>
      <w:color w:val="EE7D31"/>
      <w:sz w:val="30"/>
      <w:szCs w:val="30"/>
      <w:lang w:eastAsia="en-US"/>
    </w:rPr>
  </w:style>
  <w:style w:type="paragraph" w:customStyle="1" w:styleId="Heading3nonumber">
    <w:name w:val="Heading 3 (no number)"/>
    <w:basedOn w:val="Heading3"/>
    <w:link w:val="Heading3nonumberChar"/>
    <w:qFormat/>
    <w:rsid w:val="0043459F"/>
    <w:pPr>
      <w:numPr>
        <w:ilvl w:val="0"/>
        <w:numId w:val="0"/>
      </w:numPr>
    </w:pPr>
    <w:rPr>
      <w:color w:val="003F33"/>
    </w:rPr>
  </w:style>
  <w:style w:type="character" w:customStyle="1" w:styleId="Heading3nonumberChar">
    <w:name w:val="Heading 3 (no number) Char"/>
    <w:basedOn w:val="Heading3Char"/>
    <w:link w:val="Heading3nonumber"/>
    <w:locked/>
    <w:rsid w:val="0043459F"/>
    <w:rPr>
      <w:rFonts w:ascii="Verdana" w:hAnsi="Verdana"/>
      <w:b/>
      <w:bCs/>
      <w:color w:val="003F33"/>
      <w:sz w:val="24"/>
      <w:szCs w:val="20"/>
      <w:lang w:eastAsia="en-US"/>
    </w:rPr>
  </w:style>
  <w:style w:type="paragraph" w:customStyle="1" w:styleId="TableText">
    <w:name w:val="Table Text"/>
    <w:basedOn w:val="Normal"/>
    <w:link w:val="TableTextChar"/>
    <w:qFormat/>
    <w:rsid w:val="00EC44DA"/>
    <w:pPr>
      <w:spacing w:before="40" w:after="40"/>
      <w:contextualSpacing/>
    </w:pPr>
    <w:rPr>
      <w:rFonts w:cs="Arial"/>
      <w:color w:val="000000"/>
      <w:lang w:val="en-US"/>
    </w:rPr>
  </w:style>
  <w:style w:type="character" w:customStyle="1" w:styleId="TableTextChar">
    <w:name w:val="Table Text Char"/>
    <w:basedOn w:val="DefaultParagraphFont"/>
    <w:link w:val="TableText"/>
    <w:locked/>
    <w:rsid w:val="00EC44DA"/>
    <w:rPr>
      <w:rFonts w:cs="Arial"/>
      <w:color w:val="000000"/>
      <w:sz w:val="24"/>
      <w:szCs w:val="24"/>
      <w:lang w:val="en-US" w:eastAsia="en-US"/>
    </w:rPr>
  </w:style>
  <w:style w:type="paragraph" w:customStyle="1" w:styleId="BlockTitle">
    <w:name w:val="Block Title"/>
    <w:basedOn w:val="Title"/>
    <w:link w:val="BlockTitleChar"/>
    <w:qFormat/>
    <w:rsid w:val="00EC44DA"/>
    <w:pPr>
      <w:shd w:val="clear" w:color="auto" w:fill="3D5C57" w:themeFill="accent1"/>
      <w:jc w:val="center"/>
    </w:pPr>
    <w:rPr>
      <w:color w:val="FFFFFF" w:themeColor="background2"/>
    </w:rPr>
  </w:style>
  <w:style w:type="character" w:customStyle="1" w:styleId="BlockTitleChar">
    <w:name w:val="Block Title Char"/>
    <w:basedOn w:val="TitleChar"/>
    <w:link w:val="BlockTitle"/>
    <w:locked/>
    <w:rsid w:val="00EC44DA"/>
    <w:rPr>
      <w:rFonts w:ascii="Verdana" w:eastAsiaTheme="majorEastAsia" w:hAnsi="Verdana" w:cs="Times New Roman"/>
      <w:color w:val="FFFFFF" w:themeColor="background2"/>
      <w:spacing w:val="5"/>
      <w:kern w:val="28"/>
      <w:sz w:val="40"/>
      <w:szCs w:val="40"/>
      <w:shd w:val="clear" w:color="auto" w:fill="3D5C57" w:themeFill="accent1"/>
      <w:lang w:val="x-none" w:eastAsia="en-US"/>
    </w:rPr>
  </w:style>
  <w:style w:type="paragraph" w:customStyle="1" w:styleId="CoverTitle">
    <w:name w:val="Cover Title"/>
    <w:basedOn w:val="Title"/>
    <w:qFormat/>
    <w:rsid w:val="00A05C3C"/>
    <w:pPr>
      <w:autoSpaceDE w:val="0"/>
      <w:autoSpaceDN w:val="0"/>
      <w:adjustRightInd w:val="0"/>
      <w:ind w:left="601"/>
      <w:contextualSpacing/>
    </w:pPr>
    <w:rPr>
      <w:rFonts w:cs="CenturyGothic"/>
      <w:b/>
      <w:color w:val="003F5F"/>
    </w:rPr>
  </w:style>
  <w:style w:type="paragraph" w:customStyle="1" w:styleId="Heading1nonumber">
    <w:name w:val="Heading 1 (no number)"/>
    <w:basedOn w:val="Heading1"/>
    <w:link w:val="Heading1nonumberChar"/>
    <w:qFormat/>
    <w:rsid w:val="00A05C3C"/>
    <w:pPr>
      <w:numPr>
        <w:numId w:val="0"/>
      </w:numPr>
    </w:pPr>
    <w:rPr>
      <w:color w:val="003F5F"/>
      <w:sz w:val="36"/>
    </w:rPr>
  </w:style>
  <w:style w:type="character" w:customStyle="1" w:styleId="Heading1nonumberChar">
    <w:name w:val="Heading 1 (no number) Char"/>
    <w:basedOn w:val="Heading1Char"/>
    <w:link w:val="Heading1nonumber"/>
    <w:locked/>
    <w:rsid w:val="00A05C3C"/>
    <w:rPr>
      <w:rFonts w:eastAsiaTheme="majorEastAsia"/>
      <w:b/>
      <w:bCs/>
      <w:color w:val="003F5F"/>
      <w:kern w:val="32"/>
      <w:sz w:val="36"/>
      <w:szCs w:val="24"/>
      <w:lang w:eastAsia="en-US"/>
    </w:rPr>
  </w:style>
  <w:style w:type="paragraph" w:customStyle="1" w:styleId="NumberedlistLevel1">
    <w:name w:val="Numbered list Level 1"/>
    <w:basedOn w:val="ListParagraph"/>
    <w:link w:val="NumberedlistLevel1Char"/>
    <w:qFormat/>
    <w:rsid w:val="00EC44DA"/>
    <w:pPr>
      <w:spacing w:after="240" w:line="276" w:lineRule="auto"/>
      <w:ind w:left="0"/>
      <w:contextualSpacing w:val="0"/>
    </w:pPr>
    <w:rPr>
      <w:rFonts w:cs="Arial"/>
    </w:rPr>
  </w:style>
  <w:style w:type="character" w:customStyle="1" w:styleId="NumberedlistLevel1Char">
    <w:name w:val="Numbered list Level 1 Char"/>
    <w:basedOn w:val="ListParagraphChar"/>
    <w:link w:val="NumberedlistLevel1"/>
    <w:locked/>
    <w:rsid w:val="00EC44DA"/>
    <w:rPr>
      <w:rFonts w:eastAsia="Times New Roman" w:cs="Times New Roman"/>
      <w:bCs/>
      <w:sz w:val="24"/>
      <w:szCs w:val="24"/>
      <w:lang w:val="x-none" w:eastAsia="en-US"/>
    </w:rPr>
  </w:style>
  <w:style w:type="paragraph" w:customStyle="1" w:styleId="NumberedListLevel2">
    <w:name w:val="Numbered List Level 2"/>
    <w:basedOn w:val="ListParagraph"/>
    <w:link w:val="NumberedListLevel2Char"/>
    <w:qFormat/>
    <w:rsid w:val="00EC44DA"/>
    <w:pPr>
      <w:numPr>
        <w:ilvl w:val="1"/>
        <w:numId w:val="2"/>
      </w:numPr>
      <w:spacing w:after="240" w:line="276" w:lineRule="auto"/>
      <w:contextualSpacing w:val="0"/>
    </w:pPr>
    <w:rPr>
      <w:rFonts w:cs="Arial"/>
    </w:rPr>
  </w:style>
  <w:style w:type="character" w:customStyle="1" w:styleId="NumberedListLevel2Char">
    <w:name w:val="Numbered List Level 2 Char"/>
    <w:basedOn w:val="ListParagraphChar"/>
    <w:link w:val="NumberedListLevel2"/>
    <w:locked/>
    <w:rsid w:val="00EC44DA"/>
    <w:rPr>
      <w:rFonts w:eastAsia="Times New Roman" w:cs="Times New Roman"/>
      <w:bCs/>
      <w:sz w:val="24"/>
      <w:szCs w:val="24"/>
      <w:lang w:val="x-none" w:eastAsia="en-US"/>
    </w:rPr>
  </w:style>
  <w:style w:type="paragraph" w:customStyle="1" w:styleId="NumberedListLevel3">
    <w:name w:val="Numbered List Level 3"/>
    <w:basedOn w:val="ListParagraph"/>
    <w:link w:val="NumberedListLevel3Char"/>
    <w:qFormat/>
    <w:rsid w:val="00EC44DA"/>
    <w:pPr>
      <w:numPr>
        <w:ilvl w:val="2"/>
        <w:numId w:val="2"/>
      </w:numPr>
      <w:spacing w:after="240" w:line="276" w:lineRule="auto"/>
    </w:pPr>
    <w:rPr>
      <w:rFonts w:cs="Arial"/>
    </w:rPr>
  </w:style>
  <w:style w:type="character" w:customStyle="1" w:styleId="NumberedListLevel3Char">
    <w:name w:val="Numbered List Level 3 Char"/>
    <w:basedOn w:val="ListParagraphChar"/>
    <w:link w:val="NumberedListLevel3"/>
    <w:locked/>
    <w:rsid w:val="00EC44DA"/>
    <w:rPr>
      <w:rFonts w:eastAsia="Times New Roman" w:cs="Times New Roman"/>
      <w:bCs/>
      <w:sz w:val="24"/>
      <w:szCs w:val="24"/>
      <w:lang w:val="x-none" w:eastAsia="en-US"/>
    </w:rPr>
  </w:style>
  <w:style w:type="paragraph" w:customStyle="1" w:styleId="BulletListLevel1">
    <w:name w:val="Bullet List Level 1"/>
    <w:basedOn w:val="NumberedlistLevel1"/>
    <w:link w:val="BulletListLevel1Char"/>
    <w:qFormat/>
    <w:rsid w:val="00FE7BCB"/>
    <w:pPr>
      <w:numPr>
        <w:numId w:val="3"/>
      </w:numPr>
    </w:pPr>
  </w:style>
  <w:style w:type="character" w:customStyle="1" w:styleId="BulletListLevel1Char">
    <w:name w:val="Bullet List Level 1 Char"/>
    <w:basedOn w:val="NumberedlistLevel1Char"/>
    <w:link w:val="BulletListLevel1"/>
    <w:locked/>
    <w:rsid w:val="00FE7BCB"/>
    <w:rPr>
      <w:rFonts w:eastAsia="Times New Roman" w:cs="Times New Roman"/>
      <w:bCs/>
      <w:sz w:val="24"/>
      <w:szCs w:val="24"/>
      <w:lang w:val="x-none" w:eastAsia="en-US"/>
    </w:rPr>
  </w:style>
  <w:style w:type="paragraph" w:customStyle="1" w:styleId="BulletListLevel2">
    <w:name w:val="Bullet List Level 2"/>
    <w:basedOn w:val="NumberedListLevel2"/>
    <w:link w:val="BulletListLevel2Char"/>
    <w:qFormat/>
    <w:rsid w:val="00EC44DA"/>
    <w:pPr>
      <w:numPr>
        <w:ilvl w:val="0"/>
        <w:numId w:val="4"/>
      </w:numPr>
    </w:pPr>
  </w:style>
  <w:style w:type="character" w:customStyle="1" w:styleId="BulletListLevel2Char">
    <w:name w:val="Bullet List Level 2 Char"/>
    <w:basedOn w:val="NumberedListLevel2Char"/>
    <w:link w:val="BulletListLevel2"/>
    <w:locked/>
    <w:rsid w:val="00EC44DA"/>
    <w:rPr>
      <w:rFonts w:eastAsia="Times New Roman" w:cs="Times New Roman"/>
      <w:bCs/>
      <w:sz w:val="24"/>
      <w:szCs w:val="24"/>
      <w:lang w:val="x-none" w:eastAsia="en-US"/>
    </w:rPr>
  </w:style>
  <w:style w:type="paragraph" w:customStyle="1" w:styleId="BulletListLevel3">
    <w:name w:val="Bullet List Level 3"/>
    <w:basedOn w:val="NumberedListLevel3"/>
    <w:link w:val="BulletListLevel3Char"/>
    <w:qFormat/>
    <w:rsid w:val="00EC44DA"/>
    <w:pPr>
      <w:numPr>
        <w:numId w:val="5"/>
      </w:numPr>
    </w:pPr>
  </w:style>
  <w:style w:type="character" w:customStyle="1" w:styleId="BulletListLevel3Char">
    <w:name w:val="Bullet List Level 3 Char"/>
    <w:basedOn w:val="NumberedListLevel3Char"/>
    <w:link w:val="BulletListLevel3"/>
    <w:locked/>
    <w:rsid w:val="00EC44DA"/>
    <w:rPr>
      <w:rFonts w:eastAsia="Times New Roman" w:cs="Times New Roman"/>
      <w:bCs/>
      <w:sz w:val="24"/>
      <w:szCs w:val="24"/>
      <w:lang w:val="x-none" w:eastAsia="en-US"/>
    </w:rPr>
  </w:style>
  <w:style w:type="table" w:styleId="TableGrid">
    <w:name w:val="Table Grid"/>
    <w:basedOn w:val="TableNormal"/>
    <w:uiPriority w:val="59"/>
    <w:rsid w:val="00F8631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link w:val="BasicParagraphChar"/>
    <w:uiPriority w:val="99"/>
    <w:rsid w:val="00C85A58"/>
    <w:pPr>
      <w:keepLines w:val="0"/>
      <w:autoSpaceDE w:val="0"/>
      <w:autoSpaceDN w:val="0"/>
      <w:adjustRightInd w:val="0"/>
      <w:spacing w:after="0" w:line="288" w:lineRule="auto"/>
      <w:textAlignment w:val="center"/>
    </w:pPr>
    <w:rPr>
      <w:rFonts w:ascii="Myriad Pro" w:hAnsi="Myriad Pro"/>
      <w:color w:val="000000"/>
      <w:lang w:val="en-GB" w:eastAsia="en-AU"/>
    </w:rPr>
  </w:style>
  <w:style w:type="character" w:customStyle="1" w:styleId="BasicParagraphChar">
    <w:name w:val="[Basic Paragraph] Char"/>
    <w:basedOn w:val="DefaultParagraphFont"/>
    <w:link w:val="BasicParagraph"/>
    <w:uiPriority w:val="99"/>
    <w:locked/>
    <w:rsid w:val="00C85A58"/>
    <w:rPr>
      <w:rFonts w:ascii="Myriad Pro" w:hAnsi="Myriad Pro" w:cs="Times New Roman"/>
      <w:color w:val="000000"/>
      <w:sz w:val="24"/>
      <w:szCs w:val="24"/>
      <w:lang w:val="en-GB" w:eastAsia="x-none"/>
    </w:rPr>
  </w:style>
  <w:style w:type="character" w:styleId="CommentReference">
    <w:name w:val="annotation reference"/>
    <w:basedOn w:val="DefaultParagraphFont"/>
    <w:uiPriority w:val="99"/>
    <w:semiHidden/>
    <w:unhideWhenUsed/>
    <w:rsid w:val="00D35AC6"/>
    <w:rPr>
      <w:rFonts w:cs="Times New Roman"/>
      <w:sz w:val="16"/>
      <w:szCs w:val="16"/>
    </w:rPr>
  </w:style>
  <w:style w:type="paragraph" w:styleId="CommentText">
    <w:name w:val="annotation text"/>
    <w:basedOn w:val="Normal"/>
    <w:link w:val="CommentTextChar"/>
    <w:uiPriority w:val="99"/>
    <w:semiHidden/>
    <w:unhideWhenUsed/>
    <w:rsid w:val="00D35AC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35AC6"/>
    <w:rPr>
      <w:rFonts w:eastAsia="Times New Roman" w:cs="Times New Roman"/>
      <w:sz w:val="20"/>
      <w:szCs w:val="20"/>
      <w:lang w:val="x-none" w:eastAsia="en-US"/>
    </w:rPr>
  </w:style>
  <w:style w:type="paragraph" w:styleId="BalloonText">
    <w:name w:val="Balloon Text"/>
    <w:basedOn w:val="Normal"/>
    <w:link w:val="BalloonTextChar"/>
    <w:uiPriority w:val="99"/>
    <w:semiHidden/>
    <w:unhideWhenUsed/>
    <w:rsid w:val="00D35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5AC6"/>
    <w:rPr>
      <w:rFonts w:ascii="Tahoma" w:hAnsi="Tahoma" w:cs="Tahoma"/>
      <w:sz w:val="16"/>
      <w:szCs w:val="16"/>
      <w:lang w:val="x-none" w:eastAsia="en-US"/>
    </w:rPr>
  </w:style>
  <w:style w:type="paragraph" w:styleId="CommentSubject">
    <w:name w:val="annotation subject"/>
    <w:basedOn w:val="CommentText"/>
    <w:next w:val="CommentText"/>
    <w:link w:val="CommentSubjectChar"/>
    <w:uiPriority w:val="99"/>
    <w:semiHidden/>
    <w:unhideWhenUsed/>
    <w:rsid w:val="000A02DF"/>
    <w:rPr>
      <w:b/>
      <w:bCs/>
    </w:rPr>
  </w:style>
  <w:style w:type="character" w:customStyle="1" w:styleId="CommentSubjectChar">
    <w:name w:val="Comment Subject Char"/>
    <w:basedOn w:val="CommentTextChar"/>
    <w:link w:val="CommentSubject"/>
    <w:uiPriority w:val="99"/>
    <w:semiHidden/>
    <w:locked/>
    <w:rsid w:val="000A02DF"/>
    <w:rPr>
      <w:rFonts w:eastAsia="Times New Roman" w:cs="Times New Roman"/>
      <w:b/>
      <w:bCs/>
      <w:sz w:val="20"/>
      <w:szCs w:val="20"/>
      <w:lang w:val="x-none" w:eastAsia="en-US"/>
    </w:rPr>
  </w:style>
  <w:style w:type="character" w:styleId="Hyperlink">
    <w:name w:val="Hyperlink"/>
    <w:basedOn w:val="DefaultParagraphFont"/>
    <w:uiPriority w:val="99"/>
    <w:unhideWhenUsed/>
    <w:rsid w:val="00153B54"/>
    <w:rPr>
      <w:rFonts w:cs="Times New Roman"/>
      <w:color w:val="0000FF" w:themeColor="hyperlink"/>
      <w:u w:val="single"/>
    </w:rPr>
  </w:style>
  <w:style w:type="paragraph" w:customStyle="1" w:styleId="NoParagraphStyle">
    <w:name w:val="[No Paragraph Style]"/>
    <w:rsid w:val="008F6008"/>
    <w:pPr>
      <w:autoSpaceDE w:val="0"/>
      <w:autoSpaceDN w:val="0"/>
      <w:adjustRightInd w:val="0"/>
      <w:spacing w:line="288" w:lineRule="auto"/>
      <w:textAlignment w:val="center"/>
    </w:pPr>
    <w:rPr>
      <w:rFonts w:ascii="Myriad Pro" w:hAnsi="Myriad Pro" w:cs="Times New Roman"/>
      <w:color w:val="000000"/>
      <w:sz w:val="24"/>
      <w:szCs w:val="24"/>
      <w:lang w:val="en-GB"/>
    </w:rPr>
  </w:style>
  <w:style w:type="paragraph" w:customStyle="1" w:styleId="Heading4colour">
    <w:name w:val="Heading 4 colour"/>
    <w:basedOn w:val="Heading4"/>
    <w:link w:val="Heading4colourChar"/>
    <w:qFormat/>
    <w:rsid w:val="00FA4A95"/>
    <w:rPr>
      <w:color w:val="2D4541" w:themeColor="accent2"/>
    </w:rPr>
  </w:style>
  <w:style w:type="table" w:customStyle="1" w:styleId="MediumShading1-Accent11">
    <w:name w:val="Medium Shading 1 - Accent 11"/>
    <w:basedOn w:val="TableNormal"/>
    <w:uiPriority w:val="63"/>
    <w:rsid w:val="00C150D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character" w:customStyle="1" w:styleId="Heading4colourChar">
    <w:name w:val="Heading 4 colour Char"/>
    <w:basedOn w:val="Heading4Char"/>
    <w:link w:val="Heading4colour"/>
    <w:locked/>
    <w:rsid w:val="00FA4A95"/>
    <w:rPr>
      <w:rFonts w:ascii="Verdana" w:eastAsiaTheme="majorEastAsia" w:hAnsi="Verdana" w:cs="Times New Roman"/>
      <w:b/>
      <w:bCs w:val="0"/>
      <w:color w:val="2D4541" w:themeColor="accent2"/>
      <w:sz w:val="28"/>
      <w:szCs w:val="28"/>
      <w:lang w:val="en-US" w:eastAsia="x-none"/>
    </w:rPr>
  </w:style>
  <w:style w:type="paragraph" w:styleId="TOC1">
    <w:name w:val="toc 1"/>
    <w:basedOn w:val="Normal"/>
    <w:next w:val="Normal"/>
    <w:autoRedefine/>
    <w:uiPriority w:val="39"/>
    <w:unhideWhenUsed/>
    <w:rsid w:val="00971F6E"/>
    <w:pPr>
      <w:tabs>
        <w:tab w:val="right" w:leader="dot" w:pos="9016"/>
      </w:tabs>
      <w:spacing w:after="100"/>
    </w:pPr>
    <w:rPr>
      <w:noProof/>
    </w:rPr>
  </w:style>
  <w:style w:type="paragraph" w:styleId="TOC2">
    <w:name w:val="toc 2"/>
    <w:basedOn w:val="Normal"/>
    <w:next w:val="Normal"/>
    <w:autoRedefine/>
    <w:uiPriority w:val="39"/>
    <w:unhideWhenUsed/>
    <w:rsid w:val="00A50723"/>
    <w:pPr>
      <w:spacing w:after="100"/>
      <w:ind w:left="240"/>
    </w:pPr>
  </w:style>
  <w:style w:type="paragraph" w:styleId="TOC3">
    <w:name w:val="toc 3"/>
    <w:basedOn w:val="Normal"/>
    <w:next w:val="Normal"/>
    <w:autoRedefine/>
    <w:uiPriority w:val="39"/>
    <w:unhideWhenUsed/>
    <w:rsid w:val="00B41605"/>
    <w:pPr>
      <w:tabs>
        <w:tab w:val="right" w:leader="dot" w:pos="9016"/>
      </w:tabs>
      <w:spacing w:after="100"/>
      <w:ind w:left="480"/>
    </w:pPr>
  </w:style>
  <w:style w:type="paragraph" w:styleId="TOC4">
    <w:name w:val="toc 4"/>
    <w:basedOn w:val="Normal"/>
    <w:next w:val="Normal"/>
    <w:autoRedefine/>
    <w:uiPriority w:val="39"/>
    <w:unhideWhenUsed/>
    <w:rsid w:val="00A50723"/>
    <w:pPr>
      <w:keepLines w:val="0"/>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A50723"/>
    <w:pPr>
      <w:keepLines w:val="0"/>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A50723"/>
    <w:pPr>
      <w:keepLines w:val="0"/>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A50723"/>
    <w:pPr>
      <w:keepLines w:val="0"/>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A50723"/>
    <w:pPr>
      <w:keepLines w:val="0"/>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A50723"/>
    <w:pPr>
      <w:keepLines w:val="0"/>
      <w:spacing w:after="100"/>
      <w:ind w:left="1760"/>
    </w:pPr>
    <w:rPr>
      <w:rFonts w:asciiTheme="minorHAnsi" w:eastAsiaTheme="minorEastAsia" w:hAnsiTheme="minorHAnsi"/>
      <w:sz w:val="22"/>
      <w:szCs w:val="22"/>
      <w:lang w:eastAsia="en-AU"/>
    </w:rPr>
  </w:style>
  <w:style w:type="character" w:customStyle="1" w:styleId="A10">
    <w:name w:val="A10"/>
    <w:basedOn w:val="DefaultParagraphFont"/>
    <w:uiPriority w:val="99"/>
    <w:rsid w:val="0046106D"/>
    <w:rPr>
      <w:rFonts w:ascii="Myriad Pro" w:hAnsi="Myriad Pro" w:cs="Times New Roman"/>
      <w:color w:val="000000"/>
    </w:rPr>
  </w:style>
  <w:style w:type="paragraph" w:styleId="FootnoteText">
    <w:name w:val="footnote text"/>
    <w:basedOn w:val="Normal"/>
    <w:link w:val="FootnoteTextChar"/>
    <w:uiPriority w:val="99"/>
    <w:semiHidden/>
    <w:unhideWhenUsed/>
    <w:rsid w:val="00542F9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2F95"/>
    <w:rPr>
      <w:rFonts w:cs="Times New Roman"/>
      <w:sz w:val="20"/>
      <w:szCs w:val="20"/>
      <w:lang w:val="x-none" w:eastAsia="en-US"/>
    </w:rPr>
  </w:style>
  <w:style w:type="character" w:styleId="FootnoteReference">
    <w:name w:val="footnote reference"/>
    <w:basedOn w:val="DefaultParagraphFont"/>
    <w:uiPriority w:val="99"/>
    <w:semiHidden/>
    <w:unhideWhenUsed/>
    <w:rsid w:val="00542F95"/>
    <w:rPr>
      <w:rFonts w:cs="Times New Roman"/>
      <w:vertAlign w:val="superscript"/>
    </w:rPr>
  </w:style>
  <w:style w:type="paragraph" w:styleId="NoSpacing">
    <w:name w:val="No Spacing"/>
    <w:link w:val="NoSpacingChar"/>
    <w:uiPriority w:val="1"/>
    <w:qFormat/>
    <w:rsid w:val="00DB7A2D"/>
    <w:rPr>
      <w:rFonts w:asciiTheme="minorHAnsi" w:eastAsiaTheme="minorEastAsia" w:hAnsiTheme="minorHAnsi" w:cs="Times New Roman"/>
      <w:lang w:val="en-US" w:eastAsia="en-US"/>
    </w:rPr>
  </w:style>
  <w:style w:type="character" w:customStyle="1" w:styleId="NoSpacingChar">
    <w:name w:val="No Spacing Char"/>
    <w:basedOn w:val="DefaultParagraphFont"/>
    <w:link w:val="NoSpacing"/>
    <w:uiPriority w:val="1"/>
    <w:locked/>
    <w:rsid w:val="00DB7A2D"/>
    <w:rPr>
      <w:rFonts w:asciiTheme="minorHAnsi" w:eastAsiaTheme="minorEastAsia" w:hAnsiTheme="minorHAnsi" w:cs="Times New Roman"/>
      <w:lang w:val="en-US" w:eastAsia="en-US"/>
    </w:rPr>
  </w:style>
  <w:style w:type="paragraph" w:styleId="Revision">
    <w:name w:val="Revision"/>
    <w:hidden/>
    <w:uiPriority w:val="99"/>
    <w:semiHidden/>
    <w:rsid w:val="00A0489E"/>
    <w:rPr>
      <w:rFonts w:cs="Times New Roman"/>
      <w:sz w:val="24"/>
      <w:szCs w:val="24"/>
      <w:lang w:eastAsia="en-US"/>
    </w:rPr>
  </w:style>
  <w:style w:type="paragraph" w:styleId="NormalWeb">
    <w:name w:val="Normal (Web)"/>
    <w:basedOn w:val="Normal"/>
    <w:uiPriority w:val="99"/>
    <w:unhideWhenUsed/>
    <w:rsid w:val="004470B8"/>
    <w:pPr>
      <w:keepLines w:val="0"/>
      <w:spacing w:before="100" w:beforeAutospacing="1" w:after="100" w:afterAutospacing="1" w:line="240" w:lineRule="auto"/>
    </w:pPr>
    <w:rPr>
      <w:rFonts w:ascii="Times New Roman" w:hAnsi="Times New Roman"/>
      <w:lang w:eastAsia="en-AU"/>
    </w:rPr>
  </w:style>
  <w:style w:type="paragraph" w:styleId="PlainText">
    <w:name w:val="Plain Text"/>
    <w:basedOn w:val="Normal"/>
    <w:link w:val="PlainTextChar"/>
    <w:uiPriority w:val="99"/>
    <w:semiHidden/>
    <w:unhideWhenUsed/>
    <w:rsid w:val="00405B29"/>
    <w:pPr>
      <w:keepLines w:val="0"/>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semiHidden/>
    <w:locked/>
    <w:rsid w:val="00405B29"/>
    <w:rPr>
      <w:rFonts w:ascii="Calibri" w:hAnsi="Calibri" w:cs="Consolas"/>
      <w:sz w:val="21"/>
      <w:szCs w:val="21"/>
      <w:lang w:val="x-none" w:eastAsia="en-US"/>
    </w:rPr>
  </w:style>
  <w:style w:type="paragraph" w:customStyle="1" w:styleId="Paragraph-BodyText">
    <w:name w:val="Paragraph - Body Text"/>
    <w:basedOn w:val="NoParagraphStyle"/>
    <w:uiPriority w:val="99"/>
    <w:rsid w:val="00B05450"/>
    <w:pPr>
      <w:suppressAutoHyphens/>
      <w:ind w:left="113" w:right="113"/>
    </w:pPr>
    <w:rPr>
      <w:rFonts w:cs="Myriad Pro"/>
      <w:w w:val="96"/>
      <w:sz w:val="22"/>
      <w:szCs w:val="22"/>
    </w:rPr>
  </w:style>
  <w:style w:type="table" w:customStyle="1" w:styleId="TableGrid1">
    <w:name w:val="Table Grid1"/>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70EA3"/>
    <w:pPr>
      <w:pBdr>
        <w:top w:val="single" w:sz="4" w:space="10" w:color="3D5C57" w:themeColor="accent1"/>
        <w:bottom w:val="single" w:sz="4" w:space="10" w:color="3D5C57" w:themeColor="accent1"/>
      </w:pBdr>
      <w:spacing w:before="360" w:after="360"/>
      <w:ind w:left="864" w:right="864"/>
      <w:jc w:val="center"/>
    </w:pPr>
    <w:rPr>
      <w:i/>
      <w:iCs/>
      <w:color w:val="3D5C57" w:themeColor="accent1"/>
    </w:rPr>
  </w:style>
  <w:style w:type="character" w:customStyle="1" w:styleId="IntenseQuoteChar">
    <w:name w:val="Intense Quote Char"/>
    <w:basedOn w:val="DefaultParagraphFont"/>
    <w:link w:val="IntenseQuote"/>
    <w:uiPriority w:val="30"/>
    <w:locked/>
    <w:rsid w:val="00970EA3"/>
    <w:rPr>
      <w:rFonts w:cs="Times New Roman"/>
      <w:i/>
      <w:iCs/>
      <w:color w:val="3D5C57" w:themeColor="accent1"/>
      <w:sz w:val="24"/>
      <w:szCs w:val="24"/>
      <w:lang w:val="x-none" w:eastAsia="en-US"/>
    </w:rPr>
  </w:style>
  <w:style w:type="character" w:customStyle="1" w:styleId="TableHeadingChar">
    <w:name w:val="Table Heading Char"/>
    <w:basedOn w:val="TableTextChar"/>
    <w:link w:val="TableHeading"/>
    <w:locked/>
    <w:rsid w:val="0011480C"/>
    <w:rPr>
      <w:rFonts w:cs="Arial"/>
      <w:b/>
      <w:bCs/>
      <w:color w:val="FFFFFF" w:themeColor="background1"/>
      <w:sz w:val="24"/>
      <w:szCs w:val="24"/>
      <w:lang w:val="en-US" w:eastAsia="en-US"/>
    </w:rPr>
  </w:style>
  <w:style w:type="paragraph" w:customStyle="1" w:styleId="TableHeading">
    <w:name w:val="Table Heading"/>
    <w:basedOn w:val="TableText"/>
    <w:link w:val="TableHeadingChar"/>
    <w:qFormat/>
    <w:rsid w:val="0011480C"/>
    <w:pPr>
      <w:keepLines w:val="0"/>
      <w:spacing w:before="120" w:after="120" w:line="240" w:lineRule="auto"/>
      <w:contextualSpacing w:val="0"/>
    </w:pPr>
    <w:rPr>
      <w:rFonts w:cs="Times New Roman"/>
      <w:b/>
      <w:bCs/>
      <w:color w:val="FFFFFF" w:themeColor="background1"/>
      <w:sz w:val="22"/>
      <w:szCs w:val="22"/>
      <w:lang w:val="en-AU" w:eastAsia="en-AU"/>
    </w:rPr>
  </w:style>
  <w:style w:type="paragraph" w:customStyle="1" w:styleId="Indenta">
    <w:name w:val="Indent(a)"/>
    <w:rsid w:val="00C759DD"/>
    <w:pPr>
      <w:tabs>
        <w:tab w:val="right" w:pos="1332"/>
        <w:tab w:val="left" w:pos="1616"/>
      </w:tabs>
      <w:spacing w:before="80" w:line="260" w:lineRule="atLeast"/>
      <w:ind w:left="1616" w:hanging="1616"/>
    </w:pPr>
    <w:rPr>
      <w:rFonts w:ascii="Times New Roman" w:hAnsi="Times New Roman" w:cs="Times New Roman"/>
      <w:sz w:val="24"/>
      <w:szCs w:val="20"/>
      <w:lang w:eastAsia="en-US"/>
    </w:rPr>
  </w:style>
  <w:style w:type="paragraph" w:customStyle="1" w:styleId="Style1">
    <w:name w:val="Style1"/>
    <w:basedOn w:val="Normal"/>
    <w:rsid w:val="00184206"/>
    <w:pPr>
      <w:keepLines w:val="0"/>
      <w:tabs>
        <w:tab w:val="left" w:pos="709"/>
        <w:tab w:val="left" w:pos="992"/>
        <w:tab w:val="left" w:pos="1276"/>
        <w:tab w:val="left" w:pos="1559"/>
      </w:tabs>
      <w:spacing w:after="0" w:line="240" w:lineRule="auto"/>
    </w:pPr>
    <w:rPr>
      <w:bCs/>
      <w:caps/>
      <w:sz w:val="22"/>
      <w:szCs w:val="20"/>
    </w:rPr>
  </w:style>
  <w:style w:type="paragraph" w:customStyle="1" w:styleId="Normal-Act">
    <w:name w:val="Normal - Act"/>
    <w:basedOn w:val="Normal"/>
    <w:link w:val="Normal-ActChar"/>
    <w:qFormat/>
    <w:rsid w:val="0080044F"/>
    <w:pPr>
      <w:keepLines w:val="0"/>
      <w:spacing w:before="120"/>
    </w:pPr>
    <w:rPr>
      <w:i/>
    </w:rPr>
  </w:style>
  <w:style w:type="character" w:customStyle="1" w:styleId="Normal-ActChar">
    <w:name w:val="Normal - Act Char"/>
    <w:basedOn w:val="DefaultParagraphFont"/>
    <w:link w:val="Normal-Act"/>
    <w:locked/>
    <w:rsid w:val="0080044F"/>
    <w:rPr>
      <w:rFonts w:eastAsia="Times New Roman" w:cs="Times New Roman"/>
      <w:i/>
      <w:sz w:val="24"/>
      <w:szCs w:val="24"/>
      <w:lang w:val="x-none" w:eastAsia="en-US"/>
    </w:rPr>
  </w:style>
  <w:style w:type="paragraph" w:customStyle="1" w:styleId="H2">
    <w:name w:val="H2"/>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635400"/>
      <w:sz w:val="36"/>
      <w:szCs w:val="36"/>
      <w:lang w:val="en-GB" w:eastAsia="en-AU"/>
    </w:rPr>
  </w:style>
  <w:style w:type="paragraph" w:customStyle="1" w:styleId="H2sub">
    <w:name w:val="H2 sub"/>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000000"/>
      <w:sz w:val="28"/>
      <w:szCs w:val="28"/>
      <w:lang w:val="en-GB" w:eastAsia="en-AU"/>
    </w:rPr>
  </w:style>
  <w:style w:type="character" w:customStyle="1" w:styleId="H2-gold">
    <w:name w:val="H2 - gold"/>
    <w:uiPriority w:val="99"/>
    <w:rsid w:val="00C93F88"/>
    <w:rPr>
      <w:rFonts w:ascii="Century Gothic" w:hAnsi="Century Gothic"/>
      <w:b/>
      <w:color w:val="635400"/>
      <w:sz w:val="36"/>
    </w:rPr>
  </w:style>
  <w:style w:type="character" w:customStyle="1" w:styleId="H2sub-black">
    <w:name w:val="H2 sub - black"/>
    <w:uiPriority w:val="99"/>
    <w:rsid w:val="00C93F88"/>
    <w:rPr>
      <w:rFonts w:ascii="Century Gothic" w:hAnsi="Century Gothic"/>
      <w:b/>
      <w:color w:val="000000"/>
      <w:sz w:val="28"/>
    </w:rPr>
  </w:style>
  <w:style w:type="paragraph" w:customStyle="1" w:styleId="tablenumbers">
    <w:name w:val="table numbers"/>
    <w:basedOn w:val="NoParagraphStyle"/>
    <w:uiPriority w:val="99"/>
    <w:rsid w:val="004C1EBE"/>
    <w:pPr>
      <w:suppressAutoHyphens/>
      <w:jc w:val="right"/>
    </w:pPr>
    <w:rPr>
      <w:rFonts w:ascii="Myriad Pro Light" w:hAnsi="Myriad Pro Light" w:cs="Myriad Pro Light"/>
      <w:sz w:val="16"/>
      <w:szCs w:val="16"/>
    </w:rPr>
  </w:style>
  <w:style w:type="character" w:customStyle="1" w:styleId="MinorTotal">
    <w:name w:val="Minor Total"/>
    <w:uiPriority w:val="99"/>
    <w:rsid w:val="004C1EBE"/>
    <w:rPr>
      <w:rFonts w:ascii="Myriad Pro Light" w:hAnsi="Myriad Pro Light"/>
      <w:sz w:val="16"/>
    </w:rPr>
  </w:style>
  <w:style w:type="character" w:customStyle="1" w:styleId="MajorTotal">
    <w:name w:val="Major Total"/>
    <w:uiPriority w:val="99"/>
    <w:rsid w:val="004C1EBE"/>
    <w:rPr>
      <w:rFonts w:ascii="Myriad Pro" w:hAnsi="Myriad Pro"/>
      <w:b/>
      <w:color w:val="000000"/>
      <w:sz w:val="16"/>
    </w:rPr>
  </w:style>
  <w:style w:type="paragraph" w:customStyle="1" w:styleId="body">
    <w:name w:val="body"/>
    <w:basedOn w:val="Paragraph-BodyText"/>
    <w:uiPriority w:val="99"/>
    <w:rsid w:val="00595605"/>
    <w:pPr>
      <w:ind w:left="0" w:right="0"/>
    </w:pPr>
  </w:style>
  <w:style w:type="character" w:customStyle="1" w:styleId="body1">
    <w:name w:val="body1"/>
    <w:uiPriority w:val="99"/>
    <w:rsid w:val="00400F81"/>
    <w:rPr>
      <w:rFonts w:ascii="Myriad Pro" w:hAnsi="Myriad Pro"/>
      <w:color w:val="000000"/>
      <w:sz w:val="22"/>
    </w:rPr>
  </w:style>
  <w:style w:type="paragraph" w:customStyle="1" w:styleId="bodysmall">
    <w:name w:val="body small"/>
    <w:basedOn w:val="Paragraph-BodyText"/>
    <w:uiPriority w:val="99"/>
    <w:rsid w:val="00305D47"/>
    <w:pPr>
      <w:ind w:left="0" w:right="0"/>
    </w:pPr>
    <w:rPr>
      <w:sz w:val="16"/>
      <w:szCs w:val="16"/>
    </w:rPr>
  </w:style>
  <w:style w:type="character" w:customStyle="1" w:styleId="H4-blackitalic">
    <w:name w:val="H4 - black italic"/>
    <w:uiPriority w:val="99"/>
    <w:rsid w:val="00305D47"/>
    <w:rPr>
      <w:rFonts w:ascii="Myriad Pro" w:hAnsi="Myriad Pro"/>
      <w:b/>
      <w:i/>
      <w:color w:val="000000"/>
      <w:sz w:val="24"/>
    </w:rPr>
  </w:style>
  <w:style w:type="paragraph" w:customStyle="1" w:styleId="H2GoldNumbered">
    <w:name w:val="H2 Gold Numbered"/>
    <w:basedOn w:val="H2"/>
    <w:uiPriority w:val="99"/>
    <w:rsid w:val="00391419"/>
    <w:pPr>
      <w:ind w:left="360" w:hanging="360"/>
    </w:pPr>
  </w:style>
  <w:style w:type="paragraph" w:customStyle="1" w:styleId="bodyinumbered">
    <w:name w:val="body i) numbered"/>
    <w:basedOn w:val="bodysmall"/>
    <w:next w:val="body"/>
    <w:uiPriority w:val="99"/>
    <w:rsid w:val="00391419"/>
    <w:pPr>
      <w:ind w:left="360" w:hanging="360"/>
    </w:pPr>
    <w:rPr>
      <w:sz w:val="22"/>
      <w:szCs w:val="22"/>
    </w:rPr>
  </w:style>
  <w:style w:type="character" w:customStyle="1" w:styleId="H3sub-gold">
    <w:name w:val="H3 sub - gold"/>
    <w:basedOn w:val="body1"/>
    <w:uiPriority w:val="99"/>
    <w:rsid w:val="00391419"/>
    <w:rPr>
      <w:rFonts w:ascii="Century Gothic" w:hAnsi="Century Gothic" w:cs="Century Gothic"/>
      <w:b/>
      <w:bCs/>
      <w:color w:val="635400"/>
      <w:sz w:val="24"/>
      <w:szCs w:val="24"/>
    </w:rPr>
  </w:style>
  <w:style w:type="character" w:customStyle="1" w:styleId="H3-green">
    <w:name w:val="H3 - green"/>
    <w:basedOn w:val="H2sub-black"/>
    <w:uiPriority w:val="99"/>
    <w:rsid w:val="00391419"/>
    <w:rPr>
      <w:rFonts w:ascii="Century Gothic" w:hAnsi="Century Gothic" w:cs="Century Gothic"/>
      <w:b/>
      <w:bCs/>
      <w:color w:val="00320C"/>
      <w:sz w:val="28"/>
      <w:szCs w:val="28"/>
    </w:rPr>
  </w:style>
  <w:style w:type="character" w:customStyle="1" w:styleId="Headingtable6section">
    <w:name w:val="Heading table 6 section"/>
    <w:uiPriority w:val="99"/>
    <w:rsid w:val="00DC0FA9"/>
    <w:rPr>
      <w:rFonts w:ascii="Myriad Pro" w:hAnsi="Myriad Pro"/>
      <w:b/>
      <w:color w:val="000000"/>
      <w:sz w:val="20"/>
    </w:rPr>
  </w:style>
  <w:style w:type="character" w:customStyle="1" w:styleId="bodytable6section">
    <w:name w:val="body table 6. section"/>
    <w:uiPriority w:val="99"/>
    <w:rsid w:val="00DC0FA9"/>
    <w:rPr>
      <w:rFonts w:ascii="Myriad Pro Light" w:hAnsi="Myriad Pro Light"/>
      <w:color w:val="000000"/>
      <w:sz w:val="20"/>
    </w:rPr>
  </w:style>
  <w:style w:type="character" w:customStyle="1" w:styleId="bodytable6section-b">
    <w:name w:val="body table 6 section - b"/>
    <w:basedOn w:val="DefaultParagraphFont"/>
    <w:uiPriority w:val="99"/>
    <w:rsid w:val="007F38DB"/>
    <w:rPr>
      <w:rFonts w:ascii="Myriad Pro Light" w:hAnsi="Myriad Pro Light" w:cs="Myriad Pro Light"/>
      <w:color w:val="000000"/>
      <w:sz w:val="16"/>
      <w:szCs w:val="16"/>
    </w:rPr>
  </w:style>
  <w:style w:type="character" w:customStyle="1" w:styleId="headingtablesection6-b">
    <w:name w:val="heading table section 6-b"/>
    <w:basedOn w:val="bodytable6section-b"/>
    <w:uiPriority w:val="99"/>
    <w:rsid w:val="007F38DB"/>
    <w:rPr>
      <w:rFonts w:ascii="Myriad Pro" w:hAnsi="Myriad Pro" w:cs="Myriad Pro"/>
      <w:b/>
      <w:bCs/>
      <w:color w:val="000000"/>
      <w:sz w:val="16"/>
      <w:szCs w:val="16"/>
    </w:rPr>
  </w:style>
  <w:style w:type="character" w:customStyle="1" w:styleId="MainTableFont">
    <w:name w:val="Main Table Font"/>
    <w:uiPriority w:val="99"/>
    <w:rsid w:val="0043249C"/>
    <w:rPr>
      <w:rFonts w:ascii="Myriad Pro Light" w:hAnsi="Myriad Pro Light"/>
      <w:sz w:val="16"/>
    </w:rPr>
  </w:style>
  <w:style w:type="character" w:customStyle="1" w:styleId="TopDescriptor">
    <w:name w:val="Top Descriptor"/>
    <w:uiPriority w:val="99"/>
    <w:rsid w:val="0043249C"/>
    <w:rPr>
      <w:rFonts w:ascii="Myriad Pro Light" w:hAnsi="Myriad Pro Light"/>
      <w:sz w:val="16"/>
    </w:rPr>
  </w:style>
  <w:style w:type="character" w:customStyle="1" w:styleId="MinorTableHeading">
    <w:name w:val="Minor Table Heading"/>
    <w:uiPriority w:val="99"/>
    <w:rsid w:val="002B1121"/>
    <w:rPr>
      <w:rFonts w:ascii="Myriad Pro Light" w:hAnsi="Myriad Pro Light"/>
      <w:i/>
      <w:color w:val="004400"/>
      <w:sz w:val="16"/>
    </w:rPr>
  </w:style>
  <w:style w:type="character" w:customStyle="1" w:styleId="MajorTableHeading">
    <w:name w:val="Major Table Heading"/>
    <w:uiPriority w:val="99"/>
    <w:rsid w:val="002B1121"/>
    <w:rPr>
      <w:rFonts w:ascii="Myriad Pro Black" w:hAnsi="Myriad Pro Black"/>
      <w:color w:val="004400"/>
      <w:sz w:val="16"/>
    </w:rPr>
  </w:style>
  <w:style w:type="paragraph" w:customStyle="1" w:styleId="H2GoldNumberedLargeFinancialStyles">
    <w:name w:val="H2 Gold Numbered Large (Financial Styles)"/>
    <w:basedOn w:val="Normal"/>
    <w:uiPriority w:val="99"/>
    <w:rsid w:val="002C3275"/>
    <w:pPr>
      <w:keepLines w:val="0"/>
      <w:suppressAutoHyphens/>
      <w:autoSpaceDE w:val="0"/>
      <w:autoSpaceDN w:val="0"/>
      <w:adjustRightInd w:val="0"/>
      <w:spacing w:after="170" w:line="288" w:lineRule="auto"/>
      <w:ind w:left="737" w:hanging="737"/>
      <w:textAlignment w:val="center"/>
    </w:pPr>
    <w:rPr>
      <w:rFonts w:ascii="Century Gothic" w:hAnsi="Century Gothic" w:cs="Century Gothic"/>
      <w:b/>
      <w:bCs/>
      <w:color w:val="907D00"/>
      <w:sz w:val="36"/>
      <w:szCs w:val="36"/>
      <w:lang w:val="en-GB" w:eastAsia="en-AU"/>
    </w:rPr>
  </w:style>
  <w:style w:type="paragraph" w:customStyle="1" w:styleId="bodyFinancialStyles">
    <w:name w:val="body (Financial Styles)"/>
    <w:basedOn w:val="Paragraph-BodyText"/>
    <w:uiPriority w:val="99"/>
    <w:rsid w:val="002C3275"/>
    <w:pPr>
      <w:ind w:left="0" w:right="0"/>
    </w:pPr>
  </w:style>
  <w:style w:type="character" w:customStyle="1" w:styleId="H2-goldFinancialStyles">
    <w:name w:val="H2 - gold (Financial Styles)"/>
    <w:uiPriority w:val="99"/>
    <w:rsid w:val="002C3275"/>
    <w:rPr>
      <w:rFonts w:ascii="Century Gothic" w:hAnsi="Century Gothic"/>
      <w:b/>
      <w:color w:val="907D00"/>
      <w:sz w:val="36"/>
    </w:rPr>
  </w:style>
  <w:style w:type="character" w:customStyle="1" w:styleId="MainTableFontFinancialStyles">
    <w:name w:val="Main Table Font (Financial Styles)"/>
    <w:uiPriority w:val="99"/>
    <w:rsid w:val="002C3275"/>
    <w:rPr>
      <w:rFonts w:ascii="Myriad Pro Light" w:hAnsi="Myriad Pro Light"/>
      <w:sz w:val="16"/>
    </w:rPr>
  </w:style>
  <w:style w:type="character" w:customStyle="1" w:styleId="MajorTableHeadingFinancialStyles">
    <w:name w:val="Major Table Heading (Financial Styles)"/>
    <w:uiPriority w:val="99"/>
    <w:rsid w:val="002C3275"/>
    <w:rPr>
      <w:rFonts w:ascii="Century Gothic" w:hAnsi="Century Gothic"/>
      <w:b/>
      <w:color w:val="2E5250"/>
      <w:sz w:val="18"/>
    </w:rPr>
  </w:style>
  <w:style w:type="character" w:customStyle="1" w:styleId="TopDescriptorFinancialStyles">
    <w:name w:val="Top Descriptor (Financial Styles)"/>
    <w:uiPriority w:val="99"/>
    <w:rsid w:val="002C3275"/>
    <w:rPr>
      <w:rFonts w:ascii="Myriad Pro Light" w:hAnsi="Myriad Pro Light"/>
      <w:sz w:val="16"/>
    </w:rPr>
  </w:style>
  <w:style w:type="character" w:customStyle="1" w:styleId="MajorTotalFinancialStyles">
    <w:name w:val="Major Total (Financial Styles)"/>
    <w:uiPriority w:val="99"/>
    <w:rsid w:val="002C3275"/>
    <w:rPr>
      <w:rFonts w:ascii="Myriad Pro" w:hAnsi="Myriad Pro"/>
      <w:b/>
      <w:color w:val="000000"/>
      <w:sz w:val="16"/>
    </w:rPr>
  </w:style>
  <w:style w:type="character" w:customStyle="1" w:styleId="1stTierHeadingFinancialStyles">
    <w:name w:val="1st Tier Heading (Financial Styles)"/>
    <w:uiPriority w:val="99"/>
    <w:rsid w:val="00F150E3"/>
    <w:rPr>
      <w:rFonts w:ascii="Myriad Pro" w:hAnsi="Myriad Pro"/>
      <w:b/>
      <w:color w:val="2E5250"/>
      <w:sz w:val="20"/>
    </w:rPr>
  </w:style>
  <w:style w:type="character" w:customStyle="1" w:styleId="MinorTableHeadingFinancialStyles">
    <w:name w:val="Minor Table Heading (Financial Styles)"/>
    <w:uiPriority w:val="99"/>
    <w:rsid w:val="00F150E3"/>
    <w:rPr>
      <w:rFonts w:ascii="Myriad Pro Light" w:hAnsi="Myriad Pro Light"/>
      <w:i/>
      <w:color w:val="2E5250"/>
      <w:sz w:val="16"/>
    </w:rPr>
  </w:style>
  <w:style w:type="character" w:customStyle="1" w:styleId="H3-greenFinancialStyles">
    <w:name w:val="H3 - green (Financial Styles)"/>
    <w:basedOn w:val="DefaultParagraphFont"/>
    <w:uiPriority w:val="99"/>
    <w:rsid w:val="002A38B0"/>
    <w:rPr>
      <w:rFonts w:ascii="Century Gothic" w:hAnsi="Century Gothic" w:cs="Century Gothic"/>
      <w:b/>
      <w:bCs/>
      <w:color w:val="355A5A"/>
      <w:sz w:val="28"/>
      <w:szCs w:val="28"/>
    </w:rPr>
  </w:style>
  <w:style w:type="character" w:customStyle="1" w:styleId="MinorTotalFinancialStyles">
    <w:name w:val="Minor Total (Financial Styles)"/>
    <w:uiPriority w:val="99"/>
    <w:rsid w:val="00F02DB6"/>
    <w:rPr>
      <w:rFonts w:ascii="Myriad Pro Light" w:hAnsi="Myriad Pro Light"/>
      <w:sz w:val="16"/>
    </w:rPr>
  </w:style>
  <w:style w:type="paragraph" w:customStyle="1" w:styleId="StyleJustified">
    <w:name w:val="Style Justified"/>
    <w:basedOn w:val="Normal"/>
    <w:rsid w:val="00B33F30"/>
    <w:pPr>
      <w:keepLines w:val="0"/>
      <w:spacing w:before="60" w:after="60" w:line="240" w:lineRule="auto"/>
      <w:jc w:val="both"/>
    </w:pPr>
    <w:rPr>
      <w:szCs w:val="20"/>
    </w:rPr>
  </w:style>
  <w:style w:type="character" w:styleId="FollowedHyperlink">
    <w:name w:val="FollowedHyperlink"/>
    <w:basedOn w:val="DefaultParagraphFont"/>
    <w:uiPriority w:val="99"/>
    <w:semiHidden/>
    <w:unhideWhenUsed/>
    <w:rsid w:val="006D5E46"/>
    <w:rPr>
      <w:rFonts w:cs="Times New Roman"/>
      <w:color w:val="800080" w:themeColor="followedHyperlink"/>
      <w:u w:val="single"/>
    </w:rPr>
  </w:style>
  <w:style w:type="character" w:styleId="PlaceholderText">
    <w:name w:val="Placeholder Text"/>
    <w:basedOn w:val="DefaultParagraphFont"/>
    <w:uiPriority w:val="99"/>
    <w:semiHidden/>
    <w:rsid w:val="005B696E"/>
    <w:rPr>
      <w:rFonts w:cs="Times New Roman"/>
    </w:rPr>
  </w:style>
  <w:style w:type="paragraph" w:customStyle="1" w:styleId="Pa4">
    <w:name w:val="Pa4"/>
    <w:basedOn w:val="Default"/>
    <w:next w:val="Default"/>
    <w:uiPriority w:val="99"/>
    <w:rsid w:val="005B05E3"/>
    <w:pPr>
      <w:keepLines w:val="0"/>
      <w:autoSpaceDE w:val="0"/>
      <w:autoSpaceDN w:val="0"/>
      <w:adjustRightInd w:val="0"/>
      <w:spacing w:after="0" w:line="221" w:lineRule="atLeast"/>
    </w:pPr>
    <w:rPr>
      <w:rFonts w:ascii="Myriad Pro" w:hAnsi="Myriad Pro"/>
      <w:lang w:eastAsia="en-AU"/>
    </w:rPr>
  </w:style>
  <w:style w:type="table" w:customStyle="1" w:styleId="GridTable1Light-Accent31">
    <w:name w:val="Grid Table 1 Light - Accent 31"/>
    <w:basedOn w:val="TableNormal"/>
    <w:uiPriority w:val="46"/>
    <w:rsid w:val="00E76B0E"/>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paragraph" w:customStyle="1" w:styleId="WCHeading1">
    <w:name w:val="WC Heading 1"/>
    <w:basedOn w:val="Normal"/>
    <w:next w:val="Normal"/>
    <w:rsid w:val="0039132D"/>
    <w:pPr>
      <w:keepLines w:val="0"/>
      <w:numPr>
        <w:numId w:val="6"/>
      </w:numPr>
      <w:spacing w:before="240" w:line="240" w:lineRule="auto"/>
    </w:pPr>
    <w:rPr>
      <w:b/>
    </w:rPr>
  </w:style>
  <w:style w:type="paragraph" w:customStyle="1" w:styleId="WCHeading4">
    <w:name w:val="WC_Heading_4"/>
    <w:basedOn w:val="Normal"/>
    <w:rsid w:val="0039132D"/>
    <w:pPr>
      <w:keepLines w:val="0"/>
      <w:numPr>
        <w:ilvl w:val="3"/>
        <w:numId w:val="6"/>
      </w:numPr>
      <w:spacing w:before="60" w:after="60" w:line="240" w:lineRule="auto"/>
    </w:pPr>
    <w:rPr>
      <w:bCs/>
    </w:rPr>
  </w:style>
  <w:style w:type="paragraph" w:customStyle="1" w:styleId="WCHeading2">
    <w:name w:val="WC Heading 2"/>
    <w:basedOn w:val="Normal"/>
    <w:next w:val="Normal"/>
    <w:rsid w:val="0039132D"/>
    <w:pPr>
      <w:keepLines w:val="0"/>
      <w:numPr>
        <w:ilvl w:val="1"/>
        <w:numId w:val="6"/>
      </w:numPr>
      <w:spacing w:before="240" w:after="190" w:line="240" w:lineRule="auto"/>
    </w:pPr>
    <w:rPr>
      <w:b/>
      <w:i/>
    </w:rPr>
  </w:style>
  <w:style w:type="paragraph" w:customStyle="1" w:styleId="WCHeading3">
    <w:name w:val="WC Heading 3"/>
    <w:basedOn w:val="Normal"/>
    <w:next w:val="Normal"/>
    <w:rsid w:val="0039132D"/>
    <w:pPr>
      <w:keepLines w:val="0"/>
      <w:numPr>
        <w:ilvl w:val="2"/>
        <w:numId w:val="6"/>
      </w:numPr>
      <w:spacing w:before="240" w:after="190" w:line="240" w:lineRule="auto"/>
    </w:pPr>
    <w:rPr>
      <w:i/>
    </w:rPr>
  </w:style>
  <w:style w:type="paragraph" w:styleId="Quote">
    <w:name w:val="Quote"/>
    <w:basedOn w:val="Normal"/>
    <w:next w:val="Normal"/>
    <w:link w:val="QuoteChar"/>
    <w:uiPriority w:val="29"/>
    <w:qFormat/>
    <w:rsid w:val="00876F3A"/>
    <w:pPr>
      <w:spacing w:before="200" w:after="160"/>
      <w:ind w:left="864" w:right="864"/>
      <w:jc w:val="center"/>
    </w:pPr>
    <w:rPr>
      <w:i/>
      <w:iCs/>
      <w:color w:val="CCAF2E" w:themeColor="text1" w:themeTint="BF"/>
    </w:rPr>
  </w:style>
  <w:style w:type="character" w:customStyle="1" w:styleId="QuoteChar">
    <w:name w:val="Quote Char"/>
    <w:basedOn w:val="DefaultParagraphFont"/>
    <w:link w:val="Quote"/>
    <w:uiPriority w:val="29"/>
    <w:locked/>
    <w:rsid w:val="00876F3A"/>
    <w:rPr>
      <w:rFonts w:cs="Times New Roman"/>
      <w:i/>
      <w:iCs/>
      <w:color w:val="CCAF2E" w:themeColor="text1" w:themeTint="BF"/>
      <w:sz w:val="24"/>
      <w:szCs w:val="24"/>
      <w:lang w:val="x-none" w:eastAsia="en-US"/>
    </w:rPr>
  </w:style>
  <w:style w:type="character" w:customStyle="1" w:styleId="context">
    <w:name w:val="context"/>
    <w:basedOn w:val="DefaultParagraphFont"/>
    <w:rsid w:val="007C0402"/>
    <w:rPr>
      <w:rFonts w:cs="Times New Roman"/>
    </w:rPr>
  </w:style>
  <w:style w:type="paragraph" w:customStyle="1" w:styleId="TableParagraph">
    <w:name w:val="Table Paragraph"/>
    <w:basedOn w:val="Normal"/>
    <w:uiPriority w:val="1"/>
    <w:qFormat/>
    <w:rsid w:val="002476D1"/>
    <w:pPr>
      <w:keepLines w:val="0"/>
      <w:widowControl w:val="0"/>
      <w:autoSpaceDE w:val="0"/>
      <w:autoSpaceDN w:val="0"/>
      <w:adjustRightInd w:val="0"/>
      <w:spacing w:after="0" w:line="240" w:lineRule="auto"/>
    </w:pPr>
    <w:rPr>
      <w:rFonts w:ascii="Times New Roman" w:eastAsiaTheme="minorEastAsia" w:hAnsi="Times New Roman"/>
      <w:lang w:eastAsia="en-AU"/>
    </w:rPr>
  </w:style>
  <w:style w:type="table" w:customStyle="1" w:styleId="TableGrid3">
    <w:name w:val="Table Grid3"/>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0262F8"/>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1">
    <w:name w:val="Table Grid1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Accent 31"/>
    <w:basedOn w:val="TableNormal"/>
    <w:uiPriority w:val="46"/>
    <w:rsid w:val="000262F8"/>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6">
    <w:name w:val="Table Grid6"/>
    <w:basedOn w:val="TableNormal"/>
    <w:next w:val="TableGrid"/>
    <w:uiPriority w:val="59"/>
    <w:rsid w:val="00DA67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30547A"/>
    <w:pPr>
      <w:keepLines w:val="0"/>
      <w:autoSpaceDE w:val="0"/>
      <w:autoSpaceDN w:val="0"/>
      <w:adjustRightInd w:val="0"/>
      <w:spacing w:after="0" w:line="241" w:lineRule="atLeast"/>
    </w:pPr>
    <w:rPr>
      <w:rFonts w:ascii="Myriad Pro" w:hAnsi="Myriad Pro" w:cs="Arial"/>
      <w:lang w:eastAsia="en-AU"/>
    </w:rPr>
  </w:style>
  <w:style w:type="character" w:customStyle="1" w:styleId="A12">
    <w:name w:val="A12"/>
    <w:uiPriority w:val="99"/>
    <w:rsid w:val="0030547A"/>
    <w:rPr>
      <w:rFonts w:cs="Myriad Pro"/>
      <w:color w:val="000000"/>
      <w:sz w:val="22"/>
      <w:szCs w:val="22"/>
    </w:rPr>
  </w:style>
  <w:style w:type="paragraph" w:styleId="DocumentMap">
    <w:name w:val="Document Map"/>
    <w:basedOn w:val="Normal"/>
    <w:link w:val="DocumentMapChar"/>
    <w:uiPriority w:val="99"/>
    <w:semiHidden/>
    <w:unhideWhenUsed/>
    <w:rsid w:val="00B948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48AD"/>
    <w:rPr>
      <w:rFonts w:ascii="Tahoma" w:hAnsi="Tahoma" w:cs="Tahoma"/>
      <w:sz w:val="16"/>
      <w:szCs w:val="16"/>
      <w:lang w:eastAsia="en-US"/>
    </w:rPr>
  </w:style>
  <w:style w:type="numbering" w:customStyle="1" w:styleId="NoList1">
    <w:name w:val="No List1"/>
    <w:next w:val="NoList"/>
    <w:uiPriority w:val="99"/>
    <w:semiHidden/>
    <w:unhideWhenUsed/>
    <w:rsid w:val="005E4C0B"/>
  </w:style>
  <w:style w:type="table" w:customStyle="1" w:styleId="TableGrid4">
    <w:name w:val="Table Grid4"/>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5E4C0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2">
    <w:name w:val="Table Grid1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 Accent 311"/>
    <w:basedOn w:val="TableNormal"/>
    <w:uiPriority w:val="46"/>
    <w:rsid w:val="005E4C0B"/>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31">
    <w:name w:val="Table Grid3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1">
    <w:name w:val="Medium Shading 1 - Accent 1111"/>
    <w:basedOn w:val="TableNormal"/>
    <w:uiPriority w:val="63"/>
    <w:rsid w:val="005E4C0B"/>
    <w:rPr>
      <w:rFonts w:cs="Times New Roman"/>
    </w:rPr>
    <w:tblPr>
      <w:tblStyleRowBandSize w:val="1"/>
      <w:tblStyleColBandSize w:val="1"/>
      <w:tbl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single" w:sz="8" w:space="0" w:color="609189" w:themeColor="accent1" w:themeTint="BF"/>
      </w:tblBorders>
    </w:tblPr>
    <w:tblStylePr w:type="firstRow">
      <w:pPr>
        <w:spacing w:before="0" w:after="0"/>
      </w:pPr>
      <w:rPr>
        <w:rFonts w:cs="Times New Roman"/>
        <w:b/>
        <w:bCs/>
        <w:color w:val="FFFFFF" w:themeColor="background1"/>
      </w:rPr>
      <w:tblPr/>
      <w:tcPr>
        <w:tcBorders>
          <w:top w:val="single" w:sz="8"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shd w:val="clear" w:color="auto" w:fill="3D5C57" w:themeFill="accent1"/>
      </w:tcPr>
    </w:tblStylePr>
    <w:tblStylePr w:type="lastRow">
      <w:pPr>
        <w:spacing w:before="0" w:after="0"/>
      </w:pPr>
      <w:rPr>
        <w:rFonts w:cs="Times New Roman"/>
        <w:b/>
        <w:bCs/>
      </w:rPr>
      <w:tblPr/>
      <w:tcPr>
        <w:tcBorders>
          <w:top w:val="double" w:sz="6" w:space="0" w:color="609189" w:themeColor="accent1" w:themeTint="BF"/>
          <w:left w:val="single" w:sz="8" w:space="0" w:color="609189" w:themeColor="accent1" w:themeTint="BF"/>
          <w:bottom w:val="single" w:sz="8" w:space="0" w:color="609189" w:themeColor="accent1" w:themeTint="BF"/>
          <w:right w:val="single" w:sz="8" w:space="0" w:color="609189"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9DBD8" w:themeFill="accent1" w:themeFillTint="3F"/>
      </w:tcPr>
    </w:tblStylePr>
    <w:tblStylePr w:type="band1Horz">
      <w:rPr>
        <w:rFonts w:cs="Times New Roman"/>
      </w:rPr>
      <w:tblPr/>
      <w:tcPr>
        <w:tcBorders>
          <w:insideH w:val="nil"/>
          <w:insideV w:val="nil"/>
        </w:tcBorders>
        <w:shd w:val="clear" w:color="auto" w:fill="C9DBD8" w:themeFill="accent1" w:themeFillTint="3F"/>
      </w:tcPr>
    </w:tblStylePr>
    <w:tblStylePr w:type="band2Horz">
      <w:rPr>
        <w:rFonts w:cs="Times New Roman"/>
      </w:rPr>
      <w:tblPr/>
      <w:tcPr>
        <w:tcBorders>
          <w:insideH w:val="nil"/>
          <w:insideV w:val="nil"/>
        </w:tcBorders>
      </w:tcPr>
    </w:tblStylePr>
  </w:style>
  <w:style w:type="table" w:customStyle="1" w:styleId="TableGrid111">
    <w:name w:val="Table Grid1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Accent 311"/>
    <w:basedOn w:val="TableNormal"/>
    <w:uiPriority w:val="46"/>
    <w:rsid w:val="005E4C0B"/>
    <w:rPr>
      <w:rFonts w:cs="Times New Roman"/>
    </w:rPr>
    <w:tblPr>
      <w:tblStyleRowBandSize w:val="1"/>
      <w:tblStyleColBandSize w:val="1"/>
      <w:tblBorders>
        <w:top w:val="single" w:sz="4" w:space="0" w:color="E9DA89" w:themeColor="accent3" w:themeTint="66"/>
        <w:left w:val="single" w:sz="4" w:space="0" w:color="E9DA89" w:themeColor="accent3" w:themeTint="66"/>
        <w:bottom w:val="single" w:sz="4" w:space="0" w:color="E9DA89" w:themeColor="accent3" w:themeTint="66"/>
        <w:right w:val="single" w:sz="4" w:space="0" w:color="E9DA89" w:themeColor="accent3" w:themeTint="66"/>
        <w:insideH w:val="single" w:sz="4" w:space="0" w:color="E9DA89" w:themeColor="accent3" w:themeTint="66"/>
        <w:insideV w:val="single" w:sz="4" w:space="0" w:color="E9DA89" w:themeColor="accent3" w:themeTint="66"/>
      </w:tblBorders>
    </w:tblPr>
    <w:tblStylePr w:type="firstRow">
      <w:rPr>
        <w:rFonts w:cs="Times New Roman"/>
        <w:b/>
        <w:bCs/>
      </w:rPr>
      <w:tblPr/>
      <w:tcPr>
        <w:tcBorders>
          <w:bottom w:val="single" w:sz="12" w:space="0" w:color="DEC74E" w:themeColor="accent3" w:themeTint="99"/>
        </w:tcBorders>
      </w:tcPr>
    </w:tblStylePr>
    <w:tblStylePr w:type="lastRow">
      <w:rPr>
        <w:rFonts w:cs="Times New Roman"/>
        <w:b/>
        <w:bCs/>
      </w:rPr>
      <w:tblPr/>
      <w:tcPr>
        <w:tcBorders>
          <w:top w:val="double" w:sz="2" w:space="0" w:color="DEC74E" w:themeColor="accent3" w:themeTint="99"/>
        </w:tcBorders>
      </w:tcPr>
    </w:tblStylePr>
    <w:tblStylePr w:type="firstCol">
      <w:rPr>
        <w:rFonts w:cs="Times New Roman"/>
        <w:b/>
        <w:bCs/>
      </w:rPr>
    </w:tblStylePr>
    <w:tblStylePr w:type="lastCol">
      <w:rPr>
        <w:rFonts w:cs="Times New Roman"/>
        <w:b/>
        <w:bCs/>
      </w:rPr>
    </w:tblStylePr>
  </w:style>
  <w:style w:type="character" w:customStyle="1" w:styleId="A7">
    <w:name w:val="A7"/>
    <w:uiPriority w:val="99"/>
    <w:rsid w:val="002142E1"/>
    <w:rPr>
      <w:color w:val="221E1F"/>
      <w:sz w:val="20"/>
      <w:szCs w:val="20"/>
    </w:rPr>
  </w:style>
  <w:style w:type="character" w:customStyle="1" w:styleId="A8">
    <w:name w:val="A8"/>
    <w:uiPriority w:val="99"/>
    <w:rsid w:val="002142E1"/>
    <w:rPr>
      <w:color w:val="221E1F"/>
      <w:sz w:val="20"/>
      <w:szCs w:val="20"/>
    </w:rPr>
  </w:style>
  <w:style w:type="character" w:customStyle="1" w:styleId="A6">
    <w:name w:val="A6"/>
    <w:uiPriority w:val="99"/>
    <w:rsid w:val="007F3968"/>
    <w:rPr>
      <w:rFonts w:cs="Myriad Pro"/>
      <w:color w:val="000000"/>
      <w:sz w:val="22"/>
      <w:szCs w:val="22"/>
    </w:rPr>
  </w:style>
  <w:style w:type="table" w:customStyle="1" w:styleId="TableGrid5">
    <w:name w:val="Table Grid5"/>
    <w:basedOn w:val="TableNormal"/>
    <w:next w:val="TableGrid"/>
    <w:uiPriority w:val="59"/>
    <w:rsid w:val="002478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9589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000A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2306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3C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E1BB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90BF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934C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E669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079F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A04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02A5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34ED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73C1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85B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edChar">
    <w:name w:val="Table Numbered Char"/>
    <w:basedOn w:val="DefaultParagraphFont"/>
    <w:link w:val="TableNumbered"/>
    <w:locked/>
    <w:rsid w:val="006F47A8"/>
    <w:rPr>
      <w:sz w:val="24"/>
      <w:szCs w:val="24"/>
    </w:rPr>
  </w:style>
  <w:style w:type="paragraph" w:customStyle="1" w:styleId="TableNumbered">
    <w:name w:val="Table Numbered"/>
    <w:basedOn w:val="Normal"/>
    <w:link w:val="TableNumberedChar"/>
    <w:qFormat/>
    <w:rsid w:val="006F47A8"/>
    <w:pPr>
      <w:keepLines w:val="0"/>
      <w:spacing w:before="120" w:after="120" w:line="240" w:lineRule="auto"/>
      <w:ind w:left="360" w:hanging="360"/>
      <w:contextualSpacing/>
    </w:pPr>
    <w:rPr>
      <w:rFonts w:cs="Arial"/>
      <w:lang w:eastAsia="en-AU"/>
    </w:rPr>
  </w:style>
  <w:style w:type="paragraph" w:customStyle="1" w:styleId="Normal1">
    <w:name w:val="Normal 1"/>
    <w:basedOn w:val="Normal"/>
    <w:rsid w:val="006F47A8"/>
    <w:pPr>
      <w:numPr>
        <w:numId w:val="37"/>
      </w:numPr>
      <w:tabs>
        <w:tab w:val="left" w:pos="425"/>
      </w:tabs>
      <w:spacing w:before="120" w:after="120" w:line="288" w:lineRule="auto"/>
      <w:jc w:val="both"/>
    </w:pPr>
    <w:rPr>
      <w:rFonts w:asciiTheme="minorHAnsi" w:hAnsiTheme="minorHAnsi"/>
      <w:sz w:val="22"/>
    </w:rPr>
  </w:style>
  <w:style w:type="paragraph" w:customStyle="1" w:styleId="CoverTitle2">
    <w:name w:val="Cover Title 2"/>
    <w:basedOn w:val="Normal"/>
    <w:rsid w:val="006F47A8"/>
    <w:pPr>
      <w:keepLines w:val="0"/>
      <w:autoSpaceDE w:val="0"/>
      <w:autoSpaceDN w:val="0"/>
      <w:adjustRightInd w:val="0"/>
      <w:spacing w:before="520" w:after="190" w:line="256" w:lineRule="atLeast"/>
      <w:ind w:left="630"/>
    </w:pPr>
    <w:rPr>
      <w:rFonts w:cs="CenturyGothic"/>
      <w:color w:val="1F362E"/>
      <w:sz w:val="28"/>
      <w:szCs w:val="28"/>
    </w:rPr>
  </w:style>
  <w:style w:type="paragraph" w:customStyle="1" w:styleId="Indent1">
    <w:name w:val="Indent 1"/>
    <w:basedOn w:val="Normal"/>
    <w:rsid w:val="006F47A8"/>
    <w:pPr>
      <w:keepLines w:val="0"/>
      <w:spacing w:after="190" w:line="256" w:lineRule="atLeast"/>
      <w:ind w:left="720"/>
    </w:pPr>
  </w:style>
  <w:style w:type="table" w:customStyle="1" w:styleId="TableGrid23">
    <w:name w:val="Table Grid23"/>
    <w:basedOn w:val="TableNormal"/>
    <w:next w:val="TableGrid"/>
    <w:uiPriority w:val="59"/>
    <w:rsid w:val="00C0773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06A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62B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C72B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A2013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1558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2018FinancialStyles">
    <w:name w:val="Table notes (2018 Financial Styles)"/>
    <w:basedOn w:val="NoParagraphStyle"/>
    <w:uiPriority w:val="99"/>
    <w:rsid w:val="005668DC"/>
    <w:pPr>
      <w:suppressAutoHyphens/>
    </w:pPr>
    <w:rPr>
      <w:rFonts w:ascii="Myriad Pro Light" w:hAnsi="Myriad Pro Light" w:cs="Myriad Pro Ligh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112">
      <w:bodyDiv w:val="1"/>
      <w:marLeft w:val="0"/>
      <w:marRight w:val="0"/>
      <w:marTop w:val="0"/>
      <w:marBottom w:val="0"/>
      <w:divBdr>
        <w:top w:val="none" w:sz="0" w:space="0" w:color="auto"/>
        <w:left w:val="none" w:sz="0" w:space="0" w:color="auto"/>
        <w:bottom w:val="none" w:sz="0" w:space="0" w:color="auto"/>
        <w:right w:val="none" w:sz="0" w:space="0" w:color="auto"/>
      </w:divBdr>
    </w:div>
    <w:div w:id="10690323">
      <w:bodyDiv w:val="1"/>
      <w:marLeft w:val="0"/>
      <w:marRight w:val="0"/>
      <w:marTop w:val="0"/>
      <w:marBottom w:val="0"/>
      <w:divBdr>
        <w:top w:val="none" w:sz="0" w:space="0" w:color="auto"/>
        <w:left w:val="none" w:sz="0" w:space="0" w:color="auto"/>
        <w:bottom w:val="none" w:sz="0" w:space="0" w:color="auto"/>
        <w:right w:val="none" w:sz="0" w:space="0" w:color="auto"/>
      </w:divBdr>
    </w:div>
    <w:div w:id="12919380">
      <w:bodyDiv w:val="1"/>
      <w:marLeft w:val="0"/>
      <w:marRight w:val="0"/>
      <w:marTop w:val="0"/>
      <w:marBottom w:val="0"/>
      <w:divBdr>
        <w:top w:val="none" w:sz="0" w:space="0" w:color="auto"/>
        <w:left w:val="none" w:sz="0" w:space="0" w:color="auto"/>
        <w:bottom w:val="none" w:sz="0" w:space="0" w:color="auto"/>
        <w:right w:val="none" w:sz="0" w:space="0" w:color="auto"/>
      </w:divBdr>
    </w:div>
    <w:div w:id="13191263">
      <w:bodyDiv w:val="1"/>
      <w:marLeft w:val="0"/>
      <w:marRight w:val="0"/>
      <w:marTop w:val="0"/>
      <w:marBottom w:val="0"/>
      <w:divBdr>
        <w:top w:val="none" w:sz="0" w:space="0" w:color="auto"/>
        <w:left w:val="none" w:sz="0" w:space="0" w:color="auto"/>
        <w:bottom w:val="none" w:sz="0" w:space="0" w:color="auto"/>
        <w:right w:val="none" w:sz="0" w:space="0" w:color="auto"/>
      </w:divBdr>
    </w:div>
    <w:div w:id="20863907">
      <w:bodyDiv w:val="1"/>
      <w:marLeft w:val="0"/>
      <w:marRight w:val="0"/>
      <w:marTop w:val="0"/>
      <w:marBottom w:val="0"/>
      <w:divBdr>
        <w:top w:val="none" w:sz="0" w:space="0" w:color="auto"/>
        <w:left w:val="none" w:sz="0" w:space="0" w:color="auto"/>
        <w:bottom w:val="none" w:sz="0" w:space="0" w:color="auto"/>
        <w:right w:val="none" w:sz="0" w:space="0" w:color="auto"/>
      </w:divBdr>
    </w:div>
    <w:div w:id="51082531">
      <w:bodyDiv w:val="1"/>
      <w:marLeft w:val="0"/>
      <w:marRight w:val="0"/>
      <w:marTop w:val="0"/>
      <w:marBottom w:val="0"/>
      <w:divBdr>
        <w:top w:val="none" w:sz="0" w:space="0" w:color="auto"/>
        <w:left w:val="none" w:sz="0" w:space="0" w:color="auto"/>
        <w:bottom w:val="none" w:sz="0" w:space="0" w:color="auto"/>
        <w:right w:val="none" w:sz="0" w:space="0" w:color="auto"/>
      </w:divBdr>
    </w:div>
    <w:div w:id="61367347">
      <w:bodyDiv w:val="1"/>
      <w:marLeft w:val="0"/>
      <w:marRight w:val="0"/>
      <w:marTop w:val="0"/>
      <w:marBottom w:val="0"/>
      <w:divBdr>
        <w:top w:val="none" w:sz="0" w:space="0" w:color="auto"/>
        <w:left w:val="none" w:sz="0" w:space="0" w:color="auto"/>
        <w:bottom w:val="none" w:sz="0" w:space="0" w:color="auto"/>
        <w:right w:val="none" w:sz="0" w:space="0" w:color="auto"/>
      </w:divBdr>
    </w:div>
    <w:div w:id="61760174">
      <w:bodyDiv w:val="1"/>
      <w:marLeft w:val="0"/>
      <w:marRight w:val="0"/>
      <w:marTop w:val="0"/>
      <w:marBottom w:val="0"/>
      <w:divBdr>
        <w:top w:val="none" w:sz="0" w:space="0" w:color="auto"/>
        <w:left w:val="none" w:sz="0" w:space="0" w:color="auto"/>
        <w:bottom w:val="none" w:sz="0" w:space="0" w:color="auto"/>
        <w:right w:val="none" w:sz="0" w:space="0" w:color="auto"/>
      </w:divBdr>
    </w:div>
    <w:div w:id="82458538">
      <w:bodyDiv w:val="1"/>
      <w:marLeft w:val="0"/>
      <w:marRight w:val="0"/>
      <w:marTop w:val="0"/>
      <w:marBottom w:val="0"/>
      <w:divBdr>
        <w:top w:val="none" w:sz="0" w:space="0" w:color="auto"/>
        <w:left w:val="none" w:sz="0" w:space="0" w:color="auto"/>
        <w:bottom w:val="none" w:sz="0" w:space="0" w:color="auto"/>
        <w:right w:val="none" w:sz="0" w:space="0" w:color="auto"/>
      </w:divBdr>
    </w:div>
    <w:div w:id="87779349">
      <w:bodyDiv w:val="1"/>
      <w:marLeft w:val="0"/>
      <w:marRight w:val="0"/>
      <w:marTop w:val="0"/>
      <w:marBottom w:val="0"/>
      <w:divBdr>
        <w:top w:val="none" w:sz="0" w:space="0" w:color="auto"/>
        <w:left w:val="none" w:sz="0" w:space="0" w:color="auto"/>
        <w:bottom w:val="none" w:sz="0" w:space="0" w:color="auto"/>
        <w:right w:val="none" w:sz="0" w:space="0" w:color="auto"/>
      </w:divBdr>
    </w:div>
    <w:div w:id="117141791">
      <w:bodyDiv w:val="1"/>
      <w:marLeft w:val="0"/>
      <w:marRight w:val="0"/>
      <w:marTop w:val="0"/>
      <w:marBottom w:val="0"/>
      <w:divBdr>
        <w:top w:val="none" w:sz="0" w:space="0" w:color="auto"/>
        <w:left w:val="none" w:sz="0" w:space="0" w:color="auto"/>
        <w:bottom w:val="none" w:sz="0" w:space="0" w:color="auto"/>
        <w:right w:val="none" w:sz="0" w:space="0" w:color="auto"/>
      </w:divBdr>
    </w:div>
    <w:div w:id="151263641">
      <w:bodyDiv w:val="1"/>
      <w:marLeft w:val="0"/>
      <w:marRight w:val="0"/>
      <w:marTop w:val="0"/>
      <w:marBottom w:val="0"/>
      <w:divBdr>
        <w:top w:val="none" w:sz="0" w:space="0" w:color="auto"/>
        <w:left w:val="none" w:sz="0" w:space="0" w:color="auto"/>
        <w:bottom w:val="none" w:sz="0" w:space="0" w:color="auto"/>
        <w:right w:val="none" w:sz="0" w:space="0" w:color="auto"/>
      </w:divBdr>
    </w:div>
    <w:div w:id="199825853">
      <w:bodyDiv w:val="1"/>
      <w:marLeft w:val="0"/>
      <w:marRight w:val="0"/>
      <w:marTop w:val="0"/>
      <w:marBottom w:val="0"/>
      <w:divBdr>
        <w:top w:val="none" w:sz="0" w:space="0" w:color="auto"/>
        <w:left w:val="none" w:sz="0" w:space="0" w:color="auto"/>
        <w:bottom w:val="none" w:sz="0" w:space="0" w:color="auto"/>
        <w:right w:val="none" w:sz="0" w:space="0" w:color="auto"/>
      </w:divBdr>
    </w:div>
    <w:div w:id="216164374">
      <w:bodyDiv w:val="1"/>
      <w:marLeft w:val="0"/>
      <w:marRight w:val="0"/>
      <w:marTop w:val="0"/>
      <w:marBottom w:val="0"/>
      <w:divBdr>
        <w:top w:val="none" w:sz="0" w:space="0" w:color="auto"/>
        <w:left w:val="none" w:sz="0" w:space="0" w:color="auto"/>
        <w:bottom w:val="none" w:sz="0" w:space="0" w:color="auto"/>
        <w:right w:val="none" w:sz="0" w:space="0" w:color="auto"/>
      </w:divBdr>
    </w:div>
    <w:div w:id="224725401">
      <w:bodyDiv w:val="1"/>
      <w:marLeft w:val="0"/>
      <w:marRight w:val="0"/>
      <w:marTop w:val="0"/>
      <w:marBottom w:val="0"/>
      <w:divBdr>
        <w:top w:val="none" w:sz="0" w:space="0" w:color="auto"/>
        <w:left w:val="none" w:sz="0" w:space="0" w:color="auto"/>
        <w:bottom w:val="none" w:sz="0" w:space="0" w:color="auto"/>
        <w:right w:val="none" w:sz="0" w:space="0" w:color="auto"/>
      </w:divBdr>
    </w:div>
    <w:div w:id="261034945">
      <w:bodyDiv w:val="1"/>
      <w:marLeft w:val="0"/>
      <w:marRight w:val="0"/>
      <w:marTop w:val="0"/>
      <w:marBottom w:val="0"/>
      <w:divBdr>
        <w:top w:val="none" w:sz="0" w:space="0" w:color="auto"/>
        <w:left w:val="none" w:sz="0" w:space="0" w:color="auto"/>
        <w:bottom w:val="none" w:sz="0" w:space="0" w:color="auto"/>
        <w:right w:val="none" w:sz="0" w:space="0" w:color="auto"/>
      </w:divBdr>
    </w:div>
    <w:div w:id="267588948">
      <w:bodyDiv w:val="1"/>
      <w:marLeft w:val="0"/>
      <w:marRight w:val="0"/>
      <w:marTop w:val="0"/>
      <w:marBottom w:val="0"/>
      <w:divBdr>
        <w:top w:val="none" w:sz="0" w:space="0" w:color="auto"/>
        <w:left w:val="none" w:sz="0" w:space="0" w:color="auto"/>
        <w:bottom w:val="none" w:sz="0" w:space="0" w:color="auto"/>
        <w:right w:val="none" w:sz="0" w:space="0" w:color="auto"/>
      </w:divBdr>
    </w:div>
    <w:div w:id="283540717">
      <w:bodyDiv w:val="1"/>
      <w:marLeft w:val="0"/>
      <w:marRight w:val="0"/>
      <w:marTop w:val="0"/>
      <w:marBottom w:val="0"/>
      <w:divBdr>
        <w:top w:val="none" w:sz="0" w:space="0" w:color="auto"/>
        <w:left w:val="none" w:sz="0" w:space="0" w:color="auto"/>
        <w:bottom w:val="none" w:sz="0" w:space="0" w:color="auto"/>
        <w:right w:val="none" w:sz="0" w:space="0" w:color="auto"/>
      </w:divBdr>
    </w:div>
    <w:div w:id="284242589">
      <w:bodyDiv w:val="1"/>
      <w:marLeft w:val="0"/>
      <w:marRight w:val="0"/>
      <w:marTop w:val="0"/>
      <w:marBottom w:val="0"/>
      <w:divBdr>
        <w:top w:val="none" w:sz="0" w:space="0" w:color="auto"/>
        <w:left w:val="none" w:sz="0" w:space="0" w:color="auto"/>
        <w:bottom w:val="none" w:sz="0" w:space="0" w:color="auto"/>
        <w:right w:val="none" w:sz="0" w:space="0" w:color="auto"/>
      </w:divBdr>
    </w:div>
    <w:div w:id="293603337">
      <w:bodyDiv w:val="1"/>
      <w:marLeft w:val="0"/>
      <w:marRight w:val="0"/>
      <w:marTop w:val="0"/>
      <w:marBottom w:val="0"/>
      <w:divBdr>
        <w:top w:val="none" w:sz="0" w:space="0" w:color="auto"/>
        <w:left w:val="none" w:sz="0" w:space="0" w:color="auto"/>
        <w:bottom w:val="none" w:sz="0" w:space="0" w:color="auto"/>
        <w:right w:val="none" w:sz="0" w:space="0" w:color="auto"/>
      </w:divBdr>
    </w:div>
    <w:div w:id="295568749">
      <w:bodyDiv w:val="1"/>
      <w:marLeft w:val="0"/>
      <w:marRight w:val="0"/>
      <w:marTop w:val="0"/>
      <w:marBottom w:val="0"/>
      <w:divBdr>
        <w:top w:val="none" w:sz="0" w:space="0" w:color="auto"/>
        <w:left w:val="none" w:sz="0" w:space="0" w:color="auto"/>
        <w:bottom w:val="none" w:sz="0" w:space="0" w:color="auto"/>
        <w:right w:val="none" w:sz="0" w:space="0" w:color="auto"/>
      </w:divBdr>
    </w:div>
    <w:div w:id="301733866">
      <w:bodyDiv w:val="1"/>
      <w:marLeft w:val="0"/>
      <w:marRight w:val="0"/>
      <w:marTop w:val="0"/>
      <w:marBottom w:val="0"/>
      <w:divBdr>
        <w:top w:val="none" w:sz="0" w:space="0" w:color="auto"/>
        <w:left w:val="none" w:sz="0" w:space="0" w:color="auto"/>
        <w:bottom w:val="none" w:sz="0" w:space="0" w:color="auto"/>
        <w:right w:val="none" w:sz="0" w:space="0" w:color="auto"/>
      </w:divBdr>
    </w:div>
    <w:div w:id="313416240">
      <w:bodyDiv w:val="1"/>
      <w:marLeft w:val="0"/>
      <w:marRight w:val="0"/>
      <w:marTop w:val="0"/>
      <w:marBottom w:val="0"/>
      <w:divBdr>
        <w:top w:val="none" w:sz="0" w:space="0" w:color="auto"/>
        <w:left w:val="none" w:sz="0" w:space="0" w:color="auto"/>
        <w:bottom w:val="none" w:sz="0" w:space="0" w:color="auto"/>
        <w:right w:val="none" w:sz="0" w:space="0" w:color="auto"/>
      </w:divBdr>
    </w:div>
    <w:div w:id="335352278">
      <w:bodyDiv w:val="1"/>
      <w:marLeft w:val="0"/>
      <w:marRight w:val="0"/>
      <w:marTop w:val="0"/>
      <w:marBottom w:val="0"/>
      <w:divBdr>
        <w:top w:val="none" w:sz="0" w:space="0" w:color="auto"/>
        <w:left w:val="none" w:sz="0" w:space="0" w:color="auto"/>
        <w:bottom w:val="none" w:sz="0" w:space="0" w:color="auto"/>
        <w:right w:val="none" w:sz="0" w:space="0" w:color="auto"/>
      </w:divBdr>
    </w:div>
    <w:div w:id="342589156">
      <w:bodyDiv w:val="1"/>
      <w:marLeft w:val="0"/>
      <w:marRight w:val="0"/>
      <w:marTop w:val="0"/>
      <w:marBottom w:val="0"/>
      <w:divBdr>
        <w:top w:val="none" w:sz="0" w:space="0" w:color="auto"/>
        <w:left w:val="none" w:sz="0" w:space="0" w:color="auto"/>
        <w:bottom w:val="none" w:sz="0" w:space="0" w:color="auto"/>
        <w:right w:val="none" w:sz="0" w:space="0" w:color="auto"/>
      </w:divBdr>
    </w:div>
    <w:div w:id="346634789">
      <w:bodyDiv w:val="1"/>
      <w:marLeft w:val="0"/>
      <w:marRight w:val="0"/>
      <w:marTop w:val="0"/>
      <w:marBottom w:val="0"/>
      <w:divBdr>
        <w:top w:val="none" w:sz="0" w:space="0" w:color="auto"/>
        <w:left w:val="none" w:sz="0" w:space="0" w:color="auto"/>
        <w:bottom w:val="none" w:sz="0" w:space="0" w:color="auto"/>
        <w:right w:val="none" w:sz="0" w:space="0" w:color="auto"/>
      </w:divBdr>
    </w:div>
    <w:div w:id="367606046">
      <w:bodyDiv w:val="1"/>
      <w:marLeft w:val="0"/>
      <w:marRight w:val="0"/>
      <w:marTop w:val="0"/>
      <w:marBottom w:val="0"/>
      <w:divBdr>
        <w:top w:val="none" w:sz="0" w:space="0" w:color="auto"/>
        <w:left w:val="none" w:sz="0" w:space="0" w:color="auto"/>
        <w:bottom w:val="none" w:sz="0" w:space="0" w:color="auto"/>
        <w:right w:val="none" w:sz="0" w:space="0" w:color="auto"/>
      </w:divBdr>
    </w:div>
    <w:div w:id="368378457">
      <w:bodyDiv w:val="1"/>
      <w:marLeft w:val="0"/>
      <w:marRight w:val="0"/>
      <w:marTop w:val="0"/>
      <w:marBottom w:val="0"/>
      <w:divBdr>
        <w:top w:val="none" w:sz="0" w:space="0" w:color="auto"/>
        <w:left w:val="none" w:sz="0" w:space="0" w:color="auto"/>
        <w:bottom w:val="none" w:sz="0" w:space="0" w:color="auto"/>
        <w:right w:val="none" w:sz="0" w:space="0" w:color="auto"/>
      </w:divBdr>
    </w:div>
    <w:div w:id="370309213">
      <w:bodyDiv w:val="1"/>
      <w:marLeft w:val="0"/>
      <w:marRight w:val="0"/>
      <w:marTop w:val="0"/>
      <w:marBottom w:val="0"/>
      <w:divBdr>
        <w:top w:val="none" w:sz="0" w:space="0" w:color="auto"/>
        <w:left w:val="none" w:sz="0" w:space="0" w:color="auto"/>
        <w:bottom w:val="none" w:sz="0" w:space="0" w:color="auto"/>
        <w:right w:val="none" w:sz="0" w:space="0" w:color="auto"/>
      </w:divBdr>
    </w:div>
    <w:div w:id="380252372">
      <w:bodyDiv w:val="1"/>
      <w:marLeft w:val="0"/>
      <w:marRight w:val="0"/>
      <w:marTop w:val="0"/>
      <w:marBottom w:val="0"/>
      <w:divBdr>
        <w:top w:val="none" w:sz="0" w:space="0" w:color="auto"/>
        <w:left w:val="none" w:sz="0" w:space="0" w:color="auto"/>
        <w:bottom w:val="none" w:sz="0" w:space="0" w:color="auto"/>
        <w:right w:val="none" w:sz="0" w:space="0" w:color="auto"/>
      </w:divBdr>
    </w:div>
    <w:div w:id="413279562">
      <w:bodyDiv w:val="1"/>
      <w:marLeft w:val="0"/>
      <w:marRight w:val="0"/>
      <w:marTop w:val="0"/>
      <w:marBottom w:val="0"/>
      <w:divBdr>
        <w:top w:val="none" w:sz="0" w:space="0" w:color="auto"/>
        <w:left w:val="none" w:sz="0" w:space="0" w:color="auto"/>
        <w:bottom w:val="none" w:sz="0" w:space="0" w:color="auto"/>
        <w:right w:val="none" w:sz="0" w:space="0" w:color="auto"/>
      </w:divBdr>
    </w:div>
    <w:div w:id="414791493">
      <w:bodyDiv w:val="1"/>
      <w:marLeft w:val="0"/>
      <w:marRight w:val="0"/>
      <w:marTop w:val="0"/>
      <w:marBottom w:val="0"/>
      <w:divBdr>
        <w:top w:val="none" w:sz="0" w:space="0" w:color="auto"/>
        <w:left w:val="none" w:sz="0" w:space="0" w:color="auto"/>
        <w:bottom w:val="none" w:sz="0" w:space="0" w:color="auto"/>
        <w:right w:val="none" w:sz="0" w:space="0" w:color="auto"/>
      </w:divBdr>
    </w:div>
    <w:div w:id="431440727">
      <w:bodyDiv w:val="1"/>
      <w:marLeft w:val="0"/>
      <w:marRight w:val="0"/>
      <w:marTop w:val="0"/>
      <w:marBottom w:val="0"/>
      <w:divBdr>
        <w:top w:val="none" w:sz="0" w:space="0" w:color="auto"/>
        <w:left w:val="none" w:sz="0" w:space="0" w:color="auto"/>
        <w:bottom w:val="none" w:sz="0" w:space="0" w:color="auto"/>
        <w:right w:val="none" w:sz="0" w:space="0" w:color="auto"/>
      </w:divBdr>
    </w:div>
    <w:div w:id="433668111">
      <w:bodyDiv w:val="1"/>
      <w:marLeft w:val="0"/>
      <w:marRight w:val="0"/>
      <w:marTop w:val="0"/>
      <w:marBottom w:val="0"/>
      <w:divBdr>
        <w:top w:val="none" w:sz="0" w:space="0" w:color="auto"/>
        <w:left w:val="none" w:sz="0" w:space="0" w:color="auto"/>
        <w:bottom w:val="none" w:sz="0" w:space="0" w:color="auto"/>
        <w:right w:val="none" w:sz="0" w:space="0" w:color="auto"/>
      </w:divBdr>
    </w:div>
    <w:div w:id="439572558">
      <w:bodyDiv w:val="1"/>
      <w:marLeft w:val="0"/>
      <w:marRight w:val="0"/>
      <w:marTop w:val="0"/>
      <w:marBottom w:val="0"/>
      <w:divBdr>
        <w:top w:val="none" w:sz="0" w:space="0" w:color="auto"/>
        <w:left w:val="none" w:sz="0" w:space="0" w:color="auto"/>
        <w:bottom w:val="none" w:sz="0" w:space="0" w:color="auto"/>
        <w:right w:val="none" w:sz="0" w:space="0" w:color="auto"/>
      </w:divBdr>
    </w:div>
    <w:div w:id="462961636">
      <w:bodyDiv w:val="1"/>
      <w:marLeft w:val="0"/>
      <w:marRight w:val="0"/>
      <w:marTop w:val="0"/>
      <w:marBottom w:val="0"/>
      <w:divBdr>
        <w:top w:val="none" w:sz="0" w:space="0" w:color="auto"/>
        <w:left w:val="none" w:sz="0" w:space="0" w:color="auto"/>
        <w:bottom w:val="none" w:sz="0" w:space="0" w:color="auto"/>
        <w:right w:val="none" w:sz="0" w:space="0" w:color="auto"/>
      </w:divBdr>
    </w:div>
    <w:div w:id="463305477">
      <w:bodyDiv w:val="1"/>
      <w:marLeft w:val="0"/>
      <w:marRight w:val="0"/>
      <w:marTop w:val="0"/>
      <w:marBottom w:val="0"/>
      <w:divBdr>
        <w:top w:val="none" w:sz="0" w:space="0" w:color="auto"/>
        <w:left w:val="none" w:sz="0" w:space="0" w:color="auto"/>
        <w:bottom w:val="none" w:sz="0" w:space="0" w:color="auto"/>
        <w:right w:val="none" w:sz="0" w:space="0" w:color="auto"/>
      </w:divBdr>
    </w:div>
    <w:div w:id="467666550">
      <w:bodyDiv w:val="1"/>
      <w:marLeft w:val="0"/>
      <w:marRight w:val="0"/>
      <w:marTop w:val="0"/>
      <w:marBottom w:val="0"/>
      <w:divBdr>
        <w:top w:val="none" w:sz="0" w:space="0" w:color="auto"/>
        <w:left w:val="none" w:sz="0" w:space="0" w:color="auto"/>
        <w:bottom w:val="none" w:sz="0" w:space="0" w:color="auto"/>
        <w:right w:val="none" w:sz="0" w:space="0" w:color="auto"/>
      </w:divBdr>
    </w:div>
    <w:div w:id="479076429">
      <w:bodyDiv w:val="1"/>
      <w:marLeft w:val="0"/>
      <w:marRight w:val="0"/>
      <w:marTop w:val="0"/>
      <w:marBottom w:val="0"/>
      <w:divBdr>
        <w:top w:val="none" w:sz="0" w:space="0" w:color="auto"/>
        <w:left w:val="none" w:sz="0" w:space="0" w:color="auto"/>
        <w:bottom w:val="none" w:sz="0" w:space="0" w:color="auto"/>
        <w:right w:val="none" w:sz="0" w:space="0" w:color="auto"/>
      </w:divBdr>
    </w:div>
    <w:div w:id="487865217">
      <w:bodyDiv w:val="1"/>
      <w:marLeft w:val="0"/>
      <w:marRight w:val="0"/>
      <w:marTop w:val="0"/>
      <w:marBottom w:val="0"/>
      <w:divBdr>
        <w:top w:val="none" w:sz="0" w:space="0" w:color="auto"/>
        <w:left w:val="none" w:sz="0" w:space="0" w:color="auto"/>
        <w:bottom w:val="none" w:sz="0" w:space="0" w:color="auto"/>
        <w:right w:val="none" w:sz="0" w:space="0" w:color="auto"/>
      </w:divBdr>
    </w:div>
    <w:div w:id="532500471">
      <w:bodyDiv w:val="1"/>
      <w:marLeft w:val="0"/>
      <w:marRight w:val="0"/>
      <w:marTop w:val="0"/>
      <w:marBottom w:val="0"/>
      <w:divBdr>
        <w:top w:val="none" w:sz="0" w:space="0" w:color="auto"/>
        <w:left w:val="none" w:sz="0" w:space="0" w:color="auto"/>
        <w:bottom w:val="none" w:sz="0" w:space="0" w:color="auto"/>
        <w:right w:val="none" w:sz="0" w:space="0" w:color="auto"/>
      </w:divBdr>
    </w:div>
    <w:div w:id="533232826">
      <w:bodyDiv w:val="1"/>
      <w:marLeft w:val="0"/>
      <w:marRight w:val="0"/>
      <w:marTop w:val="0"/>
      <w:marBottom w:val="0"/>
      <w:divBdr>
        <w:top w:val="none" w:sz="0" w:space="0" w:color="auto"/>
        <w:left w:val="none" w:sz="0" w:space="0" w:color="auto"/>
        <w:bottom w:val="none" w:sz="0" w:space="0" w:color="auto"/>
        <w:right w:val="none" w:sz="0" w:space="0" w:color="auto"/>
      </w:divBdr>
    </w:div>
    <w:div w:id="567542330">
      <w:bodyDiv w:val="1"/>
      <w:marLeft w:val="0"/>
      <w:marRight w:val="0"/>
      <w:marTop w:val="0"/>
      <w:marBottom w:val="0"/>
      <w:divBdr>
        <w:top w:val="none" w:sz="0" w:space="0" w:color="auto"/>
        <w:left w:val="none" w:sz="0" w:space="0" w:color="auto"/>
        <w:bottom w:val="none" w:sz="0" w:space="0" w:color="auto"/>
        <w:right w:val="none" w:sz="0" w:space="0" w:color="auto"/>
      </w:divBdr>
    </w:div>
    <w:div w:id="569776360">
      <w:bodyDiv w:val="1"/>
      <w:marLeft w:val="0"/>
      <w:marRight w:val="0"/>
      <w:marTop w:val="0"/>
      <w:marBottom w:val="0"/>
      <w:divBdr>
        <w:top w:val="none" w:sz="0" w:space="0" w:color="auto"/>
        <w:left w:val="none" w:sz="0" w:space="0" w:color="auto"/>
        <w:bottom w:val="none" w:sz="0" w:space="0" w:color="auto"/>
        <w:right w:val="none" w:sz="0" w:space="0" w:color="auto"/>
      </w:divBdr>
    </w:div>
    <w:div w:id="583294899">
      <w:bodyDiv w:val="1"/>
      <w:marLeft w:val="0"/>
      <w:marRight w:val="0"/>
      <w:marTop w:val="0"/>
      <w:marBottom w:val="0"/>
      <w:divBdr>
        <w:top w:val="none" w:sz="0" w:space="0" w:color="auto"/>
        <w:left w:val="none" w:sz="0" w:space="0" w:color="auto"/>
        <w:bottom w:val="none" w:sz="0" w:space="0" w:color="auto"/>
        <w:right w:val="none" w:sz="0" w:space="0" w:color="auto"/>
      </w:divBdr>
    </w:div>
    <w:div w:id="614407573">
      <w:bodyDiv w:val="1"/>
      <w:marLeft w:val="0"/>
      <w:marRight w:val="0"/>
      <w:marTop w:val="0"/>
      <w:marBottom w:val="0"/>
      <w:divBdr>
        <w:top w:val="none" w:sz="0" w:space="0" w:color="auto"/>
        <w:left w:val="none" w:sz="0" w:space="0" w:color="auto"/>
        <w:bottom w:val="none" w:sz="0" w:space="0" w:color="auto"/>
        <w:right w:val="none" w:sz="0" w:space="0" w:color="auto"/>
      </w:divBdr>
    </w:div>
    <w:div w:id="633801963">
      <w:bodyDiv w:val="1"/>
      <w:marLeft w:val="0"/>
      <w:marRight w:val="0"/>
      <w:marTop w:val="0"/>
      <w:marBottom w:val="0"/>
      <w:divBdr>
        <w:top w:val="none" w:sz="0" w:space="0" w:color="auto"/>
        <w:left w:val="none" w:sz="0" w:space="0" w:color="auto"/>
        <w:bottom w:val="none" w:sz="0" w:space="0" w:color="auto"/>
        <w:right w:val="none" w:sz="0" w:space="0" w:color="auto"/>
      </w:divBdr>
    </w:div>
    <w:div w:id="635067116">
      <w:bodyDiv w:val="1"/>
      <w:marLeft w:val="0"/>
      <w:marRight w:val="0"/>
      <w:marTop w:val="0"/>
      <w:marBottom w:val="0"/>
      <w:divBdr>
        <w:top w:val="none" w:sz="0" w:space="0" w:color="auto"/>
        <w:left w:val="none" w:sz="0" w:space="0" w:color="auto"/>
        <w:bottom w:val="none" w:sz="0" w:space="0" w:color="auto"/>
        <w:right w:val="none" w:sz="0" w:space="0" w:color="auto"/>
      </w:divBdr>
    </w:div>
    <w:div w:id="672686882">
      <w:bodyDiv w:val="1"/>
      <w:marLeft w:val="0"/>
      <w:marRight w:val="0"/>
      <w:marTop w:val="0"/>
      <w:marBottom w:val="0"/>
      <w:divBdr>
        <w:top w:val="none" w:sz="0" w:space="0" w:color="auto"/>
        <w:left w:val="none" w:sz="0" w:space="0" w:color="auto"/>
        <w:bottom w:val="none" w:sz="0" w:space="0" w:color="auto"/>
        <w:right w:val="none" w:sz="0" w:space="0" w:color="auto"/>
      </w:divBdr>
    </w:div>
    <w:div w:id="678587021">
      <w:bodyDiv w:val="1"/>
      <w:marLeft w:val="0"/>
      <w:marRight w:val="0"/>
      <w:marTop w:val="0"/>
      <w:marBottom w:val="0"/>
      <w:divBdr>
        <w:top w:val="none" w:sz="0" w:space="0" w:color="auto"/>
        <w:left w:val="none" w:sz="0" w:space="0" w:color="auto"/>
        <w:bottom w:val="none" w:sz="0" w:space="0" w:color="auto"/>
        <w:right w:val="none" w:sz="0" w:space="0" w:color="auto"/>
      </w:divBdr>
    </w:div>
    <w:div w:id="682053423">
      <w:bodyDiv w:val="1"/>
      <w:marLeft w:val="0"/>
      <w:marRight w:val="0"/>
      <w:marTop w:val="0"/>
      <w:marBottom w:val="0"/>
      <w:divBdr>
        <w:top w:val="none" w:sz="0" w:space="0" w:color="auto"/>
        <w:left w:val="none" w:sz="0" w:space="0" w:color="auto"/>
        <w:bottom w:val="none" w:sz="0" w:space="0" w:color="auto"/>
        <w:right w:val="none" w:sz="0" w:space="0" w:color="auto"/>
      </w:divBdr>
    </w:div>
    <w:div w:id="687633981">
      <w:bodyDiv w:val="1"/>
      <w:marLeft w:val="0"/>
      <w:marRight w:val="0"/>
      <w:marTop w:val="0"/>
      <w:marBottom w:val="0"/>
      <w:divBdr>
        <w:top w:val="none" w:sz="0" w:space="0" w:color="auto"/>
        <w:left w:val="none" w:sz="0" w:space="0" w:color="auto"/>
        <w:bottom w:val="none" w:sz="0" w:space="0" w:color="auto"/>
        <w:right w:val="none" w:sz="0" w:space="0" w:color="auto"/>
      </w:divBdr>
    </w:div>
    <w:div w:id="700934814">
      <w:bodyDiv w:val="1"/>
      <w:marLeft w:val="0"/>
      <w:marRight w:val="0"/>
      <w:marTop w:val="0"/>
      <w:marBottom w:val="0"/>
      <w:divBdr>
        <w:top w:val="none" w:sz="0" w:space="0" w:color="auto"/>
        <w:left w:val="none" w:sz="0" w:space="0" w:color="auto"/>
        <w:bottom w:val="none" w:sz="0" w:space="0" w:color="auto"/>
        <w:right w:val="none" w:sz="0" w:space="0" w:color="auto"/>
      </w:divBdr>
    </w:div>
    <w:div w:id="701243869">
      <w:bodyDiv w:val="1"/>
      <w:marLeft w:val="0"/>
      <w:marRight w:val="0"/>
      <w:marTop w:val="0"/>
      <w:marBottom w:val="0"/>
      <w:divBdr>
        <w:top w:val="none" w:sz="0" w:space="0" w:color="auto"/>
        <w:left w:val="none" w:sz="0" w:space="0" w:color="auto"/>
        <w:bottom w:val="none" w:sz="0" w:space="0" w:color="auto"/>
        <w:right w:val="none" w:sz="0" w:space="0" w:color="auto"/>
      </w:divBdr>
    </w:div>
    <w:div w:id="720055966">
      <w:bodyDiv w:val="1"/>
      <w:marLeft w:val="0"/>
      <w:marRight w:val="0"/>
      <w:marTop w:val="0"/>
      <w:marBottom w:val="0"/>
      <w:divBdr>
        <w:top w:val="none" w:sz="0" w:space="0" w:color="auto"/>
        <w:left w:val="none" w:sz="0" w:space="0" w:color="auto"/>
        <w:bottom w:val="none" w:sz="0" w:space="0" w:color="auto"/>
        <w:right w:val="none" w:sz="0" w:space="0" w:color="auto"/>
      </w:divBdr>
    </w:div>
    <w:div w:id="753015755">
      <w:bodyDiv w:val="1"/>
      <w:marLeft w:val="0"/>
      <w:marRight w:val="0"/>
      <w:marTop w:val="0"/>
      <w:marBottom w:val="0"/>
      <w:divBdr>
        <w:top w:val="none" w:sz="0" w:space="0" w:color="auto"/>
        <w:left w:val="none" w:sz="0" w:space="0" w:color="auto"/>
        <w:bottom w:val="none" w:sz="0" w:space="0" w:color="auto"/>
        <w:right w:val="none" w:sz="0" w:space="0" w:color="auto"/>
      </w:divBdr>
    </w:div>
    <w:div w:id="771317232">
      <w:bodyDiv w:val="1"/>
      <w:marLeft w:val="0"/>
      <w:marRight w:val="0"/>
      <w:marTop w:val="0"/>
      <w:marBottom w:val="0"/>
      <w:divBdr>
        <w:top w:val="none" w:sz="0" w:space="0" w:color="auto"/>
        <w:left w:val="none" w:sz="0" w:space="0" w:color="auto"/>
        <w:bottom w:val="none" w:sz="0" w:space="0" w:color="auto"/>
        <w:right w:val="none" w:sz="0" w:space="0" w:color="auto"/>
      </w:divBdr>
    </w:div>
    <w:div w:id="785468608">
      <w:bodyDiv w:val="1"/>
      <w:marLeft w:val="0"/>
      <w:marRight w:val="0"/>
      <w:marTop w:val="0"/>
      <w:marBottom w:val="0"/>
      <w:divBdr>
        <w:top w:val="none" w:sz="0" w:space="0" w:color="auto"/>
        <w:left w:val="none" w:sz="0" w:space="0" w:color="auto"/>
        <w:bottom w:val="none" w:sz="0" w:space="0" w:color="auto"/>
        <w:right w:val="none" w:sz="0" w:space="0" w:color="auto"/>
      </w:divBdr>
    </w:div>
    <w:div w:id="807816565">
      <w:bodyDiv w:val="1"/>
      <w:marLeft w:val="0"/>
      <w:marRight w:val="0"/>
      <w:marTop w:val="0"/>
      <w:marBottom w:val="0"/>
      <w:divBdr>
        <w:top w:val="none" w:sz="0" w:space="0" w:color="auto"/>
        <w:left w:val="none" w:sz="0" w:space="0" w:color="auto"/>
        <w:bottom w:val="none" w:sz="0" w:space="0" w:color="auto"/>
        <w:right w:val="none" w:sz="0" w:space="0" w:color="auto"/>
      </w:divBdr>
    </w:div>
    <w:div w:id="811679358">
      <w:bodyDiv w:val="1"/>
      <w:marLeft w:val="0"/>
      <w:marRight w:val="0"/>
      <w:marTop w:val="0"/>
      <w:marBottom w:val="0"/>
      <w:divBdr>
        <w:top w:val="none" w:sz="0" w:space="0" w:color="auto"/>
        <w:left w:val="none" w:sz="0" w:space="0" w:color="auto"/>
        <w:bottom w:val="none" w:sz="0" w:space="0" w:color="auto"/>
        <w:right w:val="none" w:sz="0" w:space="0" w:color="auto"/>
      </w:divBdr>
    </w:div>
    <w:div w:id="817066042">
      <w:bodyDiv w:val="1"/>
      <w:marLeft w:val="0"/>
      <w:marRight w:val="0"/>
      <w:marTop w:val="0"/>
      <w:marBottom w:val="0"/>
      <w:divBdr>
        <w:top w:val="none" w:sz="0" w:space="0" w:color="auto"/>
        <w:left w:val="none" w:sz="0" w:space="0" w:color="auto"/>
        <w:bottom w:val="none" w:sz="0" w:space="0" w:color="auto"/>
        <w:right w:val="none" w:sz="0" w:space="0" w:color="auto"/>
      </w:divBdr>
    </w:div>
    <w:div w:id="819689268">
      <w:bodyDiv w:val="1"/>
      <w:marLeft w:val="0"/>
      <w:marRight w:val="0"/>
      <w:marTop w:val="0"/>
      <w:marBottom w:val="0"/>
      <w:divBdr>
        <w:top w:val="none" w:sz="0" w:space="0" w:color="auto"/>
        <w:left w:val="none" w:sz="0" w:space="0" w:color="auto"/>
        <w:bottom w:val="none" w:sz="0" w:space="0" w:color="auto"/>
        <w:right w:val="none" w:sz="0" w:space="0" w:color="auto"/>
      </w:divBdr>
    </w:div>
    <w:div w:id="822619486">
      <w:bodyDiv w:val="1"/>
      <w:marLeft w:val="0"/>
      <w:marRight w:val="0"/>
      <w:marTop w:val="0"/>
      <w:marBottom w:val="0"/>
      <w:divBdr>
        <w:top w:val="none" w:sz="0" w:space="0" w:color="auto"/>
        <w:left w:val="none" w:sz="0" w:space="0" w:color="auto"/>
        <w:bottom w:val="none" w:sz="0" w:space="0" w:color="auto"/>
        <w:right w:val="none" w:sz="0" w:space="0" w:color="auto"/>
      </w:divBdr>
    </w:div>
    <w:div w:id="824197875">
      <w:bodyDiv w:val="1"/>
      <w:marLeft w:val="0"/>
      <w:marRight w:val="0"/>
      <w:marTop w:val="0"/>
      <w:marBottom w:val="0"/>
      <w:divBdr>
        <w:top w:val="none" w:sz="0" w:space="0" w:color="auto"/>
        <w:left w:val="none" w:sz="0" w:space="0" w:color="auto"/>
        <w:bottom w:val="none" w:sz="0" w:space="0" w:color="auto"/>
        <w:right w:val="none" w:sz="0" w:space="0" w:color="auto"/>
      </w:divBdr>
    </w:div>
    <w:div w:id="842163691">
      <w:bodyDiv w:val="1"/>
      <w:marLeft w:val="0"/>
      <w:marRight w:val="0"/>
      <w:marTop w:val="0"/>
      <w:marBottom w:val="0"/>
      <w:divBdr>
        <w:top w:val="none" w:sz="0" w:space="0" w:color="auto"/>
        <w:left w:val="none" w:sz="0" w:space="0" w:color="auto"/>
        <w:bottom w:val="none" w:sz="0" w:space="0" w:color="auto"/>
        <w:right w:val="none" w:sz="0" w:space="0" w:color="auto"/>
      </w:divBdr>
    </w:div>
    <w:div w:id="842745584">
      <w:bodyDiv w:val="1"/>
      <w:marLeft w:val="0"/>
      <w:marRight w:val="0"/>
      <w:marTop w:val="0"/>
      <w:marBottom w:val="0"/>
      <w:divBdr>
        <w:top w:val="none" w:sz="0" w:space="0" w:color="auto"/>
        <w:left w:val="none" w:sz="0" w:space="0" w:color="auto"/>
        <w:bottom w:val="none" w:sz="0" w:space="0" w:color="auto"/>
        <w:right w:val="none" w:sz="0" w:space="0" w:color="auto"/>
      </w:divBdr>
    </w:div>
    <w:div w:id="848715060">
      <w:bodyDiv w:val="1"/>
      <w:marLeft w:val="0"/>
      <w:marRight w:val="0"/>
      <w:marTop w:val="0"/>
      <w:marBottom w:val="0"/>
      <w:divBdr>
        <w:top w:val="none" w:sz="0" w:space="0" w:color="auto"/>
        <w:left w:val="none" w:sz="0" w:space="0" w:color="auto"/>
        <w:bottom w:val="none" w:sz="0" w:space="0" w:color="auto"/>
        <w:right w:val="none" w:sz="0" w:space="0" w:color="auto"/>
      </w:divBdr>
    </w:div>
    <w:div w:id="856039415">
      <w:bodyDiv w:val="1"/>
      <w:marLeft w:val="0"/>
      <w:marRight w:val="0"/>
      <w:marTop w:val="0"/>
      <w:marBottom w:val="0"/>
      <w:divBdr>
        <w:top w:val="none" w:sz="0" w:space="0" w:color="auto"/>
        <w:left w:val="none" w:sz="0" w:space="0" w:color="auto"/>
        <w:bottom w:val="none" w:sz="0" w:space="0" w:color="auto"/>
        <w:right w:val="none" w:sz="0" w:space="0" w:color="auto"/>
      </w:divBdr>
    </w:div>
    <w:div w:id="898246713">
      <w:bodyDiv w:val="1"/>
      <w:marLeft w:val="0"/>
      <w:marRight w:val="0"/>
      <w:marTop w:val="0"/>
      <w:marBottom w:val="0"/>
      <w:divBdr>
        <w:top w:val="none" w:sz="0" w:space="0" w:color="auto"/>
        <w:left w:val="none" w:sz="0" w:space="0" w:color="auto"/>
        <w:bottom w:val="none" w:sz="0" w:space="0" w:color="auto"/>
        <w:right w:val="none" w:sz="0" w:space="0" w:color="auto"/>
      </w:divBdr>
    </w:div>
    <w:div w:id="918757142">
      <w:bodyDiv w:val="1"/>
      <w:marLeft w:val="0"/>
      <w:marRight w:val="0"/>
      <w:marTop w:val="0"/>
      <w:marBottom w:val="0"/>
      <w:divBdr>
        <w:top w:val="none" w:sz="0" w:space="0" w:color="auto"/>
        <w:left w:val="none" w:sz="0" w:space="0" w:color="auto"/>
        <w:bottom w:val="none" w:sz="0" w:space="0" w:color="auto"/>
        <w:right w:val="none" w:sz="0" w:space="0" w:color="auto"/>
      </w:divBdr>
    </w:div>
    <w:div w:id="919483841">
      <w:bodyDiv w:val="1"/>
      <w:marLeft w:val="0"/>
      <w:marRight w:val="0"/>
      <w:marTop w:val="0"/>
      <w:marBottom w:val="0"/>
      <w:divBdr>
        <w:top w:val="none" w:sz="0" w:space="0" w:color="auto"/>
        <w:left w:val="none" w:sz="0" w:space="0" w:color="auto"/>
        <w:bottom w:val="none" w:sz="0" w:space="0" w:color="auto"/>
        <w:right w:val="none" w:sz="0" w:space="0" w:color="auto"/>
      </w:divBdr>
    </w:div>
    <w:div w:id="941688756">
      <w:bodyDiv w:val="1"/>
      <w:marLeft w:val="0"/>
      <w:marRight w:val="0"/>
      <w:marTop w:val="0"/>
      <w:marBottom w:val="0"/>
      <w:divBdr>
        <w:top w:val="none" w:sz="0" w:space="0" w:color="auto"/>
        <w:left w:val="none" w:sz="0" w:space="0" w:color="auto"/>
        <w:bottom w:val="none" w:sz="0" w:space="0" w:color="auto"/>
        <w:right w:val="none" w:sz="0" w:space="0" w:color="auto"/>
      </w:divBdr>
    </w:div>
    <w:div w:id="944652572">
      <w:bodyDiv w:val="1"/>
      <w:marLeft w:val="0"/>
      <w:marRight w:val="0"/>
      <w:marTop w:val="0"/>
      <w:marBottom w:val="0"/>
      <w:divBdr>
        <w:top w:val="none" w:sz="0" w:space="0" w:color="auto"/>
        <w:left w:val="none" w:sz="0" w:space="0" w:color="auto"/>
        <w:bottom w:val="none" w:sz="0" w:space="0" w:color="auto"/>
        <w:right w:val="none" w:sz="0" w:space="0" w:color="auto"/>
      </w:divBdr>
    </w:div>
    <w:div w:id="949361867">
      <w:bodyDiv w:val="1"/>
      <w:marLeft w:val="0"/>
      <w:marRight w:val="0"/>
      <w:marTop w:val="0"/>
      <w:marBottom w:val="0"/>
      <w:divBdr>
        <w:top w:val="none" w:sz="0" w:space="0" w:color="auto"/>
        <w:left w:val="none" w:sz="0" w:space="0" w:color="auto"/>
        <w:bottom w:val="none" w:sz="0" w:space="0" w:color="auto"/>
        <w:right w:val="none" w:sz="0" w:space="0" w:color="auto"/>
      </w:divBdr>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752590">
      <w:bodyDiv w:val="1"/>
      <w:marLeft w:val="0"/>
      <w:marRight w:val="0"/>
      <w:marTop w:val="0"/>
      <w:marBottom w:val="0"/>
      <w:divBdr>
        <w:top w:val="none" w:sz="0" w:space="0" w:color="auto"/>
        <w:left w:val="none" w:sz="0" w:space="0" w:color="auto"/>
        <w:bottom w:val="none" w:sz="0" w:space="0" w:color="auto"/>
        <w:right w:val="none" w:sz="0" w:space="0" w:color="auto"/>
      </w:divBdr>
    </w:div>
    <w:div w:id="981689454">
      <w:bodyDiv w:val="1"/>
      <w:marLeft w:val="0"/>
      <w:marRight w:val="0"/>
      <w:marTop w:val="0"/>
      <w:marBottom w:val="0"/>
      <w:divBdr>
        <w:top w:val="none" w:sz="0" w:space="0" w:color="auto"/>
        <w:left w:val="none" w:sz="0" w:space="0" w:color="auto"/>
        <w:bottom w:val="none" w:sz="0" w:space="0" w:color="auto"/>
        <w:right w:val="none" w:sz="0" w:space="0" w:color="auto"/>
      </w:divBdr>
    </w:div>
    <w:div w:id="1007633496">
      <w:bodyDiv w:val="1"/>
      <w:marLeft w:val="0"/>
      <w:marRight w:val="0"/>
      <w:marTop w:val="0"/>
      <w:marBottom w:val="0"/>
      <w:divBdr>
        <w:top w:val="none" w:sz="0" w:space="0" w:color="auto"/>
        <w:left w:val="none" w:sz="0" w:space="0" w:color="auto"/>
        <w:bottom w:val="none" w:sz="0" w:space="0" w:color="auto"/>
        <w:right w:val="none" w:sz="0" w:space="0" w:color="auto"/>
      </w:divBdr>
    </w:div>
    <w:div w:id="1030833874">
      <w:bodyDiv w:val="1"/>
      <w:marLeft w:val="0"/>
      <w:marRight w:val="0"/>
      <w:marTop w:val="0"/>
      <w:marBottom w:val="0"/>
      <w:divBdr>
        <w:top w:val="none" w:sz="0" w:space="0" w:color="auto"/>
        <w:left w:val="none" w:sz="0" w:space="0" w:color="auto"/>
        <w:bottom w:val="none" w:sz="0" w:space="0" w:color="auto"/>
        <w:right w:val="none" w:sz="0" w:space="0" w:color="auto"/>
      </w:divBdr>
    </w:div>
    <w:div w:id="1054088036">
      <w:bodyDiv w:val="1"/>
      <w:marLeft w:val="0"/>
      <w:marRight w:val="0"/>
      <w:marTop w:val="0"/>
      <w:marBottom w:val="0"/>
      <w:divBdr>
        <w:top w:val="none" w:sz="0" w:space="0" w:color="auto"/>
        <w:left w:val="none" w:sz="0" w:space="0" w:color="auto"/>
        <w:bottom w:val="none" w:sz="0" w:space="0" w:color="auto"/>
        <w:right w:val="none" w:sz="0" w:space="0" w:color="auto"/>
      </w:divBdr>
    </w:div>
    <w:div w:id="1061830592">
      <w:bodyDiv w:val="1"/>
      <w:marLeft w:val="0"/>
      <w:marRight w:val="0"/>
      <w:marTop w:val="0"/>
      <w:marBottom w:val="0"/>
      <w:divBdr>
        <w:top w:val="none" w:sz="0" w:space="0" w:color="auto"/>
        <w:left w:val="none" w:sz="0" w:space="0" w:color="auto"/>
        <w:bottom w:val="none" w:sz="0" w:space="0" w:color="auto"/>
        <w:right w:val="none" w:sz="0" w:space="0" w:color="auto"/>
      </w:divBdr>
    </w:div>
    <w:div w:id="1075129484">
      <w:bodyDiv w:val="1"/>
      <w:marLeft w:val="0"/>
      <w:marRight w:val="0"/>
      <w:marTop w:val="0"/>
      <w:marBottom w:val="0"/>
      <w:divBdr>
        <w:top w:val="none" w:sz="0" w:space="0" w:color="auto"/>
        <w:left w:val="none" w:sz="0" w:space="0" w:color="auto"/>
        <w:bottom w:val="none" w:sz="0" w:space="0" w:color="auto"/>
        <w:right w:val="none" w:sz="0" w:space="0" w:color="auto"/>
      </w:divBdr>
    </w:div>
    <w:div w:id="1102143775">
      <w:bodyDiv w:val="1"/>
      <w:marLeft w:val="0"/>
      <w:marRight w:val="0"/>
      <w:marTop w:val="0"/>
      <w:marBottom w:val="0"/>
      <w:divBdr>
        <w:top w:val="none" w:sz="0" w:space="0" w:color="auto"/>
        <w:left w:val="none" w:sz="0" w:space="0" w:color="auto"/>
        <w:bottom w:val="none" w:sz="0" w:space="0" w:color="auto"/>
        <w:right w:val="none" w:sz="0" w:space="0" w:color="auto"/>
      </w:divBdr>
    </w:div>
    <w:div w:id="1120034591">
      <w:bodyDiv w:val="1"/>
      <w:marLeft w:val="0"/>
      <w:marRight w:val="0"/>
      <w:marTop w:val="0"/>
      <w:marBottom w:val="0"/>
      <w:divBdr>
        <w:top w:val="none" w:sz="0" w:space="0" w:color="auto"/>
        <w:left w:val="none" w:sz="0" w:space="0" w:color="auto"/>
        <w:bottom w:val="none" w:sz="0" w:space="0" w:color="auto"/>
        <w:right w:val="none" w:sz="0" w:space="0" w:color="auto"/>
      </w:divBdr>
    </w:div>
    <w:div w:id="1120763250">
      <w:bodyDiv w:val="1"/>
      <w:marLeft w:val="0"/>
      <w:marRight w:val="0"/>
      <w:marTop w:val="0"/>
      <w:marBottom w:val="0"/>
      <w:divBdr>
        <w:top w:val="none" w:sz="0" w:space="0" w:color="auto"/>
        <w:left w:val="none" w:sz="0" w:space="0" w:color="auto"/>
        <w:bottom w:val="none" w:sz="0" w:space="0" w:color="auto"/>
        <w:right w:val="none" w:sz="0" w:space="0" w:color="auto"/>
      </w:divBdr>
    </w:div>
    <w:div w:id="1136530221">
      <w:bodyDiv w:val="1"/>
      <w:marLeft w:val="0"/>
      <w:marRight w:val="0"/>
      <w:marTop w:val="0"/>
      <w:marBottom w:val="0"/>
      <w:divBdr>
        <w:top w:val="none" w:sz="0" w:space="0" w:color="auto"/>
        <w:left w:val="none" w:sz="0" w:space="0" w:color="auto"/>
        <w:bottom w:val="none" w:sz="0" w:space="0" w:color="auto"/>
        <w:right w:val="none" w:sz="0" w:space="0" w:color="auto"/>
      </w:divBdr>
    </w:div>
    <w:div w:id="1148863332">
      <w:bodyDiv w:val="1"/>
      <w:marLeft w:val="0"/>
      <w:marRight w:val="0"/>
      <w:marTop w:val="0"/>
      <w:marBottom w:val="0"/>
      <w:divBdr>
        <w:top w:val="none" w:sz="0" w:space="0" w:color="auto"/>
        <w:left w:val="none" w:sz="0" w:space="0" w:color="auto"/>
        <w:bottom w:val="none" w:sz="0" w:space="0" w:color="auto"/>
        <w:right w:val="none" w:sz="0" w:space="0" w:color="auto"/>
      </w:divBdr>
    </w:div>
    <w:div w:id="1166557373">
      <w:bodyDiv w:val="1"/>
      <w:marLeft w:val="0"/>
      <w:marRight w:val="0"/>
      <w:marTop w:val="0"/>
      <w:marBottom w:val="0"/>
      <w:divBdr>
        <w:top w:val="none" w:sz="0" w:space="0" w:color="auto"/>
        <w:left w:val="none" w:sz="0" w:space="0" w:color="auto"/>
        <w:bottom w:val="none" w:sz="0" w:space="0" w:color="auto"/>
        <w:right w:val="none" w:sz="0" w:space="0" w:color="auto"/>
      </w:divBdr>
    </w:div>
    <w:div w:id="1177647010">
      <w:bodyDiv w:val="1"/>
      <w:marLeft w:val="0"/>
      <w:marRight w:val="0"/>
      <w:marTop w:val="0"/>
      <w:marBottom w:val="0"/>
      <w:divBdr>
        <w:top w:val="none" w:sz="0" w:space="0" w:color="auto"/>
        <w:left w:val="none" w:sz="0" w:space="0" w:color="auto"/>
        <w:bottom w:val="none" w:sz="0" w:space="0" w:color="auto"/>
        <w:right w:val="none" w:sz="0" w:space="0" w:color="auto"/>
      </w:divBdr>
    </w:div>
    <w:div w:id="1179588033">
      <w:bodyDiv w:val="1"/>
      <w:marLeft w:val="0"/>
      <w:marRight w:val="0"/>
      <w:marTop w:val="0"/>
      <w:marBottom w:val="0"/>
      <w:divBdr>
        <w:top w:val="none" w:sz="0" w:space="0" w:color="auto"/>
        <w:left w:val="none" w:sz="0" w:space="0" w:color="auto"/>
        <w:bottom w:val="none" w:sz="0" w:space="0" w:color="auto"/>
        <w:right w:val="none" w:sz="0" w:space="0" w:color="auto"/>
      </w:divBdr>
    </w:div>
    <w:div w:id="1191451261">
      <w:bodyDiv w:val="1"/>
      <w:marLeft w:val="0"/>
      <w:marRight w:val="0"/>
      <w:marTop w:val="0"/>
      <w:marBottom w:val="0"/>
      <w:divBdr>
        <w:top w:val="none" w:sz="0" w:space="0" w:color="auto"/>
        <w:left w:val="none" w:sz="0" w:space="0" w:color="auto"/>
        <w:bottom w:val="none" w:sz="0" w:space="0" w:color="auto"/>
        <w:right w:val="none" w:sz="0" w:space="0" w:color="auto"/>
      </w:divBdr>
    </w:div>
    <w:div w:id="1211844760">
      <w:bodyDiv w:val="1"/>
      <w:marLeft w:val="0"/>
      <w:marRight w:val="0"/>
      <w:marTop w:val="0"/>
      <w:marBottom w:val="0"/>
      <w:divBdr>
        <w:top w:val="none" w:sz="0" w:space="0" w:color="auto"/>
        <w:left w:val="none" w:sz="0" w:space="0" w:color="auto"/>
        <w:bottom w:val="none" w:sz="0" w:space="0" w:color="auto"/>
        <w:right w:val="none" w:sz="0" w:space="0" w:color="auto"/>
      </w:divBdr>
    </w:div>
    <w:div w:id="1213464597">
      <w:bodyDiv w:val="1"/>
      <w:marLeft w:val="0"/>
      <w:marRight w:val="0"/>
      <w:marTop w:val="0"/>
      <w:marBottom w:val="0"/>
      <w:divBdr>
        <w:top w:val="none" w:sz="0" w:space="0" w:color="auto"/>
        <w:left w:val="none" w:sz="0" w:space="0" w:color="auto"/>
        <w:bottom w:val="none" w:sz="0" w:space="0" w:color="auto"/>
        <w:right w:val="none" w:sz="0" w:space="0" w:color="auto"/>
      </w:divBdr>
    </w:div>
    <w:div w:id="1229998696">
      <w:bodyDiv w:val="1"/>
      <w:marLeft w:val="0"/>
      <w:marRight w:val="0"/>
      <w:marTop w:val="0"/>
      <w:marBottom w:val="0"/>
      <w:divBdr>
        <w:top w:val="none" w:sz="0" w:space="0" w:color="auto"/>
        <w:left w:val="none" w:sz="0" w:space="0" w:color="auto"/>
        <w:bottom w:val="none" w:sz="0" w:space="0" w:color="auto"/>
        <w:right w:val="none" w:sz="0" w:space="0" w:color="auto"/>
      </w:divBdr>
    </w:div>
    <w:div w:id="1242329871">
      <w:bodyDiv w:val="1"/>
      <w:marLeft w:val="0"/>
      <w:marRight w:val="0"/>
      <w:marTop w:val="0"/>
      <w:marBottom w:val="0"/>
      <w:divBdr>
        <w:top w:val="none" w:sz="0" w:space="0" w:color="auto"/>
        <w:left w:val="none" w:sz="0" w:space="0" w:color="auto"/>
        <w:bottom w:val="none" w:sz="0" w:space="0" w:color="auto"/>
        <w:right w:val="none" w:sz="0" w:space="0" w:color="auto"/>
      </w:divBdr>
    </w:div>
    <w:div w:id="1244991489">
      <w:bodyDiv w:val="1"/>
      <w:marLeft w:val="0"/>
      <w:marRight w:val="0"/>
      <w:marTop w:val="0"/>
      <w:marBottom w:val="0"/>
      <w:divBdr>
        <w:top w:val="none" w:sz="0" w:space="0" w:color="auto"/>
        <w:left w:val="none" w:sz="0" w:space="0" w:color="auto"/>
        <w:bottom w:val="none" w:sz="0" w:space="0" w:color="auto"/>
        <w:right w:val="none" w:sz="0" w:space="0" w:color="auto"/>
      </w:divBdr>
    </w:div>
    <w:div w:id="1267544750">
      <w:bodyDiv w:val="1"/>
      <w:marLeft w:val="0"/>
      <w:marRight w:val="0"/>
      <w:marTop w:val="0"/>
      <w:marBottom w:val="0"/>
      <w:divBdr>
        <w:top w:val="none" w:sz="0" w:space="0" w:color="auto"/>
        <w:left w:val="none" w:sz="0" w:space="0" w:color="auto"/>
        <w:bottom w:val="none" w:sz="0" w:space="0" w:color="auto"/>
        <w:right w:val="none" w:sz="0" w:space="0" w:color="auto"/>
      </w:divBdr>
    </w:div>
    <w:div w:id="1283923311">
      <w:bodyDiv w:val="1"/>
      <w:marLeft w:val="0"/>
      <w:marRight w:val="0"/>
      <w:marTop w:val="0"/>
      <w:marBottom w:val="0"/>
      <w:divBdr>
        <w:top w:val="none" w:sz="0" w:space="0" w:color="auto"/>
        <w:left w:val="none" w:sz="0" w:space="0" w:color="auto"/>
        <w:bottom w:val="none" w:sz="0" w:space="0" w:color="auto"/>
        <w:right w:val="none" w:sz="0" w:space="0" w:color="auto"/>
      </w:divBdr>
    </w:div>
    <w:div w:id="1314675395">
      <w:bodyDiv w:val="1"/>
      <w:marLeft w:val="0"/>
      <w:marRight w:val="0"/>
      <w:marTop w:val="0"/>
      <w:marBottom w:val="0"/>
      <w:divBdr>
        <w:top w:val="none" w:sz="0" w:space="0" w:color="auto"/>
        <w:left w:val="none" w:sz="0" w:space="0" w:color="auto"/>
        <w:bottom w:val="none" w:sz="0" w:space="0" w:color="auto"/>
        <w:right w:val="none" w:sz="0" w:space="0" w:color="auto"/>
      </w:divBdr>
    </w:div>
    <w:div w:id="1328436982">
      <w:bodyDiv w:val="1"/>
      <w:marLeft w:val="0"/>
      <w:marRight w:val="0"/>
      <w:marTop w:val="0"/>
      <w:marBottom w:val="0"/>
      <w:divBdr>
        <w:top w:val="none" w:sz="0" w:space="0" w:color="auto"/>
        <w:left w:val="none" w:sz="0" w:space="0" w:color="auto"/>
        <w:bottom w:val="none" w:sz="0" w:space="0" w:color="auto"/>
        <w:right w:val="none" w:sz="0" w:space="0" w:color="auto"/>
      </w:divBdr>
    </w:div>
    <w:div w:id="1336498713">
      <w:bodyDiv w:val="1"/>
      <w:marLeft w:val="0"/>
      <w:marRight w:val="0"/>
      <w:marTop w:val="0"/>
      <w:marBottom w:val="0"/>
      <w:divBdr>
        <w:top w:val="none" w:sz="0" w:space="0" w:color="auto"/>
        <w:left w:val="none" w:sz="0" w:space="0" w:color="auto"/>
        <w:bottom w:val="none" w:sz="0" w:space="0" w:color="auto"/>
        <w:right w:val="none" w:sz="0" w:space="0" w:color="auto"/>
      </w:divBdr>
    </w:div>
    <w:div w:id="1339624629">
      <w:bodyDiv w:val="1"/>
      <w:marLeft w:val="0"/>
      <w:marRight w:val="0"/>
      <w:marTop w:val="0"/>
      <w:marBottom w:val="0"/>
      <w:divBdr>
        <w:top w:val="none" w:sz="0" w:space="0" w:color="auto"/>
        <w:left w:val="none" w:sz="0" w:space="0" w:color="auto"/>
        <w:bottom w:val="none" w:sz="0" w:space="0" w:color="auto"/>
        <w:right w:val="none" w:sz="0" w:space="0" w:color="auto"/>
      </w:divBdr>
    </w:div>
    <w:div w:id="1343822360">
      <w:bodyDiv w:val="1"/>
      <w:marLeft w:val="0"/>
      <w:marRight w:val="0"/>
      <w:marTop w:val="0"/>
      <w:marBottom w:val="0"/>
      <w:divBdr>
        <w:top w:val="none" w:sz="0" w:space="0" w:color="auto"/>
        <w:left w:val="none" w:sz="0" w:space="0" w:color="auto"/>
        <w:bottom w:val="none" w:sz="0" w:space="0" w:color="auto"/>
        <w:right w:val="none" w:sz="0" w:space="0" w:color="auto"/>
      </w:divBdr>
    </w:div>
    <w:div w:id="1376345821">
      <w:bodyDiv w:val="1"/>
      <w:marLeft w:val="0"/>
      <w:marRight w:val="0"/>
      <w:marTop w:val="0"/>
      <w:marBottom w:val="0"/>
      <w:divBdr>
        <w:top w:val="none" w:sz="0" w:space="0" w:color="auto"/>
        <w:left w:val="none" w:sz="0" w:space="0" w:color="auto"/>
        <w:bottom w:val="none" w:sz="0" w:space="0" w:color="auto"/>
        <w:right w:val="none" w:sz="0" w:space="0" w:color="auto"/>
      </w:divBdr>
    </w:div>
    <w:div w:id="1416128319">
      <w:bodyDiv w:val="1"/>
      <w:marLeft w:val="0"/>
      <w:marRight w:val="0"/>
      <w:marTop w:val="0"/>
      <w:marBottom w:val="0"/>
      <w:divBdr>
        <w:top w:val="none" w:sz="0" w:space="0" w:color="auto"/>
        <w:left w:val="none" w:sz="0" w:space="0" w:color="auto"/>
        <w:bottom w:val="none" w:sz="0" w:space="0" w:color="auto"/>
        <w:right w:val="none" w:sz="0" w:space="0" w:color="auto"/>
      </w:divBdr>
    </w:div>
    <w:div w:id="1425027031">
      <w:bodyDiv w:val="1"/>
      <w:marLeft w:val="0"/>
      <w:marRight w:val="0"/>
      <w:marTop w:val="0"/>
      <w:marBottom w:val="0"/>
      <w:divBdr>
        <w:top w:val="none" w:sz="0" w:space="0" w:color="auto"/>
        <w:left w:val="none" w:sz="0" w:space="0" w:color="auto"/>
        <w:bottom w:val="none" w:sz="0" w:space="0" w:color="auto"/>
        <w:right w:val="none" w:sz="0" w:space="0" w:color="auto"/>
      </w:divBdr>
    </w:div>
    <w:div w:id="1453986196">
      <w:bodyDiv w:val="1"/>
      <w:marLeft w:val="0"/>
      <w:marRight w:val="0"/>
      <w:marTop w:val="0"/>
      <w:marBottom w:val="0"/>
      <w:divBdr>
        <w:top w:val="none" w:sz="0" w:space="0" w:color="auto"/>
        <w:left w:val="none" w:sz="0" w:space="0" w:color="auto"/>
        <w:bottom w:val="none" w:sz="0" w:space="0" w:color="auto"/>
        <w:right w:val="none" w:sz="0" w:space="0" w:color="auto"/>
      </w:divBdr>
    </w:div>
    <w:div w:id="1459371150">
      <w:bodyDiv w:val="1"/>
      <w:marLeft w:val="0"/>
      <w:marRight w:val="0"/>
      <w:marTop w:val="0"/>
      <w:marBottom w:val="0"/>
      <w:divBdr>
        <w:top w:val="none" w:sz="0" w:space="0" w:color="auto"/>
        <w:left w:val="none" w:sz="0" w:space="0" w:color="auto"/>
        <w:bottom w:val="none" w:sz="0" w:space="0" w:color="auto"/>
        <w:right w:val="none" w:sz="0" w:space="0" w:color="auto"/>
      </w:divBdr>
    </w:div>
    <w:div w:id="1478376952">
      <w:bodyDiv w:val="1"/>
      <w:marLeft w:val="0"/>
      <w:marRight w:val="0"/>
      <w:marTop w:val="0"/>
      <w:marBottom w:val="0"/>
      <w:divBdr>
        <w:top w:val="none" w:sz="0" w:space="0" w:color="auto"/>
        <w:left w:val="none" w:sz="0" w:space="0" w:color="auto"/>
        <w:bottom w:val="none" w:sz="0" w:space="0" w:color="auto"/>
        <w:right w:val="none" w:sz="0" w:space="0" w:color="auto"/>
      </w:divBdr>
    </w:div>
    <w:div w:id="1482424612">
      <w:bodyDiv w:val="1"/>
      <w:marLeft w:val="0"/>
      <w:marRight w:val="0"/>
      <w:marTop w:val="0"/>
      <w:marBottom w:val="0"/>
      <w:divBdr>
        <w:top w:val="none" w:sz="0" w:space="0" w:color="auto"/>
        <w:left w:val="none" w:sz="0" w:space="0" w:color="auto"/>
        <w:bottom w:val="none" w:sz="0" w:space="0" w:color="auto"/>
        <w:right w:val="none" w:sz="0" w:space="0" w:color="auto"/>
      </w:divBdr>
    </w:div>
    <w:div w:id="1494294699">
      <w:bodyDiv w:val="1"/>
      <w:marLeft w:val="0"/>
      <w:marRight w:val="0"/>
      <w:marTop w:val="0"/>
      <w:marBottom w:val="0"/>
      <w:divBdr>
        <w:top w:val="none" w:sz="0" w:space="0" w:color="auto"/>
        <w:left w:val="none" w:sz="0" w:space="0" w:color="auto"/>
        <w:bottom w:val="none" w:sz="0" w:space="0" w:color="auto"/>
        <w:right w:val="none" w:sz="0" w:space="0" w:color="auto"/>
      </w:divBdr>
    </w:div>
    <w:div w:id="1503159202">
      <w:bodyDiv w:val="1"/>
      <w:marLeft w:val="0"/>
      <w:marRight w:val="0"/>
      <w:marTop w:val="0"/>
      <w:marBottom w:val="0"/>
      <w:divBdr>
        <w:top w:val="none" w:sz="0" w:space="0" w:color="auto"/>
        <w:left w:val="none" w:sz="0" w:space="0" w:color="auto"/>
        <w:bottom w:val="none" w:sz="0" w:space="0" w:color="auto"/>
        <w:right w:val="none" w:sz="0" w:space="0" w:color="auto"/>
      </w:divBdr>
    </w:div>
    <w:div w:id="1507404623">
      <w:bodyDiv w:val="1"/>
      <w:marLeft w:val="0"/>
      <w:marRight w:val="0"/>
      <w:marTop w:val="0"/>
      <w:marBottom w:val="0"/>
      <w:divBdr>
        <w:top w:val="none" w:sz="0" w:space="0" w:color="auto"/>
        <w:left w:val="none" w:sz="0" w:space="0" w:color="auto"/>
        <w:bottom w:val="none" w:sz="0" w:space="0" w:color="auto"/>
        <w:right w:val="none" w:sz="0" w:space="0" w:color="auto"/>
      </w:divBdr>
    </w:div>
    <w:div w:id="1508212185">
      <w:bodyDiv w:val="1"/>
      <w:marLeft w:val="0"/>
      <w:marRight w:val="0"/>
      <w:marTop w:val="0"/>
      <w:marBottom w:val="0"/>
      <w:divBdr>
        <w:top w:val="none" w:sz="0" w:space="0" w:color="auto"/>
        <w:left w:val="none" w:sz="0" w:space="0" w:color="auto"/>
        <w:bottom w:val="none" w:sz="0" w:space="0" w:color="auto"/>
        <w:right w:val="none" w:sz="0" w:space="0" w:color="auto"/>
      </w:divBdr>
    </w:div>
    <w:div w:id="1540170469">
      <w:bodyDiv w:val="1"/>
      <w:marLeft w:val="0"/>
      <w:marRight w:val="0"/>
      <w:marTop w:val="0"/>
      <w:marBottom w:val="0"/>
      <w:divBdr>
        <w:top w:val="none" w:sz="0" w:space="0" w:color="auto"/>
        <w:left w:val="none" w:sz="0" w:space="0" w:color="auto"/>
        <w:bottom w:val="none" w:sz="0" w:space="0" w:color="auto"/>
        <w:right w:val="none" w:sz="0" w:space="0" w:color="auto"/>
      </w:divBdr>
    </w:div>
    <w:div w:id="1544294186">
      <w:bodyDiv w:val="1"/>
      <w:marLeft w:val="0"/>
      <w:marRight w:val="0"/>
      <w:marTop w:val="0"/>
      <w:marBottom w:val="0"/>
      <w:divBdr>
        <w:top w:val="none" w:sz="0" w:space="0" w:color="auto"/>
        <w:left w:val="none" w:sz="0" w:space="0" w:color="auto"/>
        <w:bottom w:val="none" w:sz="0" w:space="0" w:color="auto"/>
        <w:right w:val="none" w:sz="0" w:space="0" w:color="auto"/>
      </w:divBdr>
    </w:div>
    <w:div w:id="1568683876">
      <w:bodyDiv w:val="1"/>
      <w:marLeft w:val="0"/>
      <w:marRight w:val="0"/>
      <w:marTop w:val="0"/>
      <w:marBottom w:val="0"/>
      <w:divBdr>
        <w:top w:val="none" w:sz="0" w:space="0" w:color="auto"/>
        <w:left w:val="none" w:sz="0" w:space="0" w:color="auto"/>
        <w:bottom w:val="none" w:sz="0" w:space="0" w:color="auto"/>
        <w:right w:val="none" w:sz="0" w:space="0" w:color="auto"/>
      </w:divBdr>
    </w:div>
    <w:div w:id="1582788601">
      <w:bodyDiv w:val="1"/>
      <w:marLeft w:val="0"/>
      <w:marRight w:val="0"/>
      <w:marTop w:val="0"/>
      <w:marBottom w:val="0"/>
      <w:divBdr>
        <w:top w:val="none" w:sz="0" w:space="0" w:color="auto"/>
        <w:left w:val="none" w:sz="0" w:space="0" w:color="auto"/>
        <w:bottom w:val="none" w:sz="0" w:space="0" w:color="auto"/>
        <w:right w:val="none" w:sz="0" w:space="0" w:color="auto"/>
      </w:divBdr>
    </w:div>
    <w:div w:id="1585603384">
      <w:bodyDiv w:val="1"/>
      <w:marLeft w:val="0"/>
      <w:marRight w:val="0"/>
      <w:marTop w:val="0"/>
      <w:marBottom w:val="0"/>
      <w:divBdr>
        <w:top w:val="none" w:sz="0" w:space="0" w:color="auto"/>
        <w:left w:val="none" w:sz="0" w:space="0" w:color="auto"/>
        <w:bottom w:val="none" w:sz="0" w:space="0" w:color="auto"/>
        <w:right w:val="none" w:sz="0" w:space="0" w:color="auto"/>
      </w:divBdr>
    </w:div>
    <w:div w:id="1600988017">
      <w:bodyDiv w:val="1"/>
      <w:marLeft w:val="0"/>
      <w:marRight w:val="0"/>
      <w:marTop w:val="0"/>
      <w:marBottom w:val="0"/>
      <w:divBdr>
        <w:top w:val="none" w:sz="0" w:space="0" w:color="auto"/>
        <w:left w:val="none" w:sz="0" w:space="0" w:color="auto"/>
        <w:bottom w:val="none" w:sz="0" w:space="0" w:color="auto"/>
        <w:right w:val="none" w:sz="0" w:space="0" w:color="auto"/>
      </w:divBdr>
    </w:div>
    <w:div w:id="1651515790">
      <w:bodyDiv w:val="1"/>
      <w:marLeft w:val="0"/>
      <w:marRight w:val="0"/>
      <w:marTop w:val="0"/>
      <w:marBottom w:val="0"/>
      <w:divBdr>
        <w:top w:val="none" w:sz="0" w:space="0" w:color="auto"/>
        <w:left w:val="none" w:sz="0" w:space="0" w:color="auto"/>
        <w:bottom w:val="none" w:sz="0" w:space="0" w:color="auto"/>
        <w:right w:val="none" w:sz="0" w:space="0" w:color="auto"/>
      </w:divBdr>
    </w:div>
    <w:div w:id="1664158461">
      <w:bodyDiv w:val="1"/>
      <w:marLeft w:val="0"/>
      <w:marRight w:val="0"/>
      <w:marTop w:val="0"/>
      <w:marBottom w:val="0"/>
      <w:divBdr>
        <w:top w:val="none" w:sz="0" w:space="0" w:color="auto"/>
        <w:left w:val="none" w:sz="0" w:space="0" w:color="auto"/>
        <w:bottom w:val="none" w:sz="0" w:space="0" w:color="auto"/>
        <w:right w:val="none" w:sz="0" w:space="0" w:color="auto"/>
      </w:divBdr>
    </w:div>
    <w:div w:id="1669749479">
      <w:bodyDiv w:val="1"/>
      <w:marLeft w:val="0"/>
      <w:marRight w:val="0"/>
      <w:marTop w:val="0"/>
      <w:marBottom w:val="0"/>
      <w:divBdr>
        <w:top w:val="none" w:sz="0" w:space="0" w:color="auto"/>
        <w:left w:val="none" w:sz="0" w:space="0" w:color="auto"/>
        <w:bottom w:val="none" w:sz="0" w:space="0" w:color="auto"/>
        <w:right w:val="none" w:sz="0" w:space="0" w:color="auto"/>
      </w:divBdr>
    </w:div>
    <w:div w:id="1670058923">
      <w:bodyDiv w:val="1"/>
      <w:marLeft w:val="0"/>
      <w:marRight w:val="0"/>
      <w:marTop w:val="0"/>
      <w:marBottom w:val="0"/>
      <w:divBdr>
        <w:top w:val="none" w:sz="0" w:space="0" w:color="auto"/>
        <w:left w:val="none" w:sz="0" w:space="0" w:color="auto"/>
        <w:bottom w:val="none" w:sz="0" w:space="0" w:color="auto"/>
        <w:right w:val="none" w:sz="0" w:space="0" w:color="auto"/>
      </w:divBdr>
    </w:div>
    <w:div w:id="1710521780">
      <w:bodyDiv w:val="1"/>
      <w:marLeft w:val="0"/>
      <w:marRight w:val="0"/>
      <w:marTop w:val="0"/>
      <w:marBottom w:val="0"/>
      <w:divBdr>
        <w:top w:val="none" w:sz="0" w:space="0" w:color="auto"/>
        <w:left w:val="none" w:sz="0" w:space="0" w:color="auto"/>
        <w:bottom w:val="none" w:sz="0" w:space="0" w:color="auto"/>
        <w:right w:val="none" w:sz="0" w:space="0" w:color="auto"/>
      </w:divBdr>
    </w:div>
    <w:div w:id="1724869003">
      <w:bodyDiv w:val="1"/>
      <w:marLeft w:val="0"/>
      <w:marRight w:val="0"/>
      <w:marTop w:val="0"/>
      <w:marBottom w:val="0"/>
      <w:divBdr>
        <w:top w:val="none" w:sz="0" w:space="0" w:color="auto"/>
        <w:left w:val="none" w:sz="0" w:space="0" w:color="auto"/>
        <w:bottom w:val="none" w:sz="0" w:space="0" w:color="auto"/>
        <w:right w:val="none" w:sz="0" w:space="0" w:color="auto"/>
      </w:divBdr>
    </w:div>
    <w:div w:id="1741901445">
      <w:bodyDiv w:val="1"/>
      <w:marLeft w:val="0"/>
      <w:marRight w:val="0"/>
      <w:marTop w:val="0"/>
      <w:marBottom w:val="0"/>
      <w:divBdr>
        <w:top w:val="none" w:sz="0" w:space="0" w:color="auto"/>
        <w:left w:val="none" w:sz="0" w:space="0" w:color="auto"/>
        <w:bottom w:val="none" w:sz="0" w:space="0" w:color="auto"/>
        <w:right w:val="none" w:sz="0" w:space="0" w:color="auto"/>
      </w:divBdr>
    </w:div>
    <w:div w:id="1747262482">
      <w:bodyDiv w:val="1"/>
      <w:marLeft w:val="0"/>
      <w:marRight w:val="0"/>
      <w:marTop w:val="0"/>
      <w:marBottom w:val="0"/>
      <w:divBdr>
        <w:top w:val="none" w:sz="0" w:space="0" w:color="auto"/>
        <w:left w:val="none" w:sz="0" w:space="0" w:color="auto"/>
        <w:bottom w:val="none" w:sz="0" w:space="0" w:color="auto"/>
        <w:right w:val="none" w:sz="0" w:space="0" w:color="auto"/>
      </w:divBdr>
    </w:div>
    <w:div w:id="1753156962">
      <w:bodyDiv w:val="1"/>
      <w:marLeft w:val="0"/>
      <w:marRight w:val="0"/>
      <w:marTop w:val="0"/>
      <w:marBottom w:val="0"/>
      <w:divBdr>
        <w:top w:val="none" w:sz="0" w:space="0" w:color="auto"/>
        <w:left w:val="none" w:sz="0" w:space="0" w:color="auto"/>
        <w:bottom w:val="none" w:sz="0" w:space="0" w:color="auto"/>
        <w:right w:val="none" w:sz="0" w:space="0" w:color="auto"/>
      </w:divBdr>
    </w:div>
    <w:div w:id="1756319267">
      <w:bodyDiv w:val="1"/>
      <w:marLeft w:val="0"/>
      <w:marRight w:val="0"/>
      <w:marTop w:val="0"/>
      <w:marBottom w:val="0"/>
      <w:divBdr>
        <w:top w:val="none" w:sz="0" w:space="0" w:color="auto"/>
        <w:left w:val="none" w:sz="0" w:space="0" w:color="auto"/>
        <w:bottom w:val="none" w:sz="0" w:space="0" w:color="auto"/>
        <w:right w:val="none" w:sz="0" w:space="0" w:color="auto"/>
      </w:divBdr>
    </w:div>
    <w:div w:id="1780488726">
      <w:bodyDiv w:val="1"/>
      <w:marLeft w:val="0"/>
      <w:marRight w:val="0"/>
      <w:marTop w:val="0"/>
      <w:marBottom w:val="0"/>
      <w:divBdr>
        <w:top w:val="none" w:sz="0" w:space="0" w:color="auto"/>
        <w:left w:val="none" w:sz="0" w:space="0" w:color="auto"/>
        <w:bottom w:val="none" w:sz="0" w:space="0" w:color="auto"/>
        <w:right w:val="none" w:sz="0" w:space="0" w:color="auto"/>
      </w:divBdr>
    </w:div>
    <w:div w:id="1826311439">
      <w:bodyDiv w:val="1"/>
      <w:marLeft w:val="0"/>
      <w:marRight w:val="0"/>
      <w:marTop w:val="0"/>
      <w:marBottom w:val="0"/>
      <w:divBdr>
        <w:top w:val="none" w:sz="0" w:space="0" w:color="auto"/>
        <w:left w:val="none" w:sz="0" w:space="0" w:color="auto"/>
        <w:bottom w:val="none" w:sz="0" w:space="0" w:color="auto"/>
        <w:right w:val="none" w:sz="0" w:space="0" w:color="auto"/>
      </w:divBdr>
    </w:div>
    <w:div w:id="1859346055">
      <w:bodyDiv w:val="1"/>
      <w:marLeft w:val="0"/>
      <w:marRight w:val="0"/>
      <w:marTop w:val="0"/>
      <w:marBottom w:val="0"/>
      <w:divBdr>
        <w:top w:val="none" w:sz="0" w:space="0" w:color="auto"/>
        <w:left w:val="none" w:sz="0" w:space="0" w:color="auto"/>
        <w:bottom w:val="none" w:sz="0" w:space="0" w:color="auto"/>
        <w:right w:val="none" w:sz="0" w:space="0" w:color="auto"/>
      </w:divBdr>
    </w:div>
    <w:div w:id="1860393651">
      <w:bodyDiv w:val="1"/>
      <w:marLeft w:val="0"/>
      <w:marRight w:val="0"/>
      <w:marTop w:val="0"/>
      <w:marBottom w:val="0"/>
      <w:divBdr>
        <w:top w:val="none" w:sz="0" w:space="0" w:color="auto"/>
        <w:left w:val="none" w:sz="0" w:space="0" w:color="auto"/>
        <w:bottom w:val="none" w:sz="0" w:space="0" w:color="auto"/>
        <w:right w:val="none" w:sz="0" w:space="0" w:color="auto"/>
      </w:divBdr>
    </w:div>
    <w:div w:id="1864593751">
      <w:bodyDiv w:val="1"/>
      <w:marLeft w:val="0"/>
      <w:marRight w:val="0"/>
      <w:marTop w:val="0"/>
      <w:marBottom w:val="0"/>
      <w:divBdr>
        <w:top w:val="none" w:sz="0" w:space="0" w:color="auto"/>
        <w:left w:val="none" w:sz="0" w:space="0" w:color="auto"/>
        <w:bottom w:val="none" w:sz="0" w:space="0" w:color="auto"/>
        <w:right w:val="none" w:sz="0" w:space="0" w:color="auto"/>
      </w:divBdr>
    </w:div>
    <w:div w:id="1877497216">
      <w:bodyDiv w:val="1"/>
      <w:marLeft w:val="0"/>
      <w:marRight w:val="0"/>
      <w:marTop w:val="0"/>
      <w:marBottom w:val="0"/>
      <w:divBdr>
        <w:top w:val="none" w:sz="0" w:space="0" w:color="auto"/>
        <w:left w:val="none" w:sz="0" w:space="0" w:color="auto"/>
        <w:bottom w:val="none" w:sz="0" w:space="0" w:color="auto"/>
        <w:right w:val="none" w:sz="0" w:space="0" w:color="auto"/>
      </w:divBdr>
    </w:div>
    <w:div w:id="1879466674">
      <w:bodyDiv w:val="1"/>
      <w:marLeft w:val="0"/>
      <w:marRight w:val="0"/>
      <w:marTop w:val="0"/>
      <w:marBottom w:val="0"/>
      <w:divBdr>
        <w:top w:val="none" w:sz="0" w:space="0" w:color="auto"/>
        <w:left w:val="none" w:sz="0" w:space="0" w:color="auto"/>
        <w:bottom w:val="none" w:sz="0" w:space="0" w:color="auto"/>
        <w:right w:val="none" w:sz="0" w:space="0" w:color="auto"/>
      </w:divBdr>
    </w:div>
    <w:div w:id="1898315980">
      <w:bodyDiv w:val="1"/>
      <w:marLeft w:val="0"/>
      <w:marRight w:val="0"/>
      <w:marTop w:val="0"/>
      <w:marBottom w:val="0"/>
      <w:divBdr>
        <w:top w:val="none" w:sz="0" w:space="0" w:color="auto"/>
        <w:left w:val="none" w:sz="0" w:space="0" w:color="auto"/>
        <w:bottom w:val="none" w:sz="0" w:space="0" w:color="auto"/>
        <w:right w:val="none" w:sz="0" w:space="0" w:color="auto"/>
      </w:divBdr>
    </w:div>
    <w:div w:id="1899779108">
      <w:bodyDiv w:val="1"/>
      <w:marLeft w:val="0"/>
      <w:marRight w:val="0"/>
      <w:marTop w:val="0"/>
      <w:marBottom w:val="0"/>
      <w:divBdr>
        <w:top w:val="none" w:sz="0" w:space="0" w:color="auto"/>
        <w:left w:val="none" w:sz="0" w:space="0" w:color="auto"/>
        <w:bottom w:val="none" w:sz="0" w:space="0" w:color="auto"/>
        <w:right w:val="none" w:sz="0" w:space="0" w:color="auto"/>
      </w:divBdr>
    </w:div>
    <w:div w:id="1911495721">
      <w:bodyDiv w:val="1"/>
      <w:marLeft w:val="0"/>
      <w:marRight w:val="0"/>
      <w:marTop w:val="0"/>
      <w:marBottom w:val="0"/>
      <w:divBdr>
        <w:top w:val="none" w:sz="0" w:space="0" w:color="auto"/>
        <w:left w:val="none" w:sz="0" w:space="0" w:color="auto"/>
        <w:bottom w:val="none" w:sz="0" w:space="0" w:color="auto"/>
        <w:right w:val="none" w:sz="0" w:space="0" w:color="auto"/>
      </w:divBdr>
    </w:div>
    <w:div w:id="1941178913">
      <w:bodyDiv w:val="1"/>
      <w:marLeft w:val="0"/>
      <w:marRight w:val="0"/>
      <w:marTop w:val="0"/>
      <w:marBottom w:val="0"/>
      <w:divBdr>
        <w:top w:val="none" w:sz="0" w:space="0" w:color="auto"/>
        <w:left w:val="none" w:sz="0" w:space="0" w:color="auto"/>
        <w:bottom w:val="none" w:sz="0" w:space="0" w:color="auto"/>
        <w:right w:val="none" w:sz="0" w:space="0" w:color="auto"/>
      </w:divBdr>
    </w:div>
    <w:div w:id="1942834459">
      <w:bodyDiv w:val="1"/>
      <w:marLeft w:val="0"/>
      <w:marRight w:val="0"/>
      <w:marTop w:val="0"/>
      <w:marBottom w:val="0"/>
      <w:divBdr>
        <w:top w:val="none" w:sz="0" w:space="0" w:color="auto"/>
        <w:left w:val="none" w:sz="0" w:space="0" w:color="auto"/>
        <w:bottom w:val="none" w:sz="0" w:space="0" w:color="auto"/>
        <w:right w:val="none" w:sz="0" w:space="0" w:color="auto"/>
      </w:divBdr>
    </w:div>
    <w:div w:id="1951545104">
      <w:bodyDiv w:val="1"/>
      <w:marLeft w:val="0"/>
      <w:marRight w:val="0"/>
      <w:marTop w:val="0"/>
      <w:marBottom w:val="0"/>
      <w:divBdr>
        <w:top w:val="none" w:sz="0" w:space="0" w:color="auto"/>
        <w:left w:val="none" w:sz="0" w:space="0" w:color="auto"/>
        <w:bottom w:val="none" w:sz="0" w:space="0" w:color="auto"/>
        <w:right w:val="none" w:sz="0" w:space="0" w:color="auto"/>
      </w:divBdr>
    </w:div>
    <w:div w:id="1962147857">
      <w:marLeft w:val="0"/>
      <w:marRight w:val="0"/>
      <w:marTop w:val="0"/>
      <w:marBottom w:val="0"/>
      <w:divBdr>
        <w:top w:val="none" w:sz="0" w:space="0" w:color="auto"/>
        <w:left w:val="none" w:sz="0" w:space="0" w:color="auto"/>
        <w:bottom w:val="none" w:sz="0" w:space="0" w:color="auto"/>
        <w:right w:val="none" w:sz="0" w:space="0" w:color="auto"/>
      </w:divBdr>
    </w:div>
    <w:div w:id="1962147858">
      <w:marLeft w:val="0"/>
      <w:marRight w:val="0"/>
      <w:marTop w:val="0"/>
      <w:marBottom w:val="0"/>
      <w:divBdr>
        <w:top w:val="none" w:sz="0" w:space="0" w:color="auto"/>
        <w:left w:val="none" w:sz="0" w:space="0" w:color="auto"/>
        <w:bottom w:val="none" w:sz="0" w:space="0" w:color="auto"/>
        <w:right w:val="none" w:sz="0" w:space="0" w:color="auto"/>
      </w:divBdr>
    </w:div>
    <w:div w:id="1962147859">
      <w:marLeft w:val="0"/>
      <w:marRight w:val="0"/>
      <w:marTop w:val="0"/>
      <w:marBottom w:val="0"/>
      <w:divBdr>
        <w:top w:val="none" w:sz="0" w:space="0" w:color="auto"/>
        <w:left w:val="none" w:sz="0" w:space="0" w:color="auto"/>
        <w:bottom w:val="none" w:sz="0" w:space="0" w:color="auto"/>
        <w:right w:val="none" w:sz="0" w:space="0" w:color="auto"/>
      </w:divBdr>
    </w:div>
    <w:div w:id="1962147860">
      <w:marLeft w:val="0"/>
      <w:marRight w:val="0"/>
      <w:marTop w:val="0"/>
      <w:marBottom w:val="0"/>
      <w:divBdr>
        <w:top w:val="none" w:sz="0" w:space="0" w:color="auto"/>
        <w:left w:val="none" w:sz="0" w:space="0" w:color="auto"/>
        <w:bottom w:val="none" w:sz="0" w:space="0" w:color="auto"/>
        <w:right w:val="none" w:sz="0" w:space="0" w:color="auto"/>
      </w:divBdr>
    </w:div>
    <w:div w:id="1962147861">
      <w:marLeft w:val="0"/>
      <w:marRight w:val="0"/>
      <w:marTop w:val="0"/>
      <w:marBottom w:val="0"/>
      <w:divBdr>
        <w:top w:val="none" w:sz="0" w:space="0" w:color="auto"/>
        <w:left w:val="none" w:sz="0" w:space="0" w:color="auto"/>
        <w:bottom w:val="none" w:sz="0" w:space="0" w:color="auto"/>
        <w:right w:val="none" w:sz="0" w:space="0" w:color="auto"/>
      </w:divBdr>
    </w:div>
    <w:div w:id="1962147862">
      <w:marLeft w:val="0"/>
      <w:marRight w:val="0"/>
      <w:marTop w:val="0"/>
      <w:marBottom w:val="0"/>
      <w:divBdr>
        <w:top w:val="none" w:sz="0" w:space="0" w:color="auto"/>
        <w:left w:val="none" w:sz="0" w:space="0" w:color="auto"/>
        <w:bottom w:val="none" w:sz="0" w:space="0" w:color="auto"/>
        <w:right w:val="none" w:sz="0" w:space="0" w:color="auto"/>
      </w:divBdr>
    </w:div>
    <w:div w:id="1962147863">
      <w:marLeft w:val="0"/>
      <w:marRight w:val="0"/>
      <w:marTop w:val="0"/>
      <w:marBottom w:val="0"/>
      <w:divBdr>
        <w:top w:val="none" w:sz="0" w:space="0" w:color="auto"/>
        <w:left w:val="none" w:sz="0" w:space="0" w:color="auto"/>
        <w:bottom w:val="none" w:sz="0" w:space="0" w:color="auto"/>
        <w:right w:val="none" w:sz="0" w:space="0" w:color="auto"/>
      </w:divBdr>
    </w:div>
    <w:div w:id="1962147864">
      <w:marLeft w:val="0"/>
      <w:marRight w:val="0"/>
      <w:marTop w:val="0"/>
      <w:marBottom w:val="0"/>
      <w:divBdr>
        <w:top w:val="none" w:sz="0" w:space="0" w:color="auto"/>
        <w:left w:val="none" w:sz="0" w:space="0" w:color="auto"/>
        <w:bottom w:val="none" w:sz="0" w:space="0" w:color="auto"/>
        <w:right w:val="none" w:sz="0" w:space="0" w:color="auto"/>
      </w:divBdr>
    </w:div>
    <w:div w:id="1962147865">
      <w:marLeft w:val="0"/>
      <w:marRight w:val="0"/>
      <w:marTop w:val="0"/>
      <w:marBottom w:val="0"/>
      <w:divBdr>
        <w:top w:val="none" w:sz="0" w:space="0" w:color="auto"/>
        <w:left w:val="none" w:sz="0" w:space="0" w:color="auto"/>
        <w:bottom w:val="none" w:sz="0" w:space="0" w:color="auto"/>
        <w:right w:val="none" w:sz="0" w:space="0" w:color="auto"/>
      </w:divBdr>
    </w:div>
    <w:div w:id="1962147866">
      <w:marLeft w:val="0"/>
      <w:marRight w:val="0"/>
      <w:marTop w:val="0"/>
      <w:marBottom w:val="0"/>
      <w:divBdr>
        <w:top w:val="none" w:sz="0" w:space="0" w:color="auto"/>
        <w:left w:val="none" w:sz="0" w:space="0" w:color="auto"/>
        <w:bottom w:val="none" w:sz="0" w:space="0" w:color="auto"/>
        <w:right w:val="none" w:sz="0" w:space="0" w:color="auto"/>
      </w:divBdr>
    </w:div>
    <w:div w:id="1962147867">
      <w:marLeft w:val="0"/>
      <w:marRight w:val="0"/>
      <w:marTop w:val="0"/>
      <w:marBottom w:val="0"/>
      <w:divBdr>
        <w:top w:val="none" w:sz="0" w:space="0" w:color="auto"/>
        <w:left w:val="none" w:sz="0" w:space="0" w:color="auto"/>
        <w:bottom w:val="none" w:sz="0" w:space="0" w:color="auto"/>
        <w:right w:val="none" w:sz="0" w:space="0" w:color="auto"/>
      </w:divBdr>
    </w:div>
    <w:div w:id="1962147868">
      <w:marLeft w:val="0"/>
      <w:marRight w:val="0"/>
      <w:marTop w:val="0"/>
      <w:marBottom w:val="0"/>
      <w:divBdr>
        <w:top w:val="none" w:sz="0" w:space="0" w:color="auto"/>
        <w:left w:val="none" w:sz="0" w:space="0" w:color="auto"/>
        <w:bottom w:val="none" w:sz="0" w:space="0" w:color="auto"/>
        <w:right w:val="none" w:sz="0" w:space="0" w:color="auto"/>
      </w:divBdr>
    </w:div>
    <w:div w:id="1962147869">
      <w:marLeft w:val="0"/>
      <w:marRight w:val="0"/>
      <w:marTop w:val="0"/>
      <w:marBottom w:val="0"/>
      <w:divBdr>
        <w:top w:val="none" w:sz="0" w:space="0" w:color="auto"/>
        <w:left w:val="none" w:sz="0" w:space="0" w:color="auto"/>
        <w:bottom w:val="none" w:sz="0" w:space="0" w:color="auto"/>
        <w:right w:val="none" w:sz="0" w:space="0" w:color="auto"/>
      </w:divBdr>
    </w:div>
    <w:div w:id="1962147870">
      <w:marLeft w:val="0"/>
      <w:marRight w:val="0"/>
      <w:marTop w:val="0"/>
      <w:marBottom w:val="0"/>
      <w:divBdr>
        <w:top w:val="none" w:sz="0" w:space="0" w:color="auto"/>
        <w:left w:val="none" w:sz="0" w:space="0" w:color="auto"/>
        <w:bottom w:val="none" w:sz="0" w:space="0" w:color="auto"/>
        <w:right w:val="none" w:sz="0" w:space="0" w:color="auto"/>
      </w:divBdr>
    </w:div>
    <w:div w:id="1962147871">
      <w:marLeft w:val="0"/>
      <w:marRight w:val="0"/>
      <w:marTop w:val="0"/>
      <w:marBottom w:val="0"/>
      <w:divBdr>
        <w:top w:val="none" w:sz="0" w:space="0" w:color="auto"/>
        <w:left w:val="none" w:sz="0" w:space="0" w:color="auto"/>
        <w:bottom w:val="none" w:sz="0" w:space="0" w:color="auto"/>
        <w:right w:val="none" w:sz="0" w:space="0" w:color="auto"/>
      </w:divBdr>
    </w:div>
    <w:div w:id="1962147873">
      <w:marLeft w:val="0"/>
      <w:marRight w:val="0"/>
      <w:marTop w:val="0"/>
      <w:marBottom w:val="0"/>
      <w:divBdr>
        <w:top w:val="none" w:sz="0" w:space="0" w:color="auto"/>
        <w:left w:val="none" w:sz="0" w:space="0" w:color="auto"/>
        <w:bottom w:val="none" w:sz="0" w:space="0" w:color="auto"/>
        <w:right w:val="none" w:sz="0" w:space="0" w:color="auto"/>
      </w:divBdr>
    </w:div>
    <w:div w:id="1962147874">
      <w:marLeft w:val="0"/>
      <w:marRight w:val="0"/>
      <w:marTop w:val="0"/>
      <w:marBottom w:val="0"/>
      <w:divBdr>
        <w:top w:val="none" w:sz="0" w:space="0" w:color="auto"/>
        <w:left w:val="none" w:sz="0" w:space="0" w:color="auto"/>
        <w:bottom w:val="none" w:sz="0" w:space="0" w:color="auto"/>
        <w:right w:val="none" w:sz="0" w:space="0" w:color="auto"/>
      </w:divBdr>
    </w:div>
    <w:div w:id="1962147875">
      <w:marLeft w:val="0"/>
      <w:marRight w:val="0"/>
      <w:marTop w:val="0"/>
      <w:marBottom w:val="0"/>
      <w:divBdr>
        <w:top w:val="none" w:sz="0" w:space="0" w:color="auto"/>
        <w:left w:val="none" w:sz="0" w:space="0" w:color="auto"/>
        <w:bottom w:val="none" w:sz="0" w:space="0" w:color="auto"/>
        <w:right w:val="none" w:sz="0" w:space="0" w:color="auto"/>
      </w:divBdr>
    </w:div>
    <w:div w:id="1962147877">
      <w:marLeft w:val="0"/>
      <w:marRight w:val="0"/>
      <w:marTop w:val="0"/>
      <w:marBottom w:val="0"/>
      <w:divBdr>
        <w:top w:val="none" w:sz="0" w:space="0" w:color="auto"/>
        <w:left w:val="none" w:sz="0" w:space="0" w:color="auto"/>
        <w:bottom w:val="none" w:sz="0" w:space="0" w:color="auto"/>
        <w:right w:val="none" w:sz="0" w:space="0" w:color="auto"/>
      </w:divBdr>
    </w:div>
    <w:div w:id="1962147878">
      <w:marLeft w:val="0"/>
      <w:marRight w:val="0"/>
      <w:marTop w:val="0"/>
      <w:marBottom w:val="0"/>
      <w:divBdr>
        <w:top w:val="none" w:sz="0" w:space="0" w:color="auto"/>
        <w:left w:val="none" w:sz="0" w:space="0" w:color="auto"/>
        <w:bottom w:val="none" w:sz="0" w:space="0" w:color="auto"/>
        <w:right w:val="none" w:sz="0" w:space="0" w:color="auto"/>
      </w:divBdr>
    </w:div>
    <w:div w:id="1962147879">
      <w:marLeft w:val="0"/>
      <w:marRight w:val="0"/>
      <w:marTop w:val="0"/>
      <w:marBottom w:val="0"/>
      <w:divBdr>
        <w:top w:val="none" w:sz="0" w:space="0" w:color="auto"/>
        <w:left w:val="none" w:sz="0" w:space="0" w:color="auto"/>
        <w:bottom w:val="none" w:sz="0" w:space="0" w:color="auto"/>
        <w:right w:val="none" w:sz="0" w:space="0" w:color="auto"/>
      </w:divBdr>
    </w:div>
    <w:div w:id="1962147880">
      <w:marLeft w:val="0"/>
      <w:marRight w:val="0"/>
      <w:marTop w:val="0"/>
      <w:marBottom w:val="0"/>
      <w:divBdr>
        <w:top w:val="none" w:sz="0" w:space="0" w:color="auto"/>
        <w:left w:val="none" w:sz="0" w:space="0" w:color="auto"/>
        <w:bottom w:val="none" w:sz="0" w:space="0" w:color="auto"/>
        <w:right w:val="none" w:sz="0" w:space="0" w:color="auto"/>
      </w:divBdr>
    </w:div>
    <w:div w:id="1962147881">
      <w:marLeft w:val="0"/>
      <w:marRight w:val="0"/>
      <w:marTop w:val="0"/>
      <w:marBottom w:val="0"/>
      <w:divBdr>
        <w:top w:val="none" w:sz="0" w:space="0" w:color="auto"/>
        <w:left w:val="none" w:sz="0" w:space="0" w:color="auto"/>
        <w:bottom w:val="none" w:sz="0" w:space="0" w:color="auto"/>
        <w:right w:val="none" w:sz="0" w:space="0" w:color="auto"/>
      </w:divBdr>
    </w:div>
    <w:div w:id="1962147883">
      <w:marLeft w:val="0"/>
      <w:marRight w:val="0"/>
      <w:marTop w:val="0"/>
      <w:marBottom w:val="0"/>
      <w:divBdr>
        <w:top w:val="none" w:sz="0" w:space="0" w:color="auto"/>
        <w:left w:val="none" w:sz="0" w:space="0" w:color="auto"/>
        <w:bottom w:val="none" w:sz="0" w:space="0" w:color="auto"/>
        <w:right w:val="none" w:sz="0" w:space="0" w:color="auto"/>
      </w:divBdr>
    </w:div>
    <w:div w:id="1962147886">
      <w:marLeft w:val="0"/>
      <w:marRight w:val="0"/>
      <w:marTop w:val="0"/>
      <w:marBottom w:val="0"/>
      <w:divBdr>
        <w:top w:val="none" w:sz="0" w:space="0" w:color="auto"/>
        <w:left w:val="none" w:sz="0" w:space="0" w:color="auto"/>
        <w:bottom w:val="none" w:sz="0" w:space="0" w:color="auto"/>
        <w:right w:val="none" w:sz="0" w:space="0" w:color="auto"/>
      </w:divBdr>
    </w:div>
    <w:div w:id="1962147887">
      <w:marLeft w:val="0"/>
      <w:marRight w:val="0"/>
      <w:marTop w:val="0"/>
      <w:marBottom w:val="0"/>
      <w:divBdr>
        <w:top w:val="none" w:sz="0" w:space="0" w:color="auto"/>
        <w:left w:val="none" w:sz="0" w:space="0" w:color="auto"/>
        <w:bottom w:val="none" w:sz="0" w:space="0" w:color="auto"/>
        <w:right w:val="none" w:sz="0" w:space="0" w:color="auto"/>
      </w:divBdr>
    </w:div>
    <w:div w:id="1962147888">
      <w:marLeft w:val="0"/>
      <w:marRight w:val="0"/>
      <w:marTop w:val="0"/>
      <w:marBottom w:val="0"/>
      <w:divBdr>
        <w:top w:val="none" w:sz="0" w:space="0" w:color="auto"/>
        <w:left w:val="none" w:sz="0" w:space="0" w:color="auto"/>
        <w:bottom w:val="none" w:sz="0" w:space="0" w:color="auto"/>
        <w:right w:val="none" w:sz="0" w:space="0" w:color="auto"/>
      </w:divBdr>
      <w:divsChild>
        <w:div w:id="1962147924">
          <w:marLeft w:val="0"/>
          <w:marRight w:val="0"/>
          <w:marTop w:val="0"/>
          <w:marBottom w:val="0"/>
          <w:divBdr>
            <w:top w:val="none" w:sz="0" w:space="0" w:color="auto"/>
            <w:left w:val="none" w:sz="0" w:space="0" w:color="auto"/>
            <w:bottom w:val="none" w:sz="0" w:space="0" w:color="auto"/>
            <w:right w:val="none" w:sz="0" w:space="0" w:color="auto"/>
          </w:divBdr>
          <w:divsChild>
            <w:div w:id="1962147872">
              <w:marLeft w:val="0"/>
              <w:marRight w:val="0"/>
              <w:marTop w:val="0"/>
              <w:marBottom w:val="0"/>
              <w:divBdr>
                <w:top w:val="none" w:sz="0" w:space="0" w:color="auto"/>
                <w:left w:val="none" w:sz="0" w:space="0" w:color="auto"/>
                <w:bottom w:val="none" w:sz="0" w:space="0" w:color="auto"/>
                <w:right w:val="none" w:sz="0" w:space="0" w:color="auto"/>
              </w:divBdr>
              <w:divsChild>
                <w:div w:id="1962147884">
                  <w:marLeft w:val="0"/>
                  <w:marRight w:val="0"/>
                  <w:marTop w:val="0"/>
                  <w:marBottom w:val="0"/>
                  <w:divBdr>
                    <w:top w:val="none" w:sz="0" w:space="0" w:color="auto"/>
                    <w:left w:val="none" w:sz="0" w:space="0" w:color="auto"/>
                    <w:bottom w:val="none" w:sz="0" w:space="0" w:color="auto"/>
                    <w:right w:val="none" w:sz="0" w:space="0" w:color="auto"/>
                  </w:divBdr>
                  <w:divsChild>
                    <w:div w:id="1962147917">
                      <w:marLeft w:val="0"/>
                      <w:marRight w:val="0"/>
                      <w:marTop w:val="0"/>
                      <w:marBottom w:val="0"/>
                      <w:divBdr>
                        <w:top w:val="none" w:sz="0" w:space="0" w:color="auto"/>
                        <w:left w:val="none" w:sz="0" w:space="0" w:color="auto"/>
                        <w:bottom w:val="none" w:sz="0" w:space="0" w:color="auto"/>
                        <w:right w:val="none" w:sz="0" w:space="0" w:color="auto"/>
                      </w:divBdr>
                      <w:divsChild>
                        <w:div w:id="1962147905">
                          <w:marLeft w:val="0"/>
                          <w:marRight w:val="0"/>
                          <w:marTop w:val="0"/>
                          <w:marBottom w:val="0"/>
                          <w:divBdr>
                            <w:top w:val="none" w:sz="0" w:space="0" w:color="auto"/>
                            <w:left w:val="none" w:sz="0" w:space="0" w:color="auto"/>
                            <w:bottom w:val="none" w:sz="0" w:space="0" w:color="auto"/>
                            <w:right w:val="none" w:sz="0" w:space="0" w:color="auto"/>
                          </w:divBdr>
                          <w:divsChild>
                            <w:div w:id="19621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147889">
      <w:marLeft w:val="0"/>
      <w:marRight w:val="0"/>
      <w:marTop w:val="0"/>
      <w:marBottom w:val="0"/>
      <w:divBdr>
        <w:top w:val="none" w:sz="0" w:space="0" w:color="auto"/>
        <w:left w:val="none" w:sz="0" w:space="0" w:color="auto"/>
        <w:bottom w:val="none" w:sz="0" w:space="0" w:color="auto"/>
        <w:right w:val="none" w:sz="0" w:space="0" w:color="auto"/>
      </w:divBdr>
    </w:div>
    <w:div w:id="1962147890">
      <w:marLeft w:val="0"/>
      <w:marRight w:val="0"/>
      <w:marTop w:val="0"/>
      <w:marBottom w:val="0"/>
      <w:divBdr>
        <w:top w:val="none" w:sz="0" w:space="0" w:color="auto"/>
        <w:left w:val="none" w:sz="0" w:space="0" w:color="auto"/>
        <w:bottom w:val="none" w:sz="0" w:space="0" w:color="auto"/>
        <w:right w:val="none" w:sz="0" w:space="0" w:color="auto"/>
      </w:divBdr>
    </w:div>
    <w:div w:id="1962147891">
      <w:marLeft w:val="0"/>
      <w:marRight w:val="0"/>
      <w:marTop w:val="0"/>
      <w:marBottom w:val="0"/>
      <w:divBdr>
        <w:top w:val="none" w:sz="0" w:space="0" w:color="auto"/>
        <w:left w:val="none" w:sz="0" w:space="0" w:color="auto"/>
        <w:bottom w:val="none" w:sz="0" w:space="0" w:color="auto"/>
        <w:right w:val="none" w:sz="0" w:space="0" w:color="auto"/>
      </w:divBdr>
    </w:div>
    <w:div w:id="1962147892">
      <w:marLeft w:val="0"/>
      <w:marRight w:val="0"/>
      <w:marTop w:val="0"/>
      <w:marBottom w:val="0"/>
      <w:divBdr>
        <w:top w:val="none" w:sz="0" w:space="0" w:color="auto"/>
        <w:left w:val="none" w:sz="0" w:space="0" w:color="auto"/>
        <w:bottom w:val="none" w:sz="0" w:space="0" w:color="auto"/>
        <w:right w:val="none" w:sz="0" w:space="0" w:color="auto"/>
      </w:divBdr>
    </w:div>
    <w:div w:id="1962147893">
      <w:marLeft w:val="0"/>
      <w:marRight w:val="0"/>
      <w:marTop w:val="0"/>
      <w:marBottom w:val="0"/>
      <w:divBdr>
        <w:top w:val="none" w:sz="0" w:space="0" w:color="auto"/>
        <w:left w:val="none" w:sz="0" w:space="0" w:color="auto"/>
        <w:bottom w:val="none" w:sz="0" w:space="0" w:color="auto"/>
        <w:right w:val="none" w:sz="0" w:space="0" w:color="auto"/>
      </w:divBdr>
    </w:div>
    <w:div w:id="1962147894">
      <w:marLeft w:val="0"/>
      <w:marRight w:val="0"/>
      <w:marTop w:val="0"/>
      <w:marBottom w:val="0"/>
      <w:divBdr>
        <w:top w:val="none" w:sz="0" w:space="0" w:color="auto"/>
        <w:left w:val="none" w:sz="0" w:space="0" w:color="auto"/>
        <w:bottom w:val="none" w:sz="0" w:space="0" w:color="auto"/>
        <w:right w:val="none" w:sz="0" w:space="0" w:color="auto"/>
      </w:divBdr>
    </w:div>
    <w:div w:id="1962147895">
      <w:marLeft w:val="0"/>
      <w:marRight w:val="0"/>
      <w:marTop w:val="0"/>
      <w:marBottom w:val="0"/>
      <w:divBdr>
        <w:top w:val="none" w:sz="0" w:space="0" w:color="auto"/>
        <w:left w:val="none" w:sz="0" w:space="0" w:color="auto"/>
        <w:bottom w:val="none" w:sz="0" w:space="0" w:color="auto"/>
        <w:right w:val="none" w:sz="0" w:space="0" w:color="auto"/>
      </w:divBdr>
    </w:div>
    <w:div w:id="1962147896">
      <w:marLeft w:val="0"/>
      <w:marRight w:val="0"/>
      <w:marTop w:val="0"/>
      <w:marBottom w:val="0"/>
      <w:divBdr>
        <w:top w:val="none" w:sz="0" w:space="0" w:color="auto"/>
        <w:left w:val="none" w:sz="0" w:space="0" w:color="auto"/>
        <w:bottom w:val="none" w:sz="0" w:space="0" w:color="auto"/>
        <w:right w:val="none" w:sz="0" w:space="0" w:color="auto"/>
      </w:divBdr>
    </w:div>
    <w:div w:id="1962147897">
      <w:marLeft w:val="0"/>
      <w:marRight w:val="0"/>
      <w:marTop w:val="0"/>
      <w:marBottom w:val="0"/>
      <w:divBdr>
        <w:top w:val="none" w:sz="0" w:space="0" w:color="auto"/>
        <w:left w:val="none" w:sz="0" w:space="0" w:color="auto"/>
        <w:bottom w:val="none" w:sz="0" w:space="0" w:color="auto"/>
        <w:right w:val="none" w:sz="0" w:space="0" w:color="auto"/>
      </w:divBdr>
    </w:div>
    <w:div w:id="1962147898">
      <w:marLeft w:val="0"/>
      <w:marRight w:val="0"/>
      <w:marTop w:val="0"/>
      <w:marBottom w:val="0"/>
      <w:divBdr>
        <w:top w:val="none" w:sz="0" w:space="0" w:color="auto"/>
        <w:left w:val="none" w:sz="0" w:space="0" w:color="auto"/>
        <w:bottom w:val="none" w:sz="0" w:space="0" w:color="auto"/>
        <w:right w:val="none" w:sz="0" w:space="0" w:color="auto"/>
      </w:divBdr>
    </w:div>
    <w:div w:id="1962147899">
      <w:marLeft w:val="0"/>
      <w:marRight w:val="0"/>
      <w:marTop w:val="0"/>
      <w:marBottom w:val="0"/>
      <w:divBdr>
        <w:top w:val="none" w:sz="0" w:space="0" w:color="auto"/>
        <w:left w:val="none" w:sz="0" w:space="0" w:color="auto"/>
        <w:bottom w:val="none" w:sz="0" w:space="0" w:color="auto"/>
        <w:right w:val="none" w:sz="0" w:space="0" w:color="auto"/>
      </w:divBdr>
    </w:div>
    <w:div w:id="1962147900">
      <w:marLeft w:val="0"/>
      <w:marRight w:val="0"/>
      <w:marTop w:val="0"/>
      <w:marBottom w:val="0"/>
      <w:divBdr>
        <w:top w:val="none" w:sz="0" w:space="0" w:color="auto"/>
        <w:left w:val="none" w:sz="0" w:space="0" w:color="auto"/>
        <w:bottom w:val="none" w:sz="0" w:space="0" w:color="auto"/>
        <w:right w:val="none" w:sz="0" w:space="0" w:color="auto"/>
      </w:divBdr>
    </w:div>
    <w:div w:id="1962147901">
      <w:marLeft w:val="0"/>
      <w:marRight w:val="0"/>
      <w:marTop w:val="0"/>
      <w:marBottom w:val="0"/>
      <w:divBdr>
        <w:top w:val="none" w:sz="0" w:space="0" w:color="auto"/>
        <w:left w:val="none" w:sz="0" w:space="0" w:color="auto"/>
        <w:bottom w:val="none" w:sz="0" w:space="0" w:color="auto"/>
        <w:right w:val="none" w:sz="0" w:space="0" w:color="auto"/>
      </w:divBdr>
    </w:div>
    <w:div w:id="1962147902">
      <w:marLeft w:val="0"/>
      <w:marRight w:val="0"/>
      <w:marTop w:val="0"/>
      <w:marBottom w:val="0"/>
      <w:divBdr>
        <w:top w:val="none" w:sz="0" w:space="0" w:color="auto"/>
        <w:left w:val="none" w:sz="0" w:space="0" w:color="auto"/>
        <w:bottom w:val="none" w:sz="0" w:space="0" w:color="auto"/>
        <w:right w:val="none" w:sz="0" w:space="0" w:color="auto"/>
      </w:divBdr>
    </w:div>
    <w:div w:id="1962147903">
      <w:marLeft w:val="0"/>
      <w:marRight w:val="0"/>
      <w:marTop w:val="0"/>
      <w:marBottom w:val="0"/>
      <w:divBdr>
        <w:top w:val="none" w:sz="0" w:space="0" w:color="auto"/>
        <w:left w:val="none" w:sz="0" w:space="0" w:color="auto"/>
        <w:bottom w:val="none" w:sz="0" w:space="0" w:color="auto"/>
        <w:right w:val="none" w:sz="0" w:space="0" w:color="auto"/>
      </w:divBdr>
    </w:div>
    <w:div w:id="1962147904">
      <w:marLeft w:val="0"/>
      <w:marRight w:val="0"/>
      <w:marTop w:val="0"/>
      <w:marBottom w:val="0"/>
      <w:divBdr>
        <w:top w:val="none" w:sz="0" w:space="0" w:color="auto"/>
        <w:left w:val="none" w:sz="0" w:space="0" w:color="auto"/>
        <w:bottom w:val="none" w:sz="0" w:space="0" w:color="auto"/>
        <w:right w:val="none" w:sz="0" w:space="0" w:color="auto"/>
      </w:divBdr>
    </w:div>
    <w:div w:id="1962147906">
      <w:marLeft w:val="0"/>
      <w:marRight w:val="0"/>
      <w:marTop w:val="0"/>
      <w:marBottom w:val="0"/>
      <w:divBdr>
        <w:top w:val="none" w:sz="0" w:space="0" w:color="auto"/>
        <w:left w:val="none" w:sz="0" w:space="0" w:color="auto"/>
        <w:bottom w:val="none" w:sz="0" w:space="0" w:color="auto"/>
        <w:right w:val="none" w:sz="0" w:space="0" w:color="auto"/>
      </w:divBdr>
    </w:div>
    <w:div w:id="1962147908">
      <w:marLeft w:val="0"/>
      <w:marRight w:val="0"/>
      <w:marTop w:val="0"/>
      <w:marBottom w:val="0"/>
      <w:divBdr>
        <w:top w:val="none" w:sz="0" w:space="0" w:color="auto"/>
        <w:left w:val="none" w:sz="0" w:space="0" w:color="auto"/>
        <w:bottom w:val="none" w:sz="0" w:space="0" w:color="auto"/>
        <w:right w:val="none" w:sz="0" w:space="0" w:color="auto"/>
      </w:divBdr>
    </w:div>
    <w:div w:id="1962147909">
      <w:marLeft w:val="0"/>
      <w:marRight w:val="0"/>
      <w:marTop w:val="0"/>
      <w:marBottom w:val="0"/>
      <w:divBdr>
        <w:top w:val="none" w:sz="0" w:space="0" w:color="auto"/>
        <w:left w:val="none" w:sz="0" w:space="0" w:color="auto"/>
        <w:bottom w:val="none" w:sz="0" w:space="0" w:color="auto"/>
        <w:right w:val="none" w:sz="0" w:space="0" w:color="auto"/>
      </w:divBdr>
    </w:div>
    <w:div w:id="1962147910">
      <w:marLeft w:val="0"/>
      <w:marRight w:val="0"/>
      <w:marTop w:val="0"/>
      <w:marBottom w:val="0"/>
      <w:divBdr>
        <w:top w:val="none" w:sz="0" w:space="0" w:color="auto"/>
        <w:left w:val="none" w:sz="0" w:space="0" w:color="auto"/>
        <w:bottom w:val="none" w:sz="0" w:space="0" w:color="auto"/>
        <w:right w:val="none" w:sz="0" w:space="0" w:color="auto"/>
      </w:divBdr>
    </w:div>
    <w:div w:id="1962147912">
      <w:marLeft w:val="0"/>
      <w:marRight w:val="0"/>
      <w:marTop w:val="0"/>
      <w:marBottom w:val="0"/>
      <w:divBdr>
        <w:top w:val="none" w:sz="0" w:space="0" w:color="auto"/>
        <w:left w:val="none" w:sz="0" w:space="0" w:color="auto"/>
        <w:bottom w:val="none" w:sz="0" w:space="0" w:color="auto"/>
        <w:right w:val="none" w:sz="0" w:space="0" w:color="auto"/>
      </w:divBdr>
    </w:div>
    <w:div w:id="1962147913">
      <w:marLeft w:val="0"/>
      <w:marRight w:val="0"/>
      <w:marTop w:val="0"/>
      <w:marBottom w:val="0"/>
      <w:divBdr>
        <w:top w:val="none" w:sz="0" w:space="0" w:color="auto"/>
        <w:left w:val="none" w:sz="0" w:space="0" w:color="auto"/>
        <w:bottom w:val="none" w:sz="0" w:space="0" w:color="auto"/>
        <w:right w:val="none" w:sz="0" w:space="0" w:color="auto"/>
      </w:divBdr>
      <w:divsChild>
        <w:div w:id="1962147876">
          <w:marLeft w:val="0"/>
          <w:marRight w:val="0"/>
          <w:marTop w:val="0"/>
          <w:marBottom w:val="0"/>
          <w:divBdr>
            <w:top w:val="none" w:sz="0" w:space="0" w:color="auto"/>
            <w:left w:val="none" w:sz="0" w:space="0" w:color="auto"/>
            <w:bottom w:val="none" w:sz="0" w:space="0" w:color="auto"/>
            <w:right w:val="none" w:sz="0" w:space="0" w:color="auto"/>
          </w:divBdr>
          <w:divsChild>
            <w:div w:id="1962147940">
              <w:marLeft w:val="3751"/>
              <w:marRight w:val="0"/>
              <w:marTop w:val="0"/>
              <w:marBottom w:val="0"/>
              <w:divBdr>
                <w:top w:val="none" w:sz="0" w:space="0" w:color="auto"/>
                <w:left w:val="none" w:sz="0" w:space="0" w:color="auto"/>
                <w:bottom w:val="none" w:sz="0" w:space="0" w:color="auto"/>
                <w:right w:val="none" w:sz="0" w:space="0" w:color="auto"/>
              </w:divBdr>
              <w:divsChild>
                <w:div w:id="1962147911">
                  <w:marLeft w:val="134"/>
                  <w:marRight w:val="33"/>
                  <w:marTop w:val="0"/>
                  <w:marBottom w:val="0"/>
                  <w:divBdr>
                    <w:top w:val="none" w:sz="0" w:space="0" w:color="auto"/>
                    <w:left w:val="none" w:sz="0" w:space="0" w:color="auto"/>
                    <w:bottom w:val="none" w:sz="0" w:space="0" w:color="auto"/>
                    <w:right w:val="none" w:sz="0" w:space="0" w:color="auto"/>
                  </w:divBdr>
                  <w:divsChild>
                    <w:div w:id="1962147885">
                      <w:marLeft w:val="0"/>
                      <w:marRight w:val="0"/>
                      <w:marTop w:val="0"/>
                      <w:marBottom w:val="0"/>
                      <w:divBdr>
                        <w:top w:val="none" w:sz="0" w:space="0" w:color="auto"/>
                        <w:left w:val="none" w:sz="0" w:space="0" w:color="auto"/>
                        <w:bottom w:val="none" w:sz="0" w:space="0" w:color="auto"/>
                        <w:right w:val="none" w:sz="0" w:space="0" w:color="auto"/>
                      </w:divBdr>
                      <w:divsChild>
                        <w:div w:id="1962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47914">
      <w:marLeft w:val="0"/>
      <w:marRight w:val="0"/>
      <w:marTop w:val="0"/>
      <w:marBottom w:val="0"/>
      <w:divBdr>
        <w:top w:val="none" w:sz="0" w:space="0" w:color="auto"/>
        <w:left w:val="none" w:sz="0" w:space="0" w:color="auto"/>
        <w:bottom w:val="none" w:sz="0" w:space="0" w:color="auto"/>
        <w:right w:val="none" w:sz="0" w:space="0" w:color="auto"/>
      </w:divBdr>
    </w:div>
    <w:div w:id="1962147915">
      <w:marLeft w:val="0"/>
      <w:marRight w:val="0"/>
      <w:marTop w:val="0"/>
      <w:marBottom w:val="0"/>
      <w:divBdr>
        <w:top w:val="none" w:sz="0" w:space="0" w:color="auto"/>
        <w:left w:val="none" w:sz="0" w:space="0" w:color="auto"/>
        <w:bottom w:val="none" w:sz="0" w:space="0" w:color="auto"/>
        <w:right w:val="none" w:sz="0" w:space="0" w:color="auto"/>
      </w:divBdr>
    </w:div>
    <w:div w:id="1962147916">
      <w:marLeft w:val="0"/>
      <w:marRight w:val="0"/>
      <w:marTop w:val="0"/>
      <w:marBottom w:val="0"/>
      <w:divBdr>
        <w:top w:val="none" w:sz="0" w:space="0" w:color="auto"/>
        <w:left w:val="none" w:sz="0" w:space="0" w:color="auto"/>
        <w:bottom w:val="none" w:sz="0" w:space="0" w:color="auto"/>
        <w:right w:val="none" w:sz="0" w:space="0" w:color="auto"/>
      </w:divBdr>
    </w:div>
    <w:div w:id="1962147918">
      <w:marLeft w:val="0"/>
      <w:marRight w:val="0"/>
      <w:marTop w:val="0"/>
      <w:marBottom w:val="0"/>
      <w:divBdr>
        <w:top w:val="none" w:sz="0" w:space="0" w:color="auto"/>
        <w:left w:val="none" w:sz="0" w:space="0" w:color="auto"/>
        <w:bottom w:val="none" w:sz="0" w:space="0" w:color="auto"/>
        <w:right w:val="none" w:sz="0" w:space="0" w:color="auto"/>
      </w:divBdr>
    </w:div>
    <w:div w:id="1962147919">
      <w:marLeft w:val="0"/>
      <w:marRight w:val="0"/>
      <w:marTop w:val="0"/>
      <w:marBottom w:val="0"/>
      <w:divBdr>
        <w:top w:val="none" w:sz="0" w:space="0" w:color="auto"/>
        <w:left w:val="none" w:sz="0" w:space="0" w:color="auto"/>
        <w:bottom w:val="none" w:sz="0" w:space="0" w:color="auto"/>
        <w:right w:val="none" w:sz="0" w:space="0" w:color="auto"/>
      </w:divBdr>
    </w:div>
    <w:div w:id="1962147920">
      <w:marLeft w:val="0"/>
      <w:marRight w:val="0"/>
      <w:marTop w:val="0"/>
      <w:marBottom w:val="0"/>
      <w:divBdr>
        <w:top w:val="none" w:sz="0" w:space="0" w:color="auto"/>
        <w:left w:val="none" w:sz="0" w:space="0" w:color="auto"/>
        <w:bottom w:val="none" w:sz="0" w:space="0" w:color="auto"/>
        <w:right w:val="none" w:sz="0" w:space="0" w:color="auto"/>
      </w:divBdr>
    </w:div>
    <w:div w:id="1962147921">
      <w:marLeft w:val="0"/>
      <w:marRight w:val="0"/>
      <w:marTop w:val="0"/>
      <w:marBottom w:val="0"/>
      <w:divBdr>
        <w:top w:val="none" w:sz="0" w:space="0" w:color="auto"/>
        <w:left w:val="none" w:sz="0" w:space="0" w:color="auto"/>
        <w:bottom w:val="none" w:sz="0" w:space="0" w:color="auto"/>
        <w:right w:val="none" w:sz="0" w:space="0" w:color="auto"/>
      </w:divBdr>
    </w:div>
    <w:div w:id="1962147922">
      <w:marLeft w:val="0"/>
      <w:marRight w:val="0"/>
      <w:marTop w:val="0"/>
      <w:marBottom w:val="0"/>
      <w:divBdr>
        <w:top w:val="none" w:sz="0" w:space="0" w:color="auto"/>
        <w:left w:val="none" w:sz="0" w:space="0" w:color="auto"/>
        <w:bottom w:val="none" w:sz="0" w:space="0" w:color="auto"/>
        <w:right w:val="none" w:sz="0" w:space="0" w:color="auto"/>
      </w:divBdr>
    </w:div>
    <w:div w:id="1962147923">
      <w:marLeft w:val="0"/>
      <w:marRight w:val="0"/>
      <w:marTop w:val="0"/>
      <w:marBottom w:val="0"/>
      <w:divBdr>
        <w:top w:val="none" w:sz="0" w:space="0" w:color="auto"/>
        <w:left w:val="none" w:sz="0" w:space="0" w:color="auto"/>
        <w:bottom w:val="none" w:sz="0" w:space="0" w:color="auto"/>
        <w:right w:val="none" w:sz="0" w:space="0" w:color="auto"/>
      </w:divBdr>
    </w:div>
    <w:div w:id="1962147925">
      <w:marLeft w:val="0"/>
      <w:marRight w:val="0"/>
      <w:marTop w:val="0"/>
      <w:marBottom w:val="0"/>
      <w:divBdr>
        <w:top w:val="none" w:sz="0" w:space="0" w:color="auto"/>
        <w:left w:val="none" w:sz="0" w:space="0" w:color="auto"/>
        <w:bottom w:val="none" w:sz="0" w:space="0" w:color="auto"/>
        <w:right w:val="none" w:sz="0" w:space="0" w:color="auto"/>
      </w:divBdr>
    </w:div>
    <w:div w:id="1962147926">
      <w:marLeft w:val="0"/>
      <w:marRight w:val="0"/>
      <w:marTop w:val="0"/>
      <w:marBottom w:val="0"/>
      <w:divBdr>
        <w:top w:val="none" w:sz="0" w:space="0" w:color="auto"/>
        <w:left w:val="none" w:sz="0" w:space="0" w:color="auto"/>
        <w:bottom w:val="none" w:sz="0" w:space="0" w:color="auto"/>
        <w:right w:val="none" w:sz="0" w:space="0" w:color="auto"/>
      </w:divBdr>
    </w:div>
    <w:div w:id="1962147927">
      <w:marLeft w:val="0"/>
      <w:marRight w:val="0"/>
      <w:marTop w:val="0"/>
      <w:marBottom w:val="0"/>
      <w:divBdr>
        <w:top w:val="none" w:sz="0" w:space="0" w:color="auto"/>
        <w:left w:val="none" w:sz="0" w:space="0" w:color="auto"/>
        <w:bottom w:val="none" w:sz="0" w:space="0" w:color="auto"/>
        <w:right w:val="none" w:sz="0" w:space="0" w:color="auto"/>
      </w:divBdr>
    </w:div>
    <w:div w:id="1962147928">
      <w:marLeft w:val="0"/>
      <w:marRight w:val="0"/>
      <w:marTop w:val="0"/>
      <w:marBottom w:val="0"/>
      <w:divBdr>
        <w:top w:val="none" w:sz="0" w:space="0" w:color="auto"/>
        <w:left w:val="none" w:sz="0" w:space="0" w:color="auto"/>
        <w:bottom w:val="none" w:sz="0" w:space="0" w:color="auto"/>
        <w:right w:val="none" w:sz="0" w:space="0" w:color="auto"/>
      </w:divBdr>
    </w:div>
    <w:div w:id="1962147929">
      <w:marLeft w:val="0"/>
      <w:marRight w:val="0"/>
      <w:marTop w:val="0"/>
      <w:marBottom w:val="0"/>
      <w:divBdr>
        <w:top w:val="none" w:sz="0" w:space="0" w:color="auto"/>
        <w:left w:val="none" w:sz="0" w:space="0" w:color="auto"/>
        <w:bottom w:val="none" w:sz="0" w:space="0" w:color="auto"/>
        <w:right w:val="none" w:sz="0" w:space="0" w:color="auto"/>
      </w:divBdr>
    </w:div>
    <w:div w:id="1962147930">
      <w:marLeft w:val="0"/>
      <w:marRight w:val="0"/>
      <w:marTop w:val="0"/>
      <w:marBottom w:val="0"/>
      <w:divBdr>
        <w:top w:val="none" w:sz="0" w:space="0" w:color="auto"/>
        <w:left w:val="none" w:sz="0" w:space="0" w:color="auto"/>
        <w:bottom w:val="none" w:sz="0" w:space="0" w:color="auto"/>
        <w:right w:val="none" w:sz="0" w:space="0" w:color="auto"/>
      </w:divBdr>
    </w:div>
    <w:div w:id="1962147931">
      <w:marLeft w:val="0"/>
      <w:marRight w:val="0"/>
      <w:marTop w:val="0"/>
      <w:marBottom w:val="0"/>
      <w:divBdr>
        <w:top w:val="none" w:sz="0" w:space="0" w:color="auto"/>
        <w:left w:val="none" w:sz="0" w:space="0" w:color="auto"/>
        <w:bottom w:val="none" w:sz="0" w:space="0" w:color="auto"/>
        <w:right w:val="none" w:sz="0" w:space="0" w:color="auto"/>
      </w:divBdr>
    </w:div>
    <w:div w:id="1962147932">
      <w:marLeft w:val="0"/>
      <w:marRight w:val="0"/>
      <w:marTop w:val="0"/>
      <w:marBottom w:val="0"/>
      <w:divBdr>
        <w:top w:val="none" w:sz="0" w:space="0" w:color="auto"/>
        <w:left w:val="none" w:sz="0" w:space="0" w:color="auto"/>
        <w:bottom w:val="none" w:sz="0" w:space="0" w:color="auto"/>
        <w:right w:val="none" w:sz="0" w:space="0" w:color="auto"/>
      </w:divBdr>
    </w:div>
    <w:div w:id="1962147933">
      <w:marLeft w:val="0"/>
      <w:marRight w:val="0"/>
      <w:marTop w:val="0"/>
      <w:marBottom w:val="0"/>
      <w:divBdr>
        <w:top w:val="none" w:sz="0" w:space="0" w:color="auto"/>
        <w:left w:val="none" w:sz="0" w:space="0" w:color="auto"/>
        <w:bottom w:val="none" w:sz="0" w:space="0" w:color="auto"/>
        <w:right w:val="none" w:sz="0" w:space="0" w:color="auto"/>
      </w:divBdr>
    </w:div>
    <w:div w:id="1962147934">
      <w:marLeft w:val="0"/>
      <w:marRight w:val="0"/>
      <w:marTop w:val="0"/>
      <w:marBottom w:val="0"/>
      <w:divBdr>
        <w:top w:val="none" w:sz="0" w:space="0" w:color="auto"/>
        <w:left w:val="none" w:sz="0" w:space="0" w:color="auto"/>
        <w:bottom w:val="none" w:sz="0" w:space="0" w:color="auto"/>
        <w:right w:val="none" w:sz="0" w:space="0" w:color="auto"/>
      </w:divBdr>
    </w:div>
    <w:div w:id="1962147935">
      <w:marLeft w:val="0"/>
      <w:marRight w:val="0"/>
      <w:marTop w:val="0"/>
      <w:marBottom w:val="0"/>
      <w:divBdr>
        <w:top w:val="none" w:sz="0" w:space="0" w:color="auto"/>
        <w:left w:val="none" w:sz="0" w:space="0" w:color="auto"/>
        <w:bottom w:val="none" w:sz="0" w:space="0" w:color="auto"/>
        <w:right w:val="none" w:sz="0" w:space="0" w:color="auto"/>
      </w:divBdr>
    </w:div>
    <w:div w:id="1962147936">
      <w:marLeft w:val="0"/>
      <w:marRight w:val="0"/>
      <w:marTop w:val="0"/>
      <w:marBottom w:val="0"/>
      <w:divBdr>
        <w:top w:val="none" w:sz="0" w:space="0" w:color="auto"/>
        <w:left w:val="none" w:sz="0" w:space="0" w:color="auto"/>
        <w:bottom w:val="none" w:sz="0" w:space="0" w:color="auto"/>
        <w:right w:val="none" w:sz="0" w:space="0" w:color="auto"/>
      </w:divBdr>
    </w:div>
    <w:div w:id="1962147937">
      <w:marLeft w:val="0"/>
      <w:marRight w:val="0"/>
      <w:marTop w:val="0"/>
      <w:marBottom w:val="0"/>
      <w:divBdr>
        <w:top w:val="none" w:sz="0" w:space="0" w:color="auto"/>
        <w:left w:val="none" w:sz="0" w:space="0" w:color="auto"/>
        <w:bottom w:val="none" w:sz="0" w:space="0" w:color="auto"/>
        <w:right w:val="none" w:sz="0" w:space="0" w:color="auto"/>
      </w:divBdr>
    </w:div>
    <w:div w:id="1962147938">
      <w:marLeft w:val="0"/>
      <w:marRight w:val="0"/>
      <w:marTop w:val="0"/>
      <w:marBottom w:val="0"/>
      <w:divBdr>
        <w:top w:val="none" w:sz="0" w:space="0" w:color="auto"/>
        <w:left w:val="none" w:sz="0" w:space="0" w:color="auto"/>
        <w:bottom w:val="none" w:sz="0" w:space="0" w:color="auto"/>
        <w:right w:val="none" w:sz="0" w:space="0" w:color="auto"/>
      </w:divBdr>
    </w:div>
    <w:div w:id="1962147939">
      <w:marLeft w:val="0"/>
      <w:marRight w:val="0"/>
      <w:marTop w:val="0"/>
      <w:marBottom w:val="0"/>
      <w:divBdr>
        <w:top w:val="none" w:sz="0" w:space="0" w:color="auto"/>
        <w:left w:val="none" w:sz="0" w:space="0" w:color="auto"/>
        <w:bottom w:val="none" w:sz="0" w:space="0" w:color="auto"/>
        <w:right w:val="none" w:sz="0" w:space="0" w:color="auto"/>
      </w:divBdr>
    </w:div>
    <w:div w:id="1962147941">
      <w:marLeft w:val="0"/>
      <w:marRight w:val="0"/>
      <w:marTop w:val="0"/>
      <w:marBottom w:val="0"/>
      <w:divBdr>
        <w:top w:val="none" w:sz="0" w:space="0" w:color="auto"/>
        <w:left w:val="none" w:sz="0" w:space="0" w:color="auto"/>
        <w:bottom w:val="none" w:sz="0" w:space="0" w:color="auto"/>
        <w:right w:val="none" w:sz="0" w:space="0" w:color="auto"/>
      </w:divBdr>
    </w:div>
    <w:div w:id="1962147942">
      <w:marLeft w:val="0"/>
      <w:marRight w:val="0"/>
      <w:marTop w:val="0"/>
      <w:marBottom w:val="0"/>
      <w:divBdr>
        <w:top w:val="none" w:sz="0" w:space="0" w:color="auto"/>
        <w:left w:val="none" w:sz="0" w:space="0" w:color="auto"/>
        <w:bottom w:val="none" w:sz="0" w:space="0" w:color="auto"/>
        <w:right w:val="none" w:sz="0" w:space="0" w:color="auto"/>
      </w:divBdr>
    </w:div>
    <w:div w:id="1969435607">
      <w:bodyDiv w:val="1"/>
      <w:marLeft w:val="0"/>
      <w:marRight w:val="0"/>
      <w:marTop w:val="0"/>
      <w:marBottom w:val="0"/>
      <w:divBdr>
        <w:top w:val="none" w:sz="0" w:space="0" w:color="auto"/>
        <w:left w:val="none" w:sz="0" w:space="0" w:color="auto"/>
        <w:bottom w:val="none" w:sz="0" w:space="0" w:color="auto"/>
        <w:right w:val="none" w:sz="0" w:space="0" w:color="auto"/>
      </w:divBdr>
    </w:div>
    <w:div w:id="1970821619">
      <w:bodyDiv w:val="1"/>
      <w:marLeft w:val="0"/>
      <w:marRight w:val="0"/>
      <w:marTop w:val="0"/>
      <w:marBottom w:val="0"/>
      <w:divBdr>
        <w:top w:val="none" w:sz="0" w:space="0" w:color="auto"/>
        <w:left w:val="none" w:sz="0" w:space="0" w:color="auto"/>
        <w:bottom w:val="none" w:sz="0" w:space="0" w:color="auto"/>
        <w:right w:val="none" w:sz="0" w:space="0" w:color="auto"/>
      </w:divBdr>
    </w:div>
    <w:div w:id="1973825749">
      <w:bodyDiv w:val="1"/>
      <w:marLeft w:val="0"/>
      <w:marRight w:val="0"/>
      <w:marTop w:val="0"/>
      <w:marBottom w:val="0"/>
      <w:divBdr>
        <w:top w:val="none" w:sz="0" w:space="0" w:color="auto"/>
        <w:left w:val="none" w:sz="0" w:space="0" w:color="auto"/>
        <w:bottom w:val="none" w:sz="0" w:space="0" w:color="auto"/>
        <w:right w:val="none" w:sz="0" w:space="0" w:color="auto"/>
      </w:divBdr>
    </w:div>
    <w:div w:id="1976329319">
      <w:bodyDiv w:val="1"/>
      <w:marLeft w:val="0"/>
      <w:marRight w:val="0"/>
      <w:marTop w:val="0"/>
      <w:marBottom w:val="0"/>
      <w:divBdr>
        <w:top w:val="none" w:sz="0" w:space="0" w:color="auto"/>
        <w:left w:val="none" w:sz="0" w:space="0" w:color="auto"/>
        <w:bottom w:val="none" w:sz="0" w:space="0" w:color="auto"/>
        <w:right w:val="none" w:sz="0" w:space="0" w:color="auto"/>
      </w:divBdr>
    </w:div>
    <w:div w:id="1995332631">
      <w:bodyDiv w:val="1"/>
      <w:marLeft w:val="0"/>
      <w:marRight w:val="0"/>
      <w:marTop w:val="0"/>
      <w:marBottom w:val="0"/>
      <w:divBdr>
        <w:top w:val="none" w:sz="0" w:space="0" w:color="auto"/>
        <w:left w:val="none" w:sz="0" w:space="0" w:color="auto"/>
        <w:bottom w:val="none" w:sz="0" w:space="0" w:color="auto"/>
        <w:right w:val="none" w:sz="0" w:space="0" w:color="auto"/>
      </w:divBdr>
    </w:div>
    <w:div w:id="2008365213">
      <w:bodyDiv w:val="1"/>
      <w:marLeft w:val="0"/>
      <w:marRight w:val="0"/>
      <w:marTop w:val="0"/>
      <w:marBottom w:val="0"/>
      <w:divBdr>
        <w:top w:val="none" w:sz="0" w:space="0" w:color="auto"/>
        <w:left w:val="none" w:sz="0" w:space="0" w:color="auto"/>
        <w:bottom w:val="none" w:sz="0" w:space="0" w:color="auto"/>
        <w:right w:val="none" w:sz="0" w:space="0" w:color="auto"/>
      </w:divBdr>
    </w:div>
    <w:div w:id="2026976631">
      <w:bodyDiv w:val="1"/>
      <w:marLeft w:val="0"/>
      <w:marRight w:val="0"/>
      <w:marTop w:val="0"/>
      <w:marBottom w:val="0"/>
      <w:divBdr>
        <w:top w:val="none" w:sz="0" w:space="0" w:color="auto"/>
        <w:left w:val="none" w:sz="0" w:space="0" w:color="auto"/>
        <w:bottom w:val="none" w:sz="0" w:space="0" w:color="auto"/>
        <w:right w:val="none" w:sz="0" w:space="0" w:color="auto"/>
      </w:divBdr>
    </w:div>
    <w:div w:id="2030568261">
      <w:bodyDiv w:val="1"/>
      <w:marLeft w:val="0"/>
      <w:marRight w:val="0"/>
      <w:marTop w:val="0"/>
      <w:marBottom w:val="0"/>
      <w:divBdr>
        <w:top w:val="none" w:sz="0" w:space="0" w:color="auto"/>
        <w:left w:val="none" w:sz="0" w:space="0" w:color="auto"/>
        <w:bottom w:val="none" w:sz="0" w:space="0" w:color="auto"/>
        <w:right w:val="none" w:sz="0" w:space="0" w:color="auto"/>
      </w:divBdr>
    </w:div>
    <w:div w:id="2036878787">
      <w:bodyDiv w:val="1"/>
      <w:marLeft w:val="0"/>
      <w:marRight w:val="0"/>
      <w:marTop w:val="0"/>
      <w:marBottom w:val="0"/>
      <w:divBdr>
        <w:top w:val="none" w:sz="0" w:space="0" w:color="auto"/>
        <w:left w:val="none" w:sz="0" w:space="0" w:color="auto"/>
        <w:bottom w:val="none" w:sz="0" w:space="0" w:color="auto"/>
        <w:right w:val="none" w:sz="0" w:space="0" w:color="auto"/>
      </w:divBdr>
    </w:div>
    <w:div w:id="2058966395">
      <w:bodyDiv w:val="1"/>
      <w:marLeft w:val="0"/>
      <w:marRight w:val="0"/>
      <w:marTop w:val="0"/>
      <w:marBottom w:val="0"/>
      <w:divBdr>
        <w:top w:val="none" w:sz="0" w:space="0" w:color="auto"/>
        <w:left w:val="none" w:sz="0" w:space="0" w:color="auto"/>
        <w:bottom w:val="none" w:sz="0" w:space="0" w:color="auto"/>
        <w:right w:val="none" w:sz="0" w:space="0" w:color="auto"/>
      </w:divBdr>
    </w:div>
    <w:div w:id="2073695393">
      <w:bodyDiv w:val="1"/>
      <w:marLeft w:val="0"/>
      <w:marRight w:val="0"/>
      <w:marTop w:val="0"/>
      <w:marBottom w:val="0"/>
      <w:divBdr>
        <w:top w:val="none" w:sz="0" w:space="0" w:color="auto"/>
        <w:left w:val="none" w:sz="0" w:space="0" w:color="auto"/>
        <w:bottom w:val="none" w:sz="0" w:space="0" w:color="auto"/>
        <w:right w:val="none" w:sz="0" w:space="0" w:color="auto"/>
      </w:divBdr>
    </w:div>
    <w:div w:id="2083988875">
      <w:bodyDiv w:val="1"/>
      <w:marLeft w:val="0"/>
      <w:marRight w:val="0"/>
      <w:marTop w:val="0"/>
      <w:marBottom w:val="0"/>
      <w:divBdr>
        <w:top w:val="none" w:sz="0" w:space="0" w:color="auto"/>
        <w:left w:val="none" w:sz="0" w:space="0" w:color="auto"/>
        <w:bottom w:val="none" w:sz="0" w:space="0" w:color="auto"/>
        <w:right w:val="none" w:sz="0" w:space="0" w:color="auto"/>
      </w:divBdr>
    </w:div>
    <w:div w:id="2086874336">
      <w:bodyDiv w:val="1"/>
      <w:marLeft w:val="0"/>
      <w:marRight w:val="0"/>
      <w:marTop w:val="0"/>
      <w:marBottom w:val="0"/>
      <w:divBdr>
        <w:top w:val="none" w:sz="0" w:space="0" w:color="auto"/>
        <w:left w:val="none" w:sz="0" w:space="0" w:color="auto"/>
        <w:bottom w:val="none" w:sz="0" w:space="0" w:color="auto"/>
        <w:right w:val="none" w:sz="0" w:space="0" w:color="auto"/>
      </w:divBdr>
    </w:div>
    <w:div w:id="2087610945">
      <w:bodyDiv w:val="1"/>
      <w:marLeft w:val="0"/>
      <w:marRight w:val="0"/>
      <w:marTop w:val="0"/>
      <w:marBottom w:val="0"/>
      <w:divBdr>
        <w:top w:val="none" w:sz="0" w:space="0" w:color="auto"/>
        <w:left w:val="none" w:sz="0" w:space="0" w:color="auto"/>
        <w:bottom w:val="none" w:sz="0" w:space="0" w:color="auto"/>
        <w:right w:val="none" w:sz="0" w:space="0" w:color="auto"/>
      </w:divBdr>
    </w:div>
    <w:div w:id="211459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hyperlink" Target="http://www.workcover.wa.gov.au/about-us/workcover-wa-at-a-glance/strategic-direction/" TargetMode="External"/><Relationship Id="rId26" Type="http://schemas.openxmlformats.org/officeDocument/2006/relationships/chart" Target="charts/chart7.xm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10.xml"/><Relationship Id="rId42"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1.xml"/><Relationship Id="rId29" Type="http://schemas.openxmlformats.org/officeDocument/2006/relationships/hyperlink" Target="http://www.workcover.wa.gov.au/resources/forms-publications" TargetMode="Externa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footer" Target="footer4.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chart" Target="charts/chart4.xml"/><Relationship Id="rId28" Type="http://schemas.openxmlformats.org/officeDocument/2006/relationships/header" Target="header3.xml"/><Relationship Id="rId36"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hyperlink" Target="http://www.workcover.wa.gov.au"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rkcover.wa.gov.au/"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4.xml"/><Relationship Id="rId35" Type="http://schemas.openxmlformats.org/officeDocument/2006/relationships/chart" Target="charts/chart11.xml"/><Relationship Id="rId43"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4570971236398324E-3"/>
          <c:y val="0.14054713652596701"/>
          <c:w val="0.85196915067341428"/>
          <c:h val="0.71500503420678974"/>
        </c:manualLayout>
      </c:layout>
      <c:ofPieChart>
        <c:ofPieType val="bar"/>
        <c:varyColors val="1"/>
        <c:ser>
          <c:idx val="0"/>
          <c:order val="0"/>
          <c:explosion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('Scheme data'!$A$29,'Scheme data'!$A$31:$A$32)</c:f>
              <c:strCache>
                <c:ptCount val="3"/>
                <c:pt idx="0">
                  <c:v>No lost-time claims</c:v>
                </c:pt>
                <c:pt idx="1">
                  <c:v>1-59 days lost</c:v>
                </c:pt>
                <c:pt idx="2">
                  <c:v>60+ days lost</c:v>
                </c:pt>
              </c:strCache>
            </c:strRef>
          </c:cat>
          <c:val>
            <c:numRef>
              <c:f>('Scheme data'!$B$29,'Scheme data'!$B$31:$B$32)</c:f>
              <c:numCache>
                <c:formatCode>_-* #,##0_-;\-* #,##0_-;_-* "-"??_-;_-@_-</c:formatCode>
                <c:ptCount val="3"/>
                <c:pt idx="0">
                  <c:v>12567</c:v>
                </c:pt>
                <c:pt idx="1">
                  <c:v>10185</c:v>
                </c:pt>
                <c:pt idx="2">
                  <c:v>5409</c:v>
                </c:pt>
              </c:numCache>
            </c:numRef>
          </c:val>
        </c:ser>
        <c:dLbls>
          <c:dLblPos val="inEnd"/>
          <c:showLegendKey val="0"/>
          <c:showVal val="0"/>
          <c:showCatName val="0"/>
          <c:showSerName val="0"/>
          <c:showPercent val="0"/>
          <c:showBubbleSize val="0"/>
          <c:showLeaderLines val="0"/>
        </c:dLbls>
        <c:gapWidth val="71"/>
        <c:splitType val="pos"/>
        <c:splitPos val="2"/>
        <c:secondPieSize val="75"/>
        <c:serLines>
          <c:spPr>
            <a:ln w="9525" cap="flat" cmpd="sng" algn="ctr">
              <a:solidFill>
                <a:schemeClr val="bg1">
                  <a:lumMod val="50000"/>
                </a:schemeClr>
              </a:solidFill>
              <a:round/>
            </a:ln>
            <a:effectLst/>
          </c:spPr>
        </c:serLines>
      </c:ofPieChart>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en-AU" sz="1197" baseline="0">
                <a:solidFill>
                  <a:sysClr val="windowText" lastClr="000000"/>
                </a:solidFill>
              </a:rPr>
              <a:t>Figure 2: Proportion of conciliations completed within 8 weeks</a:t>
            </a:r>
          </a:p>
        </c:rich>
      </c:tx>
      <c:layout>
        <c:manualLayout>
          <c:xMode val="edge"/>
          <c:yMode val="edge"/>
          <c:x val="0.10693559247502439"/>
          <c:y val="3.1745968781610102E-2"/>
        </c:manualLayout>
      </c:layout>
      <c:overlay val="0"/>
    </c:title>
    <c:autoTitleDeleted val="0"/>
    <c:plotArea>
      <c:layout/>
      <c:barChart>
        <c:barDir val="col"/>
        <c:grouping val="clustered"/>
        <c:varyColors val="0"/>
        <c:ser>
          <c:idx val="0"/>
          <c:order val="0"/>
          <c:tx>
            <c:strRef>
              <c:f>Sheet1!$B$1</c:f>
              <c:strCache>
                <c:ptCount val="1"/>
                <c:pt idx="0">
                  <c:v>Proportion of conciliations completed within 8 weeks</c:v>
                </c:pt>
              </c:strCache>
            </c:strRef>
          </c:tx>
          <c:spPr>
            <a:solidFill>
              <a:srgbClr val="3D5C57"/>
            </a:solidFill>
            <a:ln w="9496">
              <a:noFill/>
            </a:ln>
          </c:spPr>
          <c:invertIfNegative val="0"/>
          <c:dPt>
            <c:idx val="0"/>
            <c:invertIfNegative val="0"/>
            <c:bubble3D val="0"/>
            <c:spPr>
              <a:solidFill>
                <a:srgbClr val="898D91"/>
              </a:solidFill>
              <a:ln w="9496">
                <a:noFill/>
              </a:ln>
            </c:spPr>
          </c:dPt>
          <c:dPt>
            <c:idx val="1"/>
            <c:invertIfNegative val="0"/>
            <c:bubble3D val="0"/>
            <c:spPr>
              <a:solidFill>
                <a:srgbClr val="898D91"/>
              </a:solidFill>
              <a:ln w="9496">
                <a:noFill/>
              </a:ln>
            </c:spPr>
          </c:dPt>
          <c:dPt>
            <c:idx val="2"/>
            <c:invertIfNegative val="0"/>
            <c:bubble3D val="0"/>
            <c:spPr>
              <a:solidFill>
                <a:srgbClr val="898D91"/>
              </a:solidFill>
              <a:ln w="9496">
                <a:noFill/>
              </a:ln>
            </c:spPr>
          </c:dPt>
          <c:dPt>
            <c:idx val="3"/>
            <c:invertIfNegative val="0"/>
            <c:bubble3D val="0"/>
            <c:spPr>
              <a:solidFill>
                <a:srgbClr val="898D91"/>
              </a:solidFill>
              <a:ln w="9496">
                <a:noFill/>
              </a:ln>
            </c:spPr>
          </c:dPt>
          <c:dPt>
            <c:idx val="4"/>
            <c:invertIfNegative val="0"/>
            <c:bubble3D val="0"/>
            <c:spPr>
              <a:solidFill>
                <a:srgbClr val="EE7D31"/>
              </a:solidFill>
              <a:ln w="9498">
                <a:noFill/>
              </a:ln>
            </c:spPr>
          </c:dPt>
          <c:dPt>
            <c:idx val="5"/>
            <c:invertIfNegative val="0"/>
            <c:bubble3D val="0"/>
            <c:spPr>
              <a:solidFill>
                <a:srgbClr val="003F5F"/>
              </a:solidFill>
              <a:ln w="9496">
                <a:noFill/>
              </a:ln>
            </c:spPr>
          </c:dPt>
          <c:cat>
            <c:strRef>
              <c:f>Sheet1!$A$2:$A$7</c:f>
              <c:strCache>
                <c:ptCount val="6"/>
                <c:pt idx="0">
                  <c:v>2013/14 </c:v>
                </c:pt>
                <c:pt idx="1">
                  <c:v>2014/15 </c:v>
                </c:pt>
                <c:pt idx="2">
                  <c:v>2015/16 </c:v>
                </c:pt>
                <c:pt idx="3">
                  <c:v>2016/17</c:v>
                </c:pt>
                <c:pt idx="4">
                  <c:v>2017/18 </c:v>
                </c:pt>
                <c:pt idx="5">
                  <c:v>2017/18 Target</c:v>
                </c:pt>
              </c:strCache>
            </c:strRef>
          </c:cat>
          <c:val>
            <c:numRef>
              <c:f>Sheet1!$B$2:$B$7</c:f>
              <c:numCache>
                <c:formatCode>0.0%</c:formatCode>
                <c:ptCount val="6"/>
                <c:pt idx="0">
                  <c:v>0.96799999999999997</c:v>
                </c:pt>
                <c:pt idx="1">
                  <c:v>0.96299999999999997</c:v>
                </c:pt>
                <c:pt idx="2">
                  <c:v>0.96199999999999997</c:v>
                </c:pt>
                <c:pt idx="3">
                  <c:v>0.97099999999999997</c:v>
                </c:pt>
                <c:pt idx="4">
                  <c:v>0.96699999999999997</c:v>
                </c:pt>
                <c:pt idx="5">
                  <c:v>0.97</c:v>
                </c:pt>
              </c:numCache>
            </c:numRef>
          </c:val>
        </c:ser>
        <c:dLbls>
          <c:showLegendKey val="0"/>
          <c:showVal val="0"/>
          <c:showCatName val="0"/>
          <c:showSerName val="0"/>
          <c:showPercent val="0"/>
          <c:showBubbleSize val="0"/>
        </c:dLbls>
        <c:gapWidth val="150"/>
        <c:axId val="467523600"/>
        <c:axId val="467530264"/>
      </c:barChart>
      <c:catAx>
        <c:axId val="467523600"/>
        <c:scaling>
          <c:orientation val="minMax"/>
        </c:scaling>
        <c:delete val="0"/>
        <c:axPos val="b"/>
        <c:numFmt formatCode="General" sourceLinked="0"/>
        <c:majorTickMark val="out"/>
        <c:minorTickMark val="none"/>
        <c:tickLblPos val="nextTo"/>
        <c:spPr>
          <a:ln>
            <a:solidFill>
              <a:srgbClr val="000000"/>
            </a:solidFill>
          </a:ln>
        </c:spPr>
        <c:crossAx val="467530264"/>
        <c:crosses val="autoZero"/>
        <c:auto val="1"/>
        <c:lblAlgn val="ctr"/>
        <c:lblOffset val="100"/>
        <c:noMultiLvlLbl val="0"/>
      </c:catAx>
      <c:valAx>
        <c:axId val="467530264"/>
        <c:scaling>
          <c:orientation val="minMax"/>
          <c:max val="1"/>
          <c:min val="0"/>
        </c:scaling>
        <c:delete val="0"/>
        <c:axPos val="l"/>
        <c:numFmt formatCode="0.0%" sourceLinked="1"/>
        <c:majorTickMark val="out"/>
        <c:minorTickMark val="none"/>
        <c:tickLblPos val="nextTo"/>
        <c:spPr>
          <a:ln>
            <a:solidFill>
              <a:srgbClr val="000000"/>
            </a:solidFill>
          </a:ln>
        </c:spPr>
        <c:txPr>
          <a:bodyPr/>
          <a:lstStyle/>
          <a:p>
            <a:pPr>
              <a:defRPr>
                <a:solidFill>
                  <a:sysClr val="windowText" lastClr="000000"/>
                </a:solidFill>
              </a:defRPr>
            </a:pPr>
            <a:endParaRPr lang="en-US"/>
          </a:p>
        </c:txPr>
        <c:crossAx val="467523600"/>
        <c:crosses val="autoZero"/>
        <c:crossBetween val="between"/>
      </c:valAx>
      <c:dTable>
        <c:showHorzBorder val="1"/>
        <c:showVertBorder val="0"/>
        <c:showOutline val="0"/>
        <c:showKeys val="0"/>
        <c:txPr>
          <a:bodyPr/>
          <a:lstStyle/>
          <a:p>
            <a:pPr rtl="0">
              <a:defRPr>
                <a:solidFill>
                  <a:sysClr val="windowText" lastClr="000000"/>
                </a:solidFill>
              </a:defRPr>
            </a:pPr>
            <a:endParaRPr lang="en-US"/>
          </a:p>
        </c:txPr>
      </c:dTable>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161" baseline="0">
                <a:solidFill>
                  <a:sysClr val="windowText" lastClr="000000"/>
                </a:solidFill>
              </a:defRPr>
            </a:pPr>
            <a:r>
              <a:rPr lang="en-US" sz="1161" baseline="0">
                <a:solidFill>
                  <a:sysClr val="windowText" lastClr="000000"/>
                </a:solidFill>
              </a:rPr>
              <a:t>Figure 3: Proportion of disputes resolved within 6 months </a:t>
            </a:r>
          </a:p>
        </c:rich>
      </c:tx>
      <c:layout>
        <c:manualLayout>
          <c:xMode val="edge"/>
          <c:yMode val="edge"/>
          <c:x val="0.12908284583549315"/>
          <c:y val="3.3775265271328262E-3"/>
        </c:manualLayout>
      </c:layout>
      <c:overlay val="0"/>
    </c:title>
    <c:autoTitleDeleted val="0"/>
    <c:plotArea>
      <c:layout>
        <c:manualLayout>
          <c:layoutTarget val="inner"/>
          <c:xMode val="edge"/>
          <c:yMode val="edge"/>
          <c:x val="0.35679552215663124"/>
          <c:y val="0.17139535256667326"/>
          <c:w val="0.64320447784336865"/>
          <c:h val="0.58270571066600385"/>
        </c:manualLayout>
      </c:layout>
      <c:barChart>
        <c:barDir val="col"/>
        <c:grouping val="clustered"/>
        <c:varyColors val="0"/>
        <c:ser>
          <c:idx val="0"/>
          <c:order val="0"/>
          <c:tx>
            <c:strRef>
              <c:f>Sheet1!$B$1</c:f>
              <c:strCache>
                <c:ptCount val="1"/>
                <c:pt idx="0">
                  <c:v>Proportion of disputes resolved within 6 months</c:v>
                </c:pt>
              </c:strCache>
            </c:strRef>
          </c:tx>
          <c:spPr>
            <a:solidFill>
              <a:srgbClr val="446055"/>
            </a:solidFill>
          </c:spPr>
          <c:invertIfNegative val="0"/>
          <c:dPt>
            <c:idx val="0"/>
            <c:invertIfNegative val="0"/>
            <c:bubble3D val="0"/>
            <c:spPr>
              <a:solidFill>
                <a:srgbClr val="898D91"/>
              </a:solidFill>
              <a:ln>
                <a:noFill/>
              </a:ln>
            </c:spPr>
          </c:dPt>
          <c:dPt>
            <c:idx val="1"/>
            <c:invertIfNegative val="0"/>
            <c:bubble3D val="0"/>
            <c:spPr>
              <a:solidFill>
                <a:srgbClr val="898D91"/>
              </a:solidFill>
              <a:ln>
                <a:noFill/>
              </a:ln>
            </c:spPr>
          </c:dPt>
          <c:dPt>
            <c:idx val="2"/>
            <c:invertIfNegative val="0"/>
            <c:bubble3D val="0"/>
            <c:spPr>
              <a:solidFill>
                <a:srgbClr val="898D91"/>
              </a:solidFill>
              <a:ln>
                <a:noFill/>
              </a:ln>
            </c:spPr>
          </c:dPt>
          <c:dPt>
            <c:idx val="3"/>
            <c:invertIfNegative val="0"/>
            <c:bubble3D val="0"/>
            <c:spPr>
              <a:solidFill>
                <a:srgbClr val="898D91"/>
              </a:solidFill>
              <a:ln>
                <a:noFill/>
              </a:ln>
            </c:spPr>
          </c:dPt>
          <c:dPt>
            <c:idx val="4"/>
            <c:invertIfNegative val="0"/>
            <c:bubble3D val="0"/>
            <c:spPr>
              <a:solidFill>
                <a:srgbClr val="EE7D31"/>
              </a:solidFill>
              <a:ln>
                <a:noFill/>
              </a:ln>
            </c:spPr>
          </c:dPt>
          <c:dPt>
            <c:idx val="5"/>
            <c:invertIfNegative val="0"/>
            <c:bubble3D val="0"/>
            <c:spPr>
              <a:solidFill>
                <a:srgbClr val="003F5F"/>
              </a:solidFill>
              <a:ln>
                <a:noFill/>
              </a:ln>
            </c:spPr>
          </c:dPt>
          <c:dPt>
            <c:idx val="6"/>
            <c:invertIfNegative val="0"/>
            <c:bubble3D val="0"/>
            <c:spPr>
              <a:solidFill>
                <a:srgbClr val="446055">
                  <a:lumMod val="40000"/>
                  <a:lumOff val="60000"/>
                </a:srgbClr>
              </a:solidFill>
              <a:ln>
                <a:noFill/>
              </a:ln>
            </c:spPr>
          </c:dPt>
          <c:cat>
            <c:strRef>
              <c:f>Sheet1!$A$6:$A$11</c:f>
              <c:strCache>
                <c:ptCount val="6"/>
                <c:pt idx="0">
                  <c:v>2013/14</c:v>
                </c:pt>
                <c:pt idx="1">
                  <c:v>2014/15</c:v>
                </c:pt>
                <c:pt idx="2">
                  <c:v>2015/16</c:v>
                </c:pt>
                <c:pt idx="3">
                  <c:v>2016/17 </c:v>
                </c:pt>
                <c:pt idx="4">
                  <c:v>2017/18 </c:v>
                </c:pt>
                <c:pt idx="5">
                  <c:v>2017/18 Target</c:v>
                </c:pt>
              </c:strCache>
            </c:strRef>
          </c:cat>
          <c:val>
            <c:numRef>
              <c:f>Sheet1!$B$6:$B$11</c:f>
              <c:numCache>
                <c:formatCode>0.0%</c:formatCode>
                <c:ptCount val="6"/>
                <c:pt idx="0">
                  <c:v>0.89500000000000002</c:v>
                </c:pt>
                <c:pt idx="1">
                  <c:v>0.88800000000000001</c:v>
                </c:pt>
                <c:pt idx="2">
                  <c:v>0.86799999999999999</c:v>
                </c:pt>
                <c:pt idx="3">
                  <c:v>0.879</c:v>
                </c:pt>
                <c:pt idx="4">
                  <c:v>0.84099999999999997</c:v>
                </c:pt>
                <c:pt idx="5">
                  <c:v>0.9</c:v>
                </c:pt>
              </c:numCache>
            </c:numRef>
          </c:val>
        </c:ser>
        <c:dLbls>
          <c:showLegendKey val="0"/>
          <c:showVal val="0"/>
          <c:showCatName val="0"/>
          <c:showSerName val="0"/>
          <c:showPercent val="0"/>
          <c:showBubbleSize val="0"/>
        </c:dLbls>
        <c:gapWidth val="150"/>
        <c:axId val="467518112"/>
        <c:axId val="467523992"/>
      </c:barChart>
      <c:catAx>
        <c:axId val="467518112"/>
        <c:scaling>
          <c:orientation val="minMax"/>
        </c:scaling>
        <c:delete val="0"/>
        <c:axPos val="b"/>
        <c:numFmt formatCode="General" sourceLinked="0"/>
        <c:majorTickMark val="out"/>
        <c:minorTickMark val="none"/>
        <c:tickLblPos val="nextTo"/>
        <c:spPr>
          <a:ln>
            <a:solidFill>
              <a:srgbClr val="000000"/>
            </a:solidFill>
          </a:ln>
        </c:spPr>
        <c:crossAx val="467523992"/>
        <c:crosses val="autoZero"/>
        <c:auto val="1"/>
        <c:lblAlgn val="ctr"/>
        <c:lblOffset val="100"/>
        <c:noMultiLvlLbl val="0"/>
      </c:catAx>
      <c:valAx>
        <c:axId val="467523992"/>
        <c:scaling>
          <c:orientation val="minMax"/>
          <c:max val="1"/>
          <c:min val="0"/>
        </c:scaling>
        <c:delete val="0"/>
        <c:axPos val="l"/>
        <c:numFmt formatCode="0.0%" sourceLinked="1"/>
        <c:majorTickMark val="out"/>
        <c:minorTickMark val="none"/>
        <c:tickLblPos val="nextTo"/>
        <c:spPr>
          <a:ln>
            <a:solidFill>
              <a:srgbClr val="000000"/>
            </a:solidFill>
          </a:ln>
        </c:spPr>
        <c:txPr>
          <a:bodyPr/>
          <a:lstStyle/>
          <a:p>
            <a:pPr>
              <a:defRPr>
                <a:solidFill>
                  <a:sysClr val="windowText" lastClr="000000"/>
                </a:solidFill>
              </a:defRPr>
            </a:pPr>
            <a:endParaRPr lang="en-US"/>
          </a:p>
        </c:txPr>
        <c:crossAx val="467518112"/>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4566">
          <a:noFill/>
        </a:ln>
      </c:spPr>
    </c:plotArea>
    <c:plotVisOnly val="1"/>
    <c:dispBlanksAs val="gap"/>
    <c:showDLblsOverMax val="0"/>
  </c:chart>
  <c:spPr>
    <a:noFill/>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baseline="0">
                <a:solidFill>
                  <a:sysClr val="windowText" lastClr="000000"/>
                </a:solidFill>
              </a:defRPr>
            </a:pPr>
            <a:r>
              <a:rPr lang="en-US" sz="1200" baseline="0">
                <a:solidFill>
                  <a:sysClr val="windowText" lastClr="000000"/>
                </a:solidFill>
              </a:rPr>
              <a:t>Figure 4: Cost per employer compliance activity</a:t>
            </a:r>
          </a:p>
        </c:rich>
      </c:tx>
      <c:layout>
        <c:manualLayout>
          <c:xMode val="edge"/>
          <c:yMode val="edge"/>
          <c:x val="0.25943935691424153"/>
          <c:y val="3.6066874277371277E-3"/>
        </c:manualLayout>
      </c:layout>
      <c:overlay val="0"/>
    </c:title>
    <c:autoTitleDeleted val="0"/>
    <c:plotArea>
      <c:layout>
        <c:manualLayout>
          <c:layoutTarget val="inner"/>
          <c:xMode val="edge"/>
          <c:yMode val="edge"/>
          <c:x val="0.36360208740803035"/>
          <c:y val="9.652414415939943E-2"/>
          <c:w val="0.8003484050454216"/>
          <c:h val="0.55258431405751696"/>
        </c:manualLayout>
      </c:layout>
      <c:barChart>
        <c:barDir val="col"/>
        <c:grouping val="clustered"/>
        <c:varyColors val="0"/>
        <c:ser>
          <c:idx val="0"/>
          <c:order val="0"/>
          <c:tx>
            <c:strRef>
              <c:f>Sheet1!$B$1</c:f>
              <c:strCache>
                <c:ptCount val="1"/>
                <c:pt idx="0">
                  <c:v>Cost per employer compliance activity</c:v>
                </c:pt>
              </c:strCache>
            </c:strRef>
          </c:tx>
          <c:spPr>
            <a:ln>
              <a:noFill/>
            </a:ln>
            <a:effectLst/>
          </c:spPr>
          <c:invertIfNegative val="0"/>
          <c:dPt>
            <c:idx val="0"/>
            <c:invertIfNegative val="0"/>
            <c:bubble3D val="0"/>
            <c:spPr>
              <a:solidFill>
                <a:srgbClr val="898D91"/>
              </a:solidFill>
              <a:ln>
                <a:noFill/>
              </a:ln>
              <a:effectLst/>
            </c:spPr>
          </c:dPt>
          <c:dPt>
            <c:idx val="1"/>
            <c:invertIfNegative val="0"/>
            <c:bubble3D val="0"/>
            <c:spPr>
              <a:solidFill>
                <a:srgbClr val="898D91"/>
              </a:solidFill>
              <a:ln>
                <a:noFill/>
              </a:ln>
              <a:effectLst/>
            </c:spPr>
          </c:dPt>
          <c:dPt>
            <c:idx val="2"/>
            <c:invertIfNegative val="0"/>
            <c:bubble3D val="0"/>
            <c:spPr>
              <a:solidFill>
                <a:srgbClr val="898D91"/>
              </a:solidFill>
              <a:ln>
                <a:noFill/>
              </a:ln>
              <a:effectLst/>
            </c:spPr>
          </c:dPt>
          <c:dPt>
            <c:idx val="3"/>
            <c:invertIfNegative val="0"/>
            <c:bubble3D val="0"/>
            <c:spPr>
              <a:solidFill>
                <a:srgbClr val="898D91"/>
              </a:solidFill>
              <a:ln>
                <a:noFill/>
              </a:ln>
              <a:effectLst/>
            </c:spPr>
          </c:dPt>
          <c:dPt>
            <c:idx val="4"/>
            <c:invertIfNegative val="0"/>
            <c:bubble3D val="0"/>
            <c:spPr>
              <a:solidFill>
                <a:srgbClr val="EE7D31"/>
              </a:solidFill>
              <a:ln w="9506">
                <a:noFill/>
              </a:ln>
            </c:spPr>
          </c:dPt>
          <c:dPt>
            <c:idx val="5"/>
            <c:invertIfNegative val="0"/>
            <c:bubble3D val="0"/>
            <c:spPr>
              <a:solidFill>
                <a:srgbClr val="003F5F"/>
              </a:solidFill>
              <a:ln w="9506">
                <a:noFill/>
              </a:ln>
            </c:spPr>
          </c:dPt>
          <c:cat>
            <c:strRef>
              <c:f>Sheet1!$A$2:$A$7</c:f>
              <c:strCache>
                <c:ptCount val="6"/>
                <c:pt idx="0">
                  <c:v>2013/14 </c:v>
                </c:pt>
                <c:pt idx="1">
                  <c:v>2014/15 </c:v>
                </c:pt>
                <c:pt idx="2">
                  <c:v>2015/16 </c:v>
                </c:pt>
                <c:pt idx="3">
                  <c:v>2016/17 </c:v>
                </c:pt>
                <c:pt idx="4">
                  <c:v>2017/18 </c:v>
                </c:pt>
                <c:pt idx="5">
                  <c:v>2017/18 Target</c:v>
                </c:pt>
              </c:strCache>
            </c:strRef>
          </c:cat>
          <c:val>
            <c:numRef>
              <c:f>Sheet1!$B$2:$B$7</c:f>
              <c:numCache>
                <c:formatCode>_("$"* #,##0_);_("$"* \(#,##0\);_("$"* "-"_);_(@_)</c:formatCode>
                <c:ptCount val="6"/>
                <c:pt idx="0">
                  <c:v>198</c:v>
                </c:pt>
                <c:pt idx="1">
                  <c:v>255</c:v>
                </c:pt>
                <c:pt idx="2" formatCode="&quot;$&quot;#,##0_);[Red]\(&quot;$&quot;#,##0\)">
                  <c:v>281</c:v>
                </c:pt>
                <c:pt idx="3" formatCode="&quot;$&quot;#,##0_);[Red]\(&quot;$&quot;#,##0\)">
                  <c:v>251</c:v>
                </c:pt>
                <c:pt idx="4" formatCode="&quot;$&quot;#,##0_);[Red]\(&quot;$&quot;#,##0\)">
                  <c:v>261</c:v>
                </c:pt>
                <c:pt idx="5">
                  <c:v>290</c:v>
                </c:pt>
              </c:numCache>
            </c:numRef>
          </c:val>
        </c:ser>
        <c:dLbls>
          <c:showLegendKey val="0"/>
          <c:showVal val="0"/>
          <c:showCatName val="0"/>
          <c:showSerName val="0"/>
          <c:showPercent val="0"/>
          <c:showBubbleSize val="0"/>
        </c:dLbls>
        <c:gapWidth val="150"/>
        <c:axId val="467524384"/>
        <c:axId val="467521248"/>
      </c:barChart>
      <c:catAx>
        <c:axId val="467524384"/>
        <c:scaling>
          <c:orientation val="minMax"/>
        </c:scaling>
        <c:delete val="0"/>
        <c:axPos val="b"/>
        <c:numFmt formatCode="General" sourceLinked="0"/>
        <c:majorTickMark val="out"/>
        <c:minorTickMark val="none"/>
        <c:tickLblPos val="nextTo"/>
        <c:spPr>
          <a:ln>
            <a:solidFill>
              <a:srgbClr val="000000"/>
            </a:solidFill>
          </a:ln>
        </c:spPr>
        <c:crossAx val="467521248"/>
        <c:crosses val="autoZero"/>
        <c:auto val="1"/>
        <c:lblAlgn val="ctr"/>
        <c:lblOffset val="100"/>
        <c:noMultiLvlLbl val="0"/>
      </c:catAx>
      <c:valAx>
        <c:axId val="467521248"/>
        <c:scaling>
          <c:orientation val="minMax"/>
          <c:max val="350"/>
          <c:min val="0"/>
        </c:scaling>
        <c:delete val="0"/>
        <c:axPos val="l"/>
        <c:numFmt formatCode="_(&quot;$&quot;* #,##0_);_(&quot;$&quot;* \(#,##0\);_(&quot;$&quot;* &quot;-&quot;_);_(@_)" sourceLinked="1"/>
        <c:majorTickMark val="out"/>
        <c:minorTickMark val="none"/>
        <c:tickLblPos val="nextTo"/>
        <c:spPr>
          <a:ln>
            <a:solidFill>
              <a:srgbClr val="000000"/>
            </a:solidFill>
          </a:ln>
        </c:spPr>
        <c:txPr>
          <a:bodyPr/>
          <a:lstStyle/>
          <a:p>
            <a:pPr>
              <a:defRPr>
                <a:solidFill>
                  <a:sysClr val="windowText" lastClr="000000"/>
                </a:solidFill>
              </a:defRPr>
            </a:pPr>
            <a:endParaRPr lang="en-US"/>
          </a:p>
        </c:txPr>
        <c:crossAx val="467524384"/>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ln>
          <a:noFill/>
        </a:ln>
      </c:spPr>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196" baseline="0">
                <a:solidFill>
                  <a:sysClr val="windowText" lastClr="000000"/>
                </a:solidFill>
              </a:defRPr>
            </a:pPr>
            <a:r>
              <a:rPr lang="en-US" sz="1196" baseline="0">
                <a:solidFill>
                  <a:sysClr val="windowText" lastClr="000000"/>
                </a:solidFill>
              </a:rPr>
              <a:t>Figure 5: Average cost per approved and monitored service provider</a:t>
            </a:r>
          </a:p>
        </c:rich>
      </c:tx>
      <c:layout>
        <c:manualLayout>
          <c:xMode val="edge"/>
          <c:yMode val="edge"/>
          <c:x val="9.2524902277123622E-2"/>
          <c:y val="1.1632068718682891E-5"/>
        </c:manualLayout>
      </c:layout>
      <c:overlay val="0"/>
    </c:title>
    <c:autoTitleDeleted val="0"/>
    <c:plotArea>
      <c:layout>
        <c:manualLayout>
          <c:layoutTarget val="inner"/>
          <c:xMode val="edge"/>
          <c:yMode val="edge"/>
          <c:x val="0.24335735667339109"/>
          <c:y val="0.19237349363587619"/>
          <c:w val="0.74324136135875574"/>
          <c:h val="0.64933536533739733"/>
        </c:manualLayout>
      </c:layout>
      <c:barChart>
        <c:barDir val="col"/>
        <c:grouping val="clustered"/>
        <c:varyColors val="0"/>
        <c:ser>
          <c:idx val="0"/>
          <c:order val="0"/>
          <c:tx>
            <c:strRef>
              <c:f>Sheet1!$B$1</c:f>
              <c:strCache>
                <c:ptCount val="1"/>
                <c:pt idx="0">
                  <c:v>Cost per service provider</c:v>
                </c:pt>
              </c:strCache>
            </c:strRef>
          </c:tx>
          <c:spPr>
            <a:ln>
              <a:noFill/>
            </a:ln>
            <a:effectLst/>
          </c:spPr>
          <c:invertIfNegative val="0"/>
          <c:dPt>
            <c:idx val="0"/>
            <c:invertIfNegative val="0"/>
            <c:bubble3D val="0"/>
            <c:spPr>
              <a:solidFill>
                <a:srgbClr val="898D91"/>
              </a:solidFill>
              <a:ln>
                <a:noFill/>
              </a:ln>
              <a:effectLst/>
            </c:spPr>
          </c:dPt>
          <c:dPt>
            <c:idx val="1"/>
            <c:invertIfNegative val="0"/>
            <c:bubble3D val="0"/>
            <c:spPr>
              <a:solidFill>
                <a:srgbClr val="898D91"/>
              </a:solidFill>
              <a:ln>
                <a:noFill/>
              </a:ln>
              <a:effectLst/>
            </c:spPr>
          </c:dPt>
          <c:dPt>
            <c:idx val="2"/>
            <c:invertIfNegative val="0"/>
            <c:bubble3D val="0"/>
            <c:spPr>
              <a:solidFill>
                <a:srgbClr val="898D91"/>
              </a:solidFill>
              <a:ln>
                <a:noFill/>
              </a:ln>
              <a:effectLst/>
            </c:spPr>
          </c:dPt>
          <c:dPt>
            <c:idx val="3"/>
            <c:invertIfNegative val="0"/>
            <c:bubble3D val="0"/>
            <c:spPr>
              <a:solidFill>
                <a:srgbClr val="898D91"/>
              </a:solidFill>
              <a:ln>
                <a:noFill/>
              </a:ln>
              <a:effectLst/>
            </c:spPr>
          </c:dPt>
          <c:dPt>
            <c:idx val="4"/>
            <c:invertIfNegative val="0"/>
            <c:bubble3D val="0"/>
            <c:spPr>
              <a:solidFill>
                <a:srgbClr val="EE7D31"/>
              </a:solidFill>
              <a:ln w="9493">
                <a:noFill/>
              </a:ln>
            </c:spPr>
          </c:dPt>
          <c:dPt>
            <c:idx val="5"/>
            <c:invertIfNegative val="0"/>
            <c:bubble3D val="0"/>
            <c:spPr>
              <a:solidFill>
                <a:srgbClr val="003F5F"/>
              </a:solidFill>
              <a:ln w="9493">
                <a:noFill/>
              </a:ln>
            </c:spPr>
          </c:dPt>
          <c:cat>
            <c:strRef>
              <c:f>Sheet1!$A$2:$A$7</c:f>
              <c:strCache>
                <c:ptCount val="6"/>
                <c:pt idx="0">
                  <c:v>2013/14 </c:v>
                </c:pt>
                <c:pt idx="1">
                  <c:v>2014/15 </c:v>
                </c:pt>
                <c:pt idx="2">
                  <c:v>2015/16 </c:v>
                </c:pt>
                <c:pt idx="3">
                  <c:v>2016/17 </c:v>
                </c:pt>
                <c:pt idx="4">
                  <c:v>2017/18</c:v>
                </c:pt>
                <c:pt idx="5">
                  <c:v>2017/18 Target</c:v>
                </c:pt>
              </c:strCache>
            </c:strRef>
          </c:cat>
          <c:val>
            <c:numRef>
              <c:f>Sheet1!$B$2:$B$7</c:f>
              <c:numCache>
                <c:formatCode>_("$"* #,##0_);_("$"* \(#,##0\);_("$"* "-"_);_(@_)</c:formatCode>
                <c:ptCount val="6"/>
                <c:pt idx="0">
                  <c:v>3047</c:v>
                </c:pt>
                <c:pt idx="1">
                  <c:v>3250</c:v>
                </c:pt>
                <c:pt idx="2" formatCode="&quot;$&quot;#,##0_);[Red]\(&quot;$&quot;#,##0\)">
                  <c:v>3472</c:v>
                </c:pt>
                <c:pt idx="3" formatCode="&quot;$&quot;#,##0_);[Red]\(&quot;$&quot;#,##0\)">
                  <c:v>3177</c:v>
                </c:pt>
                <c:pt idx="4" formatCode="&quot;$&quot;#,##0_);[Red]\(&quot;$&quot;#,##0\)">
                  <c:v>3522</c:v>
                </c:pt>
                <c:pt idx="5">
                  <c:v>3221</c:v>
                </c:pt>
              </c:numCache>
            </c:numRef>
          </c:val>
        </c:ser>
        <c:dLbls>
          <c:showLegendKey val="0"/>
          <c:showVal val="0"/>
          <c:showCatName val="0"/>
          <c:showSerName val="0"/>
          <c:showPercent val="0"/>
          <c:showBubbleSize val="0"/>
        </c:dLbls>
        <c:gapWidth val="150"/>
        <c:axId val="467528304"/>
        <c:axId val="467525560"/>
      </c:barChart>
      <c:catAx>
        <c:axId val="467528304"/>
        <c:scaling>
          <c:orientation val="minMax"/>
        </c:scaling>
        <c:delete val="0"/>
        <c:axPos val="b"/>
        <c:numFmt formatCode="General" sourceLinked="0"/>
        <c:majorTickMark val="out"/>
        <c:minorTickMark val="none"/>
        <c:tickLblPos val="nextTo"/>
        <c:spPr>
          <a:ln>
            <a:solidFill>
              <a:srgbClr val="000000"/>
            </a:solidFill>
          </a:ln>
        </c:spPr>
        <c:crossAx val="467525560"/>
        <c:crossesAt val="0"/>
        <c:auto val="1"/>
        <c:lblAlgn val="ctr"/>
        <c:lblOffset val="100"/>
        <c:noMultiLvlLbl val="0"/>
      </c:catAx>
      <c:valAx>
        <c:axId val="467525560"/>
        <c:scaling>
          <c:orientation val="minMax"/>
          <c:min val="0"/>
        </c:scaling>
        <c:delete val="0"/>
        <c:axPos val="l"/>
        <c:numFmt formatCode="_(&quot;$&quot;* #,##0_);_(&quot;$&quot;* \(#,##0\);_(&quot;$&quot;* &quot;-&quot;_);_(@_)" sourceLinked="1"/>
        <c:majorTickMark val="out"/>
        <c:minorTickMark val="none"/>
        <c:tickLblPos val="nextTo"/>
        <c:spPr>
          <a:ln>
            <a:solidFill>
              <a:srgbClr val="000000"/>
            </a:solidFill>
          </a:ln>
        </c:spPr>
        <c:txPr>
          <a:bodyPr/>
          <a:lstStyle/>
          <a:p>
            <a:pPr>
              <a:defRPr baseline="0">
                <a:solidFill>
                  <a:sysClr val="windowText" lastClr="000000"/>
                </a:solidFill>
              </a:defRPr>
            </a:pPr>
            <a:endParaRPr lang="en-US"/>
          </a:p>
        </c:txPr>
        <c:crossAx val="467528304"/>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5323">
          <a:noFill/>
        </a:ln>
      </c:spPr>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baseline="0">
                <a:solidFill>
                  <a:sysClr val="windowText" lastClr="000000"/>
                </a:solidFill>
              </a:defRPr>
            </a:pPr>
            <a:r>
              <a:rPr lang="en-US" sz="1195" baseline="0">
                <a:solidFill>
                  <a:sysClr val="windowText" lastClr="000000"/>
                </a:solidFill>
                <a:latin typeface="Arial" panose="020B0604020202020204" pitchFamily="34" charset="0"/>
                <a:cs typeface="Arial" panose="020B0604020202020204" pitchFamily="34" charset="0"/>
              </a:rPr>
              <a:t>Figure 6: Average cost per client contact to provide information and advice</a:t>
            </a:r>
          </a:p>
        </c:rich>
      </c:tx>
      <c:layout>
        <c:manualLayout>
          <c:xMode val="edge"/>
          <c:yMode val="edge"/>
          <c:x val="0.21647507871832161"/>
          <c:y val="3.7918658959170889E-2"/>
        </c:manualLayout>
      </c:layout>
      <c:overlay val="0"/>
    </c:title>
    <c:autoTitleDeleted val="0"/>
    <c:plotArea>
      <c:layout/>
      <c:barChart>
        <c:barDir val="col"/>
        <c:grouping val="clustered"/>
        <c:varyColors val="0"/>
        <c:ser>
          <c:idx val="0"/>
          <c:order val="0"/>
          <c:tx>
            <c:strRef>
              <c:f>Sheet1!$B$1</c:f>
              <c:strCache>
                <c:ptCount val="1"/>
                <c:pt idx="0">
                  <c:v>Cost per client contact to provide information and advice</c:v>
                </c:pt>
              </c:strCache>
            </c:strRef>
          </c:tx>
          <c:spPr>
            <a:solidFill>
              <a:srgbClr val="769185">
                <a:lumMod val="40000"/>
                <a:lumOff val="60000"/>
              </a:srgbClr>
            </a:solidFill>
            <a:ln>
              <a:noFill/>
            </a:ln>
            <a:effectLst/>
          </c:spPr>
          <c:invertIfNegative val="0"/>
          <c:dPt>
            <c:idx val="0"/>
            <c:invertIfNegative val="0"/>
            <c:bubble3D val="0"/>
            <c:spPr>
              <a:solidFill>
                <a:srgbClr val="898D91"/>
              </a:solidFill>
              <a:ln w="9482">
                <a:noFill/>
              </a:ln>
            </c:spPr>
          </c:dPt>
          <c:dPt>
            <c:idx val="1"/>
            <c:invertIfNegative val="0"/>
            <c:bubble3D val="0"/>
            <c:spPr>
              <a:solidFill>
                <a:srgbClr val="898D91"/>
              </a:solidFill>
              <a:ln w="9485">
                <a:noFill/>
              </a:ln>
            </c:spPr>
          </c:dPt>
          <c:dPt>
            <c:idx val="2"/>
            <c:invertIfNegative val="0"/>
            <c:bubble3D val="0"/>
            <c:spPr>
              <a:solidFill>
                <a:srgbClr val="898D91"/>
              </a:solidFill>
              <a:ln w="9485">
                <a:noFill/>
              </a:ln>
            </c:spPr>
          </c:dPt>
          <c:dPt>
            <c:idx val="3"/>
            <c:invertIfNegative val="0"/>
            <c:bubble3D val="0"/>
            <c:spPr>
              <a:solidFill>
                <a:srgbClr val="898D91"/>
              </a:solidFill>
              <a:ln w="9482">
                <a:noFill/>
              </a:ln>
            </c:spPr>
          </c:dPt>
          <c:dPt>
            <c:idx val="4"/>
            <c:invertIfNegative val="0"/>
            <c:bubble3D val="0"/>
            <c:spPr>
              <a:solidFill>
                <a:srgbClr val="EE7D31"/>
              </a:solidFill>
              <a:ln w="9485">
                <a:noFill/>
              </a:ln>
            </c:spPr>
          </c:dPt>
          <c:dPt>
            <c:idx val="5"/>
            <c:invertIfNegative val="0"/>
            <c:bubble3D val="0"/>
            <c:spPr>
              <a:solidFill>
                <a:srgbClr val="003F5F"/>
              </a:solidFill>
              <a:ln w="9485">
                <a:noFill/>
              </a:ln>
            </c:spPr>
          </c:dPt>
          <c:cat>
            <c:strRef>
              <c:f>Sheet1!$A$2:$A$7</c:f>
              <c:strCache>
                <c:ptCount val="6"/>
                <c:pt idx="0">
                  <c:v>2013/14</c:v>
                </c:pt>
                <c:pt idx="1">
                  <c:v>2014/15 </c:v>
                </c:pt>
                <c:pt idx="2">
                  <c:v>2015/16 </c:v>
                </c:pt>
                <c:pt idx="3">
                  <c:v>2016/17 </c:v>
                </c:pt>
                <c:pt idx="4">
                  <c:v>2017/18</c:v>
                </c:pt>
                <c:pt idx="5">
                  <c:v>2017/18 Target</c:v>
                </c:pt>
              </c:strCache>
            </c:strRef>
          </c:cat>
          <c:val>
            <c:numRef>
              <c:f>Sheet1!$B$2:$B$7</c:f>
              <c:numCache>
                <c:formatCode>"$"#,##0_);\("$"#,##0\)</c:formatCode>
                <c:ptCount val="6"/>
                <c:pt idx="0">
                  <c:v>120</c:v>
                </c:pt>
                <c:pt idx="1">
                  <c:v>120</c:v>
                </c:pt>
                <c:pt idx="2">
                  <c:v>106</c:v>
                </c:pt>
                <c:pt idx="3">
                  <c:v>110</c:v>
                </c:pt>
                <c:pt idx="4">
                  <c:v>75</c:v>
                </c:pt>
                <c:pt idx="5">
                  <c:v>104</c:v>
                </c:pt>
              </c:numCache>
            </c:numRef>
          </c:val>
        </c:ser>
        <c:dLbls>
          <c:showLegendKey val="0"/>
          <c:showVal val="0"/>
          <c:showCatName val="0"/>
          <c:showSerName val="0"/>
          <c:showPercent val="0"/>
          <c:showBubbleSize val="0"/>
        </c:dLbls>
        <c:gapWidth val="150"/>
        <c:axId val="467526344"/>
        <c:axId val="467528696"/>
      </c:barChart>
      <c:catAx>
        <c:axId val="467526344"/>
        <c:scaling>
          <c:orientation val="minMax"/>
        </c:scaling>
        <c:delete val="0"/>
        <c:axPos val="b"/>
        <c:numFmt formatCode="General" sourceLinked="0"/>
        <c:majorTickMark val="out"/>
        <c:minorTickMark val="none"/>
        <c:tickLblPos val="nextTo"/>
        <c:spPr>
          <a:ln>
            <a:solidFill>
              <a:srgbClr val="000000"/>
            </a:solidFill>
          </a:ln>
        </c:spPr>
        <c:crossAx val="467528696"/>
        <c:crossesAt val="0"/>
        <c:auto val="1"/>
        <c:lblAlgn val="ctr"/>
        <c:lblOffset val="100"/>
        <c:noMultiLvlLbl val="0"/>
      </c:catAx>
      <c:valAx>
        <c:axId val="467528696"/>
        <c:scaling>
          <c:orientation val="minMax"/>
          <c:min val="0"/>
        </c:scaling>
        <c:delete val="0"/>
        <c:axPos val="l"/>
        <c:numFmt formatCode="&quot;$&quot;#,##0_);\(&quot;$&quot;#,##0\)" sourceLinked="1"/>
        <c:majorTickMark val="out"/>
        <c:minorTickMark val="none"/>
        <c:tickLblPos val="nextTo"/>
        <c:spPr>
          <a:ln>
            <a:solidFill>
              <a:srgbClr val="000000"/>
            </a:solidFill>
          </a:ln>
        </c:spPr>
        <c:txPr>
          <a:bodyPr/>
          <a:lstStyle/>
          <a:p>
            <a:pPr>
              <a:defRPr b="1" i="0" baseline="0">
                <a:solidFill>
                  <a:sysClr val="windowText" lastClr="000000"/>
                </a:solidFill>
                <a:latin typeface="Arial" panose="020B0604020202020204" pitchFamily="34" charset="0"/>
                <a:cs typeface="Arial" panose="020B0604020202020204" pitchFamily="34" charset="0"/>
              </a:defRPr>
            </a:pPr>
            <a:endParaRPr lang="en-US"/>
          </a:p>
        </c:txPr>
        <c:crossAx val="467526344"/>
        <c:crosses val="autoZero"/>
        <c:crossBetween val="between"/>
      </c:valAx>
      <c:dTable>
        <c:showHorzBorder val="0"/>
        <c:showVertBorder val="0"/>
        <c:showOutline val="0"/>
        <c:showKeys val="1"/>
        <c:txPr>
          <a:bodyPr/>
          <a:lstStyle/>
          <a:p>
            <a:pPr rtl="0">
              <a:defRPr b="1" i="0" baseline="0">
                <a:solidFill>
                  <a:sysClr val="windowText" lastClr="000000"/>
                </a:solidFill>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en-AU" sz="1100">
                <a:solidFill>
                  <a:sysClr val="windowText" lastClr="000000"/>
                </a:solidFill>
              </a:rPr>
              <a:t>Figure 7: Average cost to complete a conciliation</a:t>
            </a:r>
            <a:endParaRPr lang="en-US" sz="1100">
              <a:solidFill>
                <a:sysClr val="windowText" lastClr="000000"/>
              </a:solidFill>
            </a:endParaRPr>
          </a:p>
        </c:rich>
      </c:tx>
      <c:layout>
        <c:manualLayout>
          <c:xMode val="edge"/>
          <c:yMode val="edge"/>
          <c:x val="0.42954288649203903"/>
          <c:y val="2.4232633279483037E-2"/>
        </c:manualLayout>
      </c:layout>
      <c:overlay val="0"/>
    </c:title>
    <c:autoTitleDeleted val="0"/>
    <c:plotArea>
      <c:layout/>
      <c:barChart>
        <c:barDir val="col"/>
        <c:grouping val="clustered"/>
        <c:varyColors val="0"/>
        <c:ser>
          <c:idx val="0"/>
          <c:order val="0"/>
          <c:tx>
            <c:strRef>
              <c:f>Sheet1!$B$1</c:f>
              <c:strCache>
                <c:ptCount val="1"/>
                <c:pt idx="0">
                  <c:v>Cost per completed conciliation</c:v>
                </c:pt>
              </c:strCache>
            </c:strRef>
          </c:tx>
          <c:spPr>
            <a:ln>
              <a:noFill/>
            </a:ln>
          </c:spPr>
          <c:invertIfNegative val="0"/>
          <c:dPt>
            <c:idx val="0"/>
            <c:invertIfNegative val="0"/>
            <c:bubble3D val="0"/>
            <c:spPr>
              <a:solidFill>
                <a:srgbClr val="898D91"/>
              </a:solidFill>
              <a:ln>
                <a:noFill/>
              </a:ln>
            </c:spPr>
          </c:dPt>
          <c:dPt>
            <c:idx val="1"/>
            <c:invertIfNegative val="0"/>
            <c:bubble3D val="0"/>
            <c:spPr>
              <a:solidFill>
                <a:srgbClr val="898D91"/>
              </a:solidFill>
              <a:ln>
                <a:noFill/>
              </a:ln>
            </c:spPr>
          </c:dPt>
          <c:dPt>
            <c:idx val="2"/>
            <c:invertIfNegative val="0"/>
            <c:bubble3D val="0"/>
            <c:spPr>
              <a:solidFill>
                <a:srgbClr val="898D91"/>
              </a:solidFill>
              <a:ln>
                <a:noFill/>
              </a:ln>
            </c:spPr>
          </c:dPt>
          <c:dPt>
            <c:idx val="3"/>
            <c:invertIfNegative val="0"/>
            <c:bubble3D val="0"/>
            <c:spPr>
              <a:solidFill>
                <a:srgbClr val="898D91"/>
              </a:solidFill>
              <a:ln>
                <a:noFill/>
              </a:ln>
            </c:spPr>
          </c:dPt>
          <c:dPt>
            <c:idx val="4"/>
            <c:invertIfNegative val="0"/>
            <c:bubble3D val="0"/>
            <c:spPr>
              <a:solidFill>
                <a:srgbClr val="EE7D31"/>
              </a:solidFill>
              <a:ln>
                <a:noFill/>
              </a:ln>
            </c:spPr>
          </c:dPt>
          <c:dPt>
            <c:idx val="5"/>
            <c:invertIfNegative val="0"/>
            <c:bubble3D val="0"/>
            <c:spPr>
              <a:solidFill>
                <a:srgbClr val="003F5F"/>
              </a:solidFill>
              <a:ln>
                <a:noFill/>
              </a:ln>
            </c:spPr>
          </c:dPt>
          <c:cat>
            <c:strRef>
              <c:f>Sheet1!$A$2:$A$7</c:f>
              <c:strCache>
                <c:ptCount val="6"/>
                <c:pt idx="0">
                  <c:v>2013/14 </c:v>
                </c:pt>
                <c:pt idx="1">
                  <c:v>2014/15 </c:v>
                </c:pt>
                <c:pt idx="2">
                  <c:v>2015/16</c:v>
                </c:pt>
                <c:pt idx="3">
                  <c:v>2016/17 </c:v>
                </c:pt>
                <c:pt idx="4">
                  <c:v>2017/18 </c:v>
                </c:pt>
                <c:pt idx="5">
                  <c:v>2017/18 Target</c:v>
                </c:pt>
              </c:strCache>
            </c:strRef>
          </c:cat>
          <c:val>
            <c:numRef>
              <c:f>Sheet1!$B$2:$B$7</c:f>
              <c:numCache>
                <c:formatCode>_("$"* #,##0_);_("$"* \(#,##0\);_("$"* "-"_);_(@_)</c:formatCode>
                <c:ptCount val="6"/>
                <c:pt idx="0">
                  <c:v>2268</c:v>
                </c:pt>
                <c:pt idx="1">
                  <c:v>1966</c:v>
                </c:pt>
                <c:pt idx="2" formatCode="&quot;$&quot;#,##0_);[Red]\(&quot;$&quot;#,##0\)">
                  <c:v>2095</c:v>
                </c:pt>
                <c:pt idx="3" formatCode="&quot;$&quot;#,##0_);[Red]\(&quot;$&quot;#,##0\)">
                  <c:v>2208</c:v>
                </c:pt>
                <c:pt idx="4" formatCode="&quot;$&quot;#,##0_);[Red]\(&quot;$&quot;#,##0\)">
                  <c:v>2353</c:v>
                </c:pt>
                <c:pt idx="5">
                  <c:v>2194</c:v>
                </c:pt>
              </c:numCache>
            </c:numRef>
          </c:val>
        </c:ser>
        <c:dLbls>
          <c:showLegendKey val="0"/>
          <c:showVal val="0"/>
          <c:showCatName val="0"/>
          <c:showSerName val="0"/>
          <c:showPercent val="0"/>
          <c:showBubbleSize val="0"/>
        </c:dLbls>
        <c:gapWidth val="150"/>
        <c:axId val="467529872"/>
        <c:axId val="639144128"/>
      </c:barChart>
      <c:catAx>
        <c:axId val="467529872"/>
        <c:scaling>
          <c:orientation val="minMax"/>
        </c:scaling>
        <c:delete val="0"/>
        <c:axPos val="b"/>
        <c:numFmt formatCode="General" sourceLinked="0"/>
        <c:majorTickMark val="out"/>
        <c:minorTickMark val="none"/>
        <c:tickLblPos val="nextTo"/>
        <c:spPr>
          <a:ln>
            <a:solidFill>
              <a:srgbClr val="000000"/>
            </a:solidFill>
          </a:ln>
        </c:spPr>
        <c:crossAx val="639144128"/>
        <c:crosses val="autoZero"/>
        <c:auto val="1"/>
        <c:lblAlgn val="ctr"/>
        <c:lblOffset val="100"/>
        <c:noMultiLvlLbl val="0"/>
      </c:catAx>
      <c:valAx>
        <c:axId val="639144128"/>
        <c:scaling>
          <c:orientation val="minMax"/>
          <c:min val="0"/>
        </c:scaling>
        <c:delete val="0"/>
        <c:axPos val="l"/>
        <c:numFmt formatCode="_(&quot;$&quot;* #,##0_);_(&quot;$&quot;* \(#,##0\);_(&quot;$&quot;* &quot;-&quot;_);_(@_)" sourceLinked="1"/>
        <c:majorTickMark val="out"/>
        <c:minorTickMark val="none"/>
        <c:tickLblPos val="nextTo"/>
        <c:spPr>
          <a:ln>
            <a:solidFill>
              <a:srgbClr val="000000"/>
            </a:solidFill>
          </a:ln>
        </c:spPr>
        <c:txPr>
          <a:bodyPr/>
          <a:lstStyle/>
          <a:p>
            <a:pPr>
              <a:defRPr>
                <a:solidFill>
                  <a:sysClr val="windowText" lastClr="000000"/>
                </a:solidFill>
              </a:defRPr>
            </a:pPr>
            <a:endParaRPr lang="en-US"/>
          </a:p>
        </c:txPr>
        <c:crossAx val="467529872"/>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ysClr val="windowText" lastClr="000000"/>
                </a:solidFill>
                <a:latin typeface="Calibri"/>
                <a:ea typeface="Calibri"/>
                <a:cs typeface="Calibri"/>
              </a:defRPr>
            </a:pPr>
            <a:r>
              <a:rPr lang="en-AU" sz="1197" b="1" i="0" u="none" strike="noStrike" baseline="0">
                <a:solidFill>
                  <a:sysClr val="windowText" lastClr="000000"/>
                </a:solidFill>
                <a:latin typeface="Arial"/>
                <a:cs typeface="Arial"/>
              </a:rPr>
              <a:t>Figure 8: Average cost to complete an arbitration</a:t>
            </a:r>
          </a:p>
        </c:rich>
      </c:tx>
      <c:layout>
        <c:manualLayout>
          <c:xMode val="edge"/>
          <c:yMode val="edge"/>
          <c:x val="0.26269674754605515"/>
          <c:y val="2.3809361959251495E-2"/>
        </c:manualLayout>
      </c:layout>
      <c:overlay val="0"/>
    </c:title>
    <c:autoTitleDeleted val="0"/>
    <c:plotArea>
      <c:layout/>
      <c:barChart>
        <c:barDir val="col"/>
        <c:grouping val="clustered"/>
        <c:varyColors val="0"/>
        <c:ser>
          <c:idx val="0"/>
          <c:order val="0"/>
          <c:tx>
            <c:strRef>
              <c:f>Sheet1!$B$1</c:f>
              <c:strCache>
                <c:ptCount val="1"/>
                <c:pt idx="0">
                  <c:v>Cost per completed arbitration</c:v>
                </c:pt>
              </c:strCache>
            </c:strRef>
          </c:tx>
          <c:spPr>
            <a:solidFill>
              <a:schemeClr val="accent5"/>
            </a:solidFill>
            <a:ln>
              <a:noFill/>
            </a:ln>
          </c:spPr>
          <c:invertIfNegative val="0"/>
          <c:dPt>
            <c:idx val="0"/>
            <c:invertIfNegative val="0"/>
            <c:bubble3D val="0"/>
            <c:spPr>
              <a:solidFill>
                <a:srgbClr val="898D91"/>
              </a:solidFill>
              <a:ln>
                <a:noFill/>
              </a:ln>
            </c:spPr>
          </c:dPt>
          <c:dPt>
            <c:idx val="1"/>
            <c:invertIfNegative val="0"/>
            <c:bubble3D val="0"/>
            <c:spPr>
              <a:solidFill>
                <a:srgbClr val="898D91"/>
              </a:solidFill>
              <a:ln>
                <a:noFill/>
              </a:ln>
            </c:spPr>
          </c:dPt>
          <c:dPt>
            <c:idx val="2"/>
            <c:invertIfNegative val="0"/>
            <c:bubble3D val="0"/>
            <c:spPr>
              <a:solidFill>
                <a:srgbClr val="898D91"/>
              </a:solidFill>
              <a:ln>
                <a:noFill/>
              </a:ln>
            </c:spPr>
          </c:dPt>
          <c:dPt>
            <c:idx val="3"/>
            <c:invertIfNegative val="0"/>
            <c:bubble3D val="0"/>
            <c:spPr>
              <a:solidFill>
                <a:srgbClr val="898D91"/>
              </a:solidFill>
              <a:ln>
                <a:noFill/>
              </a:ln>
            </c:spPr>
          </c:dPt>
          <c:dPt>
            <c:idx val="4"/>
            <c:invertIfNegative val="0"/>
            <c:bubble3D val="0"/>
            <c:spPr>
              <a:solidFill>
                <a:srgbClr val="EE7D31"/>
              </a:solidFill>
              <a:ln>
                <a:noFill/>
              </a:ln>
            </c:spPr>
          </c:dPt>
          <c:dPt>
            <c:idx val="5"/>
            <c:invertIfNegative val="0"/>
            <c:bubble3D val="0"/>
            <c:spPr>
              <a:solidFill>
                <a:srgbClr val="003F5F"/>
              </a:solidFill>
              <a:ln>
                <a:noFill/>
              </a:ln>
            </c:spPr>
          </c:dPt>
          <c:cat>
            <c:strRef>
              <c:f>Sheet1!$A$2:$A$7</c:f>
              <c:strCache>
                <c:ptCount val="6"/>
                <c:pt idx="0">
                  <c:v>2013/14 </c:v>
                </c:pt>
                <c:pt idx="1">
                  <c:v>2014/15 </c:v>
                </c:pt>
                <c:pt idx="2">
                  <c:v>2015/16</c:v>
                </c:pt>
                <c:pt idx="3">
                  <c:v>2016/17 </c:v>
                </c:pt>
                <c:pt idx="4">
                  <c:v>2017/18 </c:v>
                </c:pt>
                <c:pt idx="5">
                  <c:v>2017/18 Target</c:v>
                </c:pt>
              </c:strCache>
            </c:strRef>
          </c:cat>
          <c:val>
            <c:numRef>
              <c:f>Sheet1!$B$2:$B$7</c:f>
              <c:numCache>
                <c:formatCode>_("$"* #,##0_);_("$"* \(#,##0\);_("$"* "-"_);_(@_)</c:formatCode>
                <c:ptCount val="6"/>
                <c:pt idx="0">
                  <c:v>11153</c:v>
                </c:pt>
                <c:pt idx="1">
                  <c:v>10042</c:v>
                </c:pt>
                <c:pt idx="2">
                  <c:v>10084</c:v>
                </c:pt>
                <c:pt idx="3">
                  <c:v>9587</c:v>
                </c:pt>
                <c:pt idx="4">
                  <c:v>8579</c:v>
                </c:pt>
                <c:pt idx="5" formatCode="&quot;$&quot;#,##0_);[Red]\(&quot;$&quot;#,##0\)">
                  <c:v>10819</c:v>
                </c:pt>
              </c:numCache>
            </c:numRef>
          </c:val>
        </c:ser>
        <c:dLbls>
          <c:showLegendKey val="0"/>
          <c:showVal val="0"/>
          <c:showCatName val="0"/>
          <c:showSerName val="0"/>
          <c:showPercent val="0"/>
          <c:showBubbleSize val="0"/>
        </c:dLbls>
        <c:gapWidth val="150"/>
        <c:axId val="639139816"/>
        <c:axId val="639145304"/>
      </c:barChart>
      <c:catAx>
        <c:axId val="639139816"/>
        <c:scaling>
          <c:orientation val="minMax"/>
        </c:scaling>
        <c:delete val="0"/>
        <c:axPos val="b"/>
        <c:numFmt formatCode="General" sourceLinked="0"/>
        <c:majorTickMark val="out"/>
        <c:minorTickMark val="none"/>
        <c:tickLblPos val="nextTo"/>
        <c:spPr>
          <a:ln>
            <a:solidFill>
              <a:srgbClr val="000000"/>
            </a:solidFill>
          </a:ln>
        </c:spPr>
        <c:txPr>
          <a:bodyPr rot="0" vert="horz"/>
          <a:lstStyle/>
          <a:p>
            <a:pPr>
              <a:defRPr sz="997" b="1" i="0" u="none" strike="noStrike" baseline="0">
                <a:solidFill>
                  <a:srgbClr val="808000"/>
                </a:solidFill>
                <a:latin typeface="Calibri"/>
                <a:ea typeface="Calibri"/>
                <a:cs typeface="Calibri"/>
              </a:defRPr>
            </a:pPr>
            <a:endParaRPr lang="en-US"/>
          </a:p>
        </c:txPr>
        <c:crossAx val="639145304"/>
        <c:crosses val="autoZero"/>
        <c:auto val="1"/>
        <c:lblAlgn val="ctr"/>
        <c:lblOffset val="100"/>
        <c:noMultiLvlLbl val="0"/>
      </c:catAx>
      <c:valAx>
        <c:axId val="639145304"/>
        <c:scaling>
          <c:orientation val="minMax"/>
          <c:min val="0"/>
        </c:scaling>
        <c:delete val="0"/>
        <c:axPos val="l"/>
        <c:numFmt formatCode="_(&quot;$&quot;* #,##0_);_(&quot;$&quot;* \(#,##0\);_(&quot;$&quot;* &quot;-&quot;_);_(@_)" sourceLinked="1"/>
        <c:majorTickMark val="out"/>
        <c:minorTickMark val="none"/>
        <c:tickLblPos val="nextTo"/>
        <c:spPr>
          <a:ln>
            <a:solidFill>
              <a:srgbClr val="000000"/>
            </a:solidFill>
          </a:ln>
        </c:spPr>
        <c:txPr>
          <a:bodyPr rot="0" vert="horz"/>
          <a:lstStyle/>
          <a:p>
            <a:pPr>
              <a:defRPr sz="997" b="1" i="0" u="none" strike="noStrike" baseline="0">
                <a:solidFill>
                  <a:sysClr val="windowText" lastClr="000000"/>
                </a:solidFill>
                <a:latin typeface="Arial"/>
                <a:ea typeface="Arial"/>
                <a:cs typeface="Arial"/>
              </a:defRPr>
            </a:pPr>
            <a:endParaRPr lang="en-US"/>
          </a:p>
        </c:txPr>
        <c:crossAx val="639139816"/>
        <c:crosses val="autoZero"/>
        <c:crossBetween val="between"/>
      </c:valAx>
      <c:dTable>
        <c:showHorzBorder val="0"/>
        <c:showVertBorder val="0"/>
        <c:showOutline val="0"/>
        <c:showKeys val="0"/>
        <c:txPr>
          <a:bodyPr/>
          <a:lstStyle/>
          <a:p>
            <a:pPr rtl="0">
              <a:defRPr sz="997" b="1" i="0" u="none" strike="noStrike" baseline="0">
                <a:solidFill>
                  <a:sysClr val="windowText" lastClr="000000"/>
                </a:solidFill>
                <a:latin typeface="Arial"/>
                <a:ea typeface="Arial"/>
                <a:cs typeface="Arial"/>
              </a:defRPr>
            </a:pPr>
            <a:endParaRPr lang="en-US"/>
          </a:p>
        </c:txPr>
      </c:dTable>
    </c:plotArea>
    <c:plotVisOnly val="1"/>
    <c:dispBlanksAs val="gap"/>
    <c:showDLblsOverMax val="0"/>
  </c:chart>
  <c:spPr>
    <a:ln>
      <a:noFill/>
    </a:ln>
  </c:spPr>
  <c:txPr>
    <a:bodyPr/>
    <a:lstStyle/>
    <a:p>
      <a:pPr>
        <a:defRPr sz="997" b="1" i="0" u="none" strike="noStrike" baseline="0">
          <a:solidFill>
            <a:srgbClr val="808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997" b="0" i="0" u="none" strike="noStrike" baseline="0">
                <a:solidFill>
                  <a:sysClr val="windowText" lastClr="000000"/>
                </a:solidFill>
                <a:latin typeface="Calibri"/>
                <a:ea typeface="Calibri"/>
                <a:cs typeface="Calibri"/>
              </a:defRPr>
            </a:pPr>
            <a:r>
              <a:rPr lang="en-AU" sz="1197" b="1" i="0" u="none" strike="noStrike" baseline="0">
                <a:solidFill>
                  <a:sysClr val="windowText" lastClr="000000"/>
                </a:solidFill>
                <a:latin typeface="Arial"/>
                <a:cs typeface="Arial"/>
              </a:rPr>
              <a:t>Figure 9: Average cost to complete a Memorandum of Agreement (MoA)</a:t>
            </a:r>
          </a:p>
        </c:rich>
      </c:tx>
      <c:layout/>
      <c:overlay val="0"/>
    </c:title>
    <c:autoTitleDeleted val="0"/>
    <c:plotArea>
      <c:layout/>
      <c:barChart>
        <c:barDir val="col"/>
        <c:grouping val="clustered"/>
        <c:varyColors val="0"/>
        <c:ser>
          <c:idx val="0"/>
          <c:order val="0"/>
          <c:tx>
            <c:strRef>
              <c:f>Sheet1!$B$1</c:f>
              <c:strCache>
                <c:ptCount val="1"/>
                <c:pt idx="0">
                  <c:v>Cost per completed MoA</c:v>
                </c:pt>
              </c:strCache>
            </c:strRef>
          </c:tx>
          <c:spPr>
            <a:solidFill>
              <a:schemeClr val="accent5"/>
            </a:solidFill>
            <a:ln>
              <a:noFill/>
            </a:ln>
          </c:spPr>
          <c:invertIfNegative val="0"/>
          <c:dPt>
            <c:idx val="0"/>
            <c:invertIfNegative val="0"/>
            <c:bubble3D val="0"/>
            <c:spPr>
              <a:solidFill>
                <a:srgbClr val="898D91"/>
              </a:solidFill>
              <a:ln>
                <a:noFill/>
              </a:ln>
            </c:spPr>
          </c:dPt>
          <c:dPt>
            <c:idx val="1"/>
            <c:invertIfNegative val="0"/>
            <c:bubble3D val="0"/>
            <c:spPr>
              <a:solidFill>
                <a:srgbClr val="898D91"/>
              </a:solidFill>
              <a:ln>
                <a:noFill/>
              </a:ln>
            </c:spPr>
          </c:dPt>
          <c:dPt>
            <c:idx val="2"/>
            <c:invertIfNegative val="0"/>
            <c:bubble3D val="0"/>
            <c:spPr>
              <a:solidFill>
                <a:srgbClr val="898D91"/>
              </a:solidFill>
              <a:ln>
                <a:noFill/>
              </a:ln>
            </c:spPr>
          </c:dPt>
          <c:dPt>
            <c:idx val="3"/>
            <c:invertIfNegative val="0"/>
            <c:bubble3D val="0"/>
            <c:spPr>
              <a:solidFill>
                <a:srgbClr val="898D91"/>
              </a:solidFill>
              <a:ln>
                <a:noFill/>
              </a:ln>
            </c:spPr>
          </c:dPt>
          <c:dPt>
            <c:idx val="4"/>
            <c:invertIfNegative val="0"/>
            <c:bubble3D val="0"/>
            <c:spPr>
              <a:solidFill>
                <a:srgbClr val="EE7D31"/>
              </a:solidFill>
              <a:ln>
                <a:noFill/>
              </a:ln>
            </c:spPr>
          </c:dPt>
          <c:dPt>
            <c:idx val="5"/>
            <c:invertIfNegative val="0"/>
            <c:bubble3D val="0"/>
            <c:spPr>
              <a:solidFill>
                <a:srgbClr val="003F5F"/>
              </a:solidFill>
              <a:ln>
                <a:noFill/>
              </a:ln>
            </c:spPr>
          </c:dPt>
          <c:cat>
            <c:strRef>
              <c:f>Sheet1!$A$2:$A$7</c:f>
              <c:strCache>
                <c:ptCount val="6"/>
                <c:pt idx="0">
                  <c:v>2013/14 </c:v>
                </c:pt>
                <c:pt idx="1">
                  <c:v>2014/15 </c:v>
                </c:pt>
                <c:pt idx="2">
                  <c:v>2015/16</c:v>
                </c:pt>
                <c:pt idx="3">
                  <c:v>2016/17 </c:v>
                </c:pt>
                <c:pt idx="4">
                  <c:v>2017/18 </c:v>
                </c:pt>
                <c:pt idx="5">
                  <c:v>2017/18 Target</c:v>
                </c:pt>
              </c:strCache>
            </c:strRef>
          </c:cat>
          <c:val>
            <c:numRef>
              <c:f>Sheet1!$B$2:$B$7</c:f>
              <c:numCache>
                <c:formatCode>_("$"* #,##0_);_("$"* \(#,##0\);_("$"* "-"_);_(@_)</c:formatCode>
                <c:ptCount val="6"/>
                <c:pt idx="0">
                  <c:v>389</c:v>
                </c:pt>
                <c:pt idx="1">
                  <c:v>342</c:v>
                </c:pt>
                <c:pt idx="2">
                  <c:v>339</c:v>
                </c:pt>
                <c:pt idx="3">
                  <c:v>341</c:v>
                </c:pt>
                <c:pt idx="4">
                  <c:v>348</c:v>
                </c:pt>
                <c:pt idx="5">
                  <c:v>345</c:v>
                </c:pt>
              </c:numCache>
            </c:numRef>
          </c:val>
        </c:ser>
        <c:dLbls>
          <c:showLegendKey val="0"/>
          <c:showVal val="0"/>
          <c:showCatName val="0"/>
          <c:showSerName val="0"/>
          <c:showPercent val="0"/>
          <c:showBubbleSize val="0"/>
        </c:dLbls>
        <c:gapWidth val="150"/>
        <c:axId val="639140992"/>
        <c:axId val="639150008"/>
      </c:barChart>
      <c:catAx>
        <c:axId val="639140992"/>
        <c:scaling>
          <c:orientation val="minMax"/>
        </c:scaling>
        <c:delete val="0"/>
        <c:axPos val="b"/>
        <c:numFmt formatCode="General" sourceLinked="0"/>
        <c:majorTickMark val="out"/>
        <c:minorTickMark val="none"/>
        <c:tickLblPos val="nextTo"/>
        <c:spPr>
          <a:ln>
            <a:solidFill>
              <a:srgbClr val="000000"/>
            </a:solidFill>
          </a:ln>
        </c:spPr>
        <c:txPr>
          <a:bodyPr rot="0" vert="horz"/>
          <a:lstStyle/>
          <a:p>
            <a:pPr>
              <a:defRPr sz="997" b="0" i="0" u="none" strike="noStrike" baseline="0">
                <a:solidFill>
                  <a:srgbClr val="000000"/>
                </a:solidFill>
                <a:latin typeface="Calibri"/>
                <a:ea typeface="Calibri"/>
                <a:cs typeface="Calibri"/>
              </a:defRPr>
            </a:pPr>
            <a:endParaRPr lang="en-US"/>
          </a:p>
        </c:txPr>
        <c:crossAx val="639150008"/>
        <c:crosses val="autoZero"/>
        <c:auto val="1"/>
        <c:lblAlgn val="ctr"/>
        <c:lblOffset val="100"/>
        <c:noMultiLvlLbl val="0"/>
      </c:catAx>
      <c:valAx>
        <c:axId val="639150008"/>
        <c:scaling>
          <c:orientation val="minMax"/>
          <c:min val="0"/>
        </c:scaling>
        <c:delete val="0"/>
        <c:axPos val="l"/>
        <c:numFmt formatCode="_(&quot;$&quot;* #,##0_);_(&quot;$&quot;* \(#,##0\);_(&quot;$&quot;* &quot;-&quot;_);_(@_)" sourceLinked="1"/>
        <c:majorTickMark val="out"/>
        <c:minorTickMark val="none"/>
        <c:tickLblPos val="nextTo"/>
        <c:spPr>
          <a:ln>
            <a:solidFill>
              <a:srgbClr val="000000"/>
            </a:solidFill>
          </a:ln>
        </c:spPr>
        <c:txPr>
          <a:bodyPr rot="0" vert="horz"/>
          <a:lstStyle/>
          <a:p>
            <a:pPr>
              <a:defRPr sz="997" b="1" i="0" u="none" strike="noStrike" baseline="0">
                <a:solidFill>
                  <a:sysClr val="windowText" lastClr="000000"/>
                </a:solidFill>
                <a:latin typeface="Arial"/>
                <a:ea typeface="Arial"/>
                <a:cs typeface="Arial"/>
              </a:defRPr>
            </a:pPr>
            <a:endParaRPr lang="en-US"/>
          </a:p>
        </c:txPr>
        <c:crossAx val="639140992"/>
        <c:crosses val="autoZero"/>
        <c:crossBetween val="between"/>
      </c:valAx>
      <c:dTable>
        <c:showHorzBorder val="0"/>
        <c:showVertBorder val="0"/>
        <c:showOutline val="0"/>
        <c:showKeys val="0"/>
        <c:txPr>
          <a:bodyPr/>
          <a:lstStyle/>
          <a:p>
            <a:pPr rtl="0">
              <a:defRPr sz="997" b="1" i="0" u="none" strike="noStrike" baseline="0">
                <a:solidFill>
                  <a:sysClr val="windowText" lastClr="000000"/>
                </a:solidFill>
                <a:latin typeface="Arial"/>
                <a:ea typeface="Arial"/>
                <a:cs typeface="Arial"/>
              </a:defRPr>
            </a:pPr>
            <a:endParaRPr lang="en-US"/>
          </a:p>
        </c:txPr>
      </c:dTable>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50923461300011E-2"/>
          <c:y val="8.4409723653653235E-2"/>
          <c:w val="0.91314169887179941"/>
          <c:h val="0.65771887152849351"/>
        </c:manualLayout>
      </c:layout>
      <c:barChart>
        <c:barDir val="col"/>
        <c:grouping val="stacked"/>
        <c:varyColors val="0"/>
        <c:ser>
          <c:idx val="1"/>
          <c:order val="1"/>
          <c:tx>
            <c:v>No lost-time claims</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2012/13</c:v>
                </c:pt>
                <c:pt idx="1">
                  <c:v>2013/14</c:v>
                </c:pt>
                <c:pt idx="2">
                  <c:v>2014/15</c:v>
                </c:pt>
                <c:pt idx="3">
                  <c:v>2015/16</c:v>
                </c:pt>
                <c:pt idx="4">
                  <c:v>2016/17</c:v>
                </c:pt>
              </c:strCache>
            </c:strRef>
          </c:cat>
          <c:val>
            <c:numRef>
              <c:f>'Scheme data'!$B$9:$F$9</c:f>
              <c:numCache>
                <c:formatCode>_-* #,##0_-;\-* #,##0_-;_-* "-"??_-;_-@_-</c:formatCode>
                <c:ptCount val="5"/>
                <c:pt idx="0">
                  <c:v>18689</c:v>
                </c:pt>
                <c:pt idx="1">
                  <c:v>17789</c:v>
                </c:pt>
                <c:pt idx="2">
                  <c:v>15839</c:v>
                </c:pt>
                <c:pt idx="3">
                  <c:v>14307</c:v>
                </c:pt>
                <c:pt idx="4">
                  <c:v>12567</c:v>
                </c:pt>
              </c:numCache>
            </c:numRef>
          </c:val>
        </c:ser>
        <c:ser>
          <c:idx val="2"/>
          <c:order val="2"/>
          <c:tx>
            <c:v>1-59 days lost</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2012/13</c:v>
                </c:pt>
                <c:pt idx="1">
                  <c:v>2013/14</c:v>
                </c:pt>
                <c:pt idx="2">
                  <c:v>2014/15</c:v>
                </c:pt>
                <c:pt idx="3">
                  <c:v>2015/16</c:v>
                </c:pt>
                <c:pt idx="4">
                  <c:v>2016/17</c:v>
                </c:pt>
              </c:strCache>
            </c:strRef>
          </c:cat>
          <c:val>
            <c:numRef>
              <c:f>'Scheme data'!$B$18:$F$18</c:f>
              <c:numCache>
                <c:formatCode>_-* #,##0_-;\-* #,##0_-;_-* "-"??_-;_-@_-</c:formatCode>
                <c:ptCount val="5"/>
                <c:pt idx="0">
                  <c:v>13785</c:v>
                </c:pt>
                <c:pt idx="1">
                  <c:v>12695</c:v>
                </c:pt>
                <c:pt idx="2">
                  <c:v>12030</c:v>
                </c:pt>
                <c:pt idx="3">
                  <c:v>11546</c:v>
                </c:pt>
                <c:pt idx="4">
                  <c:v>10185</c:v>
                </c:pt>
              </c:numCache>
            </c:numRef>
          </c:val>
        </c:ser>
        <c:ser>
          <c:idx val="3"/>
          <c:order val="3"/>
          <c:tx>
            <c:v>60+ days lost</c:v>
          </c:tx>
          <c:spPr>
            <a:solidFill>
              <a:srgbClr val="C2B53E"/>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2012/13</c:v>
                </c:pt>
                <c:pt idx="1">
                  <c:v>2013/14</c:v>
                </c:pt>
                <c:pt idx="2">
                  <c:v>2014/15</c:v>
                </c:pt>
                <c:pt idx="3">
                  <c:v>2015/16</c:v>
                </c:pt>
                <c:pt idx="4">
                  <c:v>2016/17</c:v>
                </c:pt>
              </c:strCache>
            </c:strRef>
          </c:cat>
          <c:val>
            <c:numRef>
              <c:f>'Scheme data'!$B$19:$F$19</c:f>
              <c:numCache>
                <c:formatCode>_-* #,##0_-;\-* #,##0_-;_-* "-"??_-;_-@_-</c:formatCode>
                <c:ptCount val="5"/>
                <c:pt idx="0">
                  <c:v>4823</c:v>
                </c:pt>
                <c:pt idx="1">
                  <c:v>4972</c:v>
                </c:pt>
                <c:pt idx="2">
                  <c:v>4768</c:v>
                </c:pt>
                <c:pt idx="3">
                  <c:v>5038</c:v>
                </c:pt>
                <c:pt idx="4">
                  <c:v>5409</c:v>
                </c:pt>
              </c:numCache>
            </c:numRef>
          </c:val>
        </c:ser>
        <c:dLbls>
          <c:showLegendKey val="0"/>
          <c:showVal val="0"/>
          <c:showCatName val="0"/>
          <c:showSerName val="0"/>
          <c:showPercent val="0"/>
          <c:showBubbleSize val="0"/>
        </c:dLbls>
        <c:gapWidth val="100"/>
        <c:overlap val="100"/>
        <c:axId val="466092840"/>
        <c:axId val="466093624"/>
      </c:barChart>
      <c:lineChart>
        <c:grouping val="standard"/>
        <c:varyColors val="0"/>
        <c:ser>
          <c:idx val="0"/>
          <c:order val="0"/>
          <c:tx>
            <c:v>All claims</c:v>
          </c:tx>
          <c:spPr>
            <a:ln w="22225" cap="rnd">
              <a:solidFill>
                <a:schemeClr val="accent4"/>
              </a:solidFill>
              <a:round/>
            </a:ln>
            <a:effectLst/>
          </c:spPr>
          <c:marker>
            <c:symbol val="diamond"/>
            <c:size val="8"/>
            <c:spPr>
              <a:solidFill>
                <a:schemeClr val="accent4"/>
              </a:solidFill>
              <a:ln w="15875">
                <a:solidFill>
                  <a:schemeClr val="accent4"/>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'Scheme data'!$B$7:$F$7</c:f>
              <c:strCache>
                <c:ptCount val="5"/>
                <c:pt idx="0">
                  <c:v>2012/13</c:v>
                </c:pt>
                <c:pt idx="1">
                  <c:v>2013/14</c:v>
                </c:pt>
                <c:pt idx="2">
                  <c:v>2014/15</c:v>
                </c:pt>
                <c:pt idx="3">
                  <c:v>2015/16</c:v>
                </c:pt>
                <c:pt idx="4">
                  <c:v>2016/17</c:v>
                </c:pt>
              </c:strCache>
            </c:strRef>
          </c:cat>
          <c:val>
            <c:numRef>
              <c:f>'Scheme data'!$B$10:$F$10</c:f>
              <c:numCache>
                <c:formatCode>_-* #,##0_-;\-* #,##0_-;_-* "-"??_-;_-@_-</c:formatCode>
                <c:ptCount val="5"/>
                <c:pt idx="0">
                  <c:v>37297</c:v>
                </c:pt>
                <c:pt idx="1">
                  <c:v>35456</c:v>
                </c:pt>
                <c:pt idx="2">
                  <c:v>32637</c:v>
                </c:pt>
                <c:pt idx="3">
                  <c:v>30891</c:v>
                </c:pt>
                <c:pt idx="4">
                  <c:v>28161</c:v>
                </c:pt>
              </c:numCache>
            </c:numRef>
          </c:val>
          <c:smooth val="0"/>
        </c:ser>
        <c:dLbls>
          <c:showLegendKey val="0"/>
          <c:showVal val="0"/>
          <c:showCatName val="0"/>
          <c:showSerName val="0"/>
          <c:showPercent val="0"/>
          <c:showBubbleSize val="0"/>
        </c:dLbls>
        <c:marker val="1"/>
        <c:smooth val="0"/>
        <c:axId val="466092840"/>
        <c:axId val="466093624"/>
      </c:lineChart>
      <c:catAx>
        <c:axId val="4660928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sz="1000">
                    <a:latin typeface="+mn-lt"/>
                  </a:rPr>
                  <a:t>Lodgement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66093624"/>
        <c:crosses val="autoZero"/>
        <c:auto val="1"/>
        <c:lblAlgn val="ctr"/>
        <c:lblOffset val="100"/>
        <c:noMultiLvlLbl val="0"/>
      </c:catAx>
      <c:valAx>
        <c:axId val="466093624"/>
        <c:scaling>
          <c:orientation val="minMax"/>
          <c:max val="40000"/>
        </c:scaling>
        <c:delete val="1"/>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sz="1000">
                    <a:latin typeface="+mn-lt"/>
                  </a:rPr>
                  <a:t>Claim numbers</a:t>
                </a:r>
              </a:p>
            </c:rich>
          </c:tx>
          <c:layout>
            <c:manualLayout>
              <c:xMode val="edge"/>
              <c:yMode val="edge"/>
              <c:x val="4.0951898559185303E-2"/>
              <c:y val="0.2848984208465654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0" sourceLinked="0"/>
        <c:majorTickMark val="out"/>
        <c:minorTickMark val="none"/>
        <c:tickLblPos val="nextTo"/>
        <c:crossAx val="46609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99381262909152E-2"/>
          <c:y val="7.8431372549019607E-2"/>
          <c:w val="0.88694915712855482"/>
          <c:h val="0.61742945683191475"/>
        </c:manualLayout>
      </c:layout>
      <c:lineChart>
        <c:grouping val="standard"/>
        <c:varyColors val="0"/>
        <c:ser>
          <c:idx val="0"/>
          <c:order val="0"/>
          <c:tx>
            <c:v>All lost-time claims</c:v>
          </c:tx>
          <c:spPr>
            <a:ln w="22225" cap="rnd">
              <a:solidFill>
                <a:schemeClr val="accent2"/>
              </a:solidFill>
              <a:round/>
            </a:ln>
            <a:effectLst/>
          </c:spPr>
          <c:marker>
            <c:symbol val="circle"/>
            <c:size val="6"/>
            <c:spPr>
              <a:solidFill>
                <a:schemeClr val="lt1"/>
              </a:solidFill>
              <a:ln w="15875">
                <a:solidFill>
                  <a:schemeClr val="accent2"/>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data'!$B$41:$F$41</c:f>
              <c:strCache>
                <c:ptCount val="5"/>
                <c:pt idx="0">
                  <c:v>2012/13</c:v>
                </c:pt>
                <c:pt idx="1">
                  <c:v>2013/14</c:v>
                </c:pt>
                <c:pt idx="2">
                  <c:v>2014/15</c:v>
                </c:pt>
                <c:pt idx="3">
                  <c:v>2015/16</c:v>
                </c:pt>
                <c:pt idx="4">
                  <c:v>2016/17</c:v>
                </c:pt>
              </c:strCache>
            </c:strRef>
          </c:cat>
          <c:val>
            <c:numRef>
              <c:f>'Scheme data'!$B$44:$F$44</c:f>
              <c:numCache>
                <c:formatCode>_-* #,##0.0_-;\-* #,##0.0_-;_-* "-"??_-;_-@_-</c:formatCode>
                <c:ptCount val="5"/>
                <c:pt idx="0">
                  <c:v>8.7575992316565863</c:v>
                </c:pt>
                <c:pt idx="1">
                  <c:v>8.1949047536097304</c:v>
                </c:pt>
                <c:pt idx="2">
                  <c:v>7.8595668797533529</c:v>
                </c:pt>
                <c:pt idx="3">
                  <c:v>8.0495016393069285</c:v>
                </c:pt>
                <c:pt idx="4">
                  <c:v>7.7328864221531086</c:v>
                </c:pt>
              </c:numCache>
            </c:numRef>
          </c:val>
          <c:smooth val="0"/>
        </c:ser>
        <c:ser>
          <c:idx val="2"/>
          <c:order val="1"/>
          <c:tx>
            <c:v>1-59 days lost</c:v>
          </c:tx>
          <c:spPr>
            <a:ln w="22225" cap="rnd">
              <a:solidFill>
                <a:schemeClr val="accent3"/>
              </a:solidFill>
              <a:round/>
            </a:ln>
            <a:effectLst/>
          </c:spPr>
          <c:marker>
            <c:symbol val="circle"/>
            <c:size val="6"/>
            <c:spPr>
              <a:solidFill>
                <a:schemeClr val="lt1"/>
              </a:solidFill>
              <a:ln w="15875">
                <a:solidFill>
                  <a:schemeClr val="accent3"/>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3"/>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'Scheme data'!$B$42:$F$42</c:f>
              <c:numCache>
                <c:formatCode>_-* #,##0.0_-;\-* #,##0.0_-;_-* "-"??_-;_-@_-</c:formatCode>
                <c:ptCount val="5"/>
                <c:pt idx="0">
                  <c:v>6.4877206259880715</c:v>
                </c:pt>
                <c:pt idx="1">
                  <c:v>5.8886237531598766</c:v>
                </c:pt>
                <c:pt idx="2">
                  <c:v>5.6286813646525085</c:v>
                </c:pt>
                <c:pt idx="3">
                  <c:v>5.6041694360490713</c:v>
                </c:pt>
                <c:pt idx="4">
                  <c:v>5.0506251256656034</c:v>
                </c:pt>
              </c:numCache>
            </c:numRef>
          </c:val>
          <c:smooth val="0"/>
        </c:ser>
        <c:ser>
          <c:idx val="1"/>
          <c:order val="2"/>
          <c:tx>
            <c:v>60+ days lost</c:v>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data'!$B$41:$F$41</c:f>
              <c:strCache>
                <c:ptCount val="5"/>
                <c:pt idx="0">
                  <c:v>2012/13</c:v>
                </c:pt>
                <c:pt idx="1">
                  <c:v>2013/14</c:v>
                </c:pt>
                <c:pt idx="2">
                  <c:v>2014/15</c:v>
                </c:pt>
                <c:pt idx="3">
                  <c:v>2015/16</c:v>
                </c:pt>
                <c:pt idx="4">
                  <c:v>2016/17</c:v>
                </c:pt>
              </c:strCache>
            </c:strRef>
          </c:cat>
          <c:val>
            <c:numRef>
              <c:f>'Scheme data'!$B$43:$F$43</c:f>
              <c:numCache>
                <c:formatCode>_-* #,##0.0_-;\-* #,##0.0_-;_-* "-"??_-;_-@_-</c:formatCode>
                <c:ptCount val="5"/>
                <c:pt idx="0">
                  <c:v>2.2698786056685143</c:v>
                </c:pt>
                <c:pt idx="1">
                  <c:v>2.3062810004498546</c:v>
                </c:pt>
                <c:pt idx="2">
                  <c:v>2.2308855151008444</c:v>
                </c:pt>
                <c:pt idx="3">
                  <c:v>2.4453322032578573</c:v>
                </c:pt>
                <c:pt idx="4">
                  <c:v>2.6822612964875057</c:v>
                </c:pt>
              </c:numCache>
            </c:numRef>
          </c:val>
          <c:smooth val="0"/>
        </c:ser>
        <c:dLbls>
          <c:showLegendKey val="0"/>
          <c:showVal val="0"/>
          <c:showCatName val="0"/>
          <c:showSerName val="0"/>
          <c:showPercent val="0"/>
          <c:showBubbleSize val="0"/>
        </c:dLbls>
        <c:marker val="1"/>
        <c:smooth val="0"/>
        <c:axId val="466095584"/>
        <c:axId val="466095976"/>
      </c:lineChart>
      <c:catAx>
        <c:axId val="466095584"/>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a:t>Lodgement 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66095976"/>
        <c:crosses val="autoZero"/>
        <c:auto val="1"/>
        <c:lblAlgn val="ctr"/>
        <c:lblOffset val="100"/>
        <c:noMultiLvlLbl val="0"/>
      </c:catAx>
      <c:valAx>
        <c:axId val="466095976"/>
        <c:scaling>
          <c:orientation val="minMax"/>
        </c:scaling>
        <c:delete val="1"/>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r>
                  <a:rPr lang="en-AU"/>
                  <a:t>Claims per milion hours worked</a:t>
                </a:r>
              </a:p>
            </c:rich>
          </c:tx>
          <c:layout>
            <c:manualLayout>
              <c:xMode val="edge"/>
              <c:yMode val="edge"/>
              <c:x val="1.9140262106411957E-2"/>
              <c:y val="5.036426521451172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Arial" panose="020B0604020202020204" pitchFamily="34" charset="0"/>
                </a:defRPr>
              </a:pPr>
              <a:endParaRPr lang="en-US"/>
            </a:p>
          </c:txPr>
        </c:title>
        <c:numFmt formatCode="0.0" sourceLinked="0"/>
        <c:majorTickMark val="none"/>
        <c:minorTickMark val="none"/>
        <c:tickLblPos val="nextTo"/>
        <c:crossAx val="4660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latin typeface="+mn-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83012910188254"/>
          <c:y val="3.9426528970310869E-2"/>
          <c:w val="0.50250893765182902"/>
          <c:h val="0.93340695330482615"/>
        </c:manualLayout>
      </c:layout>
      <c:barChart>
        <c:barDir val="bar"/>
        <c:grouping val="clustered"/>
        <c:varyColors val="0"/>
        <c:ser>
          <c:idx val="0"/>
          <c:order val="0"/>
          <c:spPr>
            <a:solidFill>
              <a:schemeClr val="accent1"/>
            </a:solidFill>
            <a:ln w="8890">
              <a:noFill/>
            </a:ln>
            <a:effectLst/>
            <a:scene3d>
              <a:camera prst="orthographicFront"/>
              <a:lightRig rig="threePt" dir="t"/>
            </a:scene3d>
          </c:spPr>
          <c:invertIfNegative val="0"/>
          <c:dPt>
            <c:idx val="7"/>
            <c:invertIfNegative val="0"/>
            <c:bubble3D val="0"/>
            <c:spPr>
              <a:solidFill>
                <a:schemeClr val="accent1"/>
              </a:solidFill>
              <a:ln w="8890">
                <a:noFill/>
              </a:ln>
              <a:effectLst/>
              <a:scene3d>
                <a:camera prst="orthographicFront"/>
                <a:lightRig rig="threePt" dir="t"/>
              </a:scene3d>
            </c:spPr>
          </c:dPt>
          <c:dPt>
            <c:idx val="8"/>
            <c:invertIfNegative val="0"/>
            <c:bubble3D val="0"/>
          </c:dPt>
          <c:dPt>
            <c:idx val="9"/>
            <c:invertIfNegative val="0"/>
            <c:bubble3D val="0"/>
            <c:spPr>
              <a:solidFill>
                <a:srgbClr val="FF834A"/>
              </a:solidFill>
              <a:ln w="8890">
                <a:noFill/>
              </a:ln>
              <a:effectLst/>
              <a:scene3d>
                <a:camera prst="orthographicFront"/>
                <a:lightRig rig="threePt" dir="t"/>
              </a:scene3d>
            </c:spPr>
          </c:dPt>
          <c:dPt>
            <c:idx val="11"/>
            <c:invertIfNegative val="0"/>
            <c:bubble3D val="0"/>
            <c:spPr>
              <a:solidFill>
                <a:schemeClr val="accent1"/>
              </a:solidFill>
              <a:ln w="8890">
                <a:noFill/>
              </a:ln>
              <a:effectLst/>
              <a:scene3d>
                <a:camera prst="orthographicFront"/>
                <a:lightRig rig="threePt" dir="t"/>
              </a:scene3d>
            </c:spPr>
          </c:dPt>
          <c:dPt>
            <c:idx val="12"/>
            <c:invertIfNegative val="0"/>
            <c:bubble3D val="0"/>
            <c:spPr>
              <a:solidFill>
                <a:schemeClr val="accent1"/>
              </a:solidFill>
              <a:ln w="8890">
                <a:noFill/>
              </a:ln>
              <a:effectLst/>
              <a:scene3d>
                <a:camera prst="orthographicFront"/>
                <a:lightRig rig="threePt" dir="t"/>
              </a:scene3d>
            </c:spPr>
          </c:dPt>
          <c:dLbls>
            <c:dLbl>
              <c:idx val="9"/>
              <c:numFmt formatCode="#,##0.0" sourceLinked="0"/>
              <c:spPr>
                <a:noFill/>
                <a:ln>
                  <a:noFill/>
                </a:ln>
                <a:effectLst/>
              </c:spPr>
              <c:txPr>
                <a:bodyPr rot="0" spcFirstLastPara="1" vertOverflow="ellipsis" vert="horz" wrap="square" anchor="ctr" anchorCtr="0"/>
                <a:lstStyle/>
                <a:p>
                  <a:pPr algn="ctr">
                    <a:defRPr lang="en-AU" sz="1000" b="1" i="0" u="none" strike="noStrike" kern="1200" cap="none" spc="0" normalizeH="0" baseline="0">
                      <a:solidFill>
                        <a:srgbClr val="FF834A"/>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anchor="ctr" anchorCtr="0"/>
              <a:lstStyle/>
              <a:p>
                <a:pPr algn="ctr">
                  <a:defRPr lang="en-AU" sz="1000" b="1" i="0" u="none" strike="noStrike" kern="1200" cap="none" spc="0" normalizeH="0" baseline="0">
                    <a:solidFill>
                      <a:schemeClr val="accent1"/>
                    </a:solidFill>
                    <a:latin typeface="+mn-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'Scheme data'!$D$58:$D$78</c:f>
              <c:strCache>
                <c:ptCount val="21"/>
                <c:pt idx="0">
                  <c:v>Arts and recreation services</c:v>
                </c:pt>
                <c:pt idx="1">
                  <c:v>Agriculture, forestry and fishing</c:v>
                </c:pt>
                <c:pt idx="2">
                  <c:v>Manufacturing</c:v>
                </c:pt>
                <c:pt idx="3">
                  <c:v>Health care and social assistance</c:v>
                </c:pt>
                <c:pt idx="4">
                  <c:v>Construction</c:v>
                </c:pt>
                <c:pt idx="5">
                  <c:v>Transport, postal and warehousing</c:v>
                </c:pt>
                <c:pt idx="6">
                  <c:v>Education and training</c:v>
                </c:pt>
                <c:pt idx="7">
                  <c:v>Public administration and safety</c:v>
                </c:pt>
                <c:pt idx="8">
                  <c:v>Wholesale trade</c:v>
                </c:pt>
                <c:pt idx="9">
                  <c:v>All industry average</c:v>
                </c:pt>
                <c:pt idx="10">
                  <c:v>Electricity, gas, water and waste services</c:v>
                </c:pt>
                <c:pt idx="11">
                  <c:v>Accommodation and food services</c:v>
                </c:pt>
                <c:pt idx="12">
                  <c:v>Retail trade</c:v>
                </c:pt>
                <c:pt idx="13">
                  <c:v>Other services</c:v>
                </c:pt>
                <c:pt idx="14">
                  <c:v>Unknown Industry</c:v>
                </c:pt>
                <c:pt idx="15">
                  <c:v>Mining</c:v>
                </c:pt>
                <c:pt idx="16">
                  <c:v>Administrative and support services</c:v>
                </c:pt>
                <c:pt idx="17">
                  <c:v>Rental, hiring and real estate services</c:v>
                </c:pt>
                <c:pt idx="18">
                  <c:v>Information media and telecommunications</c:v>
                </c:pt>
                <c:pt idx="19">
                  <c:v>Professional, scientific and technical services</c:v>
                </c:pt>
                <c:pt idx="20">
                  <c:v>Financial and insurance services</c:v>
                </c:pt>
              </c:strCache>
            </c:strRef>
          </c:cat>
          <c:val>
            <c:numRef>
              <c:f>'Scheme data'!$E$58:$E$78</c:f>
              <c:numCache>
                <c:formatCode>0.0</c:formatCode>
                <c:ptCount val="21"/>
                <c:pt idx="0">
                  <c:v>13.231594326737527</c:v>
                </c:pt>
                <c:pt idx="1">
                  <c:v>12.936029745402845</c:v>
                </c:pt>
                <c:pt idx="2">
                  <c:v>12.145691759591884</c:v>
                </c:pt>
                <c:pt idx="3">
                  <c:v>10.892506415481515</c:v>
                </c:pt>
                <c:pt idx="4">
                  <c:v>10.73281429084137</c:v>
                </c:pt>
                <c:pt idx="5">
                  <c:v>10.438473582215597</c:v>
                </c:pt>
                <c:pt idx="6">
                  <c:v>8.9376414609043611</c:v>
                </c:pt>
                <c:pt idx="7">
                  <c:v>8.2064493392442142</c:v>
                </c:pt>
                <c:pt idx="8">
                  <c:v>8.0056690249120415</c:v>
                </c:pt>
                <c:pt idx="9">
                  <c:v>7.7</c:v>
                </c:pt>
                <c:pt idx="10">
                  <c:v>7.1684230433944176</c:v>
                </c:pt>
                <c:pt idx="11">
                  <c:v>6.4215953286754006</c:v>
                </c:pt>
                <c:pt idx="12">
                  <c:v>6.2352367896168133</c:v>
                </c:pt>
                <c:pt idx="13">
                  <c:v>6.1576380854895136</c:v>
                </c:pt>
                <c:pt idx="14">
                  <c:v>6</c:v>
                </c:pt>
                <c:pt idx="15">
                  <c:v>5.7955373134309749</c:v>
                </c:pt>
                <c:pt idx="16">
                  <c:v>4.2633785479091131</c:v>
                </c:pt>
                <c:pt idx="17">
                  <c:v>2.6716443420046163</c:v>
                </c:pt>
                <c:pt idx="18">
                  <c:v>2.1083758148534644</c:v>
                </c:pt>
                <c:pt idx="19">
                  <c:v>1.6239085518318179</c:v>
                </c:pt>
                <c:pt idx="20">
                  <c:v>0.65027788504248518</c:v>
                </c:pt>
              </c:numCache>
            </c:numRef>
          </c:val>
        </c:ser>
        <c:dLbls>
          <c:showLegendKey val="0"/>
          <c:showVal val="1"/>
          <c:showCatName val="0"/>
          <c:showSerName val="0"/>
          <c:showPercent val="0"/>
          <c:showBubbleSize val="0"/>
        </c:dLbls>
        <c:gapWidth val="50"/>
        <c:axId val="467530656"/>
        <c:axId val="467531832"/>
      </c:barChart>
      <c:catAx>
        <c:axId val="467530656"/>
        <c:scaling>
          <c:orientation val="maxMin"/>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67531832"/>
        <c:crosses val="autoZero"/>
        <c:auto val="1"/>
        <c:lblAlgn val="ctr"/>
        <c:lblOffset val="100"/>
        <c:noMultiLvlLbl val="0"/>
      </c:catAx>
      <c:valAx>
        <c:axId val="467531832"/>
        <c:scaling>
          <c:orientation val="minMax"/>
          <c:max val="28"/>
          <c:min val="0"/>
        </c:scaling>
        <c:delete val="1"/>
        <c:axPos val="b"/>
        <c:majorGridlines>
          <c:spPr>
            <a:ln w="9525" cap="flat" cmpd="sng" algn="ctr">
              <a:noFill/>
              <a:round/>
            </a:ln>
            <a:effectLst/>
          </c:spPr>
        </c:majorGridlines>
        <c:numFmt formatCode="General" sourceLinked="0"/>
        <c:majorTickMark val="none"/>
        <c:minorTickMark val="none"/>
        <c:tickLblPos val="nextTo"/>
        <c:crossAx val="467530656"/>
        <c:crosses val="max"/>
        <c:crossBetween val="between"/>
        <c:majorUnit val="2"/>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115284678468787E-2"/>
          <c:y val="1.7431732718718587E-2"/>
          <c:w val="0.61996564022923373"/>
          <c:h val="0.46655947766205913"/>
        </c:manualLayout>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rgbClr val="C2B53E"/>
              </a:solidFill>
              <a:ln>
                <a:noFill/>
              </a:ln>
              <a:effectLst/>
            </c:spPr>
          </c:dPt>
          <c:cat>
            <c:strRef>
              <c:f>'Payment data'!$A$13:$A$16</c:f>
              <c:strCache>
                <c:ptCount val="4"/>
                <c:pt idx="0">
                  <c:v>Income payments</c:v>
                </c:pt>
                <c:pt idx="1">
                  <c:v>Common law and lump sums</c:v>
                </c:pt>
                <c:pt idx="2">
                  <c:v>Treatment services</c:v>
                </c:pt>
                <c:pt idx="3">
                  <c:v>Legal and other services</c:v>
                </c:pt>
              </c:strCache>
            </c:strRef>
          </c:cat>
          <c:val>
            <c:numRef>
              <c:f>'Payment data'!$B$13:$B$16</c:f>
              <c:numCache>
                <c:formatCode>#.0,,</c:formatCode>
                <c:ptCount val="4"/>
                <c:pt idx="0">
                  <c:v>331135875.02999991</c:v>
                </c:pt>
                <c:pt idx="1">
                  <c:v>253499404.94999999</c:v>
                </c:pt>
                <c:pt idx="2">
                  <c:v>210108691.21000093</c:v>
                </c:pt>
                <c:pt idx="3">
                  <c:v>92783602.479999945</c:v>
                </c:pt>
              </c:numCache>
            </c:numRef>
          </c:val>
        </c:ser>
        <c:dLbls>
          <c:showLegendKey val="0"/>
          <c:showVal val="0"/>
          <c:showCatName val="0"/>
          <c:showSerName val="0"/>
          <c:showPercent val="0"/>
          <c:showBubbleSize val="0"/>
          <c:showLeaderLines val="0"/>
        </c:dLbls>
        <c:firstSliceAng val="221"/>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accent1"/>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accent2"/>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rgbClr val="C2B53E"/>
                </a:solidFill>
                <a:latin typeface="+mn-lt"/>
                <a:ea typeface="+mn-ea"/>
                <a:cs typeface="+mn-cs"/>
              </a:defRPr>
            </a:pPr>
            <a:endParaRPr lang="en-US"/>
          </a:p>
        </c:txPr>
      </c:legendEntry>
      <c:layout>
        <c:manualLayout>
          <c:xMode val="edge"/>
          <c:yMode val="edge"/>
          <c:x val="8.167340393565703E-2"/>
          <c:y val="0.49750395841018275"/>
          <c:w val="0.74105854107666635"/>
          <c:h val="0.476597570845799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1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2"/>
              </a:solidFill>
              <a:round/>
            </a:ln>
            <a:effectLst/>
          </c:spPr>
          <c:marker>
            <c:symbol val="circle"/>
            <c:size val="7"/>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'Premium rate data'!$A$5:$A$14</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'Premium rate data'!$B$5:$B$14</c:f>
              <c:numCache>
                <c:formatCode>0.000</c:formatCode>
                <c:ptCount val="10"/>
                <c:pt idx="0">
                  <c:v>1.738</c:v>
                </c:pt>
                <c:pt idx="1">
                  <c:v>1.4970000000000001</c:v>
                </c:pt>
                <c:pt idx="2">
                  <c:v>1.569</c:v>
                </c:pt>
                <c:pt idx="3">
                  <c:v>1.6910000000000001</c:v>
                </c:pt>
                <c:pt idx="4">
                  <c:v>1.6679999999999999</c:v>
                </c:pt>
                <c:pt idx="5">
                  <c:v>1.556</c:v>
                </c:pt>
                <c:pt idx="6">
                  <c:v>1.4830000000000001</c:v>
                </c:pt>
                <c:pt idx="7">
                  <c:v>1.478</c:v>
                </c:pt>
                <c:pt idx="8" formatCode="General">
                  <c:v>1.5249999999999999</c:v>
                </c:pt>
                <c:pt idx="9" formatCode="General">
                  <c:v>1.585</c:v>
                </c:pt>
              </c:numCache>
            </c:numRef>
          </c:val>
          <c:smooth val="0"/>
        </c:ser>
        <c:dLbls>
          <c:showLegendKey val="0"/>
          <c:showVal val="0"/>
          <c:showCatName val="0"/>
          <c:showSerName val="0"/>
          <c:showPercent val="0"/>
          <c:showBubbleSize val="0"/>
        </c:dLbls>
        <c:marker val="1"/>
        <c:smooth val="0"/>
        <c:axId val="467531440"/>
        <c:axId val="467532224"/>
      </c:lineChart>
      <c:catAx>
        <c:axId val="46753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467532224"/>
        <c:crosses val="autoZero"/>
        <c:auto val="1"/>
        <c:lblAlgn val="ctr"/>
        <c:lblOffset val="100"/>
        <c:noMultiLvlLbl val="0"/>
      </c:catAx>
      <c:valAx>
        <c:axId val="467532224"/>
        <c:scaling>
          <c:orientation val="minMax"/>
          <c:max val="2.5"/>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payroll</a:t>
                </a:r>
              </a:p>
            </c:rich>
          </c:tx>
          <c:layout>
            <c:manualLayout>
              <c:xMode val="edge"/>
              <c:yMode val="edge"/>
              <c:x val="1.3468013468013467E-2"/>
              <c:y val="0.14813707381867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crossAx val="467531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7369282091771"/>
          <c:y val="0.16058346442513258"/>
          <c:w val="0.54654512416717138"/>
          <c:h val="0.82392028192857925"/>
        </c:manualLayout>
      </c:layout>
      <c:barChart>
        <c:barDir val="bar"/>
        <c:grouping val="clustered"/>
        <c:varyColors val="0"/>
        <c:ser>
          <c:idx val="0"/>
          <c:order val="0"/>
          <c:tx>
            <c:strRef>
              <c:f>'scheme premium'!$A$5</c:f>
              <c:strCache>
                <c:ptCount val="1"/>
                <c:pt idx="0">
                  <c:v>Scheme payments (premium payers &amp; self-insurers)</c:v>
                </c:pt>
              </c:strCache>
            </c:strRef>
          </c:tx>
          <c:spPr>
            <a:solidFill>
              <a:schemeClr val="accent1"/>
            </a:solidFill>
            <a:ln>
              <a:noFill/>
            </a:ln>
            <a:effectLst/>
          </c:spPr>
          <c:invertIfNegative val="0"/>
          <c:dLbls>
            <c:dLbl>
              <c:idx val="0"/>
              <c:tx>
                <c:rich>
                  <a:bodyPr/>
                  <a:lstStyle/>
                  <a:p>
                    <a:fld id="{F7321801-715D-49CC-8EFC-9CCFEB875D5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rot="0" spcFirstLastPara="1" vertOverflow="ellipsis" vert="horz" wrap="square" lIns="38100" tIns="19050" rIns="38100" bIns="19050" anchor="ctr" anchorCtr="0">
                    <a:spAutoFit/>
                  </a:bodyPr>
                  <a:lstStyle/>
                  <a:p>
                    <a:pPr algn="l" rtl="0">
                      <a:defRPr lang="en-AU" sz="1000" b="1" i="0" u="none" strike="noStrike" kern="1200" baseline="0">
                        <a:solidFill>
                          <a:schemeClr val="accent1">
                            <a:lumMod val="75000"/>
                          </a:schemeClr>
                        </a:solidFill>
                        <a:latin typeface="+mn-lt"/>
                        <a:ea typeface="+mn-ea"/>
                        <a:cs typeface="+mn-cs"/>
                      </a:defRPr>
                    </a:pPr>
                    <a:fld id="{47359041-C84D-440F-B0A9-DBC098C9949B}" type="CELLRANGE">
                      <a:rPr lang="en-US">
                        <a:solidFill>
                          <a:schemeClr val="accent1">
                            <a:lumMod val="75000"/>
                          </a:schemeClr>
                        </a:solidFill>
                      </a:rPr>
                      <a:pPr algn="l" rtl="0">
                        <a:defRPr lang="en-AU" sz="1000" b="1">
                          <a:solidFill>
                            <a:schemeClr val="accent1">
                              <a:lumMod val="75000"/>
                            </a:schemeClr>
                          </a:solidFill>
                        </a:defRPr>
                      </a:pPr>
                      <a:t>[CELLRANGE]</a:t>
                    </a:fld>
                    <a:endParaRPr lang="en-AU"/>
                  </a:p>
                </c:rich>
              </c:tx>
              <c:spPr>
                <a:noFill/>
                <a:ln>
                  <a:noFill/>
                </a:ln>
                <a:effectLst/>
              </c:spPr>
              <c:txPr>
                <a:bodyPr rot="0" spcFirstLastPara="1" vertOverflow="ellipsis" vert="horz" wrap="square" lIns="38100" tIns="19050" rIns="38100" bIns="19050" anchor="ctr" anchorCtr="0">
                  <a:spAutoFit/>
                </a:bodyPr>
                <a:lstStyle/>
                <a:p>
                  <a:pPr algn="l" rtl="0">
                    <a:defRPr lang="en-AU" sz="1000" b="1" i="0" u="none" strike="noStrike" kern="1200" baseline="0">
                      <a:solidFill>
                        <a:schemeClr val="accent1">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BDD66625-F3E9-4426-933F-944C0EEEB601}"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4C790A06-D55B-4713-9D2E-D37220D4F7C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88474167-5409-48E6-ADCA-FE5681681FE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0">
                <a:spAutoFit/>
              </a:bodyPr>
              <a:lstStyle/>
              <a:p>
                <a:pPr algn="l">
                  <a:defRPr sz="1000" b="1" i="0" u="none" strike="noStrike" kern="1200" baseline="0">
                    <a:solidFill>
                      <a:schemeClr val="accent1">
                        <a:lumMod val="7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'scheme premium'!$B$4:$F$4</c:f>
              <c:strCache>
                <c:ptCount val="5"/>
                <c:pt idx="0">
                  <c:v>2013/14</c:v>
                </c:pt>
                <c:pt idx="1">
                  <c:v>2014/15</c:v>
                </c:pt>
                <c:pt idx="2">
                  <c:v>2015/16</c:v>
                </c:pt>
                <c:pt idx="3">
                  <c:v>2016/17</c:v>
                </c:pt>
                <c:pt idx="4">
                  <c:v>2017/18</c:v>
                </c:pt>
              </c:strCache>
            </c:strRef>
          </c:cat>
          <c:val>
            <c:numRef>
              <c:f>'scheme premium'!$B$5:$F$5</c:f>
              <c:numCache>
                <c:formatCode>"$"#,##0</c:formatCode>
                <c:ptCount val="5"/>
                <c:pt idx="0">
                  <c:v>902050435.45000505</c:v>
                </c:pt>
                <c:pt idx="1">
                  <c:v>945302568.6700027</c:v>
                </c:pt>
                <c:pt idx="2">
                  <c:v>967369698.17999971</c:v>
                </c:pt>
                <c:pt idx="3">
                  <c:v>945486213.9599998</c:v>
                </c:pt>
                <c:pt idx="4">
                  <c:v>917064276.36999881</c:v>
                </c:pt>
              </c:numCache>
            </c:numRef>
          </c:val>
          <c:extLst>
            <c:ext xmlns:c15="http://schemas.microsoft.com/office/drawing/2012/chart" uri="{02D57815-91ED-43cb-92C2-25804820EDAC}">
              <c15:datalabelsRange>
                <c15:f>'scheme premium'!$B$8:$F$8</c15:f>
                <c15:dlblRangeCache>
                  <c:ptCount val="5"/>
                  <c:pt idx="0">
                    <c:v>$902.1 million</c:v>
                  </c:pt>
                  <c:pt idx="1">
                    <c:v>$945.3 million</c:v>
                  </c:pt>
                  <c:pt idx="2">
                    <c:v>$967.4 million</c:v>
                  </c:pt>
                  <c:pt idx="3">
                    <c:v>$945.5 million</c:v>
                  </c:pt>
                  <c:pt idx="4">
                    <c:v>$917.1 million</c:v>
                  </c:pt>
                </c15:dlblRangeCache>
              </c15:datalabelsRange>
            </c:ext>
          </c:extLst>
        </c:ser>
        <c:ser>
          <c:idx val="1"/>
          <c:order val="1"/>
          <c:tx>
            <c:strRef>
              <c:f>'scheme premium'!$A$6</c:f>
              <c:strCache>
                <c:ptCount val="1"/>
                <c:pt idx="0">
                  <c:v>Premium income (premium payers only)</c:v>
                </c:pt>
              </c:strCache>
            </c:strRef>
          </c:tx>
          <c:spPr>
            <a:solidFill>
              <a:schemeClr val="accent2"/>
            </a:solidFill>
            <a:ln>
              <a:noFill/>
            </a:ln>
            <a:effectLst/>
          </c:spPr>
          <c:invertIfNegative val="0"/>
          <c:dLbls>
            <c:dLbl>
              <c:idx val="0"/>
              <c:tx>
                <c:rich>
                  <a:bodyPr/>
                  <a:lstStyle/>
                  <a:p>
                    <a:fld id="{3D6776EE-F300-4699-B4B1-834DD55FD54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0827E737-96CC-4A4F-AF72-4A7D10A85A5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B8DCB7F1-09BB-41B8-9FA3-8BD61384E6E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C2F20B32-C9C5-4D59-8212-101809D5CD5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54667D6D-4627-4A86-9E66-C18644BA853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0">
                <a:spAutoFit/>
              </a:bodyPr>
              <a:lstStyle/>
              <a:p>
                <a:pPr algn="l">
                  <a:defRPr lang="en-AU" sz="1000" b="1" i="0" u="none" strike="noStrike" kern="1200" baseline="0">
                    <a:solidFill>
                      <a:schemeClr val="accent2">
                        <a:lumMod val="7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'scheme premium'!$B$4:$F$4</c:f>
              <c:strCache>
                <c:ptCount val="5"/>
                <c:pt idx="0">
                  <c:v>2013/14</c:v>
                </c:pt>
                <c:pt idx="1">
                  <c:v>2014/15</c:v>
                </c:pt>
                <c:pt idx="2">
                  <c:v>2015/16</c:v>
                </c:pt>
                <c:pt idx="3">
                  <c:v>2016/17</c:v>
                </c:pt>
                <c:pt idx="4">
                  <c:v>2017/18</c:v>
                </c:pt>
              </c:strCache>
            </c:strRef>
          </c:cat>
          <c:val>
            <c:numRef>
              <c:f>'scheme premium'!$B$6:$F$6</c:f>
              <c:numCache>
                <c:formatCode>"$"#,##0</c:formatCode>
                <c:ptCount val="5"/>
                <c:pt idx="0">
                  <c:v>1231780450</c:v>
                </c:pt>
                <c:pt idx="1">
                  <c:v>1250706851</c:v>
                </c:pt>
                <c:pt idx="2">
                  <c:v>1169317284</c:v>
                </c:pt>
                <c:pt idx="3">
                  <c:v>1013844853.4400001</c:v>
                </c:pt>
                <c:pt idx="4">
                  <c:v>992735438</c:v>
                </c:pt>
              </c:numCache>
            </c:numRef>
          </c:val>
          <c:extLst>
            <c:ext xmlns:c15="http://schemas.microsoft.com/office/drawing/2012/chart" uri="{02D57815-91ED-43cb-92C2-25804820EDAC}">
              <c15:datalabelsRange>
                <c15:f>'scheme premium'!$B$9:$F$9</c15:f>
                <c15:dlblRangeCache>
                  <c:ptCount val="5"/>
                  <c:pt idx="0">
                    <c:v>$1,231.8 million</c:v>
                  </c:pt>
                  <c:pt idx="1">
                    <c:v>$1,250.7 million</c:v>
                  </c:pt>
                  <c:pt idx="2">
                    <c:v>$1,169.3 million</c:v>
                  </c:pt>
                  <c:pt idx="3">
                    <c:v>$1,013.8 million</c:v>
                  </c:pt>
                  <c:pt idx="4">
                    <c:v>$992.7 million</c:v>
                  </c:pt>
                </c15:dlblRangeCache>
              </c15:datalabelsRange>
            </c:ext>
          </c:extLst>
        </c:ser>
        <c:dLbls>
          <c:showLegendKey val="0"/>
          <c:showVal val="0"/>
          <c:showCatName val="0"/>
          <c:showSerName val="0"/>
          <c:showPercent val="0"/>
          <c:showBubbleSize val="0"/>
        </c:dLbls>
        <c:gapWidth val="100"/>
        <c:axId val="467533400"/>
        <c:axId val="467519680"/>
      </c:barChart>
      <c:catAx>
        <c:axId val="467533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67519680"/>
        <c:crosses val="autoZero"/>
        <c:auto val="1"/>
        <c:lblAlgn val="ctr"/>
        <c:lblOffset val="100"/>
        <c:noMultiLvlLbl val="0"/>
      </c:catAx>
      <c:valAx>
        <c:axId val="467519680"/>
        <c:scaling>
          <c:orientation val="minMax"/>
          <c:max val="1700000000.0000002"/>
          <c:min val="0"/>
        </c:scaling>
        <c:delete val="1"/>
        <c:axPos val="t"/>
        <c:numFmt formatCode="&quot;$&quot;#,##0" sourceLinked="1"/>
        <c:majorTickMark val="out"/>
        <c:minorTickMark val="none"/>
        <c:tickLblPos val="nextTo"/>
        <c:crossAx val="46753340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chemeClr val="accent1"/>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accent2"/>
                </a:solidFill>
                <a:latin typeface="+mn-lt"/>
                <a:ea typeface="+mn-ea"/>
                <a:cs typeface="+mn-cs"/>
              </a:defRPr>
            </a:pPr>
            <a:endParaRPr lang="en-US"/>
          </a:p>
        </c:txPr>
      </c:legendEntry>
      <c:layout>
        <c:manualLayout>
          <c:xMode val="edge"/>
          <c:yMode val="edge"/>
          <c:x val="8.4810618184922013E-2"/>
          <c:y val="3.2598903324850943E-2"/>
          <c:w val="0.87514044484276865"/>
          <c:h val="0.10586222760225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970857091139467E-2"/>
          <c:y val="5.0925925925925923E-2"/>
          <c:w val="0.90228640600959364"/>
          <c:h val="0.66562736949547996"/>
        </c:manualLayout>
      </c:layout>
      <c:lineChart>
        <c:grouping val="standard"/>
        <c:varyColors val="0"/>
        <c:ser>
          <c:idx val="1"/>
          <c:order val="0"/>
          <c:tx>
            <c:v>Memoranda of Agreement</c:v>
          </c:tx>
          <c:spPr>
            <a:ln w="22225" cap="rnd">
              <a:solidFill>
                <a:schemeClr val="accent4"/>
              </a:solidFill>
              <a:round/>
            </a:ln>
            <a:effectLst/>
          </c:spPr>
          <c:marker>
            <c:symbol val="circle"/>
            <c:size val="6"/>
            <c:spPr>
              <a:solidFill>
                <a:schemeClr val="lt1"/>
              </a:solidFill>
              <a:ln w="15875">
                <a:solidFill>
                  <a:schemeClr val="accent4"/>
                </a:solidFill>
                <a:round/>
              </a:ln>
              <a:effectLst/>
            </c:spPr>
          </c:marker>
          <c:dLbls>
            <c:numFmt formatCode="#,##0" sourceLinked="0"/>
            <c:spPr>
              <a:noFill/>
              <a:ln>
                <a:noFill/>
              </a:ln>
              <a:effectLst/>
            </c:spPr>
            <c:txPr>
              <a:bodyPr rot="0" spcFirstLastPara="1" vertOverflow="ellipsis" vert="horz" wrap="square" anchor="ctr" anchorCtr="1"/>
              <a:lstStyle/>
              <a:p>
                <a:pPr>
                  <a:defRPr sz="1000" b="1" i="0" u="none" strike="noStrike" kern="1200" baseline="0">
                    <a:solidFill>
                      <a:schemeClr val="accent4"/>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'Settlement data'!$B$4:$F$4</c:f>
              <c:strCache>
                <c:ptCount val="5"/>
                <c:pt idx="0">
                  <c:v>2013/14</c:v>
                </c:pt>
                <c:pt idx="1">
                  <c:v>2014/15</c:v>
                </c:pt>
                <c:pt idx="2">
                  <c:v>2015/16</c:v>
                </c:pt>
                <c:pt idx="3">
                  <c:v>2016/17</c:v>
                </c:pt>
                <c:pt idx="4">
                  <c:v>2017/18</c:v>
                </c:pt>
              </c:strCache>
            </c:strRef>
          </c:cat>
          <c:val>
            <c:numRef>
              <c:f>'Settlement data'!$B$6:$F$6</c:f>
              <c:numCache>
                <c:formatCode>_-* #,##0_-;\-* #,##0_-;_-* "-"??_-;_-@_-</c:formatCode>
                <c:ptCount val="5"/>
                <c:pt idx="0">
                  <c:v>3996</c:v>
                </c:pt>
                <c:pt idx="1">
                  <c:v>4113</c:v>
                </c:pt>
                <c:pt idx="2">
                  <c:v>4327</c:v>
                </c:pt>
                <c:pt idx="3">
                  <c:v>4116</c:v>
                </c:pt>
                <c:pt idx="4">
                  <c:v>3859</c:v>
                </c:pt>
              </c:numCache>
            </c:numRef>
          </c:val>
          <c:smooth val="0"/>
        </c:ser>
        <c:ser>
          <c:idx val="0"/>
          <c:order val="1"/>
          <c:tx>
            <c:v>Section 92(f) deeds</c:v>
          </c:tx>
          <c:spPr>
            <a:ln w="22225" cap="rnd">
              <a:solidFill>
                <a:schemeClr val="accent1"/>
              </a:solidFill>
              <a:round/>
            </a:ln>
            <a:effectLst/>
          </c:spPr>
          <c:marker>
            <c:symbol val="circle"/>
            <c:size val="6"/>
            <c:spPr>
              <a:solidFill>
                <a:schemeClr val="lt1"/>
              </a:solidFill>
              <a:ln w="15875">
                <a:solidFill>
                  <a:schemeClr val="accent1"/>
                </a:solidFill>
                <a:round/>
              </a:ln>
              <a:effectLst/>
            </c:spPr>
          </c:marker>
          <c:dLbls>
            <c:numFmt formatCode="#,##0" sourceLinked="0"/>
            <c:spPr>
              <a:noFill/>
              <a:ln>
                <a:noFill/>
              </a:ln>
              <a:effectLst/>
            </c:spPr>
            <c:txPr>
              <a:bodyPr rot="0" spcFirstLastPara="1" vertOverflow="ellipsis" vert="horz" wrap="square" anchor="ctr" anchorCtr="0"/>
              <a:lstStyle/>
              <a:p>
                <a:pPr algn="ctr">
                  <a:defRPr lang="en-AU" sz="1000" b="1" i="0" u="none" strike="noStrike" kern="1200" baseline="0">
                    <a:solidFill>
                      <a:schemeClr val="accent1"/>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'Settlement data'!$B$4:$F$4</c:f>
              <c:strCache>
                <c:ptCount val="5"/>
                <c:pt idx="0">
                  <c:v>2013/14</c:v>
                </c:pt>
                <c:pt idx="1">
                  <c:v>2014/15</c:v>
                </c:pt>
                <c:pt idx="2">
                  <c:v>2015/16</c:v>
                </c:pt>
                <c:pt idx="3">
                  <c:v>2016/17</c:v>
                </c:pt>
                <c:pt idx="4">
                  <c:v>2017/18</c:v>
                </c:pt>
              </c:strCache>
            </c:strRef>
          </c:cat>
          <c:val>
            <c:numRef>
              <c:f>'Settlement data'!$B$5:$F$5</c:f>
              <c:numCache>
                <c:formatCode>_-* #,##0_-;\-* #,##0_-;_-* "-"??_-;_-@_-</c:formatCode>
                <c:ptCount val="5"/>
                <c:pt idx="0">
                  <c:v>1916</c:v>
                </c:pt>
                <c:pt idx="1">
                  <c:v>2085</c:v>
                </c:pt>
                <c:pt idx="2">
                  <c:v>2207</c:v>
                </c:pt>
                <c:pt idx="3">
                  <c:v>2206</c:v>
                </c:pt>
                <c:pt idx="4">
                  <c:v>2523</c:v>
                </c:pt>
              </c:numCache>
            </c:numRef>
          </c:val>
          <c:smooth val="0"/>
        </c:ser>
        <c:dLbls>
          <c:showLegendKey val="0"/>
          <c:showVal val="1"/>
          <c:showCatName val="0"/>
          <c:showSerName val="0"/>
          <c:showPercent val="0"/>
          <c:showBubbleSize val="0"/>
        </c:dLbls>
        <c:marker val="1"/>
        <c:smooth val="0"/>
        <c:axId val="467519288"/>
        <c:axId val="467526736"/>
      </c:lineChart>
      <c:catAx>
        <c:axId val="467519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Arial" panose="020B0604020202020204" pitchFamily="34" charset="0"/>
              </a:defRPr>
            </a:pPr>
            <a:endParaRPr lang="en-US"/>
          </a:p>
        </c:txPr>
        <c:crossAx val="467526736"/>
        <c:crosses val="autoZero"/>
        <c:auto val="1"/>
        <c:lblAlgn val="ctr"/>
        <c:lblOffset val="100"/>
        <c:noMultiLvlLbl val="0"/>
      </c:catAx>
      <c:valAx>
        <c:axId val="467526736"/>
        <c:scaling>
          <c:orientation val="minMax"/>
        </c:scaling>
        <c:delete val="1"/>
        <c:axPos val="l"/>
        <c:numFmt formatCode="#,##0" sourceLinked="0"/>
        <c:majorTickMark val="none"/>
        <c:minorTickMark val="none"/>
        <c:tickLblPos val="nextTo"/>
        <c:crossAx val="46751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1000">
          <a:latin typeface="+mn-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196" baseline="0"/>
            </a:pPr>
            <a:r>
              <a:rPr lang="en-AU" sz="1196" baseline="0">
                <a:solidFill>
                  <a:sysClr val="windowText" lastClr="000000"/>
                </a:solidFill>
              </a:rPr>
              <a:t>Figure 1: New claims on the General Account</a:t>
            </a:r>
          </a:p>
        </c:rich>
      </c:tx>
      <c:layout>
        <c:manualLayout>
          <c:xMode val="edge"/>
          <c:yMode val="edge"/>
          <c:x val="0.14731435999967088"/>
          <c:y val="3.1745818097524137E-2"/>
        </c:manualLayout>
      </c:layout>
      <c:overlay val="0"/>
    </c:title>
    <c:autoTitleDeleted val="0"/>
    <c:plotArea>
      <c:layout/>
      <c:barChart>
        <c:barDir val="col"/>
        <c:grouping val="clustered"/>
        <c:varyColors val="0"/>
        <c:ser>
          <c:idx val="0"/>
          <c:order val="0"/>
          <c:tx>
            <c:strRef>
              <c:f>Sheet1!$B$1</c:f>
              <c:strCache>
                <c:ptCount val="1"/>
                <c:pt idx="0">
                  <c:v>New claims on the General Account</c:v>
                </c:pt>
              </c:strCache>
            </c:strRef>
          </c:tx>
          <c:spPr>
            <a:ln>
              <a:noFill/>
            </a:ln>
            <a:effectLst/>
          </c:spPr>
          <c:invertIfNegative val="0"/>
          <c:dPt>
            <c:idx val="0"/>
            <c:invertIfNegative val="0"/>
            <c:bubble3D val="0"/>
            <c:spPr>
              <a:solidFill>
                <a:srgbClr val="898D91"/>
              </a:solidFill>
              <a:ln>
                <a:noFill/>
              </a:ln>
              <a:effectLst/>
            </c:spPr>
          </c:dPt>
          <c:dPt>
            <c:idx val="1"/>
            <c:invertIfNegative val="0"/>
            <c:bubble3D val="0"/>
            <c:spPr>
              <a:solidFill>
                <a:srgbClr val="898D91"/>
              </a:solidFill>
              <a:ln>
                <a:noFill/>
              </a:ln>
              <a:effectLst/>
            </c:spPr>
          </c:dPt>
          <c:dPt>
            <c:idx val="2"/>
            <c:invertIfNegative val="0"/>
            <c:bubble3D val="0"/>
            <c:spPr>
              <a:solidFill>
                <a:srgbClr val="898D91"/>
              </a:solidFill>
              <a:ln>
                <a:noFill/>
              </a:ln>
              <a:effectLst/>
            </c:spPr>
          </c:dPt>
          <c:dPt>
            <c:idx val="3"/>
            <c:invertIfNegative val="0"/>
            <c:bubble3D val="0"/>
            <c:spPr>
              <a:solidFill>
                <a:srgbClr val="898D91"/>
              </a:solidFill>
              <a:ln>
                <a:noFill/>
              </a:ln>
              <a:effectLst/>
            </c:spPr>
          </c:dPt>
          <c:dPt>
            <c:idx val="4"/>
            <c:invertIfNegative val="0"/>
            <c:bubble3D val="0"/>
            <c:spPr>
              <a:solidFill>
                <a:srgbClr val="EE7D31"/>
              </a:solidFill>
              <a:ln w="9493">
                <a:noFill/>
              </a:ln>
            </c:spPr>
          </c:dPt>
          <c:dPt>
            <c:idx val="5"/>
            <c:invertIfNegative val="0"/>
            <c:bubble3D val="0"/>
            <c:spPr>
              <a:solidFill>
                <a:srgbClr val="003F5F"/>
              </a:solidFill>
              <a:ln w="9493">
                <a:noFill/>
              </a:ln>
            </c:spPr>
          </c:dPt>
          <c:cat>
            <c:strRef>
              <c:f>Sheet1!$A$2:$A$7</c:f>
              <c:strCache>
                <c:ptCount val="6"/>
                <c:pt idx="0">
                  <c:v>2013/14 </c:v>
                </c:pt>
                <c:pt idx="1">
                  <c:v>2014/15 </c:v>
                </c:pt>
                <c:pt idx="2">
                  <c:v>2015/16</c:v>
                </c:pt>
                <c:pt idx="3">
                  <c:v>2016/17</c:v>
                </c:pt>
                <c:pt idx="4">
                  <c:v>2017/18 </c:v>
                </c:pt>
                <c:pt idx="5">
                  <c:v>2017/18 Target</c:v>
                </c:pt>
              </c:strCache>
            </c:strRef>
          </c:cat>
          <c:val>
            <c:numRef>
              <c:f>Sheet1!$B$2:$B$7</c:f>
              <c:numCache>
                <c:formatCode>General</c:formatCode>
                <c:ptCount val="6"/>
                <c:pt idx="0">
                  <c:v>4</c:v>
                </c:pt>
                <c:pt idx="1">
                  <c:v>3</c:v>
                </c:pt>
                <c:pt idx="2">
                  <c:v>9</c:v>
                </c:pt>
                <c:pt idx="3">
                  <c:v>2</c:v>
                </c:pt>
                <c:pt idx="4">
                  <c:v>4</c:v>
                </c:pt>
                <c:pt idx="5">
                  <c:v>6</c:v>
                </c:pt>
              </c:numCache>
            </c:numRef>
          </c:val>
        </c:ser>
        <c:dLbls>
          <c:showLegendKey val="0"/>
          <c:showVal val="0"/>
          <c:showCatName val="0"/>
          <c:showSerName val="0"/>
          <c:showPercent val="0"/>
          <c:showBubbleSize val="0"/>
        </c:dLbls>
        <c:gapWidth val="150"/>
        <c:axId val="467518896"/>
        <c:axId val="467527128"/>
      </c:barChart>
      <c:catAx>
        <c:axId val="467518896"/>
        <c:scaling>
          <c:orientation val="minMax"/>
        </c:scaling>
        <c:delete val="0"/>
        <c:axPos val="b"/>
        <c:numFmt formatCode="General" sourceLinked="0"/>
        <c:majorTickMark val="out"/>
        <c:minorTickMark val="none"/>
        <c:tickLblPos val="nextTo"/>
        <c:spPr>
          <a:ln>
            <a:solidFill>
              <a:srgbClr val="000000"/>
            </a:solidFill>
          </a:ln>
        </c:spPr>
        <c:crossAx val="467527128"/>
        <c:crosses val="autoZero"/>
        <c:auto val="1"/>
        <c:lblAlgn val="ctr"/>
        <c:lblOffset val="100"/>
        <c:noMultiLvlLbl val="0"/>
      </c:catAx>
      <c:valAx>
        <c:axId val="467527128"/>
        <c:scaling>
          <c:orientation val="minMax"/>
        </c:scaling>
        <c:delete val="0"/>
        <c:axPos val="l"/>
        <c:numFmt formatCode="General" sourceLinked="1"/>
        <c:majorTickMark val="out"/>
        <c:minorTickMark val="none"/>
        <c:tickLblPos val="nextTo"/>
        <c:spPr>
          <a:ln>
            <a:solidFill>
              <a:srgbClr val="000000"/>
            </a:solidFill>
          </a:ln>
        </c:spPr>
        <c:txPr>
          <a:bodyPr/>
          <a:lstStyle/>
          <a:p>
            <a:pPr>
              <a:defRPr>
                <a:solidFill>
                  <a:sysClr val="windowText" lastClr="000000"/>
                </a:solidFill>
              </a:defRPr>
            </a:pPr>
            <a:endParaRPr lang="en-US"/>
          </a:p>
        </c:txPr>
        <c:crossAx val="467518896"/>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5316">
          <a:noFill/>
        </a:ln>
      </c:spPr>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0.07974</cdr:x>
      <cdr:y>0.37377</cdr:y>
    </cdr:from>
    <cdr:to>
      <cdr:x>0.30561</cdr:x>
      <cdr:y>0.54426</cdr:y>
    </cdr:to>
    <cdr:sp macro="" textlink="">
      <cdr:nvSpPr>
        <cdr:cNvPr id="2" name="TextBox 1"/>
        <cdr:cNvSpPr txBox="1"/>
      </cdr:nvSpPr>
      <cdr:spPr>
        <a:xfrm xmlns:a="http://schemas.openxmlformats.org/drawingml/2006/main">
          <a:off x="369888" y="1085850"/>
          <a:ext cx="1047751"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ECD1A6F-181B-42BC-A615-22D46BE7414C}" type="TxLink">
            <a:rPr lang="en-US" sz="1200" b="1" i="0" u="none" strike="noStrike">
              <a:solidFill>
                <a:schemeClr val="bg1"/>
              </a:solidFill>
              <a:latin typeface="Myriad Pro"/>
            </a:rPr>
            <a:pPr algn="ctr"/>
            <a:t>No lost-time claims</a:t>
          </a:fld>
          <a:endParaRPr lang="en-AU" sz="1600" b="1">
            <a:solidFill>
              <a:schemeClr val="bg1"/>
            </a:solidFill>
          </a:endParaRPr>
        </a:p>
      </cdr:txBody>
    </cdr:sp>
  </cdr:relSizeAnchor>
  <cdr:relSizeAnchor xmlns:cdr="http://schemas.openxmlformats.org/drawingml/2006/chartDrawing">
    <cdr:from>
      <cdr:x>0.29329</cdr:x>
      <cdr:y>0.37377</cdr:y>
    </cdr:from>
    <cdr:to>
      <cdr:x>0.51917</cdr:x>
      <cdr:y>0.54426</cdr:y>
    </cdr:to>
    <cdr:sp macro="" textlink="">
      <cdr:nvSpPr>
        <cdr:cNvPr id="3" name="TextBox 1"/>
        <cdr:cNvSpPr txBox="1"/>
      </cdr:nvSpPr>
      <cdr:spPr>
        <a:xfrm xmlns:a="http://schemas.openxmlformats.org/drawingml/2006/main">
          <a:off x="1360488" y="1085850"/>
          <a:ext cx="1047751" cy="4953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1747744-EF42-4422-8589-576CFE601CA9}" type="TxLink">
            <a:rPr lang="en-US" sz="1200" b="1" i="0" u="none" strike="noStrike">
              <a:solidFill>
                <a:schemeClr val="bg1"/>
              </a:solidFill>
              <a:latin typeface="Myriad Pro"/>
            </a:rPr>
            <a:pPr algn="ctr"/>
            <a:t>Lost-time claims</a:t>
          </a:fld>
          <a:endParaRPr lang="en-AU" sz="2000" b="1">
            <a:solidFill>
              <a:schemeClr val="bg1"/>
            </a:solidFill>
          </a:endParaRPr>
        </a:p>
      </cdr:txBody>
    </cdr:sp>
  </cdr:relSizeAnchor>
  <cdr:relSizeAnchor xmlns:cdr="http://schemas.openxmlformats.org/drawingml/2006/chartDrawing">
    <cdr:from>
      <cdr:x>0.07974</cdr:x>
      <cdr:y>0.5388</cdr:y>
    </cdr:from>
    <cdr:to>
      <cdr:x>0.30561</cdr:x>
      <cdr:y>0.63279</cdr:y>
    </cdr:to>
    <cdr:sp macro="" textlink="">
      <cdr:nvSpPr>
        <cdr:cNvPr id="4" name="TextBox 1"/>
        <cdr:cNvSpPr txBox="1"/>
      </cdr:nvSpPr>
      <cdr:spPr>
        <a:xfrm xmlns:a="http://schemas.openxmlformats.org/drawingml/2006/main">
          <a:off x="369888" y="1565276"/>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DA4BD8E-87E9-4252-B5EC-D194FB0C518D}" type="TxLink">
            <a:rPr lang="en-US" sz="1000" b="0" i="0" u="none" strike="noStrike">
              <a:solidFill>
                <a:schemeClr val="bg1"/>
              </a:solidFill>
              <a:latin typeface="Myriad Pro"/>
            </a:rPr>
            <a:pPr algn="ctr"/>
            <a:t> 12,567 </a:t>
          </a:fld>
          <a:endParaRPr lang="en-AU" sz="1100" b="0">
            <a:solidFill>
              <a:schemeClr val="bg1"/>
            </a:solidFill>
          </a:endParaRPr>
        </a:p>
      </cdr:txBody>
    </cdr:sp>
  </cdr:relSizeAnchor>
  <cdr:relSizeAnchor xmlns:cdr="http://schemas.openxmlformats.org/drawingml/2006/chartDrawing">
    <cdr:from>
      <cdr:x>0.07974</cdr:x>
      <cdr:y>0.59781</cdr:y>
    </cdr:from>
    <cdr:to>
      <cdr:x>0.30561</cdr:x>
      <cdr:y>0.6918</cdr:y>
    </cdr:to>
    <cdr:sp macro="" textlink="">
      <cdr:nvSpPr>
        <cdr:cNvPr id="5" name="TextBox 1"/>
        <cdr:cNvSpPr txBox="1"/>
      </cdr:nvSpPr>
      <cdr:spPr>
        <a:xfrm xmlns:a="http://schemas.openxmlformats.org/drawingml/2006/main">
          <a:off x="369888" y="1736726"/>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60629C5-3B6B-46C5-8F8B-89F0741B72D2}" type="TxLink">
            <a:rPr lang="en-US" sz="1000" b="0" i="0" u="none" strike="noStrike">
              <a:solidFill>
                <a:schemeClr val="bg1"/>
              </a:solidFill>
              <a:latin typeface="Myriad Pro"/>
            </a:rPr>
            <a:pPr algn="ctr"/>
            <a:t>45%</a:t>
          </a:fld>
          <a:endParaRPr lang="en-AU" sz="1100" b="0">
            <a:solidFill>
              <a:schemeClr val="bg1"/>
            </a:solidFill>
          </a:endParaRPr>
        </a:p>
      </cdr:txBody>
    </cdr:sp>
  </cdr:relSizeAnchor>
  <cdr:relSizeAnchor xmlns:cdr="http://schemas.openxmlformats.org/drawingml/2006/chartDrawing">
    <cdr:from>
      <cdr:x>0.29329</cdr:x>
      <cdr:y>0.54208</cdr:y>
    </cdr:from>
    <cdr:to>
      <cdr:x>0.51917</cdr:x>
      <cdr:y>0.63607</cdr:y>
    </cdr:to>
    <cdr:sp macro="" textlink="">
      <cdr:nvSpPr>
        <cdr:cNvPr id="6" name="TextBox 1"/>
        <cdr:cNvSpPr txBox="1"/>
      </cdr:nvSpPr>
      <cdr:spPr>
        <a:xfrm xmlns:a="http://schemas.openxmlformats.org/drawingml/2006/main">
          <a:off x="1360488" y="157480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307E518-6076-4822-B96C-5366E36E50E0}" type="TxLink">
            <a:rPr lang="en-US" sz="1000" b="0" i="0" u="none" strike="noStrike">
              <a:solidFill>
                <a:schemeClr val="bg1"/>
              </a:solidFill>
              <a:latin typeface="Myriad Pro"/>
            </a:rPr>
            <a:pPr algn="ctr"/>
            <a:t> 15,594 </a:t>
          </a:fld>
          <a:endParaRPr lang="en-AU" sz="1100" b="0">
            <a:solidFill>
              <a:schemeClr val="bg1"/>
            </a:solidFill>
          </a:endParaRPr>
        </a:p>
      </cdr:txBody>
    </cdr:sp>
  </cdr:relSizeAnchor>
  <cdr:relSizeAnchor xmlns:cdr="http://schemas.openxmlformats.org/drawingml/2006/chartDrawing">
    <cdr:from>
      <cdr:x>0.29329</cdr:x>
      <cdr:y>0.60109</cdr:y>
    </cdr:from>
    <cdr:to>
      <cdr:x>0.51917</cdr:x>
      <cdr:y>0.69508</cdr:y>
    </cdr:to>
    <cdr:sp macro="" textlink="">
      <cdr:nvSpPr>
        <cdr:cNvPr id="7" name="TextBox 1"/>
        <cdr:cNvSpPr txBox="1"/>
      </cdr:nvSpPr>
      <cdr:spPr>
        <a:xfrm xmlns:a="http://schemas.openxmlformats.org/drawingml/2006/main">
          <a:off x="1360488" y="174625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EFE40256-A79C-4967-8D65-AF2B4C3ACBA3}" type="TxLink">
            <a:rPr lang="en-US" sz="1000" b="0" i="0" u="none" strike="noStrike">
              <a:solidFill>
                <a:schemeClr val="bg1"/>
              </a:solidFill>
              <a:latin typeface="Myriad Pro"/>
            </a:rPr>
            <a:pPr algn="ctr"/>
            <a:t>55%</a:t>
          </a:fld>
          <a:endParaRPr lang="en-AU" sz="1100" b="0">
            <a:solidFill>
              <a:schemeClr val="bg1"/>
            </a:solidFill>
          </a:endParaRPr>
        </a:p>
      </cdr:txBody>
    </cdr:sp>
  </cdr:relSizeAnchor>
  <cdr:relSizeAnchor xmlns:cdr="http://schemas.openxmlformats.org/drawingml/2006/chartDrawing">
    <cdr:from>
      <cdr:x>0.57871</cdr:x>
      <cdr:y>0.32568</cdr:y>
    </cdr:from>
    <cdr:to>
      <cdr:x>0.80459</cdr:x>
      <cdr:y>0.41967</cdr:y>
    </cdr:to>
    <cdr:sp macro="" textlink="">
      <cdr:nvSpPr>
        <cdr:cNvPr id="8" name="TextBox 1"/>
        <cdr:cNvSpPr txBox="1"/>
      </cdr:nvSpPr>
      <cdr:spPr>
        <a:xfrm xmlns:a="http://schemas.openxmlformats.org/drawingml/2006/main">
          <a:off x="2684463" y="94615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A53CC01-1877-47F0-8A95-5F674F8CB980}" type="TxLink">
            <a:rPr lang="en-US" sz="1000" b="0" i="0" u="none" strike="noStrike">
              <a:solidFill>
                <a:schemeClr val="bg1"/>
              </a:solidFill>
              <a:latin typeface="Myriad Pro"/>
            </a:rPr>
            <a:pPr algn="ctr"/>
            <a:t> 10,185 </a:t>
          </a:fld>
          <a:endParaRPr lang="en-AU" sz="1100" b="0">
            <a:solidFill>
              <a:schemeClr val="bg1"/>
            </a:solidFill>
          </a:endParaRPr>
        </a:p>
      </cdr:txBody>
    </cdr:sp>
  </cdr:relSizeAnchor>
  <cdr:relSizeAnchor xmlns:cdr="http://schemas.openxmlformats.org/drawingml/2006/chartDrawing">
    <cdr:from>
      <cdr:x>0.57871</cdr:x>
      <cdr:y>0.3847</cdr:y>
    </cdr:from>
    <cdr:to>
      <cdr:x>0.80459</cdr:x>
      <cdr:y>0.47869</cdr:y>
    </cdr:to>
    <cdr:sp macro="" textlink="">
      <cdr:nvSpPr>
        <cdr:cNvPr id="9" name="TextBox 1"/>
        <cdr:cNvSpPr txBox="1"/>
      </cdr:nvSpPr>
      <cdr:spPr>
        <a:xfrm xmlns:a="http://schemas.openxmlformats.org/drawingml/2006/main">
          <a:off x="2684463" y="1117600"/>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3A4D6B7-F536-412B-B311-88B97248C2B4}" type="TxLink">
            <a:rPr lang="en-US" sz="1000" b="0" i="0" u="none" strike="noStrike">
              <a:solidFill>
                <a:schemeClr val="bg1"/>
              </a:solidFill>
              <a:latin typeface="Myriad Pro"/>
            </a:rPr>
            <a:pPr algn="ctr"/>
            <a:t>65%</a:t>
          </a:fld>
          <a:endParaRPr lang="en-AU" sz="1100" b="0">
            <a:solidFill>
              <a:schemeClr val="bg1"/>
            </a:solidFill>
          </a:endParaRPr>
        </a:p>
      </cdr:txBody>
    </cdr:sp>
  </cdr:relSizeAnchor>
  <cdr:relSizeAnchor xmlns:cdr="http://schemas.openxmlformats.org/drawingml/2006/chartDrawing">
    <cdr:from>
      <cdr:x>0.57871</cdr:x>
      <cdr:y>0.59781</cdr:y>
    </cdr:from>
    <cdr:to>
      <cdr:x>0.80459</cdr:x>
      <cdr:y>0.6918</cdr:y>
    </cdr:to>
    <cdr:sp macro="" textlink="">
      <cdr:nvSpPr>
        <cdr:cNvPr id="10" name="TextBox 1"/>
        <cdr:cNvSpPr txBox="1"/>
      </cdr:nvSpPr>
      <cdr:spPr>
        <a:xfrm xmlns:a="http://schemas.openxmlformats.org/drawingml/2006/main">
          <a:off x="2684463" y="1736725"/>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1909DA20-B924-4028-B235-96140E477C67}" type="TxLink">
            <a:rPr lang="en-US" sz="1000" b="0" i="0" u="none" strike="noStrike">
              <a:solidFill>
                <a:schemeClr val="bg1"/>
              </a:solidFill>
              <a:latin typeface="Myriad Pro"/>
            </a:rPr>
            <a:pPr algn="ctr"/>
            <a:t> 5,409 </a:t>
          </a:fld>
          <a:endParaRPr lang="en-AU" sz="1100" b="0">
            <a:solidFill>
              <a:schemeClr val="bg1"/>
            </a:solidFill>
          </a:endParaRPr>
        </a:p>
      </cdr:txBody>
    </cdr:sp>
  </cdr:relSizeAnchor>
  <cdr:relSizeAnchor xmlns:cdr="http://schemas.openxmlformats.org/drawingml/2006/chartDrawing">
    <cdr:from>
      <cdr:x>0.57871</cdr:x>
      <cdr:y>0.65683</cdr:y>
    </cdr:from>
    <cdr:to>
      <cdr:x>0.80459</cdr:x>
      <cdr:y>0.75082</cdr:y>
    </cdr:to>
    <cdr:sp macro="" textlink="">
      <cdr:nvSpPr>
        <cdr:cNvPr id="11" name="TextBox 1"/>
        <cdr:cNvSpPr txBox="1"/>
      </cdr:nvSpPr>
      <cdr:spPr>
        <a:xfrm xmlns:a="http://schemas.openxmlformats.org/drawingml/2006/main">
          <a:off x="2684463" y="1908175"/>
          <a:ext cx="1047751" cy="2730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B8155EEE-A38D-4228-951C-2F09D92DD96C}" type="TxLink">
            <a:rPr lang="en-US" sz="1000" b="0" i="0" u="none" strike="noStrike">
              <a:solidFill>
                <a:schemeClr val="bg1"/>
              </a:solidFill>
              <a:latin typeface="Myriad Pro"/>
            </a:rPr>
            <a:pPr algn="ctr"/>
            <a:t>35%</a:t>
          </a:fld>
          <a:endParaRPr lang="en-AU" sz="1100" b="0">
            <a:solidFill>
              <a:schemeClr val="bg1"/>
            </a:solidFill>
          </a:endParaRPr>
        </a:p>
      </cdr:txBody>
    </cdr:sp>
  </cdr:relSizeAnchor>
</c:userShapes>
</file>

<file path=word/theme/theme1.xml><?xml version="1.0" encoding="utf-8"?>
<a:theme xmlns:a="http://schemas.openxmlformats.org/drawingml/2006/main" name="Office Theme">
  <a:themeElements>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Scheme Trends">
    <a:dk1>
      <a:sysClr val="windowText" lastClr="000000"/>
    </a:dk1>
    <a:lt1>
      <a:sysClr val="window" lastClr="FFFFFF"/>
    </a:lt1>
    <a:dk2>
      <a:srgbClr val="44546A"/>
    </a:dk2>
    <a:lt2>
      <a:srgbClr val="E7E6E6"/>
    </a:lt2>
    <a:accent1>
      <a:srgbClr val="17375E"/>
    </a:accent1>
    <a:accent2>
      <a:srgbClr val="407974"/>
    </a:accent2>
    <a:accent3>
      <a:srgbClr val="939598"/>
    </a:accent3>
    <a:accent4>
      <a:srgbClr val="ED7D31"/>
    </a:accent4>
    <a:accent5>
      <a:srgbClr val="D2232A"/>
    </a:accent5>
    <a:accent6>
      <a:srgbClr val="70AD47"/>
    </a:accent6>
    <a:hlink>
      <a:srgbClr val="0563C1"/>
    </a:hlink>
    <a:folHlink>
      <a:srgbClr val="954F72"/>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C2C66-0A44-413E-B1B1-CF8885A1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57741</Words>
  <Characters>329126</Characters>
  <Application>Microsoft Office Word</Application>
  <DocSecurity>0</DocSecurity>
  <Lines>2742</Lines>
  <Paragraphs>772</Paragraphs>
  <ScaleCrop>false</ScaleCrop>
  <HeadingPairs>
    <vt:vector size="2" baseType="variant">
      <vt:variant>
        <vt:lpstr>Title</vt:lpstr>
      </vt:variant>
      <vt:variant>
        <vt:i4>1</vt:i4>
      </vt:variant>
    </vt:vector>
  </HeadingPairs>
  <TitlesOfParts>
    <vt:vector size="1" baseType="lpstr">
      <vt:lpstr/>
    </vt:vector>
  </TitlesOfParts>
  <Company>Workcover WA</Company>
  <LinksUpToDate>false</LinksUpToDate>
  <CharactersWithSpaces>386095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Reeves</dc:creator>
  <cp:keywords/>
  <dc:description/>
  <cp:lastModifiedBy>Tayla Toutountzis</cp:lastModifiedBy>
  <cp:revision>2</cp:revision>
  <cp:lastPrinted>2018-09-19T07:42:00Z</cp:lastPrinted>
  <dcterms:created xsi:type="dcterms:W3CDTF">2018-10-17T05:23:00Z</dcterms:created>
  <dcterms:modified xsi:type="dcterms:W3CDTF">2018-10-17T05:23:00Z</dcterms:modified>
</cp:coreProperties>
</file>